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8677C" w:rsidTr="00F138C1">
        <w:tc>
          <w:tcPr>
            <w:tcW w:w="9648" w:type="dxa"/>
            <w:gridSpan w:val="3"/>
          </w:tcPr>
          <w:p w:rsidR="008C2D9E" w:rsidRPr="0068677C" w:rsidRDefault="008C2D9E" w:rsidP="00F138C1">
            <w:pPr>
              <w:tabs>
                <w:tab w:val="left" w:pos="6075"/>
              </w:tabs>
              <w:jc w:val="center"/>
              <w:rPr>
                <w:b/>
                <w:sz w:val="32"/>
                <w:szCs w:val="32"/>
                <w:lang w:val="fr-CA"/>
              </w:rPr>
            </w:pPr>
            <w:r w:rsidRPr="0068677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8677C" w:rsidRDefault="008C2D9E" w:rsidP="00F138C1">
            <w:pPr>
              <w:tabs>
                <w:tab w:val="left" w:pos="6075"/>
              </w:tabs>
              <w:jc w:val="center"/>
              <w:rPr>
                <w:b/>
                <w:sz w:val="32"/>
                <w:szCs w:val="32"/>
                <w:lang w:val="fr-CA"/>
              </w:rPr>
            </w:pPr>
          </w:p>
        </w:tc>
      </w:tr>
      <w:tr w:rsidR="00F138C1" w:rsidRPr="0068677C" w:rsidTr="00F138C1">
        <w:tc>
          <w:tcPr>
            <w:tcW w:w="4599" w:type="dxa"/>
            <w:tcMar>
              <w:top w:w="284" w:type="dxa"/>
            </w:tcMar>
          </w:tcPr>
          <w:p w:rsidR="00F138C1" w:rsidRPr="0068677C" w:rsidRDefault="00F138C1" w:rsidP="00F138C1">
            <w:pPr>
              <w:tabs>
                <w:tab w:val="left" w:pos="6075"/>
              </w:tabs>
              <w:jc w:val="center"/>
              <w:rPr>
                <w:b/>
                <w:sz w:val="32"/>
                <w:szCs w:val="32"/>
              </w:rPr>
            </w:pPr>
            <w:r w:rsidRPr="0068677C">
              <w:rPr>
                <w:b/>
                <w:sz w:val="32"/>
                <w:szCs w:val="32"/>
              </w:rPr>
              <w:t>SUPREME COURT OF CANADA</w:t>
            </w:r>
          </w:p>
        </w:tc>
        <w:tc>
          <w:tcPr>
            <w:tcW w:w="483" w:type="dxa"/>
          </w:tcPr>
          <w:p w:rsidR="00F138C1" w:rsidRPr="0068677C" w:rsidRDefault="00F138C1" w:rsidP="00F138C1">
            <w:pPr>
              <w:tabs>
                <w:tab w:val="left" w:pos="6075"/>
              </w:tabs>
              <w:jc w:val="center"/>
              <w:rPr>
                <w:sz w:val="32"/>
                <w:szCs w:val="32"/>
              </w:rPr>
            </w:pPr>
          </w:p>
        </w:tc>
        <w:tc>
          <w:tcPr>
            <w:tcW w:w="4566" w:type="dxa"/>
            <w:tcMar>
              <w:top w:w="284" w:type="dxa"/>
            </w:tcMar>
          </w:tcPr>
          <w:p w:rsidR="00F138C1" w:rsidRPr="0068677C" w:rsidRDefault="00F138C1" w:rsidP="00F138C1">
            <w:pPr>
              <w:tabs>
                <w:tab w:val="left" w:pos="6075"/>
              </w:tabs>
              <w:jc w:val="center"/>
              <w:rPr>
                <w:b/>
                <w:sz w:val="32"/>
                <w:szCs w:val="32"/>
                <w:lang w:val="fr-CA"/>
              </w:rPr>
            </w:pPr>
            <w:r w:rsidRPr="0068677C">
              <w:rPr>
                <w:b/>
                <w:sz w:val="32"/>
                <w:szCs w:val="32"/>
                <w:lang w:val="fr-CA"/>
              </w:rPr>
              <w:t>COUR SUPRÊME DU CANADA</w:t>
            </w:r>
          </w:p>
        </w:tc>
      </w:tr>
      <w:tr w:rsidR="00F138C1" w:rsidRPr="0068677C" w:rsidTr="00F138C1">
        <w:tc>
          <w:tcPr>
            <w:tcW w:w="4599" w:type="dxa"/>
            <w:tcMar>
              <w:top w:w="567" w:type="dxa"/>
            </w:tcMar>
          </w:tcPr>
          <w:p w:rsidR="00F138C1" w:rsidRPr="0068677C" w:rsidRDefault="00F138C1" w:rsidP="00F138C1">
            <w:pPr>
              <w:tabs>
                <w:tab w:val="left" w:pos="6075"/>
              </w:tabs>
              <w:jc w:val="center"/>
              <w:rPr>
                <w:sz w:val="28"/>
                <w:szCs w:val="28"/>
              </w:rPr>
            </w:pPr>
            <w:r w:rsidRPr="0068677C">
              <w:rPr>
                <w:sz w:val="28"/>
                <w:szCs w:val="28"/>
              </w:rPr>
              <w:t>BULLETIN OF</w:t>
            </w:r>
            <w:r w:rsidRPr="0068677C">
              <w:rPr>
                <w:sz w:val="28"/>
                <w:szCs w:val="28"/>
              </w:rPr>
              <w:br/>
              <w:t xml:space="preserve"> PROCEEDINGS</w:t>
            </w:r>
          </w:p>
        </w:tc>
        <w:tc>
          <w:tcPr>
            <w:tcW w:w="483" w:type="dxa"/>
          </w:tcPr>
          <w:p w:rsidR="00F138C1" w:rsidRPr="0068677C" w:rsidRDefault="00F138C1" w:rsidP="00F138C1">
            <w:pPr>
              <w:tabs>
                <w:tab w:val="left" w:pos="6075"/>
              </w:tabs>
            </w:pPr>
          </w:p>
        </w:tc>
        <w:tc>
          <w:tcPr>
            <w:tcW w:w="4566" w:type="dxa"/>
            <w:tcMar>
              <w:top w:w="567" w:type="dxa"/>
            </w:tcMar>
          </w:tcPr>
          <w:p w:rsidR="00F138C1" w:rsidRPr="0068677C" w:rsidRDefault="00F138C1" w:rsidP="00F138C1">
            <w:pPr>
              <w:tabs>
                <w:tab w:val="left" w:pos="6075"/>
              </w:tabs>
              <w:jc w:val="center"/>
              <w:rPr>
                <w:sz w:val="28"/>
                <w:szCs w:val="28"/>
                <w:lang w:val="fr-CA"/>
              </w:rPr>
            </w:pPr>
            <w:r w:rsidRPr="0068677C">
              <w:rPr>
                <w:sz w:val="28"/>
                <w:szCs w:val="28"/>
                <w:lang w:val="fr-CA"/>
              </w:rPr>
              <w:t>BULLETIN DES</w:t>
            </w:r>
            <w:r w:rsidRPr="0068677C">
              <w:rPr>
                <w:sz w:val="28"/>
                <w:szCs w:val="28"/>
                <w:lang w:val="fr-CA"/>
              </w:rPr>
              <w:br/>
              <w:t xml:space="preserve"> PROCÉDURES</w:t>
            </w:r>
          </w:p>
        </w:tc>
      </w:tr>
      <w:tr w:rsidR="00F138C1" w:rsidRPr="00D800B2" w:rsidTr="00F138C1">
        <w:tc>
          <w:tcPr>
            <w:tcW w:w="4599" w:type="dxa"/>
            <w:tcMar>
              <w:top w:w="567" w:type="dxa"/>
            </w:tcMar>
          </w:tcPr>
          <w:p w:rsidR="00F138C1" w:rsidRPr="0068677C" w:rsidRDefault="00F138C1" w:rsidP="00F138C1">
            <w:pPr>
              <w:tabs>
                <w:tab w:val="left" w:pos="6075"/>
              </w:tabs>
              <w:jc w:val="both"/>
              <w:rPr>
                <w:rFonts w:ascii="Arial" w:hAnsi="Arial" w:cs="Arial"/>
                <w:i/>
                <w:sz w:val="20"/>
                <w:szCs w:val="20"/>
              </w:rPr>
            </w:pPr>
            <w:r w:rsidRPr="0068677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8677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77C" w:rsidRDefault="00F138C1" w:rsidP="00F138C1">
            <w:pPr>
              <w:tabs>
                <w:tab w:val="left" w:pos="6075"/>
              </w:tabs>
              <w:jc w:val="both"/>
              <w:rPr>
                <w:rFonts w:ascii="Arial" w:hAnsi="Arial" w:cs="Arial"/>
                <w:i/>
                <w:sz w:val="20"/>
                <w:szCs w:val="20"/>
                <w:lang w:val="fr-CA"/>
              </w:rPr>
            </w:pPr>
            <w:r w:rsidRPr="0068677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800B2" w:rsidTr="00F138C1">
        <w:tc>
          <w:tcPr>
            <w:tcW w:w="4599" w:type="dxa"/>
            <w:tcMar>
              <w:top w:w="567" w:type="dxa"/>
            </w:tcMar>
          </w:tcPr>
          <w:p w:rsidR="00F138C1" w:rsidRPr="0068677C" w:rsidRDefault="00F138C1" w:rsidP="00F138C1">
            <w:pPr>
              <w:tabs>
                <w:tab w:val="left" w:pos="6075"/>
              </w:tabs>
              <w:jc w:val="both"/>
              <w:rPr>
                <w:rFonts w:ascii="Arial" w:hAnsi="Arial" w:cs="Arial"/>
                <w:i/>
                <w:sz w:val="20"/>
                <w:szCs w:val="20"/>
              </w:rPr>
            </w:pPr>
            <w:r w:rsidRPr="0068677C">
              <w:rPr>
                <w:rFonts w:ascii="Arial" w:hAnsi="Arial" w:cs="Arial"/>
                <w:i/>
                <w:sz w:val="20"/>
                <w:szCs w:val="20"/>
              </w:rPr>
              <w:t>During Court sessions, the Bulletin is usually issued weekly.</w:t>
            </w:r>
          </w:p>
        </w:tc>
        <w:tc>
          <w:tcPr>
            <w:tcW w:w="483" w:type="dxa"/>
          </w:tcPr>
          <w:p w:rsidR="00F138C1" w:rsidRPr="0068677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77C" w:rsidRDefault="00F138C1" w:rsidP="00F138C1">
            <w:pPr>
              <w:tabs>
                <w:tab w:val="left" w:pos="6075"/>
              </w:tabs>
              <w:jc w:val="both"/>
              <w:rPr>
                <w:rFonts w:ascii="Arial" w:hAnsi="Arial" w:cs="Arial"/>
                <w:i/>
                <w:sz w:val="20"/>
                <w:szCs w:val="20"/>
                <w:lang w:val="fr-CA"/>
              </w:rPr>
            </w:pPr>
            <w:r w:rsidRPr="0068677C">
              <w:rPr>
                <w:rFonts w:ascii="Arial" w:hAnsi="Arial" w:cs="Arial"/>
                <w:i/>
                <w:sz w:val="20"/>
                <w:szCs w:val="20"/>
                <w:lang w:val="fr-CA"/>
              </w:rPr>
              <w:t>Le Bulletin paraît en principe toutes les semaines pendant les sessions de la Cour.</w:t>
            </w:r>
          </w:p>
        </w:tc>
      </w:tr>
      <w:tr w:rsidR="00F138C1" w:rsidRPr="00D800B2" w:rsidTr="00F138C1">
        <w:tc>
          <w:tcPr>
            <w:tcW w:w="4599" w:type="dxa"/>
            <w:tcMar>
              <w:top w:w="567" w:type="dxa"/>
            </w:tcMar>
          </w:tcPr>
          <w:p w:rsidR="00F138C1" w:rsidRPr="0068677C" w:rsidRDefault="00F138C1" w:rsidP="00F138C1">
            <w:pPr>
              <w:tabs>
                <w:tab w:val="left" w:pos="6075"/>
              </w:tabs>
              <w:jc w:val="both"/>
              <w:rPr>
                <w:rFonts w:ascii="Arial" w:hAnsi="Arial" w:cs="Arial"/>
                <w:i/>
                <w:sz w:val="20"/>
                <w:szCs w:val="20"/>
              </w:rPr>
            </w:pPr>
            <w:r w:rsidRPr="0068677C">
              <w:rPr>
                <w:rFonts w:ascii="Arial" w:hAnsi="Arial" w:cs="Arial"/>
                <w:i/>
                <w:sz w:val="20"/>
                <w:szCs w:val="20"/>
              </w:rPr>
              <w:fldChar w:fldCharType="begin"/>
            </w:r>
            <w:r w:rsidRPr="0068677C">
              <w:rPr>
                <w:rFonts w:ascii="Arial" w:hAnsi="Arial" w:cs="Arial"/>
                <w:i/>
                <w:sz w:val="20"/>
                <w:szCs w:val="20"/>
              </w:rPr>
              <w:instrText xml:space="preserve"> SEQ CHAPTER \h \r 1</w:instrText>
            </w:r>
            <w:r w:rsidRPr="0068677C">
              <w:rPr>
                <w:rFonts w:ascii="Arial" w:hAnsi="Arial" w:cs="Arial"/>
                <w:i/>
                <w:sz w:val="20"/>
                <w:szCs w:val="20"/>
              </w:rPr>
              <w:fldChar w:fldCharType="end"/>
            </w:r>
            <w:r w:rsidRPr="0068677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8677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77C" w:rsidRDefault="00F138C1" w:rsidP="00F138C1">
            <w:pPr>
              <w:tabs>
                <w:tab w:val="left" w:pos="6075"/>
              </w:tabs>
              <w:jc w:val="both"/>
              <w:rPr>
                <w:rFonts w:ascii="Arial" w:hAnsi="Arial" w:cs="Arial"/>
                <w:i/>
                <w:sz w:val="20"/>
                <w:szCs w:val="20"/>
                <w:lang w:val="fr-CA"/>
              </w:rPr>
            </w:pPr>
            <w:r w:rsidRPr="0068677C">
              <w:rPr>
                <w:rFonts w:ascii="Arial" w:hAnsi="Arial" w:cs="Arial"/>
                <w:i/>
                <w:sz w:val="20"/>
                <w:szCs w:val="20"/>
                <w:lang w:val="fr-CA"/>
              </w:rPr>
              <w:fldChar w:fldCharType="begin"/>
            </w:r>
            <w:r w:rsidRPr="0068677C">
              <w:rPr>
                <w:rFonts w:ascii="Arial" w:hAnsi="Arial" w:cs="Arial"/>
                <w:i/>
                <w:sz w:val="20"/>
                <w:szCs w:val="20"/>
                <w:lang w:val="fr-CA"/>
              </w:rPr>
              <w:instrText xml:space="preserve"> SEQ CHAPTER \h \r 1</w:instrText>
            </w:r>
            <w:r w:rsidRPr="0068677C">
              <w:rPr>
                <w:rFonts w:ascii="Arial" w:hAnsi="Arial" w:cs="Arial"/>
                <w:i/>
                <w:sz w:val="20"/>
                <w:szCs w:val="20"/>
                <w:lang w:val="fr-CA"/>
              </w:rPr>
              <w:fldChar w:fldCharType="end"/>
            </w:r>
            <w:r w:rsidRPr="0068677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800B2" w:rsidTr="00F138C1">
        <w:tc>
          <w:tcPr>
            <w:tcW w:w="4599" w:type="dxa"/>
            <w:tcMar>
              <w:top w:w="567" w:type="dxa"/>
            </w:tcMar>
          </w:tcPr>
          <w:p w:rsidR="00F138C1" w:rsidRPr="0068677C" w:rsidRDefault="00F138C1" w:rsidP="00F138C1">
            <w:pPr>
              <w:tabs>
                <w:tab w:val="left" w:pos="6075"/>
              </w:tabs>
              <w:jc w:val="both"/>
              <w:rPr>
                <w:rFonts w:ascii="Arial" w:hAnsi="Arial" w:cs="Arial"/>
                <w:i/>
                <w:sz w:val="20"/>
                <w:szCs w:val="20"/>
              </w:rPr>
            </w:pPr>
            <w:r w:rsidRPr="0068677C">
              <w:rPr>
                <w:rFonts w:ascii="Arial" w:hAnsi="Arial" w:cs="Arial"/>
                <w:i/>
                <w:sz w:val="20"/>
                <w:szCs w:val="20"/>
                <w:lang w:val="en-US"/>
              </w:rPr>
              <w:t>Please c</w:t>
            </w:r>
            <w:r w:rsidRPr="0068677C">
              <w:rPr>
                <w:rFonts w:ascii="Arial" w:hAnsi="Arial" w:cs="Arial"/>
                <w:i/>
                <w:sz w:val="20"/>
                <w:szCs w:val="20"/>
              </w:rPr>
              <w:t xml:space="preserve">onsult the Supreme Court of Canada website at </w:t>
            </w:r>
            <w:hyperlink r:id="rId9" w:history="1">
              <w:r w:rsidRPr="0068677C">
                <w:rPr>
                  <w:rStyle w:val="Hyperlink"/>
                  <w:rFonts w:ascii="Arial" w:hAnsi="Arial" w:cs="Arial"/>
                  <w:i/>
                  <w:sz w:val="20"/>
                  <w:szCs w:val="20"/>
                </w:rPr>
                <w:t>www.scc-csc.ca</w:t>
              </w:r>
            </w:hyperlink>
            <w:r w:rsidRPr="0068677C">
              <w:rPr>
                <w:rFonts w:ascii="Arial" w:hAnsi="Arial" w:cs="Arial"/>
                <w:i/>
                <w:sz w:val="20"/>
                <w:szCs w:val="20"/>
              </w:rPr>
              <w:t xml:space="preserve"> for more information.</w:t>
            </w:r>
          </w:p>
        </w:tc>
        <w:tc>
          <w:tcPr>
            <w:tcW w:w="483" w:type="dxa"/>
          </w:tcPr>
          <w:p w:rsidR="00F138C1" w:rsidRPr="0068677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8677C" w:rsidRDefault="00F138C1" w:rsidP="00F138C1">
            <w:pPr>
              <w:tabs>
                <w:tab w:val="left" w:pos="6075"/>
              </w:tabs>
              <w:jc w:val="both"/>
              <w:rPr>
                <w:rFonts w:ascii="Arial" w:hAnsi="Arial" w:cs="Arial"/>
                <w:i/>
                <w:sz w:val="20"/>
                <w:szCs w:val="20"/>
                <w:lang w:val="fr-CA"/>
              </w:rPr>
            </w:pPr>
            <w:r w:rsidRPr="0068677C">
              <w:rPr>
                <w:rFonts w:ascii="Arial" w:hAnsi="Arial" w:cs="Arial"/>
                <w:i/>
                <w:sz w:val="20"/>
                <w:szCs w:val="20"/>
                <w:lang w:val="fr-CA"/>
              </w:rPr>
              <w:t xml:space="preserve">Pour de plus amples informations, veuillez consulter le site Web de la Cour suprême du Canada à l’adresse suivante : </w:t>
            </w:r>
            <w:hyperlink r:id="rId10" w:history="1">
              <w:r w:rsidRPr="0068677C">
                <w:rPr>
                  <w:rStyle w:val="Hyperlink"/>
                  <w:rFonts w:ascii="Arial" w:hAnsi="Arial" w:cs="Arial"/>
                  <w:i/>
                  <w:sz w:val="20"/>
                  <w:szCs w:val="20"/>
                  <w:lang w:val="fr-CA"/>
                </w:rPr>
                <w:t>www.scc-csc.ca</w:t>
              </w:r>
            </w:hyperlink>
            <w:r w:rsidRPr="0068677C">
              <w:rPr>
                <w:rFonts w:ascii="Arial" w:hAnsi="Arial" w:cs="Arial"/>
                <w:i/>
                <w:sz w:val="20"/>
                <w:szCs w:val="20"/>
                <w:lang w:val="fr-CA"/>
              </w:rPr>
              <w:t xml:space="preserve"> </w:t>
            </w:r>
          </w:p>
        </w:tc>
      </w:tr>
    </w:tbl>
    <w:p w:rsidR="00F138C1" w:rsidRPr="0068677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8677C" w:rsidTr="00F138C1">
        <w:tc>
          <w:tcPr>
            <w:tcW w:w="2250" w:type="pct"/>
            <w:tcBorders>
              <w:top w:val="single" w:sz="4" w:space="0" w:color="auto"/>
            </w:tcBorders>
            <w:tcMar>
              <w:top w:w="284" w:type="dxa"/>
              <w:bottom w:w="284" w:type="dxa"/>
            </w:tcMar>
          </w:tcPr>
          <w:p w:rsidR="00F138C1" w:rsidRPr="0068677C" w:rsidRDefault="002349DE" w:rsidP="009B36BA">
            <w:pPr>
              <w:tabs>
                <w:tab w:val="left" w:pos="6075"/>
              </w:tabs>
              <w:rPr>
                <w:rFonts w:ascii="Arial" w:hAnsi="Arial" w:cs="Arial"/>
                <w:i/>
                <w:sz w:val="20"/>
                <w:szCs w:val="20"/>
              </w:rPr>
            </w:pPr>
            <w:r w:rsidRPr="0068677C">
              <w:rPr>
                <w:lang w:val="fr-CA"/>
              </w:rPr>
              <w:t>May 21</w:t>
            </w:r>
            <w:r w:rsidR="00F138C1" w:rsidRPr="0068677C">
              <w:rPr>
                <w:lang w:val="fr-CA"/>
              </w:rPr>
              <w:t>, 20</w:t>
            </w:r>
            <w:r w:rsidR="009B36BA" w:rsidRPr="0068677C">
              <w:rPr>
                <w:lang w:val="fr-CA"/>
              </w:rPr>
              <w:t>21</w:t>
            </w:r>
          </w:p>
        </w:tc>
        <w:tc>
          <w:tcPr>
            <w:tcW w:w="500" w:type="pct"/>
            <w:tcBorders>
              <w:top w:val="single" w:sz="4" w:space="0" w:color="auto"/>
            </w:tcBorders>
            <w:tcMar>
              <w:top w:w="284" w:type="dxa"/>
              <w:bottom w:w="284" w:type="dxa"/>
            </w:tcMar>
          </w:tcPr>
          <w:p w:rsidR="00F138C1" w:rsidRPr="0068677C" w:rsidRDefault="00F138C1" w:rsidP="00D800B2">
            <w:pPr>
              <w:tabs>
                <w:tab w:val="left" w:pos="6075"/>
              </w:tabs>
              <w:jc w:val="center"/>
              <w:rPr>
                <w:rFonts w:ascii="Arial" w:hAnsi="Arial" w:cs="Arial"/>
                <w:i/>
                <w:sz w:val="20"/>
                <w:szCs w:val="20"/>
              </w:rPr>
            </w:pPr>
            <w:r w:rsidRPr="0068677C">
              <w:rPr>
                <w:lang w:val="fr-CA"/>
              </w:rPr>
              <w:t xml:space="preserve">1 - </w:t>
            </w:r>
            <w:r w:rsidR="00C86AED" w:rsidRPr="0068677C">
              <w:rPr>
                <w:lang w:val="fr-CA"/>
              </w:rPr>
              <w:t>2</w:t>
            </w:r>
            <w:r w:rsidR="00D800B2">
              <w:rPr>
                <w:lang w:val="fr-CA"/>
              </w:rPr>
              <w:t>6</w:t>
            </w:r>
          </w:p>
        </w:tc>
        <w:tc>
          <w:tcPr>
            <w:tcW w:w="2250" w:type="pct"/>
            <w:tcBorders>
              <w:top w:val="single" w:sz="4" w:space="0" w:color="auto"/>
            </w:tcBorders>
            <w:tcMar>
              <w:top w:w="284" w:type="dxa"/>
              <w:bottom w:w="284" w:type="dxa"/>
            </w:tcMar>
          </w:tcPr>
          <w:p w:rsidR="00F138C1" w:rsidRPr="0068677C" w:rsidRDefault="00F138C1" w:rsidP="002349DE">
            <w:pPr>
              <w:tabs>
                <w:tab w:val="left" w:pos="6075"/>
              </w:tabs>
              <w:jc w:val="right"/>
              <w:rPr>
                <w:rFonts w:ascii="Arial" w:hAnsi="Arial" w:cs="Arial"/>
                <w:i/>
                <w:sz w:val="20"/>
                <w:szCs w:val="20"/>
                <w:lang w:val="fr-CA"/>
              </w:rPr>
            </w:pPr>
            <w:r w:rsidRPr="0068677C">
              <w:rPr>
                <w:lang w:val="fr-CA"/>
              </w:rPr>
              <w:t xml:space="preserve">Le </w:t>
            </w:r>
            <w:r w:rsidR="002349DE" w:rsidRPr="0068677C">
              <w:rPr>
                <w:lang w:val="fr-CA"/>
              </w:rPr>
              <w:t>21</w:t>
            </w:r>
            <w:r w:rsidRPr="0068677C">
              <w:rPr>
                <w:lang w:val="fr-CA"/>
              </w:rPr>
              <w:t xml:space="preserve"> </w:t>
            </w:r>
            <w:r w:rsidR="002349DE" w:rsidRPr="0068677C">
              <w:rPr>
                <w:lang w:val="fr-CA"/>
              </w:rPr>
              <w:t>mai</w:t>
            </w:r>
            <w:r w:rsidRPr="0068677C">
              <w:rPr>
                <w:lang w:val="fr-CA"/>
              </w:rPr>
              <w:t xml:space="preserve"> 202</w:t>
            </w:r>
            <w:r w:rsidR="009B36BA" w:rsidRPr="0068677C">
              <w:rPr>
                <w:lang w:val="fr-CA"/>
              </w:rPr>
              <w:t>1</w:t>
            </w:r>
          </w:p>
        </w:tc>
      </w:tr>
      <w:tr w:rsidR="00F138C1" w:rsidRPr="00D800B2" w:rsidTr="00F138C1">
        <w:tc>
          <w:tcPr>
            <w:tcW w:w="2250" w:type="pct"/>
            <w:tcBorders>
              <w:bottom w:val="single" w:sz="4" w:space="0" w:color="auto"/>
            </w:tcBorders>
            <w:tcMar>
              <w:top w:w="284" w:type="dxa"/>
              <w:bottom w:w="284" w:type="dxa"/>
            </w:tcMar>
          </w:tcPr>
          <w:p w:rsidR="00F138C1" w:rsidRPr="0068677C" w:rsidRDefault="00F138C1" w:rsidP="009B36BA">
            <w:pPr>
              <w:tabs>
                <w:tab w:val="left" w:pos="6075"/>
              </w:tabs>
              <w:rPr>
                <w:rFonts w:ascii="Arial" w:hAnsi="Arial" w:cs="Arial"/>
                <w:i/>
                <w:sz w:val="20"/>
                <w:szCs w:val="20"/>
              </w:rPr>
            </w:pPr>
            <w:r w:rsidRPr="0068677C">
              <w:rPr>
                <w:sz w:val="18"/>
                <w:szCs w:val="18"/>
                <w:lang w:val="en-US"/>
              </w:rPr>
              <w:t>© Supreme Court of Canada (202</w:t>
            </w:r>
            <w:r w:rsidR="009B36BA" w:rsidRPr="0068677C">
              <w:rPr>
                <w:sz w:val="18"/>
                <w:szCs w:val="18"/>
                <w:lang w:val="en-US"/>
              </w:rPr>
              <w:t>1</w:t>
            </w:r>
            <w:r w:rsidRPr="0068677C">
              <w:rPr>
                <w:sz w:val="18"/>
                <w:szCs w:val="18"/>
                <w:lang w:val="en-US"/>
              </w:rPr>
              <w:t>)</w:t>
            </w:r>
            <w:r w:rsidRPr="0068677C">
              <w:rPr>
                <w:sz w:val="18"/>
                <w:szCs w:val="18"/>
                <w:lang w:val="en-US"/>
              </w:rPr>
              <w:br/>
              <w:t>ISSN 1918-8358 (Online)</w:t>
            </w:r>
          </w:p>
        </w:tc>
        <w:tc>
          <w:tcPr>
            <w:tcW w:w="500" w:type="pct"/>
            <w:tcBorders>
              <w:bottom w:val="single" w:sz="4" w:space="0" w:color="auto"/>
            </w:tcBorders>
            <w:tcMar>
              <w:top w:w="284" w:type="dxa"/>
              <w:bottom w:w="284" w:type="dxa"/>
            </w:tcMar>
          </w:tcPr>
          <w:p w:rsidR="00F138C1" w:rsidRPr="0068677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8677C" w:rsidRDefault="00F138C1" w:rsidP="009B36BA">
            <w:pPr>
              <w:tabs>
                <w:tab w:val="left" w:pos="6075"/>
              </w:tabs>
              <w:jc w:val="right"/>
              <w:rPr>
                <w:rFonts w:ascii="Arial" w:hAnsi="Arial" w:cs="Arial"/>
                <w:i/>
                <w:sz w:val="20"/>
                <w:szCs w:val="20"/>
                <w:lang w:val="fr-CA"/>
              </w:rPr>
            </w:pPr>
            <w:r w:rsidRPr="0068677C">
              <w:rPr>
                <w:sz w:val="18"/>
                <w:szCs w:val="18"/>
                <w:lang w:val="fr-CA"/>
              </w:rPr>
              <w:t>© Cour suprême du Canada (202</w:t>
            </w:r>
            <w:r w:rsidR="009B36BA" w:rsidRPr="0068677C">
              <w:rPr>
                <w:sz w:val="18"/>
                <w:szCs w:val="18"/>
                <w:lang w:val="fr-CA"/>
              </w:rPr>
              <w:t>1</w:t>
            </w:r>
            <w:proofErr w:type="gramStart"/>
            <w:r w:rsidRPr="0068677C">
              <w:rPr>
                <w:sz w:val="18"/>
                <w:szCs w:val="18"/>
                <w:lang w:val="fr-CA"/>
              </w:rPr>
              <w:t>)</w:t>
            </w:r>
            <w:proofErr w:type="gramEnd"/>
            <w:r w:rsidRPr="0068677C">
              <w:rPr>
                <w:sz w:val="18"/>
                <w:szCs w:val="18"/>
                <w:lang w:val="fr-CA"/>
              </w:rPr>
              <w:br/>
              <w:t>ISSN 1918-8358 (En ligne)</w:t>
            </w:r>
          </w:p>
        </w:tc>
      </w:tr>
    </w:tbl>
    <w:p w:rsidR="0030050B" w:rsidRPr="0068677C" w:rsidRDefault="0030050B" w:rsidP="00F138C1">
      <w:pPr>
        <w:tabs>
          <w:tab w:val="left" w:pos="6075"/>
        </w:tabs>
        <w:rPr>
          <w:lang w:val="fr-CA"/>
        </w:rPr>
      </w:pPr>
    </w:p>
    <w:p w:rsidR="00560DF1" w:rsidRPr="0068677C" w:rsidRDefault="00560DF1" w:rsidP="0095096B">
      <w:pPr>
        <w:tabs>
          <w:tab w:val="right" w:pos="9360"/>
        </w:tabs>
        <w:rPr>
          <w:lang w:val="fr-CA"/>
        </w:rPr>
      </w:pPr>
    </w:p>
    <w:p w:rsidR="00F138C1" w:rsidRPr="0068677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8677C" w:rsidRDefault="00DC6B2E" w:rsidP="00693C38">
          <w:pPr>
            <w:pStyle w:val="Title"/>
            <w:jc w:val="center"/>
            <w:rPr>
              <w:rFonts w:ascii="Times New Roman" w:hAnsi="Times New Roman" w:cs="Times New Roman"/>
              <w:b/>
              <w:sz w:val="24"/>
              <w:szCs w:val="28"/>
              <w:lang w:val="fr-CA"/>
            </w:rPr>
          </w:pPr>
          <w:r w:rsidRPr="0068677C">
            <w:rPr>
              <w:rFonts w:ascii="Times New Roman" w:hAnsi="Times New Roman" w:cs="Times New Roman"/>
              <w:b/>
              <w:sz w:val="24"/>
              <w:szCs w:val="28"/>
              <w:lang w:val="fr-CA"/>
            </w:rPr>
            <w:t>Contents</w:t>
          </w:r>
        </w:p>
        <w:p w:rsidR="00693C38" w:rsidRPr="0068677C" w:rsidRDefault="00DC6B2E" w:rsidP="00693C38">
          <w:pPr>
            <w:jc w:val="center"/>
            <w:rPr>
              <w:b/>
              <w:szCs w:val="28"/>
              <w:lang w:val="fr-CA"/>
            </w:rPr>
          </w:pPr>
          <w:r w:rsidRPr="0068677C">
            <w:rPr>
              <w:b/>
              <w:szCs w:val="28"/>
              <w:lang w:val="fr-CA"/>
            </w:rPr>
            <w:t>Table des matières</w:t>
          </w:r>
        </w:p>
        <w:p w:rsidR="00693C38" w:rsidRPr="0068677C" w:rsidRDefault="00693C38" w:rsidP="00693C38">
          <w:pPr>
            <w:rPr>
              <w:lang w:val="fr-CA"/>
            </w:rPr>
          </w:pPr>
        </w:p>
        <w:p w:rsidR="00FF440A" w:rsidRPr="0068677C" w:rsidRDefault="00DC6B2E">
          <w:pPr>
            <w:pStyle w:val="TOC1"/>
            <w:tabs>
              <w:tab w:val="right" w:leader="dot" w:pos="9638"/>
            </w:tabs>
            <w:rPr>
              <w:rFonts w:asciiTheme="minorHAnsi" w:eastAsiaTheme="minorEastAsia" w:hAnsiTheme="minorHAnsi"/>
              <w:noProof/>
              <w:sz w:val="22"/>
              <w:lang w:val="en-US"/>
            </w:rPr>
          </w:pPr>
          <w:r w:rsidRPr="0068677C">
            <w:rPr>
              <w:b/>
              <w:bCs/>
              <w:noProof/>
            </w:rPr>
            <w:fldChar w:fldCharType="begin"/>
          </w:r>
          <w:r w:rsidRPr="0068677C">
            <w:rPr>
              <w:b/>
              <w:bCs/>
              <w:noProof/>
            </w:rPr>
            <w:instrText xml:space="preserve"> TOC \o "1-3" \h \z \u </w:instrText>
          </w:r>
          <w:r w:rsidRPr="0068677C">
            <w:rPr>
              <w:b/>
              <w:bCs/>
              <w:noProof/>
            </w:rPr>
            <w:fldChar w:fldCharType="separate"/>
          </w:r>
          <w:hyperlink w:anchor="_Toc72405876" w:history="1">
            <w:r w:rsidR="00FF440A" w:rsidRPr="0068677C">
              <w:rPr>
                <w:rStyle w:val="Hyperlink"/>
                <w:noProof/>
                <w:lang w:val="fr-CA"/>
              </w:rPr>
              <w:t>Applications for leave to appeal filed /  Demandes d’autorisation d’appel déposées</w:t>
            </w:r>
            <w:r w:rsidR="00FF440A" w:rsidRPr="0068677C">
              <w:rPr>
                <w:noProof/>
                <w:webHidden/>
              </w:rPr>
              <w:tab/>
            </w:r>
            <w:r w:rsidR="00FF440A" w:rsidRPr="0068677C">
              <w:rPr>
                <w:noProof/>
                <w:webHidden/>
              </w:rPr>
              <w:fldChar w:fldCharType="begin"/>
            </w:r>
            <w:r w:rsidR="00FF440A" w:rsidRPr="0068677C">
              <w:rPr>
                <w:noProof/>
                <w:webHidden/>
              </w:rPr>
              <w:instrText xml:space="preserve"> PAGEREF _Toc72405876 \h </w:instrText>
            </w:r>
            <w:r w:rsidR="00FF440A" w:rsidRPr="0068677C">
              <w:rPr>
                <w:noProof/>
                <w:webHidden/>
              </w:rPr>
            </w:r>
            <w:r w:rsidR="00FF440A" w:rsidRPr="0068677C">
              <w:rPr>
                <w:noProof/>
                <w:webHidden/>
              </w:rPr>
              <w:fldChar w:fldCharType="separate"/>
            </w:r>
            <w:r w:rsidR="00D800B2">
              <w:rPr>
                <w:noProof/>
                <w:webHidden/>
              </w:rPr>
              <w:t>1</w:t>
            </w:r>
            <w:r w:rsidR="00FF440A" w:rsidRPr="0068677C">
              <w:rPr>
                <w:noProof/>
                <w:webHidden/>
              </w:rPr>
              <w:fldChar w:fldCharType="end"/>
            </w:r>
          </w:hyperlink>
        </w:p>
        <w:p w:rsidR="00FF440A" w:rsidRPr="0068677C" w:rsidRDefault="00D800B2">
          <w:pPr>
            <w:pStyle w:val="TOC1"/>
            <w:tabs>
              <w:tab w:val="right" w:leader="dot" w:pos="9638"/>
            </w:tabs>
            <w:rPr>
              <w:rFonts w:asciiTheme="minorHAnsi" w:eastAsiaTheme="minorEastAsia" w:hAnsiTheme="minorHAnsi"/>
              <w:noProof/>
              <w:sz w:val="22"/>
              <w:lang w:val="en-US"/>
            </w:rPr>
          </w:pPr>
          <w:hyperlink w:anchor="_Toc72405877" w:history="1">
            <w:r w:rsidR="00FF440A" w:rsidRPr="0068677C">
              <w:rPr>
                <w:rStyle w:val="Hyperlink"/>
                <w:noProof/>
                <w:lang w:val="fr-CA"/>
              </w:rPr>
              <w:t>Judgments on applications for leave /  Jugements rendus sur les demandes d’autorisation</w:t>
            </w:r>
            <w:r w:rsidR="00FF440A" w:rsidRPr="0068677C">
              <w:rPr>
                <w:noProof/>
                <w:webHidden/>
              </w:rPr>
              <w:tab/>
            </w:r>
            <w:r w:rsidR="00FF440A" w:rsidRPr="0068677C">
              <w:rPr>
                <w:noProof/>
                <w:webHidden/>
              </w:rPr>
              <w:fldChar w:fldCharType="begin"/>
            </w:r>
            <w:r w:rsidR="00FF440A" w:rsidRPr="0068677C">
              <w:rPr>
                <w:noProof/>
                <w:webHidden/>
              </w:rPr>
              <w:instrText xml:space="preserve"> PAGEREF _Toc72405877 \h </w:instrText>
            </w:r>
            <w:r w:rsidR="00FF440A" w:rsidRPr="0068677C">
              <w:rPr>
                <w:noProof/>
                <w:webHidden/>
              </w:rPr>
            </w:r>
            <w:r w:rsidR="00FF440A" w:rsidRPr="0068677C">
              <w:rPr>
                <w:noProof/>
                <w:webHidden/>
              </w:rPr>
              <w:fldChar w:fldCharType="separate"/>
            </w:r>
            <w:r>
              <w:rPr>
                <w:noProof/>
                <w:webHidden/>
              </w:rPr>
              <w:t>3</w:t>
            </w:r>
            <w:r w:rsidR="00FF440A" w:rsidRPr="0068677C">
              <w:rPr>
                <w:noProof/>
                <w:webHidden/>
              </w:rPr>
              <w:fldChar w:fldCharType="end"/>
            </w:r>
          </w:hyperlink>
        </w:p>
        <w:p w:rsidR="00FF440A" w:rsidRPr="0068677C" w:rsidRDefault="00D800B2">
          <w:pPr>
            <w:pStyle w:val="TOC1"/>
            <w:tabs>
              <w:tab w:val="right" w:leader="dot" w:pos="9638"/>
            </w:tabs>
            <w:rPr>
              <w:rFonts w:asciiTheme="minorHAnsi" w:eastAsiaTheme="minorEastAsia" w:hAnsiTheme="minorHAnsi"/>
              <w:noProof/>
              <w:sz w:val="22"/>
              <w:lang w:val="en-US"/>
            </w:rPr>
          </w:pPr>
          <w:hyperlink w:anchor="_Toc72405878" w:history="1">
            <w:r w:rsidR="00FF440A" w:rsidRPr="0068677C">
              <w:rPr>
                <w:rStyle w:val="Hyperlink"/>
                <w:noProof/>
                <w:lang w:val="fr-CA"/>
              </w:rPr>
              <w:t>Motions /  Requêtes</w:t>
            </w:r>
            <w:bookmarkStart w:id="0" w:name="_GoBack"/>
            <w:bookmarkEnd w:id="0"/>
            <w:r w:rsidR="00FF440A" w:rsidRPr="0068677C">
              <w:rPr>
                <w:noProof/>
                <w:webHidden/>
              </w:rPr>
              <w:tab/>
            </w:r>
            <w:r w:rsidR="00FF440A" w:rsidRPr="0068677C">
              <w:rPr>
                <w:noProof/>
                <w:webHidden/>
              </w:rPr>
              <w:fldChar w:fldCharType="begin"/>
            </w:r>
            <w:r w:rsidR="00FF440A" w:rsidRPr="0068677C">
              <w:rPr>
                <w:noProof/>
                <w:webHidden/>
              </w:rPr>
              <w:instrText xml:space="preserve"> PAGEREF _Toc72405878 \h </w:instrText>
            </w:r>
            <w:r w:rsidR="00FF440A" w:rsidRPr="0068677C">
              <w:rPr>
                <w:noProof/>
                <w:webHidden/>
              </w:rPr>
            </w:r>
            <w:r w:rsidR="00FF440A" w:rsidRPr="0068677C">
              <w:rPr>
                <w:noProof/>
                <w:webHidden/>
              </w:rPr>
              <w:fldChar w:fldCharType="separate"/>
            </w:r>
            <w:r>
              <w:rPr>
                <w:noProof/>
                <w:webHidden/>
              </w:rPr>
              <w:t>22</w:t>
            </w:r>
            <w:r w:rsidR="00FF440A" w:rsidRPr="0068677C">
              <w:rPr>
                <w:noProof/>
                <w:webHidden/>
              </w:rPr>
              <w:fldChar w:fldCharType="end"/>
            </w:r>
          </w:hyperlink>
        </w:p>
        <w:p w:rsidR="00FF440A" w:rsidRPr="0068677C" w:rsidRDefault="00D800B2">
          <w:pPr>
            <w:pStyle w:val="TOC1"/>
            <w:tabs>
              <w:tab w:val="right" w:leader="dot" w:pos="9638"/>
            </w:tabs>
            <w:rPr>
              <w:rFonts w:asciiTheme="minorHAnsi" w:eastAsiaTheme="minorEastAsia" w:hAnsiTheme="minorHAnsi"/>
              <w:noProof/>
              <w:sz w:val="22"/>
              <w:lang w:val="en-US"/>
            </w:rPr>
          </w:pPr>
          <w:hyperlink w:anchor="_Toc72405879" w:history="1">
            <w:r w:rsidR="00FF440A" w:rsidRPr="0068677C">
              <w:rPr>
                <w:rStyle w:val="Hyperlink"/>
                <w:noProof/>
                <w:lang w:val="fr-CA"/>
              </w:rPr>
              <w:t>Appeals heard since the last issue and disposition /  Appels entendus depuis la dernière parution et résultat</w:t>
            </w:r>
            <w:r w:rsidR="00FF440A" w:rsidRPr="0068677C">
              <w:rPr>
                <w:noProof/>
                <w:webHidden/>
              </w:rPr>
              <w:tab/>
            </w:r>
            <w:r w:rsidR="00FF440A" w:rsidRPr="0068677C">
              <w:rPr>
                <w:noProof/>
                <w:webHidden/>
              </w:rPr>
              <w:fldChar w:fldCharType="begin"/>
            </w:r>
            <w:r w:rsidR="00FF440A" w:rsidRPr="0068677C">
              <w:rPr>
                <w:noProof/>
                <w:webHidden/>
              </w:rPr>
              <w:instrText xml:space="preserve"> PAGEREF _Toc72405879 \h </w:instrText>
            </w:r>
            <w:r w:rsidR="00FF440A" w:rsidRPr="0068677C">
              <w:rPr>
                <w:noProof/>
                <w:webHidden/>
              </w:rPr>
            </w:r>
            <w:r w:rsidR="00FF440A" w:rsidRPr="0068677C">
              <w:rPr>
                <w:noProof/>
                <w:webHidden/>
              </w:rPr>
              <w:fldChar w:fldCharType="separate"/>
            </w:r>
            <w:r>
              <w:rPr>
                <w:noProof/>
                <w:webHidden/>
              </w:rPr>
              <w:t>23</w:t>
            </w:r>
            <w:r w:rsidR="00FF440A" w:rsidRPr="0068677C">
              <w:rPr>
                <w:noProof/>
                <w:webHidden/>
              </w:rPr>
              <w:fldChar w:fldCharType="end"/>
            </w:r>
          </w:hyperlink>
        </w:p>
        <w:p w:rsidR="00FF440A" w:rsidRPr="0068677C" w:rsidRDefault="00D800B2">
          <w:pPr>
            <w:pStyle w:val="TOC1"/>
            <w:tabs>
              <w:tab w:val="right" w:leader="dot" w:pos="9638"/>
            </w:tabs>
            <w:rPr>
              <w:rFonts w:asciiTheme="minorHAnsi" w:eastAsiaTheme="minorEastAsia" w:hAnsiTheme="minorHAnsi"/>
              <w:noProof/>
              <w:sz w:val="22"/>
              <w:lang w:val="en-US"/>
            </w:rPr>
          </w:pPr>
          <w:hyperlink w:anchor="_Toc72405880" w:history="1">
            <w:r w:rsidR="00FF440A" w:rsidRPr="0068677C">
              <w:rPr>
                <w:rStyle w:val="Hyperlink"/>
                <w:noProof/>
                <w:lang w:val="fr-CA"/>
              </w:rPr>
              <w:t>Pronouncements of reserved appeals /  Jugements rendus sur les appels en délibéré</w:t>
            </w:r>
            <w:r w:rsidR="00FF440A" w:rsidRPr="0068677C">
              <w:rPr>
                <w:noProof/>
                <w:webHidden/>
              </w:rPr>
              <w:tab/>
            </w:r>
            <w:r w:rsidR="00FF440A" w:rsidRPr="0068677C">
              <w:rPr>
                <w:noProof/>
                <w:webHidden/>
              </w:rPr>
              <w:fldChar w:fldCharType="begin"/>
            </w:r>
            <w:r w:rsidR="00FF440A" w:rsidRPr="0068677C">
              <w:rPr>
                <w:noProof/>
                <w:webHidden/>
              </w:rPr>
              <w:instrText xml:space="preserve"> PAGEREF _Toc72405880 \h </w:instrText>
            </w:r>
            <w:r w:rsidR="00FF440A" w:rsidRPr="0068677C">
              <w:rPr>
                <w:noProof/>
                <w:webHidden/>
              </w:rPr>
            </w:r>
            <w:r w:rsidR="00FF440A" w:rsidRPr="0068677C">
              <w:rPr>
                <w:noProof/>
                <w:webHidden/>
              </w:rPr>
              <w:fldChar w:fldCharType="separate"/>
            </w:r>
            <w:r>
              <w:rPr>
                <w:noProof/>
                <w:webHidden/>
              </w:rPr>
              <w:t>26</w:t>
            </w:r>
            <w:r w:rsidR="00FF440A" w:rsidRPr="0068677C">
              <w:rPr>
                <w:noProof/>
                <w:webHidden/>
              </w:rPr>
              <w:fldChar w:fldCharType="end"/>
            </w:r>
          </w:hyperlink>
        </w:p>
        <w:p w:rsidR="00560DF1" w:rsidRPr="0068677C" w:rsidRDefault="00DC6B2E">
          <w:r w:rsidRPr="0068677C">
            <w:rPr>
              <w:b/>
              <w:bCs/>
              <w:noProof/>
              <w:sz w:val="20"/>
            </w:rPr>
            <w:fldChar w:fldCharType="end"/>
          </w:r>
        </w:p>
      </w:sdtContent>
    </w:sdt>
    <w:p w:rsidR="00560DF1" w:rsidRPr="0068677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800B2" w:rsidTr="00F138C1">
        <w:trPr>
          <w:jc w:val="center"/>
        </w:trPr>
        <w:tc>
          <w:tcPr>
            <w:tcW w:w="9638" w:type="dxa"/>
          </w:tcPr>
          <w:p w:rsidR="00F138C1" w:rsidRPr="0068677C" w:rsidRDefault="00F138C1" w:rsidP="00F138C1">
            <w:pPr>
              <w:keepNext/>
              <w:tabs>
                <w:tab w:val="right" w:pos="9360"/>
              </w:tabs>
              <w:spacing w:after="120"/>
              <w:jc w:val="center"/>
              <w:rPr>
                <w:szCs w:val="24"/>
              </w:rPr>
            </w:pPr>
            <w:r w:rsidRPr="0068677C">
              <w:rPr>
                <w:szCs w:val="24"/>
              </w:rPr>
              <w:t>NOTICE</w:t>
            </w:r>
          </w:p>
          <w:p w:rsidR="00F138C1" w:rsidRPr="0068677C" w:rsidRDefault="00F138C1" w:rsidP="00F138C1">
            <w:pPr>
              <w:keepNext/>
              <w:tabs>
                <w:tab w:val="right" w:pos="9360"/>
              </w:tabs>
              <w:spacing w:after="120"/>
              <w:jc w:val="both"/>
              <w:rPr>
                <w:szCs w:val="24"/>
              </w:rPr>
            </w:pPr>
            <w:r w:rsidRPr="0068677C">
              <w:rPr>
                <w:szCs w:val="24"/>
              </w:rPr>
              <w:t>Case summaries included in the Bulletin are prepared by the Office of the Registrar of the Supreme Court of Canada (Law Branch) for information purposes only.</w:t>
            </w:r>
          </w:p>
          <w:p w:rsidR="00F138C1" w:rsidRPr="0068677C" w:rsidRDefault="00F138C1" w:rsidP="00F138C1">
            <w:pPr>
              <w:keepNext/>
              <w:tabs>
                <w:tab w:val="right" w:pos="9360"/>
              </w:tabs>
              <w:spacing w:after="120"/>
              <w:jc w:val="center"/>
              <w:rPr>
                <w:szCs w:val="24"/>
                <w:lang w:val="fr-CA"/>
              </w:rPr>
            </w:pPr>
            <w:r w:rsidRPr="0068677C">
              <w:rPr>
                <w:szCs w:val="24"/>
                <w:lang w:val="fr-CA"/>
              </w:rPr>
              <w:t>AVIS</w:t>
            </w:r>
          </w:p>
          <w:p w:rsidR="00F138C1" w:rsidRPr="0068677C" w:rsidRDefault="00F138C1" w:rsidP="00F138C1">
            <w:pPr>
              <w:keepNext/>
              <w:tabs>
                <w:tab w:val="right" w:pos="9360"/>
              </w:tabs>
              <w:spacing w:after="120"/>
              <w:jc w:val="both"/>
              <w:rPr>
                <w:sz w:val="20"/>
                <w:szCs w:val="20"/>
                <w:lang w:val="fr-CA"/>
              </w:rPr>
            </w:pPr>
            <w:r w:rsidRPr="0068677C">
              <w:rPr>
                <w:szCs w:val="24"/>
                <w:lang w:val="fr-CA"/>
              </w:rPr>
              <w:t>Les résumés des causes publiés dans le bulletin sont préparés par le Bureau du registraire (Direction générale du droit) uniquement à titre d’information.</w:t>
            </w:r>
          </w:p>
        </w:tc>
      </w:tr>
    </w:tbl>
    <w:p w:rsidR="00F138C1" w:rsidRPr="0068677C" w:rsidRDefault="00F138C1" w:rsidP="00F138C1">
      <w:pPr>
        <w:tabs>
          <w:tab w:val="right" w:pos="9360"/>
        </w:tabs>
        <w:rPr>
          <w:lang w:val="fr-CA"/>
        </w:rPr>
      </w:pPr>
    </w:p>
    <w:p w:rsidR="00F138C1" w:rsidRPr="0068677C" w:rsidRDefault="00F138C1" w:rsidP="00F138C1">
      <w:pPr>
        <w:tabs>
          <w:tab w:val="right" w:pos="9360"/>
        </w:tabs>
        <w:rPr>
          <w:lang w:val="fr-CA"/>
        </w:rPr>
      </w:pPr>
    </w:p>
    <w:p w:rsidR="00C01FCB" w:rsidRPr="0068677C" w:rsidRDefault="00C01FCB" w:rsidP="0095096B">
      <w:pPr>
        <w:tabs>
          <w:tab w:val="right" w:pos="9360"/>
        </w:tabs>
        <w:rPr>
          <w:lang w:val="fr-CA"/>
        </w:rPr>
      </w:pPr>
    </w:p>
    <w:p w:rsidR="00A87207" w:rsidRPr="0068677C" w:rsidRDefault="00A87207" w:rsidP="0095096B">
      <w:pPr>
        <w:tabs>
          <w:tab w:val="right" w:pos="9360"/>
        </w:tabs>
        <w:rPr>
          <w:lang w:val="fr-CA"/>
        </w:rPr>
        <w:sectPr w:rsidR="00A87207" w:rsidRPr="0068677C" w:rsidSect="0044776A">
          <w:pgSz w:w="12240" w:h="15840"/>
          <w:pgMar w:top="720" w:right="1152" w:bottom="1080" w:left="1440" w:header="706" w:footer="706" w:gutter="0"/>
          <w:cols w:space="708"/>
          <w:titlePg/>
          <w:docGrid w:linePitch="360"/>
        </w:sectPr>
      </w:pPr>
    </w:p>
    <w:p w:rsidR="00560DF1" w:rsidRPr="0068677C" w:rsidRDefault="00DD0BDC" w:rsidP="00567602">
      <w:pPr>
        <w:pStyle w:val="Header1StyleE"/>
        <w:pBdr>
          <w:bottom w:val="single" w:sz="12" w:space="1" w:color="auto"/>
        </w:pBdr>
        <w:rPr>
          <w:lang w:val="fr-CA"/>
        </w:rPr>
      </w:pPr>
      <w:bookmarkStart w:id="1" w:name="_Toc72405876"/>
      <w:r w:rsidRPr="0068677C">
        <w:rPr>
          <w:lang w:val="fr-CA"/>
        </w:rPr>
        <w:lastRenderedPageBreak/>
        <w:t>Applications for leave to appeal filed</w:t>
      </w:r>
      <w:r w:rsidR="00271E1E" w:rsidRPr="0068677C">
        <w:rPr>
          <w:lang w:val="fr-CA"/>
        </w:rPr>
        <w:t xml:space="preserve"> / </w:t>
      </w:r>
      <w:r w:rsidR="00727571" w:rsidRPr="0068677C">
        <w:rPr>
          <w:lang w:val="fr-CA"/>
        </w:rPr>
        <w:br/>
      </w:r>
      <w:r w:rsidRPr="0068677C">
        <w:rPr>
          <w:lang w:val="fr-CA"/>
        </w:rPr>
        <w:t>Demandes d’autorisation d’appel déposées</w:t>
      </w:r>
      <w:bookmarkEnd w:id="1"/>
    </w:p>
    <w:p w:rsidR="00F138C1" w:rsidRPr="0068677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8677C" w:rsidTr="00F138C1">
        <w:tc>
          <w:tcPr>
            <w:tcW w:w="4239" w:type="dxa"/>
            <w:shd w:val="clear" w:color="auto" w:fill="auto"/>
          </w:tcPr>
          <w:p w:rsidR="00F138C1" w:rsidRPr="0068677C" w:rsidRDefault="00CD5D39" w:rsidP="00F138C1">
            <w:pPr>
              <w:rPr>
                <w:sz w:val="20"/>
                <w:szCs w:val="20"/>
                <w:lang w:val="fr-CA"/>
              </w:rPr>
            </w:pPr>
            <w:r w:rsidRPr="0068677C">
              <w:rPr>
                <w:b/>
                <w:sz w:val="20"/>
                <w:szCs w:val="20"/>
                <w:lang w:val="fr-CA"/>
              </w:rPr>
              <w:t>Honorable Gérard Dugré</w:t>
            </w:r>
          </w:p>
          <w:p w:rsidR="00F138C1" w:rsidRPr="0068677C" w:rsidRDefault="00F138C1" w:rsidP="00F138C1">
            <w:pPr>
              <w:tabs>
                <w:tab w:val="left" w:pos="-1440"/>
                <w:tab w:val="left" w:pos="-720"/>
              </w:tabs>
              <w:rPr>
                <w:sz w:val="20"/>
                <w:szCs w:val="20"/>
                <w:lang w:val="fr-CA"/>
              </w:rPr>
            </w:pPr>
            <w:r w:rsidRPr="0068677C">
              <w:rPr>
                <w:sz w:val="20"/>
                <w:szCs w:val="20"/>
                <w:lang w:val="fr-CA"/>
              </w:rPr>
              <w:tab/>
            </w:r>
            <w:r w:rsidR="00CD5D39" w:rsidRPr="0068677C">
              <w:rPr>
                <w:sz w:val="20"/>
                <w:szCs w:val="20"/>
                <w:lang w:val="fr-CA"/>
              </w:rPr>
              <w:t>Fournier, Ad. E., Magali</w:t>
            </w:r>
          </w:p>
          <w:p w:rsidR="00F138C1" w:rsidRPr="0068677C" w:rsidRDefault="00EC6816" w:rsidP="00F138C1">
            <w:pPr>
              <w:tabs>
                <w:tab w:val="left" w:pos="-1440"/>
                <w:tab w:val="left" w:pos="-720"/>
              </w:tabs>
              <w:rPr>
                <w:sz w:val="20"/>
                <w:szCs w:val="20"/>
                <w:lang w:val="fr-CA"/>
              </w:rPr>
            </w:pPr>
            <w:r w:rsidRPr="0068677C">
              <w:rPr>
                <w:sz w:val="20"/>
                <w:szCs w:val="20"/>
                <w:lang w:val="fr-CA"/>
              </w:rPr>
              <w:tab/>
            </w:r>
            <w:r w:rsidR="00CD5D39" w:rsidRPr="0068677C">
              <w:rPr>
                <w:sz w:val="20"/>
                <w:szCs w:val="20"/>
                <w:lang w:val="fr-CA"/>
              </w:rPr>
              <w:t>Fournier Avocats Inc.</w:t>
            </w:r>
          </w:p>
          <w:p w:rsidR="00EC6816" w:rsidRPr="0068677C" w:rsidRDefault="00EC6816" w:rsidP="00F138C1">
            <w:pPr>
              <w:tabs>
                <w:tab w:val="left" w:pos="-1440"/>
                <w:tab w:val="left" w:pos="-720"/>
              </w:tabs>
              <w:rPr>
                <w:sz w:val="20"/>
                <w:szCs w:val="20"/>
                <w:lang w:val="fr-CA"/>
              </w:rPr>
            </w:pPr>
          </w:p>
          <w:p w:rsidR="00F138C1" w:rsidRPr="0068677C" w:rsidRDefault="00F138C1" w:rsidP="00F138C1">
            <w:pPr>
              <w:tabs>
                <w:tab w:val="left" w:pos="-1440"/>
                <w:tab w:val="left" w:pos="-720"/>
              </w:tabs>
              <w:rPr>
                <w:sz w:val="20"/>
                <w:szCs w:val="20"/>
                <w:lang w:val="fr-CA"/>
              </w:rPr>
            </w:pPr>
            <w:r w:rsidRPr="0068677C">
              <w:rPr>
                <w:sz w:val="20"/>
                <w:szCs w:val="20"/>
                <w:lang w:val="fr-CA"/>
              </w:rPr>
              <w:tab/>
            </w:r>
            <w:r w:rsidR="00CD5D39" w:rsidRPr="0068677C">
              <w:rPr>
                <w:sz w:val="20"/>
                <w:szCs w:val="20"/>
                <w:lang w:val="fr-CA"/>
              </w:rPr>
              <w:t>c</w:t>
            </w:r>
            <w:r w:rsidRPr="0068677C">
              <w:rPr>
                <w:sz w:val="20"/>
                <w:szCs w:val="20"/>
                <w:lang w:val="fr-CA"/>
              </w:rPr>
              <w:t>. (39</w:t>
            </w:r>
            <w:r w:rsidR="00CD5D39" w:rsidRPr="0068677C">
              <w:rPr>
                <w:sz w:val="20"/>
                <w:szCs w:val="20"/>
                <w:lang w:val="fr-CA"/>
              </w:rPr>
              <w:t>636</w:t>
            </w:r>
            <w:r w:rsidRPr="0068677C">
              <w:rPr>
                <w:sz w:val="20"/>
                <w:szCs w:val="20"/>
                <w:lang w:val="fr-CA"/>
              </w:rPr>
              <w:t>)</w:t>
            </w:r>
          </w:p>
          <w:p w:rsidR="00F138C1" w:rsidRPr="0068677C" w:rsidRDefault="00F138C1" w:rsidP="00F138C1">
            <w:pPr>
              <w:tabs>
                <w:tab w:val="left" w:pos="-1440"/>
                <w:tab w:val="left" w:pos="-720"/>
              </w:tabs>
              <w:rPr>
                <w:sz w:val="20"/>
                <w:szCs w:val="20"/>
                <w:lang w:val="fr-CA"/>
              </w:rPr>
            </w:pPr>
          </w:p>
          <w:p w:rsidR="00F138C1" w:rsidRPr="0068677C" w:rsidRDefault="00CD5D39" w:rsidP="00F138C1">
            <w:pPr>
              <w:tabs>
                <w:tab w:val="left" w:pos="-1440"/>
                <w:tab w:val="left" w:pos="-720"/>
              </w:tabs>
              <w:rPr>
                <w:b/>
                <w:sz w:val="20"/>
                <w:szCs w:val="20"/>
                <w:lang w:val="fr-CA"/>
              </w:rPr>
            </w:pPr>
            <w:r w:rsidRPr="0068677C">
              <w:rPr>
                <w:b/>
                <w:sz w:val="20"/>
                <w:szCs w:val="20"/>
                <w:lang w:val="fr-CA"/>
              </w:rPr>
              <w:t xml:space="preserve">Procureur général du Canada </w:t>
            </w:r>
            <w:r w:rsidR="00F138C1" w:rsidRPr="0068677C">
              <w:rPr>
                <w:b/>
                <w:sz w:val="20"/>
                <w:szCs w:val="20"/>
                <w:lang w:val="fr-CA"/>
              </w:rPr>
              <w:t>(</w:t>
            </w:r>
            <w:r w:rsidRPr="0068677C">
              <w:rPr>
                <w:b/>
                <w:sz w:val="20"/>
                <w:szCs w:val="20"/>
                <w:lang w:val="fr-CA"/>
              </w:rPr>
              <w:t>C.F</w:t>
            </w:r>
            <w:r w:rsidR="00F138C1" w:rsidRPr="0068677C">
              <w:rPr>
                <w:b/>
                <w:sz w:val="20"/>
                <w:szCs w:val="20"/>
                <w:lang w:val="fr-CA"/>
              </w:rPr>
              <w:t>.)</w:t>
            </w:r>
          </w:p>
          <w:p w:rsidR="00F138C1" w:rsidRPr="0068677C" w:rsidRDefault="00F138C1" w:rsidP="00F138C1">
            <w:pPr>
              <w:tabs>
                <w:tab w:val="left" w:pos="-1440"/>
                <w:tab w:val="left" w:pos="-720"/>
              </w:tabs>
              <w:rPr>
                <w:sz w:val="20"/>
                <w:szCs w:val="20"/>
                <w:lang w:val="fr-CA"/>
              </w:rPr>
            </w:pPr>
            <w:r w:rsidRPr="0068677C">
              <w:rPr>
                <w:sz w:val="20"/>
                <w:szCs w:val="20"/>
                <w:lang w:val="fr-CA"/>
              </w:rPr>
              <w:tab/>
            </w:r>
            <w:r w:rsidR="00CD5D39" w:rsidRPr="0068677C">
              <w:rPr>
                <w:sz w:val="20"/>
                <w:szCs w:val="20"/>
                <w:lang w:val="fr-CA"/>
              </w:rPr>
              <w:t>Bruneau, Liliane</w:t>
            </w:r>
          </w:p>
          <w:p w:rsidR="00F138C1" w:rsidRPr="0068677C" w:rsidRDefault="00F138C1" w:rsidP="00F138C1">
            <w:pPr>
              <w:tabs>
                <w:tab w:val="left" w:pos="-1440"/>
                <w:tab w:val="left" w:pos="-720"/>
              </w:tabs>
              <w:rPr>
                <w:sz w:val="20"/>
                <w:szCs w:val="20"/>
                <w:lang w:val="fr-CA"/>
              </w:rPr>
            </w:pPr>
            <w:r w:rsidRPr="0068677C">
              <w:rPr>
                <w:sz w:val="20"/>
                <w:szCs w:val="20"/>
                <w:lang w:val="fr-CA"/>
              </w:rPr>
              <w:tab/>
            </w:r>
            <w:r w:rsidR="00CD5D39" w:rsidRPr="0068677C">
              <w:rPr>
                <w:sz w:val="20"/>
                <w:szCs w:val="20"/>
                <w:lang w:val="fr-CA"/>
              </w:rPr>
              <w:t>Ministère de la Justice - Canada</w:t>
            </w:r>
          </w:p>
          <w:p w:rsidR="00F138C1" w:rsidRPr="0068677C" w:rsidRDefault="00F138C1" w:rsidP="00F138C1">
            <w:pPr>
              <w:tabs>
                <w:tab w:val="left" w:pos="-1440"/>
                <w:tab w:val="left" w:pos="-720"/>
              </w:tabs>
              <w:rPr>
                <w:sz w:val="20"/>
                <w:szCs w:val="20"/>
                <w:lang w:val="fr-CA"/>
              </w:rPr>
            </w:pPr>
          </w:p>
          <w:p w:rsidR="00F138C1" w:rsidRPr="0068677C" w:rsidRDefault="00F138C1" w:rsidP="00F138C1">
            <w:pPr>
              <w:rPr>
                <w:sz w:val="20"/>
                <w:szCs w:val="20"/>
                <w:lang w:val="fr-CA"/>
              </w:rPr>
            </w:pPr>
            <w:r w:rsidRPr="0068677C">
              <w:rPr>
                <w:sz w:val="20"/>
                <w:szCs w:val="20"/>
                <w:lang w:val="fr-CA"/>
              </w:rPr>
              <w:t>DATE</w:t>
            </w:r>
            <w:r w:rsidR="00CD5D39" w:rsidRPr="0068677C">
              <w:rPr>
                <w:sz w:val="20"/>
                <w:szCs w:val="20"/>
                <w:lang w:val="fr-CA"/>
              </w:rPr>
              <w:t xml:space="preserve"> DE PRODUCTION</w:t>
            </w:r>
            <w:r w:rsidRPr="0068677C">
              <w:rPr>
                <w:sz w:val="20"/>
                <w:szCs w:val="20"/>
                <w:lang w:val="fr-CA"/>
              </w:rPr>
              <w:t xml:space="preserve">: </w:t>
            </w:r>
            <w:r w:rsidR="00CD5D39" w:rsidRPr="0068677C">
              <w:rPr>
                <w:sz w:val="20"/>
                <w:szCs w:val="20"/>
                <w:lang w:val="fr-CA"/>
              </w:rPr>
              <w:t>le 11 mai</w:t>
            </w:r>
            <w:r w:rsidRPr="0068677C">
              <w:rPr>
                <w:sz w:val="20"/>
                <w:szCs w:val="20"/>
                <w:lang w:val="fr-CA"/>
              </w:rPr>
              <w:t xml:space="preserve"> 20</w:t>
            </w:r>
            <w:r w:rsidR="00DA1D48" w:rsidRPr="0068677C">
              <w:rPr>
                <w:sz w:val="20"/>
                <w:szCs w:val="20"/>
                <w:lang w:val="fr-CA"/>
              </w:rPr>
              <w:t>2</w:t>
            </w:r>
            <w:r w:rsidR="00EC6816" w:rsidRPr="0068677C">
              <w:rPr>
                <w:sz w:val="20"/>
                <w:szCs w:val="20"/>
                <w:lang w:val="fr-CA"/>
              </w:rPr>
              <w:t>1</w:t>
            </w:r>
          </w:p>
          <w:p w:rsidR="004B2E86" w:rsidRPr="0068677C" w:rsidRDefault="004B2E86" w:rsidP="00F138C1">
            <w:pPr>
              <w:rPr>
                <w:sz w:val="20"/>
                <w:szCs w:val="20"/>
                <w:lang w:val="fr-CA"/>
              </w:rPr>
            </w:pPr>
          </w:p>
          <w:p w:rsidR="00F138C1" w:rsidRPr="0068677C" w:rsidRDefault="00D800B2"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F138C1" w:rsidRPr="0068677C" w:rsidRDefault="00F138C1" w:rsidP="00F138C1">
            <w:pPr>
              <w:jc w:val="center"/>
              <w:rPr>
                <w:sz w:val="20"/>
                <w:szCs w:val="20"/>
              </w:rPr>
            </w:pPr>
          </w:p>
          <w:p w:rsidR="004B2E86" w:rsidRPr="0068677C" w:rsidRDefault="004B2E86" w:rsidP="00F138C1">
            <w:pPr>
              <w:jc w:val="center"/>
              <w:rPr>
                <w:sz w:val="20"/>
                <w:szCs w:val="20"/>
              </w:rPr>
            </w:pPr>
          </w:p>
          <w:p w:rsidR="00CD5D39" w:rsidRPr="0068677C" w:rsidRDefault="00CD5D39" w:rsidP="00F138C1">
            <w:pPr>
              <w:jc w:val="center"/>
              <w:rPr>
                <w:sz w:val="20"/>
                <w:szCs w:val="20"/>
              </w:rPr>
            </w:pPr>
          </w:p>
          <w:p w:rsidR="00CD5D39" w:rsidRPr="0068677C" w:rsidRDefault="00CD5D39" w:rsidP="00F138C1">
            <w:pPr>
              <w:jc w:val="center"/>
              <w:rPr>
                <w:sz w:val="20"/>
                <w:szCs w:val="20"/>
              </w:rPr>
            </w:pPr>
          </w:p>
          <w:p w:rsidR="00F138C1" w:rsidRPr="0068677C" w:rsidRDefault="00F138C1" w:rsidP="00F138C1">
            <w:pPr>
              <w:jc w:val="center"/>
              <w:rPr>
                <w:sz w:val="20"/>
                <w:szCs w:val="20"/>
              </w:rPr>
            </w:pPr>
          </w:p>
        </w:tc>
        <w:tc>
          <w:tcPr>
            <w:tcW w:w="4239" w:type="dxa"/>
            <w:shd w:val="clear" w:color="auto" w:fill="auto"/>
          </w:tcPr>
          <w:p w:rsidR="00F138C1" w:rsidRPr="0068677C" w:rsidRDefault="00CD5D39" w:rsidP="00F138C1">
            <w:pPr>
              <w:rPr>
                <w:b/>
                <w:sz w:val="20"/>
                <w:szCs w:val="20"/>
                <w:lang w:val="en-US"/>
              </w:rPr>
            </w:pPr>
            <w:r w:rsidRPr="0068677C">
              <w:rPr>
                <w:b/>
                <w:sz w:val="20"/>
                <w:szCs w:val="20"/>
                <w:lang w:val="en-US"/>
              </w:rPr>
              <w:t>Barrick Gold Corporation, et al.</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CD5D39" w:rsidRPr="0068677C">
              <w:rPr>
                <w:sz w:val="20"/>
                <w:szCs w:val="20"/>
                <w:lang w:val="en-US"/>
              </w:rPr>
              <w:t>Thomson, Kent E.</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CD5D39" w:rsidRPr="0068677C">
              <w:rPr>
                <w:sz w:val="20"/>
                <w:szCs w:val="20"/>
                <w:lang w:val="en-US"/>
              </w:rPr>
              <w:t>Davies Ward Phillips &amp; Vineberg LLP</w:t>
            </w:r>
          </w:p>
          <w:p w:rsidR="00F138C1" w:rsidRPr="0068677C" w:rsidRDefault="00F138C1" w:rsidP="00F138C1">
            <w:pPr>
              <w:tabs>
                <w:tab w:val="left" w:pos="-1440"/>
                <w:tab w:val="left" w:pos="-720"/>
              </w:tabs>
              <w:rPr>
                <w:sz w:val="20"/>
                <w:szCs w:val="20"/>
                <w:lang w:val="en-US"/>
              </w:rPr>
            </w:pP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CD5D39" w:rsidRPr="0068677C">
              <w:rPr>
                <w:sz w:val="20"/>
                <w:szCs w:val="20"/>
                <w:lang w:val="en-US"/>
              </w:rPr>
              <w:t>v</w:t>
            </w:r>
            <w:r w:rsidRPr="0068677C">
              <w:rPr>
                <w:sz w:val="20"/>
                <w:szCs w:val="20"/>
                <w:lang w:val="en-US"/>
              </w:rPr>
              <w:t>. (396</w:t>
            </w:r>
            <w:r w:rsidR="00CD5D39" w:rsidRPr="0068677C">
              <w:rPr>
                <w:sz w:val="20"/>
                <w:szCs w:val="20"/>
                <w:lang w:val="en-US"/>
              </w:rPr>
              <w:t>37</w:t>
            </w:r>
          </w:p>
          <w:p w:rsidR="00F138C1" w:rsidRPr="0068677C" w:rsidRDefault="00F138C1" w:rsidP="00F138C1">
            <w:pPr>
              <w:tabs>
                <w:tab w:val="left" w:pos="-1440"/>
                <w:tab w:val="left" w:pos="-720"/>
              </w:tabs>
              <w:rPr>
                <w:sz w:val="20"/>
                <w:szCs w:val="20"/>
                <w:lang w:val="en-US"/>
              </w:rPr>
            </w:pPr>
          </w:p>
          <w:p w:rsidR="00F138C1" w:rsidRPr="0068677C" w:rsidRDefault="00CD5D39" w:rsidP="00F138C1">
            <w:pPr>
              <w:tabs>
                <w:tab w:val="left" w:pos="-1440"/>
                <w:tab w:val="left" w:pos="-720"/>
              </w:tabs>
              <w:rPr>
                <w:b/>
                <w:sz w:val="20"/>
                <w:szCs w:val="20"/>
                <w:lang w:val="en-US"/>
              </w:rPr>
            </w:pPr>
            <w:r w:rsidRPr="0068677C">
              <w:rPr>
                <w:b/>
                <w:sz w:val="20"/>
                <w:szCs w:val="20"/>
                <w:lang w:val="en-US"/>
              </w:rPr>
              <w:t>Trustees of the Drywall Acoustic Lathing AND Insulation Local 675 Pension Fund, et al.</w:t>
            </w:r>
            <w:r w:rsidR="00F138C1" w:rsidRPr="0068677C">
              <w:rPr>
                <w:sz w:val="20"/>
                <w:szCs w:val="20"/>
                <w:lang w:val="en-US"/>
              </w:rPr>
              <w:t xml:space="preserve"> </w:t>
            </w:r>
            <w:r w:rsidR="00F138C1" w:rsidRPr="0068677C">
              <w:rPr>
                <w:b/>
                <w:sz w:val="20"/>
                <w:szCs w:val="20"/>
                <w:lang w:val="en-US"/>
              </w:rPr>
              <w:t>(</w:t>
            </w:r>
            <w:r w:rsidRPr="0068677C">
              <w:rPr>
                <w:b/>
                <w:sz w:val="20"/>
                <w:szCs w:val="20"/>
                <w:lang w:val="en-US"/>
              </w:rPr>
              <w:t>Ont.</w:t>
            </w:r>
            <w:r w:rsidR="00F138C1" w:rsidRPr="0068677C">
              <w:rPr>
                <w:b/>
                <w:sz w:val="20"/>
                <w:szCs w:val="20"/>
                <w:lang w:val="en-US"/>
              </w:rPr>
              <w:t>)</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CD5D39" w:rsidRPr="0068677C">
              <w:rPr>
                <w:sz w:val="20"/>
                <w:szCs w:val="20"/>
                <w:lang w:val="en-US"/>
              </w:rPr>
              <w:t>Rochon, Joel P.</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CD5D39" w:rsidRPr="0068677C">
              <w:rPr>
                <w:sz w:val="20"/>
                <w:szCs w:val="20"/>
                <w:lang w:val="en-US"/>
              </w:rPr>
              <w:t>Rochon, Genova LLP</w:t>
            </w:r>
          </w:p>
          <w:p w:rsidR="00F138C1" w:rsidRPr="0068677C" w:rsidRDefault="00F138C1" w:rsidP="00F138C1">
            <w:pPr>
              <w:tabs>
                <w:tab w:val="left" w:pos="-1440"/>
                <w:tab w:val="left" w:pos="-720"/>
              </w:tabs>
              <w:rPr>
                <w:sz w:val="20"/>
                <w:szCs w:val="20"/>
                <w:lang w:val="en-US"/>
              </w:rPr>
            </w:pPr>
          </w:p>
          <w:p w:rsidR="00F138C1" w:rsidRPr="0068677C" w:rsidRDefault="00CD5D39" w:rsidP="00F138C1">
            <w:pPr>
              <w:rPr>
                <w:sz w:val="20"/>
                <w:szCs w:val="20"/>
                <w:lang w:val="en-US"/>
              </w:rPr>
            </w:pPr>
            <w:r w:rsidRPr="0068677C">
              <w:rPr>
                <w:sz w:val="20"/>
                <w:szCs w:val="20"/>
                <w:lang w:val="en-US"/>
              </w:rPr>
              <w:t xml:space="preserve">FILING </w:t>
            </w:r>
            <w:r w:rsidR="00F138C1" w:rsidRPr="0068677C">
              <w:rPr>
                <w:sz w:val="20"/>
                <w:szCs w:val="20"/>
                <w:lang w:val="en-US"/>
              </w:rPr>
              <w:t xml:space="preserve">DATE: </w:t>
            </w:r>
            <w:r w:rsidRPr="0068677C">
              <w:rPr>
                <w:sz w:val="20"/>
                <w:szCs w:val="20"/>
                <w:lang w:val="en-US"/>
              </w:rPr>
              <w:t>May 11,</w:t>
            </w:r>
            <w:r w:rsidR="00F138C1" w:rsidRPr="0068677C">
              <w:rPr>
                <w:sz w:val="20"/>
                <w:szCs w:val="20"/>
                <w:lang w:val="en-US"/>
              </w:rPr>
              <w:t xml:space="preserve"> 20</w:t>
            </w:r>
            <w:r w:rsidR="00DA1D48" w:rsidRPr="0068677C">
              <w:rPr>
                <w:sz w:val="20"/>
                <w:szCs w:val="20"/>
                <w:lang w:val="en-US"/>
              </w:rPr>
              <w:t>2</w:t>
            </w:r>
            <w:r w:rsidR="00EC6816" w:rsidRPr="0068677C">
              <w:rPr>
                <w:sz w:val="20"/>
                <w:szCs w:val="20"/>
                <w:lang w:val="en-US"/>
              </w:rPr>
              <w:t>1</w:t>
            </w:r>
          </w:p>
          <w:p w:rsidR="004B2E86" w:rsidRPr="0068677C" w:rsidRDefault="004B2E86" w:rsidP="00F138C1">
            <w:pPr>
              <w:rPr>
                <w:sz w:val="20"/>
                <w:szCs w:val="20"/>
                <w:lang w:val="en-US"/>
              </w:rPr>
            </w:pPr>
          </w:p>
          <w:p w:rsidR="00F138C1" w:rsidRPr="0068677C" w:rsidRDefault="00D800B2"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68677C" w:rsidTr="00F138C1">
        <w:tc>
          <w:tcPr>
            <w:tcW w:w="4239" w:type="dxa"/>
            <w:shd w:val="clear" w:color="auto" w:fill="auto"/>
          </w:tcPr>
          <w:p w:rsidR="00F138C1" w:rsidRPr="0068677C" w:rsidRDefault="005B076D" w:rsidP="009B36BA">
            <w:pPr>
              <w:tabs>
                <w:tab w:val="left" w:pos="-1440"/>
                <w:tab w:val="left" w:pos="-720"/>
              </w:tabs>
              <w:rPr>
                <w:b/>
                <w:sz w:val="20"/>
                <w:szCs w:val="20"/>
                <w:lang w:val="fr-CA"/>
              </w:rPr>
            </w:pPr>
            <w:r w:rsidRPr="0068677C">
              <w:rPr>
                <w:b/>
                <w:sz w:val="20"/>
                <w:szCs w:val="20"/>
                <w:lang w:val="fr-CA"/>
              </w:rPr>
              <w:t>Actava TV, Inc., et al.</w:t>
            </w:r>
          </w:p>
          <w:p w:rsidR="00F138C1" w:rsidRPr="0068677C" w:rsidRDefault="00F138C1" w:rsidP="00F138C1">
            <w:pPr>
              <w:keepNext/>
              <w:keepLines/>
              <w:tabs>
                <w:tab w:val="left" w:pos="-1440"/>
                <w:tab w:val="left" w:pos="-720"/>
              </w:tabs>
              <w:rPr>
                <w:sz w:val="20"/>
                <w:szCs w:val="20"/>
                <w:lang w:val="en-US"/>
              </w:rPr>
            </w:pPr>
            <w:r w:rsidRPr="0068677C">
              <w:rPr>
                <w:sz w:val="20"/>
                <w:szCs w:val="20"/>
                <w:lang w:val="fr-CA"/>
              </w:rPr>
              <w:tab/>
            </w:r>
            <w:r w:rsidR="005B076D" w:rsidRPr="0068677C">
              <w:rPr>
                <w:sz w:val="20"/>
                <w:szCs w:val="20"/>
                <w:lang w:val="en-US"/>
              </w:rPr>
              <w:t>O'Brien, Kevin</w:t>
            </w:r>
          </w:p>
          <w:p w:rsidR="00F138C1" w:rsidRPr="0068677C" w:rsidRDefault="00F138C1" w:rsidP="00F138C1">
            <w:pPr>
              <w:keepNext/>
              <w:keepLines/>
              <w:tabs>
                <w:tab w:val="left" w:pos="-1440"/>
                <w:tab w:val="left" w:pos="-720"/>
              </w:tabs>
              <w:rPr>
                <w:sz w:val="20"/>
                <w:szCs w:val="20"/>
                <w:lang w:val="en-US"/>
              </w:rPr>
            </w:pPr>
            <w:r w:rsidRPr="0068677C">
              <w:rPr>
                <w:sz w:val="20"/>
                <w:szCs w:val="20"/>
                <w:lang w:val="en-US"/>
              </w:rPr>
              <w:tab/>
            </w:r>
            <w:r w:rsidR="005B076D" w:rsidRPr="0068677C">
              <w:rPr>
                <w:sz w:val="20"/>
                <w:szCs w:val="20"/>
                <w:lang w:val="en-US"/>
              </w:rPr>
              <w:t>Osler, Hoskin &amp; Harcourt LLP</w:t>
            </w:r>
          </w:p>
          <w:p w:rsidR="00F138C1" w:rsidRPr="0068677C" w:rsidRDefault="00F138C1" w:rsidP="00F138C1">
            <w:pPr>
              <w:keepNext/>
              <w:keepLines/>
              <w:tabs>
                <w:tab w:val="left" w:pos="-1440"/>
                <w:tab w:val="left" w:pos="-720"/>
              </w:tabs>
              <w:rPr>
                <w:sz w:val="20"/>
                <w:szCs w:val="20"/>
                <w:lang w:val="en-US"/>
              </w:rPr>
            </w:pPr>
          </w:p>
          <w:p w:rsidR="00F138C1" w:rsidRPr="0068677C" w:rsidRDefault="00F138C1" w:rsidP="00F138C1">
            <w:pPr>
              <w:keepNext/>
              <w:keepLines/>
              <w:tabs>
                <w:tab w:val="left" w:pos="-1440"/>
                <w:tab w:val="left" w:pos="-720"/>
              </w:tabs>
              <w:rPr>
                <w:sz w:val="20"/>
                <w:szCs w:val="20"/>
                <w:lang w:val="fr-CA"/>
              </w:rPr>
            </w:pPr>
            <w:r w:rsidRPr="0068677C">
              <w:rPr>
                <w:sz w:val="20"/>
                <w:szCs w:val="20"/>
                <w:lang w:val="en-US"/>
              </w:rPr>
              <w:tab/>
            </w:r>
            <w:r w:rsidRPr="0068677C">
              <w:rPr>
                <w:sz w:val="20"/>
                <w:szCs w:val="20"/>
                <w:lang w:val="fr-CA"/>
              </w:rPr>
              <w:t>v. (39</w:t>
            </w:r>
            <w:r w:rsidR="00CD5D39" w:rsidRPr="0068677C">
              <w:rPr>
                <w:sz w:val="20"/>
                <w:szCs w:val="20"/>
                <w:lang w:val="fr-CA"/>
              </w:rPr>
              <w:t>638</w:t>
            </w:r>
            <w:r w:rsidRPr="0068677C">
              <w:rPr>
                <w:sz w:val="20"/>
                <w:szCs w:val="20"/>
                <w:lang w:val="fr-CA"/>
              </w:rPr>
              <w:t>)</w:t>
            </w:r>
          </w:p>
          <w:p w:rsidR="00F138C1" w:rsidRPr="0068677C" w:rsidRDefault="00F138C1" w:rsidP="00F138C1">
            <w:pPr>
              <w:keepNext/>
              <w:keepLines/>
              <w:tabs>
                <w:tab w:val="left" w:pos="-1440"/>
                <w:tab w:val="left" w:pos="-720"/>
              </w:tabs>
              <w:rPr>
                <w:sz w:val="20"/>
                <w:szCs w:val="20"/>
                <w:lang w:val="fr-CA"/>
              </w:rPr>
            </w:pPr>
          </w:p>
          <w:p w:rsidR="00F138C1" w:rsidRPr="0068677C" w:rsidRDefault="005B076D" w:rsidP="00F138C1">
            <w:pPr>
              <w:keepNext/>
              <w:keepLines/>
              <w:tabs>
                <w:tab w:val="left" w:pos="-1440"/>
                <w:tab w:val="left" w:pos="-720"/>
              </w:tabs>
              <w:rPr>
                <w:b/>
                <w:sz w:val="20"/>
                <w:szCs w:val="20"/>
                <w:lang w:val="fr-CA"/>
              </w:rPr>
            </w:pPr>
            <w:r w:rsidRPr="0068677C">
              <w:rPr>
                <w:b/>
                <w:sz w:val="20"/>
                <w:szCs w:val="20"/>
                <w:lang w:val="fr-CA"/>
              </w:rPr>
              <w:t xml:space="preserve">Matvil Corp. </w:t>
            </w:r>
            <w:r w:rsidR="00F138C1" w:rsidRPr="0068677C">
              <w:rPr>
                <w:b/>
                <w:sz w:val="20"/>
                <w:szCs w:val="20"/>
                <w:lang w:val="fr-CA"/>
              </w:rPr>
              <w:t>(</w:t>
            </w:r>
            <w:r w:rsidRPr="0068677C">
              <w:rPr>
                <w:b/>
                <w:sz w:val="20"/>
                <w:szCs w:val="20"/>
                <w:lang w:val="fr-CA"/>
              </w:rPr>
              <w:t>Ont</w:t>
            </w:r>
            <w:r w:rsidR="00F138C1" w:rsidRPr="0068677C">
              <w:rPr>
                <w:b/>
                <w:sz w:val="20"/>
                <w:szCs w:val="20"/>
                <w:lang w:val="fr-CA"/>
              </w:rPr>
              <w:t>.)</w:t>
            </w:r>
          </w:p>
          <w:p w:rsidR="00F138C1" w:rsidRPr="0068677C" w:rsidRDefault="00F138C1" w:rsidP="00F138C1">
            <w:pPr>
              <w:keepNext/>
              <w:keepLines/>
              <w:tabs>
                <w:tab w:val="left" w:pos="-1440"/>
                <w:tab w:val="left" w:pos="-720"/>
              </w:tabs>
              <w:rPr>
                <w:sz w:val="20"/>
                <w:szCs w:val="20"/>
                <w:lang w:val="fr-CA"/>
              </w:rPr>
            </w:pPr>
            <w:r w:rsidRPr="0068677C">
              <w:rPr>
                <w:sz w:val="20"/>
                <w:szCs w:val="20"/>
                <w:lang w:val="fr-CA"/>
              </w:rPr>
              <w:tab/>
            </w:r>
            <w:r w:rsidR="005B076D" w:rsidRPr="0068677C">
              <w:rPr>
                <w:sz w:val="20"/>
                <w:szCs w:val="20"/>
                <w:lang w:val="fr-CA"/>
              </w:rPr>
              <w:t>Cole, Clifford</w:t>
            </w:r>
          </w:p>
          <w:p w:rsidR="00F138C1" w:rsidRPr="0068677C" w:rsidRDefault="00F138C1" w:rsidP="00F138C1">
            <w:pPr>
              <w:keepNext/>
              <w:keepLines/>
              <w:tabs>
                <w:tab w:val="left" w:pos="-1440"/>
                <w:tab w:val="left" w:pos="-720"/>
              </w:tabs>
              <w:rPr>
                <w:sz w:val="20"/>
                <w:szCs w:val="20"/>
                <w:lang w:val="en-US"/>
              </w:rPr>
            </w:pPr>
            <w:r w:rsidRPr="0068677C">
              <w:rPr>
                <w:sz w:val="20"/>
                <w:szCs w:val="20"/>
                <w:lang w:val="fr-CA"/>
              </w:rPr>
              <w:tab/>
            </w:r>
            <w:r w:rsidR="005B076D" w:rsidRPr="0068677C">
              <w:rPr>
                <w:sz w:val="20"/>
                <w:szCs w:val="20"/>
                <w:lang w:val="en-US"/>
              </w:rPr>
              <w:t>Gowling WLG (Canada) LLP</w:t>
            </w:r>
          </w:p>
          <w:p w:rsidR="00F138C1" w:rsidRPr="0068677C" w:rsidRDefault="00F138C1" w:rsidP="00F138C1">
            <w:pPr>
              <w:keepNext/>
              <w:keepLines/>
              <w:tabs>
                <w:tab w:val="left" w:pos="-1440"/>
                <w:tab w:val="left" w:pos="-720"/>
              </w:tabs>
              <w:rPr>
                <w:sz w:val="20"/>
                <w:szCs w:val="20"/>
                <w:lang w:val="en-US"/>
              </w:rPr>
            </w:pPr>
          </w:p>
          <w:p w:rsidR="005B076D" w:rsidRPr="0068677C" w:rsidRDefault="005B076D" w:rsidP="005B076D">
            <w:pPr>
              <w:rPr>
                <w:sz w:val="20"/>
                <w:szCs w:val="20"/>
                <w:lang w:val="en-US"/>
              </w:rPr>
            </w:pPr>
            <w:r w:rsidRPr="0068677C">
              <w:rPr>
                <w:sz w:val="20"/>
                <w:szCs w:val="20"/>
                <w:lang w:val="en-US"/>
              </w:rPr>
              <w:t>FILING DATE: May 11, 2021</w:t>
            </w:r>
          </w:p>
          <w:p w:rsidR="004B2E86" w:rsidRPr="0068677C" w:rsidRDefault="004B2E86" w:rsidP="00F138C1">
            <w:pPr>
              <w:rPr>
                <w:sz w:val="20"/>
                <w:szCs w:val="20"/>
                <w:lang w:val="en-US"/>
              </w:rPr>
            </w:pPr>
          </w:p>
          <w:p w:rsidR="00F138C1" w:rsidRPr="0068677C" w:rsidRDefault="00D800B2"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F138C1" w:rsidRPr="0068677C" w:rsidRDefault="00F138C1" w:rsidP="00F138C1">
            <w:pPr>
              <w:jc w:val="center"/>
              <w:rPr>
                <w:sz w:val="20"/>
                <w:szCs w:val="20"/>
                <w:lang w:val="en-US"/>
              </w:rPr>
            </w:pPr>
          </w:p>
          <w:p w:rsidR="004B2E86" w:rsidRPr="0068677C" w:rsidRDefault="004B2E86" w:rsidP="00F138C1">
            <w:pPr>
              <w:jc w:val="center"/>
              <w:rPr>
                <w:sz w:val="20"/>
                <w:szCs w:val="20"/>
                <w:lang w:val="en-US"/>
              </w:rPr>
            </w:pPr>
          </w:p>
        </w:tc>
        <w:tc>
          <w:tcPr>
            <w:tcW w:w="4239" w:type="dxa"/>
            <w:shd w:val="clear" w:color="auto" w:fill="auto"/>
          </w:tcPr>
          <w:p w:rsidR="00F138C1" w:rsidRPr="0068677C" w:rsidRDefault="00FE0B49" w:rsidP="00F138C1">
            <w:pPr>
              <w:rPr>
                <w:b/>
                <w:sz w:val="20"/>
                <w:szCs w:val="20"/>
                <w:lang w:val="en-US"/>
              </w:rPr>
            </w:pPr>
            <w:r w:rsidRPr="0068677C">
              <w:rPr>
                <w:b/>
                <w:sz w:val="20"/>
                <w:szCs w:val="20"/>
                <w:lang w:val="en-US"/>
              </w:rPr>
              <w:t>Awet Mehari</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Fox, Q.C., Aaron A.</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McDougall Gauley LLP</w:t>
            </w:r>
          </w:p>
          <w:p w:rsidR="00F138C1" w:rsidRPr="0068677C" w:rsidRDefault="00F138C1" w:rsidP="00F138C1">
            <w:pPr>
              <w:tabs>
                <w:tab w:val="left" w:pos="-1440"/>
                <w:tab w:val="left" w:pos="-720"/>
              </w:tabs>
              <w:rPr>
                <w:sz w:val="20"/>
                <w:szCs w:val="20"/>
                <w:lang w:val="en-US"/>
              </w:rPr>
            </w:pP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AC4E1D" w:rsidRPr="0068677C">
              <w:rPr>
                <w:sz w:val="20"/>
                <w:szCs w:val="20"/>
                <w:lang w:val="en-US"/>
              </w:rPr>
              <w:t>v</w:t>
            </w:r>
            <w:r w:rsidRPr="0068677C">
              <w:rPr>
                <w:sz w:val="20"/>
                <w:szCs w:val="20"/>
                <w:lang w:val="en-US"/>
              </w:rPr>
              <w:t>. (39</w:t>
            </w:r>
            <w:r w:rsidR="00AC4E1D" w:rsidRPr="0068677C">
              <w:rPr>
                <w:sz w:val="20"/>
                <w:szCs w:val="20"/>
                <w:lang w:val="en-US"/>
              </w:rPr>
              <w:t>639</w:t>
            </w:r>
            <w:r w:rsidRPr="0068677C">
              <w:rPr>
                <w:sz w:val="20"/>
                <w:szCs w:val="20"/>
                <w:lang w:val="en-US"/>
              </w:rPr>
              <w:t>)</w:t>
            </w:r>
          </w:p>
          <w:p w:rsidR="00F138C1" w:rsidRPr="0068677C" w:rsidRDefault="00F138C1" w:rsidP="00F138C1">
            <w:pPr>
              <w:tabs>
                <w:tab w:val="left" w:pos="-1440"/>
                <w:tab w:val="left" w:pos="-720"/>
              </w:tabs>
              <w:rPr>
                <w:sz w:val="20"/>
                <w:szCs w:val="20"/>
                <w:lang w:val="en-US"/>
              </w:rPr>
            </w:pPr>
          </w:p>
          <w:p w:rsidR="00F138C1" w:rsidRPr="0068677C" w:rsidRDefault="00FE0B49" w:rsidP="00F138C1">
            <w:pPr>
              <w:tabs>
                <w:tab w:val="left" w:pos="-1440"/>
                <w:tab w:val="left" w:pos="-720"/>
              </w:tabs>
              <w:rPr>
                <w:b/>
                <w:sz w:val="20"/>
                <w:szCs w:val="20"/>
                <w:lang w:val="en-US"/>
              </w:rPr>
            </w:pPr>
            <w:r w:rsidRPr="0068677C">
              <w:rPr>
                <w:b/>
                <w:sz w:val="20"/>
                <w:szCs w:val="20"/>
                <w:lang w:val="en-US"/>
              </w:rPr>
              <w:t>Her Majesty the Queen</w:t>
            </w:r>
            <w:r w:rsidR="00F138C1" w:rsidRPr="0068677C">
              <w:rPr>
                <w:sz w:val="20"/>
                <w:szCs w:val="20"/>
                <w:lang w:val="en-US"/>
              </w:rPr>
              <w:t xml:space="preserve"> </w:t>
            </w:r>
            <w:r w:rsidR="00F138C1" w:rsidRPr="0068677C">
              <w:rPr>
                <w:b/>
                <w:sz w:val="20"/>
                <w:szCs w:val="20"/>
                <w:lang w:val="en-US"/>
              </w:rPr>
              <w:t>(</w:t>
            </w:r>
            <w:r w:rsidRPr="0068677C">
              <w:rPr>
                <w:b/>
                <w:sz w:val="20"/>
                <w:szCs w:val="20"/>
                <w:lang w:val="en-US"/>
              </w:rPr>
              <w:t>Sask.</w:t>
            </w:r>
            <w:r w:rsidR="00F138C1" w:rsidRPr="0068677C">
              <w:rPr>
                <w:b/>
                <w:sz w:val="20"/>
                <w:szCs w:val="20"/>
                <w:lang w:val="en-US"/>
              </w:rPr>
              <w:t>)</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Sinclair, Q.C., W. Dean</w:t>
            </w:r>
          </w:p>
          <w:p w:rsidR="00F138C1" w:rsidRPr="0068677C" w:rsidRDefault="00F138C1" w:rsidP="00F138C1">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Attorney General for Saskatchewan</w:t>
            </w:r>
          </w:p>
          <w:p w:rsidR="00F138C1" w:rsidRPr="0068677C" w:rsidRDefault="00F138C1" w:rsidP="00F138C1">
            <w:pPr>
              <w:tabs>
                <w:tab w:val="left" w:pos="-1440"/>
                <w:tab w:val="left" w:pos="-720"/>
              </w:tabs>
              <w:rPr>
                <w:sz w:val="20"/>
                <w:szCs w:val="20"/>
                <w:lang w:val="en-US"/>
              </w:rPr>
            </w:pPr>
          </w:p>
          <w:p w:rsidR="00FE0B49" w:rsidRPr="0068677C" w:rsidRDefault="00FE0B49" w:rsidP="00FE0B49">
            <w:pPr>
              <w:rPr>
                <w:sz w:val="20"/>
                <w:szCs w:val="20"/>
                <w:lang w:val="en-US"/>
              </w:rPr>
            </w:pPr>
            <w:r w:rsidRPr="0068677C">
              <w:rPr>
                <w:sz w:val="20"/>
                <w:szCs w:val="20"/>
                <w:lang w:val="en-US"/>
              </w:rPr>
              <w:t>FILING DATE: May 11, 2021</w:t>
            </w:r>
          </w:p>
          <w:p w:rsidR="004B2E86" w:rsidRPr="0068677C" w:rsidRDefault="004B2E86" w:rsidP="00F138C1">
            <w:pPr>
              <w:rPr>
                <w:sz w:val="20"/>
                <w:szCs w:val="20"/>
                <w:lang w:val="fr-CA"/>
              </w:rPr>
            </w:pPr>
          </w:p>
          <w:p w:rsidR="00F138C1" w:rsidRPr="0068677C" w:rsidRDefault="00D800B2"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68677C" w:rsidTr="00F138C1">
        <w:tc>
          <w:tcPr>
            <w:tcW w:w="4239" w:type="dxa"/>
            <w:shd w:val="clear" w:color="auto" w:fill="auto"/>
          </w:tcPr>
          <w:p w:rsidR="00DA1D48" w:rsidRPr="0068677C" w:rsidRDefault="00FE0B49" w:rsidP="00DA1D48">
            <w:pPr>
              <w:rPr>
                <w:sz w:val="20"/>
                <w:szCs w:val="20"/>
                <w:lang w:val="fr-CA"/>
              </w:rPr>
            </w:pPr>
            <w:r w:rsidRPr="0068677C">
              <w:rPr>
                <w:b/>
                <w:sz w:val="20"/>
                <w:szCs w:val="20"/>
                <w:lang w:val="fr-CA"/>
              </w:rPr>
              <w:t>Ferme Alsace Holstein S.E.N.C.</w:t>
            </w:r>
          </w:p>
          <w:p w:rsidR="00DA1D48" w:rsidRPr="0068677C" w:rsidRDefault="00DA1D48" w:rsidP="00DA1D48">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St-Jean, Frédéric</w:t>
            </w:r>
          </w:p>
          <w:p w:rsidR="00EC6816" w:rsidRPr="0068677C" w:rsidRDefault="00EC6816" w:rsidP="00DA1D48">
            <w:pPr>
              <w:tabs>
                <w:tab w:val="left" w:pos="-1440"/>
                <w:tab w:val="left" w:pos="-720"/>
              </w:tabs>
              <w:rPr>
                <w:sz w:val="20"/>
                <w:szCs w:val="20"/>
                <w:lang w:val="fr-CA"/>
              </w:rPr>
            </w:pPr>
          </w:p>
          <w:p w:rsidR="00DA1D48" w:rsidRPr="0068677C" w:rsidRDefault="00DA1D48" w:rsidP="00DA1D48">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c</w:t>
            </w:r>
            <w:r w:rsidRPr="0068677C">
              <w:rPr>
                <w:sz w:val="20"/>
                <w:szCs w:val="20"/>
                <w:lang w:val="fr-CA"/>
              </w:rPr>
              <w:t>. (39</w:t>
            </w:r>
            <w:r w:rsidR="00FE0B49" w:rsidRPr="0068677C">
              <w:rPr>
                <w:sz w:val="20"/>
                <w:szCs w:val="20"/>
                <w:lang w:val="fr-CA"/>
              </w:rPr>
              <w:t>640</w:t>
            </w:r>
            <w:r w:rsidRPr="0068677C">
              <w:rPr>
                <w:sz w:val="20"/>
                <w:szCs w:val="20"/>
                <w:lang w:val="fr-CA"/>
              </w:rPr>
              <w:t>)</w:t>
            </w:r>
          </w:p>
          <w:p w:rsidR="00DA1D48" w:rsidRPr="0068677C" w:rsidRDefault="00DA1D48" w:rsidP="00DA1D48">
            <w:pPr>
              <w:tabs>
                <w:tab w:val="left" w:pos="-1440"/>
                <w:tab w:val="left" w:pos="-720"/>
              </w:tabs>
              <w:rPr>
                <w:sz w:val="20"/>
                <w:szCs w:val="20"/>
                <w:lang w:val="fr-CA"/>
              </w:rPr>
            </w:pPr>
          </w:p>
          <w:p w:rsidR="00DA1D48" w:rsidRPr="0068677C" w:rsidRDefault="00FE0B49" w:rsidP="00DA1D48">
            <w:pPr>
              <w:tabs>
                <w:tab w:val="left" w:pos="-1440"/>
                <w:tab w:val="left" w:pos="-720"/>
              </w:tabs>
              <w:rPr>
                <w:b/>
                <w:sz w:val="20"/>
                <w:szCs w:val="20"/>
                <w:lang w:val="fr-CA"/>
              </w:rPr>
            </w:pPr>
            <w:r w:rsidRPr="0068677C">
              <w:rPr>
                <w:b/>
                <w:sz w:val="20"/>
                <w:szCs w:val="20"/>
                <w:lang w:val="fr-CA"/>
              </w:rPr>
              <w:t xml:space="preserve">Cimentier Steve Dumas inc. </w:t>
            </w:r>
            <w:r w:rsidR="00DA1D48" w:rsidRPr="0068677C">
              <w:rPr>
                <w:b/>
                <w:sz w:val="20"/>
                <w:szCs w:val="20"/>
                <w:lang w:val="fr-CA"/>
              </w:rPr>
              <w:t>(</w:t>
            </w:r>
            <w:r w:rsidRPr="0068677C">
              <w:rPr>
                <w:b/>
                <w:sz w:val="20"/>
                <w:szCs w:val="20"/>
                <w:lang w:val="fr-CA"/>
              </w:rPr>
              <w:t>Qc</w:t>
            </w:r>
            <w:r w:rsidR="00DA1D48" w:rsidRPr="0068677C">
              <w:rPr>
                <w:b/>
                <w:sz w:val="20"/>
                <w:szCs w:val="20"/>
                <w:lang w:val="fr-CA"/>
              </w:rPr>
              <w:t>)</w:t>
            </w:r>
          </w:p>
          <w:p w:rsidR="00DA1D48" w:rsidRPr="0068677C" w:rsidRDefault="00DA1D48" w:rsidP="00DA1D48">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Guindon, Jean-Eric</w:t>
            </w:r>
          </w:p>
          <w:p w:rsidR="00DA1D48" w:rsidRPr="0068677C" w:rsidRDefault="00DA1D48" w:rsidP="00DA1D48">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Bélanger Sauvé</w:t>
            </w:r>
          </w:p>
          <w:p w:rsidR="00DA1D48" w:rsidRPr="0068677C" w:rsidRDefault="00DA1D48" w:rsidP="00DA1D48">
            <w:pPr>
              <w:tabs>
                <w:tab w:val="left" w:pos="-1440"/>
                <w:tab w:val="left" w:pos="-720"/>
              </w:tabs>
              <w:rPr>
                <w:sz w:val="20"/>
                <w:szCs w:val="20"/>
                <w:lang w:val="fr-CA"/>
              </w:rPr>
            </w:pPr>
          </w:p>
          <w:p w:rsidR="00FE0B49" w:rsidRPr="0068677C" w:rsidRDefault="00FE0B49" w:rsidP="00FE0B49">
            <w:pPr>
              <w:rPr>
                <w:sz w:val="20"/>
                <w:szCs w:val="20"/>
                <w:lang w:val="fr-CA"/>
              </w:rPr>
            </w:pPr>
            <w:r w:rsidRPr="0068677C">
              <w:rPr>
                <w:sz w:val="20"/>
                <w:szCs w:val="20"/>
                <w:lang w:val="fr-CA"/>
              </w:rPr>
              <w:t>DATE DE PRODUCTION: le 11 mai 2021</w:t>
            </w:r>
          </w:p>
          <w:p w:rsidR="00DA1D48" w:rsidRPr="0068677C" w:rsidRDefault="00DA1D48" w:rsidP="00DA1D48">
            <w:pPr>
              <w:rPr>
                <w:sz w:val="20"/>
                <w:szCs w:val="20"/>
                <w:lang w:val="fr-CA"/>
              </w:rPr>
            </w:pPr>
          </w:p>
          <w:p w:rsidR="00F138C1" w:rsidRPr="0068677C" w:rsidRDefault="00D800B2"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8677C" w:rsidRDefault="00F138C1"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p w:rsidR="00DA1D48" w:rsidRPr="0068677C" w:rsidRDefault="00DA1D48" w:rsidP="00F138C1">
            <w:pPr>
              <w:jc w:val="center"/>
              <w:rPr>
                <w:sz w:val="20"/>
                <w:szCs w:val="20"/>
                <w:lang w:val="en-US"/>
              </w:rPr>
            </w:pPr>
          </w:p>
        </w:tc>
        <w:tc>
          <w:tcPr>
            <w:tcW w:w="4239" w:type="dxa"/>
            <w:shd w:val="clear" w:color="auto" w:fill="auto"/>
          </w:tcPr>
          <w:p w:rsidR="00DA1D48" w:rsidRPr="0068677C" w:rsidRDefault="00FE0B49" w:rsidP="00DA1D48">
            <w:pPr>
              <w:rPr>
                <w:b/>
                <w:sz w:val="20"/>
                <w:szCs w:val="20"/>
                <w:lang w:val="en-US"/>
              </w:rPr>
            </w:pPr>
            <w:r w:rsidRPr="0068677C">
              <w:rPr>
                <w:b/>
                <w:sz w:val="20"/>
                <w:szCs w:val="20"/>
                <w:lang w:val="en-US"/>
              </w:rPr>
              <w:t>Jason Windebank</w:t>
            </w:r>
          </w:p>
          <w:p w:rsidR="00DA1D48" w:rsidRPr="0068677C" w:rsidRDefault="00DA1D48" w:rsidP="00DA1D48">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Kapoor, Anil K.</w:t>
            </w:r>
          </w:p>
          <w:p w:rsidR="00DA1D48" w:rsidRPr="0068677C" w:rsidRDefault="00DA1D48" w:rsidP="00DA1D48">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Kapoor Barristers</w:t>
            </w:r>
          </w:p>
          <w:p w:rsidR="00DA1D48" w:rsidRPr="0068677C" w:rsidRDefault="00DA1D48" w:rsidP="00DA1D48">
            <w:pPr>
              <w:tabs>
                <w:tab w:val="left" w:pos="-1440"/>
                <w:tab w:val="left" w:pos="-720"/>
              </w:tabs>
              <w:rPr>
                <w:sz w:val="20"/>
                <w:szCs w:val="20"/>
                <w:lang w:val="en-US"/>
              </w:rPr>
            </w:pPr>
          </w:p>
          <w:p w:rsidR="00DA1D48" w:rsidRPr="0068677C" w:rsidRDefault="00DA1D48" w:rsidP="00DA1D48">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v</w:t>
            </w:r>
            <w:r w:rsidRPr="0068677C">
              <w:rPr>
                <w:sz w:val="20"/>
                <w:szCs w:val="20"/>
                <w:lang w:val="en-US"/>
              </w:rPr>
              <w:t>. (396</w:t>
            </w:r>
            <w:r w:rsidR="00FE0B49" w:rsidRPr="0068677C">
              <w:rPr>
                <w:sz w:val="20"/>
                <w:szCs w:val="20"/>
                <w:lang w:val="en-US"/>
              </w:rPr>
              <w:t>41</w:t>
            </w:r>
            <w:r w:rsidRPr="0068677C">
              <w:rPr>
                <w:sz w:val="20"/>
                <w:szCs w:val="20"/>
                <w:lang w:val="en-US"/>
              </w:rPr>
              <w:t>)</w:t>
            </w:r>
          </w:p>
          <w:p w:rsidR="00DA1D48" w:rsidRPr="0068677C" w:rsidRDefault="00DA1D48" w:rsidP="00DA1D48">
            <w:pPr>
              <w:tabs>
                <w:tab w:val="left" w:pos="-1440"/>
                <w:tab w:val="left" w:pos="-720"/>
              </w:tabs>
              <w:rPr>
                <w:sz w:val="20"/>
                <w:szCs w:val="20"/>
                <w:lang w:val="en-US"/>
              </w:rPr>
            </w:pPr>
          </w:p>
          <w:p w:rsidR="00DA1D48" w:rsidRPr="0068677C" w:rsidRDefault="00FE0B49" w:rsidP="00DA1D48">
            <w:pPr>
              <w:tabs>
                <w:tab w:val="left" w:pos="-1440"/>
                <w:tab w:val="left" w:pos="-720"/>
              </w:tabs>
              <w:rPr>
                <w:b/>
                <w:sz w:val="20"/>
                <w:szCs w:val="20"/>
                <w:lang w:val="en-US"/>
              </w:rPr>
            </w:pPr>
            <w:r w:rsidRPr="0068677C">
              <w:rPr>
                <w:b/>
                <w:sz w:val="20"/>
                <w:szCs w:val="20"/>
                <w:lang w:val="en-US"/>
              </w:rPr>
              <w:t>Her Majesty the Queen</w:t>
            </w:r>
            <w:r w:rsidR="00DA1D48" w:rsidRPr="0068677C">
              <w:rPr>
                <w:sz w:val="20"/>
                <w:szCs w:val="20"/>
                <w:lang w:val="en-US"/>
              </w:rPr>
              <w:t xml:space="preserve"> </w:t>
            </w:r>
            <w:r w:rsidR="00DA1D48" w:rsidRPr="0068677C">
              <w:rPr>
                <w:b/>
                <w:sz w:val="20"/>
                <w:szCs w:val="20"/>
                <w:lang w:val="en-US"/>
              </w:rPr>
              <w:t>(</w:t>
            </w:r>
            <w:r w:rsidRPr="0068677C">
              <w:rPr>
                <w:b/>
                <w:sz w:val="20"/>
                <w:szCs w:val="20"/>
                <w:lang w:val="en-US"/>
              </w:rPr>
              <w:t>Ont.</w:t>
            </w:r>
            <w:r w:rsidR="00DA1D48" w:rsidRPr="0068677C">
              <w:rPr>
                <w:b/>
                <w:sz w:val="20"/>
                <w:szCs w:val="20"/>
                <w:lang w:val="en-US"/>
              </w:rPr>
              <w:t>)</w:t>
            </w:r>
          </w:p>
          <w:p w:rsidR="00DA1D48" w:rsidRPr="0068677C" w:rsidRDefault="00DA1D48" w:rsidP="00DA1D48">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Young, Stacey D.</w:t>
            </w:r>
          </w:p>
          <w:p w:rsidR="00DA1D48" w:rsidRPr="0068677C" w:rsidRDefault="00DA1D48" w:rsidP="00DA1D48">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Attorney General of Ontario</w:t>
            </w:r>
          </w:p>
          <w:p w:rsidR="00DA1D48" w:rsidRPr="0068677C" w:rsidRDefault="00DA1D48" w:rsidP="00DA1D48">
            <w:pPr>
              <w:tabs>
                <w:tab w:val="left" w:pos="-1440"/>
                <w:tab w:val="left" w:pos="-720"/>
              </w:tabs>
              <w:rPr>
                <w:sz w:val="20"/>
                <w:szCs w:val="20"/>
                <w:lang w:val="en-US"/>
              </w:rPr>
            </w:pPr>
          </w:p>
          <w:p w:rsidR="00FE0B49" w:rsidRPr="0068677C" w:rsidRDefault="00FE0B49" w:rsidP="00FE0B49">
            <w:pPr>
              <w:rPr>
                <w:sz w:val="20"/>
                <w:szCs w:val="20"/>
                <w:lang w:val="en-US"/>
              </w:rPr>
            </w:pPr>
            <w:r w:rsidRPr="0068677C">
              <w:rPr>
                <w:sz w:val="20"/>
                <w:szCs w:val="20"/>
                <w:lang w:val="en-US"/>
              </w:rPr>
              <w:t>FILING DATE: May 11, 2021</w:t>
            </w:r>
          </w:p>
          <w:p w:rsidR="00DA1D48" w:rsidRPr="0068677C" w:rsidRDefault="00DA1D48" w:rsidP="00DA1D48">
            <w:pPr>
              <w:rPr>
                <w:sz w:val="20"/>
                <w:szCs w:val="20"/>
                <w:lang w:val="fr-CA"/>
              </w:rPr>
            </w:pPr>
          </w:p>
          <w:p w:rsidR="00F138C1" w:rsidRPr="0068677C" w:rsidRDefault="00D800B2" w:rsidP="00DA1D48">
            <w:pPr>
              <w:rPr>
                <w:sz w:val="20"/>
                <w:szCs w:val="20"/>
                <w:lang w:val="fr-CA"/>
              </w:rPr>
            </w:pPr>
            <w:r>
              <w:rPr>
                <w:sz w:val="20"/>
                <w:szCs w:val="20"/>
                <w:lang w:val="fr-CA"/>
              </w:rPr>
              <w:pict>
                <v:rect id="_x0000_i1030" style="width:108pt;height:1pt" o:hrpct="0" o:hrstd="t" o:hrnoshade="t" o:hr="t" fillcolor="black [3213]" stroked="f"/>
              </w:pict>
            </w:r>
          </w:p>
        </w:tc>
      </w:tr>
    </w:tbl>
    <w:p w:rsidR="00C82B80" w:rsidRPr="0068677C" w:rsidRDefault="00C82B80">
      <w:r w:rsidRPr="0068677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82B80" w:rsidRPr="0068677C" w:rsidTr="00F138C1">
        <w:tc>
          <w:tcPr>
            <w:tcW w:w="4239" w:type="dxa"/>
            <w:shd w:val="clear" w:color="auto" w:fill="auto"/>
          </w:tcPr>
          <w:p w:rsidR="00C82B80" w:rsidRPr="0068677C" w:rsidRDefault="00FE0B49" w:rsidP="00C82B80">
            <w:pPr>
              <w:rPr>
                <w:sz w:val="20"/>
                <w:szCs w:val="20"/>
                <w:lang w:val="fr-CA"/>
              </w:rPr>
            </w:pPr>
            <w:r w:rsidRPr="0068677C">
              <w:rPr>
                <w:b/>
                <w:sz w:val="20"/>
                <w:szCs w:val="20"/>
                <w:lang w:val="fr-CA"/>
              </w:rPr>
              <w:lastRenderedPageBreak/>
              <w:t>Sa Majesté la Reine</w:t>
            </w:r>
          </w:p>
          <w:p w:rsidR="00C82B80" w:rsidRPr="0068677C" w:rsidRDefault="00C82B80" w:rsidP="00C82B80">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Beauchamp-Laliberté, Julien</w:t>
            </w:r>
          </w:p>
          <w:p w:rsidR="00FE0B49" w:rsidRPr="0068677C" w:rsidRDefault="00C82B80" w:rsidP="00C82B80">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 xml:space="preserve">Poursuites criminelles et pénales du </w:t>
            </w:r>
          </w:p>
          <w:p w:rsidR="00C82B80" w:rsidRPr="0068677C" w:rsidRDefault="00FE0B49" w:rsidP="00C82B80">
            <w:pPr>
              <w:tabs>
                <w:tab w:val="left" w:pos="-1440"/>
                <w:tab w:val="left" w:pos="-720"/>
              </w:tabs>
              <w:rPr>
                <w:sz w:val="20"/>
                <w:szCs w:val="20"/>
                <w:lang w:val="fr-CA"/>
              </w:rPr>
            </w:pPr>
            <w:r w:rsidRPr="0068677C">
              <w:rPr>
                <w:sz w:val="20"/>
                <w:szCs w:val="20"/>
                <w:lang w:val="fr-CA"/>
              </w:rPr>
              <w:tab/>
              <w:t>Québec</w:t>
            </w:r>
          </w:p>
          <w:p w:rsidR="00C82B80" w:rsidRPr="0068677C" w:rsidRDefault="00C82B80" w:rsidP="00C82B80">
            <w:pPr>
              <w:tabs>
                <w:tab w:val="left" w:pos="-1440"/>
                <w:tab w:val="left" w:pos="-720"/>
              </w:tabs>
              <w:rPr>
                <w:sz w:val="20"/>
                <w:szCs w:val="20"/>
                <w:lang w:val="fr-CA"/>
              </w:rPr>
            </w:pPr>
          </w:p>
          <w:p w:rsidR="00C82B80" w:rsidRPr="0068677C" w:rsidRDefault="00C82B80" w:rsidP="00C82B80">
            <w:pPr>
              <w:tabs>
                <w:tab w:val="left" w:pos="-1440"/>
                <w:tab w:val="left" w:pos="-720"/>
              </w:tabs>
              <w:rPr>
                <w:sz w:val="20"/>
                <w:szCs w:val="20"/>
                <w:lang w:val="fr-CA"/>
              </w:rPr>
            </w:pPr>
            <w:r w:rsidRPr="0068677C">
              <w:rPr>
                <w:sz w:val="20"/>
                <w:szCs w:val="20"/>
                <w:lang w:val="fr-CA"/>
              </w:rPr>
              <w:tab/>
              <w:t>v. (39</w:t>
            </w:r>
            <w:r w:rsidR="00FE0B49" w:rsidRPr="0068677C">
              <w:rPr>
                <w:sz w:val="20"/>
                <w:szCs w:val="20"/>
                <w:lang w:val="fr-CA"/>
              </w:rPr>
              <w:t>642</w:t>
            </w:r>
            <w:r w:rsidRPr="0068677C">
              <w:rPr>
                <w:sz w:val="20"/>
                <w:szCs w:val="20"/>
                <w:lang w:val="fr-CA"/>
              </w:rPr>
              <w:t>)</w:t>
            </w:r>
          </w:p>
          <w:p w:rsidR="00C82B80" w:rsidRPr="0068677C" w:rsidRDefault="00C82B80" w:rsidP="00C82B80">
            <w:pPr>
              <w:tabs>
                <w:tab w:val="left" w:pos="-1440"/>
                <w:tab w:val="left" w:pos="-720"/>
              </w:tabs>
              <w:rPr>
                <w:sz w:val="20"/>
                <w:szCs w:val="20"/>
                <w:lang w:val="fr-CA"/>
              </w:rPr>
            </w:pPr>
          </w:p>
          <w:p w:rsidR="00C82B80" w:rsidRPr="0068677C" w:rsidRDefault="00FE0B49" w:rsidP="00C82B80">
            <w:pPr>
              <w:tabs>
                <w:tab w:val="left" w:pos="-1440"/>
                <w:tab w:val="left" w:pos="-720"/>
              </w:tabs>
              <w:rPr>
                <w:b/>
                <w:sz w:val="20"/>
                <w:szCs w:val="20"/>
                <w:lang w:val="fr-CA"/>
              </w:rPr>
            </w:pPr>
            <w:r w:rsidRPr="0068677C">
              <w:rPr>
                <w:b/>
                <w:sz w:val="20"/>
                <w:szCs w:val="20"/>
                <w:lang w:val="fr-CA"/>
              </w:rPr>
              <w:t>G.M.</w:t>
            </w:r>
            <w:r w:rsidR="00C82B80" w:rsidRPr="0068677C">
              <w:rPr>
                <w:b/>
                <w:sz w:val="20"/>
                <w:szCs w:val="20"/>
                <w:lang w:val="fr-CA"/>
              </w:rPr>
              <w:t xml:space="preserve"> (</w:t>
            </w:r>
            <w:r w:rsidRPr="0068677C">
              <w:rPr>
                <w:b/>
                <w:sz w:val="20"/>
                <w:szCs w:val="20"/>
                <w:lang w:val="fr-CA"/>
              </w:rPr>
              <w:t>Qc</w:t>
            </w:r>
            <w:r w:rsidR="00C82B80" w:rsidRPr="0068677C">
              <w:rPr>
                <w:b/>
                <w:sz w:val="20"/>
                <w:szCs w:val="20"/>
                <w:lang w:val="fr-CA"/>
              </w:rPr>
              <w:t>)</w:t>
            </w:r>
          </w:p>
          <w:p w:rsidR="00C82B80" w:rsidRPr="0068677C" w:rsidRDefault="00C82B80" w:rsidP="00C82B80">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Biron, Maurice</w:t>
            </w:r>
          </w:p>
          <w:p w:rsidR="00C82B80" w:rsidRPr="0068677C" w:rsidRDefault="00C82B80" w:rsidP="00FE0B49">
            <w:pPr>
              <w:tabs>
                <w:tab w:val="left" w:pos="-1440"/>
                <w:tab w:val="left" w:pos="-720"/>
              </w:tabs>
              <w:rPr>
                <w:sz w:val="20"/>
                <w:szCs w:val="20"/>
                <w:lang w:val="fr-CA"/>
              </w:rPr>
            </w:pPr>
            <w:r w:rsidRPr="0068677C">
              <w:rPr>
                <w:sz w:val="20"/>
                <w:szCs w:val="20"/>
                <w:lang w:val="fr-CA"/>
              </w:rPr>
              <w:tab/>
            </w:r>
            <w:r w:rsidR="00FE0B49" w:rsidRPr="0068677C">
              <w:rPr>
                <w:sz w:val="20"/>
                <w:szCs w:val="20"/>
                <w:lang w:val="fr-CA"/>
              </w:rPr>
              <w:t>Biron Spain</w:t>
            </w:r>
          </w:p>
          <w:p w:rsidR="00C82B80" w:rsidRPr="0068677C" w:rsidRDefault="00C82B80" w:rsidP="00C82B80">
            <w:pPr>
              <w:tabs>
                <w:tab w:val="left" w:pos="-1440"/>
                <w:tab w:val="left" w:pos="-720"/>
              </w:tabs>
              <w:rPr>
                <w:sz w:val="20"/>
                <w:szCs w:val="20"/>
                <w:lang w:val="fr-CA"/>
              </w:rPr>
            </w:pPr>
          </w:p>
          <w:p w:rsidR="00FE0B49" w:rsidRPr="0068677C" w:rsidRDefault="00FE0B49" w:rsidP="00FE0B49">
            <w:pPr>
              <w:rPr>
                <w:sz w:val="20"/>
                <w:szCs w:val="20"/>
                <w:lang w:val="fr-CA"/>
              </w:rPr>
            </w:pPr>
            <w:r w:rsidRPr="0068677C">
              <w:rPr>
                <w:sz w:val="20"/>
                <w:szCs w:val="20"/>
                <w:lang w:val="fr-CA"/>
              </w:rPr>
              <w:t>DATE DE PRODUCTION: le 11 mai 2021</w:t>
            </w:r>
          </w:p>
          <w:p w:rsidR="00C82B80" w:rsidRPr="0068677C" w:rsidRDefault="00C82B80" w:rsidP="00C82B80">
            <w:pPr>
              <w:rPr>
                <w:sz w:val="20"/>
                <w:szCs w:val="20"/>
                <w:lang w:val="fr-CA"/>
              </w:rPr>
            </w:pPr>
          </w:p>
          <w:p w:rsidR="00C82B80" w:rsidRPr="0068677C" w:rsidRDefault="00D800B2" w:rsidP="00C82B80">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FE0B49" w:rsidRPr="0068677C" w:rsidRDefault="00FE0B49"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tc>
        <w:tc>
          <w:tcPr>
            <w:tcW w:w="4239" w:type="dxa"/>
            <w:shd w:val="clear" w:color="auto" w:fill="auto"/>
          </w:tcPr>
          <w:p w:rsidR="00C82B80" w:rsidRPr="0068677C" w:rsidRDefault="00FE0B49" w:rsidP="00C82B80">
            <w:pPr>
              <w:rPr>
                <w:sz w:val="20"/>
                <w:szCs w:val="20"/>
                <w:lang w:val="en-US"/>
              </w:rPr>
            </w:pPr>
            <w:r w:rsidRPr="0068677C">
              <w:rPr>
                <w:b/>
                <w:sz w:val="20"/>
                <w:szCs w:val="20"/>
                <w:lang w:val="en-US"/>
              </w:rPr>
              <w:t>1770650 Ontario inc.</w:t>
            </w:r>
          </w:p>
          <w:p w:rsidR="00C82B80" w:rsidRPr="0068677C" w:rsidRDefault="00C82B80" w:rsidP="00C82B80">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Carter, Christine G.</w:t>
            </w:r>
          </w:p>
          <w:p w:rsidR="00C82B80" w:rsidRPr="0068677C" w:rsidRDefault="00C82B80" w:rsidP="00C82B80">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Papazian Heisy Myers</w:t>
            </w:r>
          </w:p>
          <w:p w:rsidR="00C82B80" w:rsidRPr="0068677C" w:rsidRDefault="00C82B80" w:rsidP="00C82B80">
            <w:pPr>
              <w:tabs>
                <w:tab w:val="left" w:pos="-1440"/>
                <w:tab w:val="left" w:pos="-720"/>
              </w:tabs>
              <w:rPr>
                <w:sz w:val="20"/>
                <w:szCs w:val="20"/>
                <w:lang w:val="en-US"/>
              </w:rPr>
            </w:pPr>
          </w:p>
          <w:p w:rsidR="00C82B80" w:rsidRPr="0068677C" w:rsidRDefault="00C82B80" w:rsidP="00C82B80">
            <w:pPr>
              <w:tabs>
                <w:tab w:val="left" w:pos="-1440"/>
                <w:tab w:val="left" w:pos="-720"/>
              </w:tabs>
              <w:rPr>
                <w:sz w:val="20"/>
                <w:szCs w:val="20"/>
                <w:lang w:val="en-US"/>
              </w:rPr>
            </w:pPr>
            <w:r w:rsidRPr="0068677C">
              <w:rPr>
                <w:sz w:val="20"/>
                <w:szCs w:val="20"/>
                <w:lang w:val="en-US"/>
              </w:rPr>
              <w:tab/>
              <w:t>v. (39</w:t>
            </w:r>
            <w:r w:rsidR="00FE0B49" w:rsidRPr="0068677C">
              <w:rPr>
                <w:sz w:val="20"/>
                <w:szCs w:val="20"/>
                <w:lang w:val="en-US"/>
              </w:rPr>
              <w:t>643</w:t>
            </w:r>
            <w:r w:rsidRPr="0068677C">
              <w:rPr>
                <w:sz w:val="20"/>
                <w:szCs w:val="20"/>
                <w:lang w:val="en-US"/>
              </w:rPr>
              <w:t>)</w:t>
            </w:r>
          </w:p>
          <w:p w:rsidR="00C82B80" w:rsidRPr="0068677C" w:rsidRDefault="00C82B80" w:rsidP="00C82B80">
            <w:pPr>
              <w:tabs>
                <w:tab w:val="left" w:pos="-1440"/>
                <w:tab w:val="left" w:pos="-720"/>
              </w:tabs>
              <w:rPr>
                <w:sz w:val="20"/>
                <w:szCs w:val="20"/>
                <w:lang w:val="en-US"/>
              </w:rPr>
            </w:pPr>
          </w:p>
          <w:p w:rsidR="00C82B80" w:rsidRPr="0068677C" w:rsidRDefault="00FE0B49" w:rsidP="00C82B80">
            <w:pPr>
              <w:tabs>
                <w:tab w:val="left" w:pos="-1440"/>
                <w:tab w:val="left" w:pos="-720"/>
              </w:tabs>
              <w:rPr>
                <w:b/>
                <w:sz w:val="20"/>
                <w:szCs w:val="20"/>
                <w:lang w:val="en-US"/>
              </w:rPr>
            </w:pPr>
            <w:r w:rsidRPr="0068677C">
              <w:rPr>
                <w:b/>
                <w:sz w:val="20"/>
                <w:szCs w:val="20"/>
                <w:lang w:val="en-US"/>
              </w:rPr>
              <w:t>Williams Mc</w:t>
            </w:r>
            <w:r w:rsidR="0098052F" w:rsidRPr="0068677C">
              <w:rPr>
                <w:b/>
                <w:sz w:val="20"/>
                <w:szCs w:val="20"/>
                <w:lang w:val="en-US"/>
              </w:rPr>
              <w:t>E</w:t>
            </w:r>
            <w:r w:rsidRPr="0068677C">
              <w:rPr>
                <w:b/>
                <w:sz w:val="20"/>
                <w:szCs w:val="20"/>
                <w:lang w:val="en-US"/>
              </w:rPr>
              <w:t xml:space="preserve">nery, et al. </w:t>
            </w:r>
            <w:r w:rsidR="00C82B80" w:rsidRPr="0068677C">
              <w:rPr>
                <w:b/>
                <w:sz w:val="20"/>
                <w:szCs w:val="20"/>
                <w:lang w:val="en-US"/>
              </w:rPr>
              <w:t>(</w:t>
            </w:r>
            <w:r w:rsidRPr="0068677C">
              <w:rPr>
                <w:b/>
                <w:sz w:val="20"/>
                <w:szCs w:val="20"/>
                <w:lang w:val="en-US"/>
              </w:rPr>
              <w:t>Ont</w:t>
            </w:r>
            <w:r w:rsidR="00C82B80" w:rsidRPr="0068677C">
              <w:rPr>
                <w:b/>
                <w:sz w:val="20"/>
                <w:szCs w:val="20"/>
                <w:lang w:val="en-US"/>
              </w:rPr>
              <w:t>.)</w:t>
            </w:r>
          </w:p>
          <w:p w:rsidR="00C82B80" w:rsidRPr="0068677C" w:rsidRDefault="00C82B80" w:rsidP="00C82B80">
            <w:pPr>
              <w:tabs>
                <w:tab w:val="left" w:pos="-1440"/>
                <w:tab w:val="left" w:pos="-720"/>
              </w:tabs>
              <w:rPr>
                <w:sz w:val="20"/>
                <w:szCs w:val="20"/>
                <w:lang w:val="en-US"/>
              </w:rPr>
            </w:pPr>
            <w:r w:rsidRPr="0068677C">
              <w:rPr>
                <w:sz w:val="20"/>
                <w:szCs w:val="20"/>
                <w:lang w:val="en-US"/>
              </w:rPr>
              <w:tab/>
            </w:r>
            <w:r w:rsidR="00FE0B49" w:rsidRPr="0068677C">
              <w:rPr>
                <w:sz w:val="20"/>
                <w:szCs w:val="20"/>
                <w:lang w:val="en-US"/>
              </w:rPr>
              <w:t>Cavanagh, Stephen J.</w:t>
            </w:r>
          </w:p>
          <w:p w:rsidR="00C82B80" w:rsidRPr="0068677C" w:rsidRDefault="00C82B80" w:rsidP="00C82B80">
            <w:pPr>
              <w:tabs>
                <w:tab w:val="left" w:pos="-1440"/>
                <w:tab w:val="left" w:pos="-720"/>
              </w:tabs>
              <w:rPr>
                <w:sz w:val="20"/>
                <w:szCs w:val="20"/>
              </w:rPr>
            </w:pPr>
            <w:r w:rsidRPr="0068677C">
              <w:rPr>
                <w:sz w:val="20"/>
                <w:szCs w:val="20"/>
                <w:lang w:val="en-US"/>
              </w:rPr>
              <w:tab/>
            </w:r>
            <w:r w:rsidR="0098052F" w:rsidRPr="0068677C">
              <w:rPr>
                <w:sz w:val="20"/>
                <w:szCs w:val="20"/>
              </w:rPr>
              <w:t>Cavanagh LLP</w:t>
            </w:r>
          </w:p>
          <w:p w:rsidR="00C82B80" w:rsidRPr="0068677C" w:rsidRDefault="00C82B80" w:rsidP="00C82B80">
            <w:pPr>
              <w:tabs>
                <w:tab w:val="left" w:pos="-1440"/>
                <w:tab w:val="left" w:pos="-720"/>
              </w:tabs>
              <w:rPr>
                <w:sz w:val="20"/>
                <w:szCs w:val="20"/>
              </w:rPr>
            </w:pPr>
          </w:p>
          <w:p w:rsidR="00C82B80" w:rsidRPr="0068677C" w:rsidRDefault="00C82B80" w:rsidP="00C82B80">
            <w:pPr>
              <w:rPr>
                <w:sz w:val="20"/>
                <w:szCs w:val="20"/>
              </w:rPr>
            </w:pPr>
            <w:r w:rsidRPr="0068677C">
              <w:rPr>
                <w:sz w:val="20"/>
                <w:szCs w:val="20"/>
              </w:rPr>
              <w:t xml:space="preserve">FILING DATE: </w:t>
            </w:r>
            <w:r w:rsidR="00FE0B49" w:rsidRPr="0068677C">
              <w:rPr>
                <w:sz w:val="20"/>
                <w:szCs w:val="20"/>
              </w:rPr>
              <w:t>May</w:t>
            </w:r>
            <w:r w:rsidRPr="0068677C">
              <w:rPr>
                <w:sz w:val="20"/>
                <w:szCs w:val="20"/>
              </w:rPr>
              <w:t xml:space="preserve"> </w:t>
            </w:r>
            <w:r w:rsidR="00FE0B49" w:rsidRPr="0068677C">
              <w:rPr>
                <w:sz w:val="20"/>
                <w:szCs w:val="20"/>
              </w:rPr>
              <w:t>11</w:t>
            </w:r>
            <w:r w:rsidRPr="0068677C">
              <w:rPr>
                <w:sz w:val="20"/>
                <w:szCs w:val="20"/>
              </w:rPr>
              <w:t>, 2021</w:t>
            </w:r>
          </w:p>
          <w:p w:rsidR="00C82B80" w:rsidRPr="0068677C" w:rsidRDefault="00C82B80" w:rsidP="00C82B80">
            <w:pPr>
              <w:rPr>
                <w:sz w:val="20"/>
                <w:szCs w:val="20"/>
              </w:rPr>
            </w:pPr>
          </w:p>
          <w:p w:rsidR="00C82B80" w:rsidRPr="0068677C" w:rsidRDefault="00D800B2" w:rsidP="00C82B80">
            <w:pPr>
              <w:rPr>
                <w:b/>
                <w:sz w:val="20"/>
                <w:szCs w:val="20"/>
                <w:lang w:val="fr-CA"/>
              </w:rPr>
            </w:pPr>
            <w:r>
              <w:rPr>
                <w:sz w:val="20"/>
                <w:szCs w:val="20"/>
                <w:lang w:val="fr-CA"/>
              </w:rPr>
              <w:pict>
                <v:rect id="_x0000_i1032" style="width:108pt;height:1pt" o:hrpct="0" o:hrstd="t" o:hrnoshade="t" o:hr="t" fillcolor="black [3213]" stroked="f"/>
              </w:pict>
            </w:r>
          </w:p>
        </w:tc>
      </w:tr>
      <w:tr w:rsidR="00C82B80" w:rsidRPr="0068677C" w:rsidTr="00F138C1">
        <w:tc>
          <w:tcPr>
            <w:tcW w:w="4239" w:type="dxa"/>
            <w:shd w:val="clear" w:color="auto" w:fill="auto"/>
          </w:tcPr>
          <w:p w:rsidR="00C82B80" w:rsidRPr="0068677C" w:rsidRDefault="0098052F" w:rsidP="00C82B80">
            <w:pPr>
              <w:rPr>
                <w:b/>
                <w:sz w:val="20"/>
                <w:szCs w:val="20"/>
                <w:lang w:val="en-US"/>
              </w:rPr>
            </w:pPr>
            <w:r w:rsidRPr="0068677C">
              <w:rPr>
                <w:b/>
                <w:sz w:val="20"/>
                <w:szCs w:val="20"/>
                <w:lang w:val="en-US"/>
              </w:rPr>
              <w:t>1062484 Ontario inc.</w:t>
            </w:r>
          </w:p>
          <w:p w:rsidR="00C82B80" w:rsidRPr="0068677C" w:rsidRDefault="00C82B80" w:rsidP="00C82B80">
            <w:pPr>
              <w:tabs>
                <w:tab w:val="left" w:pos="-1440"/>
                <w:tab w:val="left" w:pos="-720"/>
              </w:tabs>
              <w:rPr>
                <w:sz w:val="20"/>
                <w:szCs w:val="20"/>
                <w:lang w:val="en-US"/>
              </w:rPr>
            </w:pPr>
            <w:r w:rsidRPr="0068677C">
              <w:rPr>
                <w:sz w:val="20"/>
                <w:szCs w:val="20"/>
                <w:lang w:val="en-US"/>
              </w:rPr>
              <w:tab/>
            </w:r>
            <w:r w:rsidR="0098052F" w:rsidRPr="0068677C">
              <w:rPr>
                <w:sz w:val="20"/>
                <w:szCs w:val="20"/>
                <w:lang w:val="en-US"/>
              </w:rPr>
              <w:t>Carter, Christine G.</w:t>
            </w:r>
          </w:p>
          <w:p w:rsidR="00C82B80" w:rsidRPr="0068677C" w:rsidRDefault="00C82B80" w:rsidP="00C82B80">
            <w:pPr>
              <w:tabs>
                <w:tab w:val="left" w:pos="-1440"/>
                <w:tab w:val="left" w:pos="-720"/>
              </w:tabs>
              <w:rPr>
                <w:sz w:val="20"/>
                <w:szCs w:val="20"/>
                <w:lang w:val="en-US"/>
              </w:rPr>
            </w:pPr>
            <w:r w:rsidRPr="0068677C">
              <w:rPr>
                <w:sz w:val="20"/>
                <w:szCs w:val="20"/>
                <w:lang w:val="en-US"/>
              </w:rPr>
              <w:tab/>
            </w:r>
            <w:r w:rsidR="0098052F" w:rsidRPr="0068677C">
              <w:rPr>
                <w:sz w:val="20"/>
                <w:szCs w:val="20"/>
                <w:lang w:val="en-US"/>
              </w:rPr>
              <w:t>Papazian Heisy Myers</w:t>
            </w:r>
          </w:p>
          <w:p w:rsidR="00C82B80" w:rsidRPr="0068677C" w:rsidRDefault="00C82B80" w:rsidP="00C82B80">
            <w:pPr>
              <w:tabs>
                <w:tab w:val="left" w:pos="-1440"/>
                <w:tab w:val="left" w:pos="-720"/>
              </w:tabs>
              <w:rPr>
                <w:sz w:val="20"/>
                <w:szCs w:val="20"/>
                <w:lang w:val="en-US"/>
              </w:rPr>
            </w:pPr>
          </w:p>
          <w:p w:rsidR="00C82B80" w:rsidRPr="0068677C" w:rsidRDefault="00C82B80" w:rsidP="00C82B80">
            <w:pPr>
              <w:tabs>
                <w:tab w:val="left" w:pos="-1440"/>
                <w:tab w:val="left" w:pos="-720"/>
              </w:tabs>
              <w:rPr>
                <w:sz w:val="20"/>
                <w:szCs w:val="20"/>
                <w:lang w:val="en-US"/>
              </w:rPr>
            </w:pPr>
            <w:r w:rsidRPr="0068677C">
              <w:rPr>
                <w:sz w:val="20"/>
                <w:szCs w:val="20"/>
                <w:lang w:val="en-US"/>
              </w:rPr>
              <w:tab/>
              <w:t>v. (39</w:t>
            </w:r>
            <w:r w:rsidR="0098052F" w:rsidRPr="0068677C">
              <w:rPr>
                <w:sz w:val="20"/>
                <w:szCs w:val="20"/>
                <w:lang w:val="en-US"/>
              </w:rPr>
              <w:t>64</w:t>
            </w:r>
            <w:r w:rsidRPr="0068677C">
              <w:rPr>
                <w:sz w:val="20"/>
                <w:szCs w:val="20"/>
                <w:lang w:val="en-US"/>
              </w:rPr>
              <w:t>4)</w:t>
            </w:r>
          </w:p>
          <w:p w:rsidR="00C82B80" w:rsidRPr="0068677C" w:rsidRDefault="00C82B80" w:rsidP="00C82B80">
            <w:pPr>
              <w:tabs>
                <w:tab w:val="left" w:pos="-1440"/>
                <w:tab w:val="left" w:pos="-720"/>
              </w:tabs>
              <w:rPr>
                <w:sz w:val="20"/>
                <w:szCs w:val="20"/>
                <w:lang w:val="en-US"/>
              </w:rPr>
            </w:pPr>
          </w:p>
          <w:p w:rsidR="00C82B80" w:rsidRPr="0068677C" w:rsidRDefault="0098052F" w:rsidP="00C82B80">
            <w:pPr>
              <w:tabs>
                <w:tab w:val="left" w:pos="-1440"/>
                <w:tab w:val="left" w:pos="-720"/>
              </w:tabs>
              <w:rPr>
                <w:b/>
                <w:sz w:val="20"/>
                <w:szCs w:val="20"/>
                <w:lang w:val="en-US"/>
              </w:rPr>
            </w:pPr>
            <w:r w:rsidRPr="0068677C">
              <w:rPr>
                <w:b/>
                <w:sz w:val="20"/>
                <w:szCs w:val="20"/>
                <w:lang w:val="en-US"/>
              </w:rPr>
              <w:t xml:space="preserve">Williams McEnery, et al. </w:t>
            </w:r>
            <w:r w:rsidR="00C82B80" w:rsidRPr="0068677C">
              <w:rPr>
                <w:b/>
                <w:sz w:val="20"/>
                <w:szCs w:val="20"/>
                <w:lang w:val="en-US"/>
              </w:rPr>
              <w:t>(</w:t>
            </w:r>
            <w:r w:rsidRPr="0068677C">
              <w:rPr>
                <w:b/>
                <w:sz w:val="20"/>
                <w:szCs w:val="20"/>
                <w:lang w:val="en-US"/>
              </w:rPr>
              <w:t>Ont</w:t>
            </w:r>
            <w:r w:rsidR="00C82B80" w:rsidRPr="0068677C">
              <w:rPr>
                <w:b/>
                <w:sz w:val="20"/>
                <w:szCs w:val="20"/>
                <w:lang w:val="en-US"/>
              </w:rPr>
              <w:t>.)</w:t>
            </w:r>
          </w:p>
          <w:p w:rsidR="00C82B80" w:rsidRPr="0068677C" w:rsidRDefault="00C82B80" w:rsidP="00C82B80">
            <w:pPr>
              <w:tabs>
                <w:tab w:val="left" w:pos="-1440"/>
                <w:tab w:val="left" w:pos="-720"/>
              </w:tabs>
              <w:rPr>
                <w:sz w:val="20"/>
                <w:szCs w:val="20"/>
                <w:lang w:val="en-US"/>
              </w:rPr>
            </w:pPr>
            <w:r w:rsidRPr="0068677C">
              <w:rPr>
                <w:sz w:val="20"/>
                <w:szCs w:val="20"/>
                <w:lang w:val="en-US"/>
              </w:rPr>
              <w:tab/>
            </w:r>
            <w:r w:rsidR="0098052F" w:rsidRPr="0068677C">
              <w:rPr>
                <w:sz w:val="20"/>
                <w:szCs w:val="20"/>
                <w:lang w:val="en-US"/>
              </w:rPr>
              <w:t>Cavanagh, Stephen J.</w:t>
            </w:r>
          </w:p>
          <w:p w:rsidR="00C82B80" w:rsidRPr="0068677C" w:rsidRDefault="00C82B80" w:rsidP="00C82B80">
            <w:pPr>
              <w:tabs>
                <w:tab w:val="left" w:pos="-1440"/>
                <w:tab w:val="left" w:pos="-720"/>
              </w:tabs>
              <w:rPr>
                <w:sz w:val="20"/>
                <w:szCs w:val="20"/>
              </w:rPr>
            </w:pPr>
            <w:r w:rsidRPr="0068677C">
              <w:rPr>
                <w:sz w:val="20"/>
                <w:szCs w:val="20"/>
                <w:lang w:val="en-US"/>
              </w:rPr>
              <w:tab/>
            </w:r>
            <w:r w:rsidR="0098052F" w:rsidRPr="0068677C">
              <w:rPr>
                <w:sz w:val="20"/>
                <w:szCs w:val="20"/>
              </w:rPr>
              <w:t>Cavanagh LLP</w:t>
            </w:r>
          </w:p>
          <w:p w:rsidR="00C82B80" w:rsidRPr="0068677C" w:rsidRDefault="00C82B80" w:rsidP="00C82B80">
            <w:pPr>
              <w:tabs>
                <w:tab w:val="left" w:pos="-1440"/>
                <w:tab w:val="left" w:pos="-720"/>
              </w:tabs>
              <w:rPr>
                <w:sz w:val="20"/>
                <w:szCs w:val="20"/>
              </w:rPr>
            </w:pPr>
          </w:p>
          <w:p w:rsidR="00C82B80" w:rsidRPr="0068677C" w:rsidRDefault="0098052F" w:rsidP="00C82B80">
            <w:pPr>
              <w:rPr>
                <w:sz w:val="20"/>
                <w:szCs w:val="20"/>
              </w:rPr>
            </w:pPr>
            <w:r w:rsidRPr="0068677C">
              <w:rPr>
                <w:sz w:val="20"/>
                <w:szCs w:val="20"/>
              </w:rPr>
              <w:t>FILING DATE: May</w:t>
            </w:r>
            <w:r w:rsidR="00C82B80" w:rsidRPr="0068677C">
              <w:rPr>
                <w:sz w:val="20"/>
                <w:szCs w:val="20"/>
              </w:rPr>
              <w:t xml:space="preserve"> </w:t>
            </w:r>
            <w:r w:rsidRPr="0068677C">
              <w:rPr>
                <w:sz w:val="20"/>
                <w:szCs w:val="20"/>
              </w:rPr>
              <w:t>11</w:t>
            </w:r>
            <w:r w:rsidR="00C82B80" w:rsidRPr="0068677C">
              <w:rPr>
                <w:sz w:val="20"/>
                <w:szCs w:val="20"/>
              </w:rPr>
              <w:t>, 2021</w:t>
            </w:r>
          </w:p>
          <w:p w:rsidR="00C82B80" w:rsidRPr="0068677C" w:rsidRDefault="00C82B80" w:rsidP="00C82B80">
            <w:pPr>
              <w:rPr>
                <w:sz w:val="20"/>
                <w:szCs w:val="20"/>
              </w:rPr>
            </w:pPr>
          </w:p>
          <w:p w:rsidR="00C82B80" w:rsidRPr="0068677C" w:rsidRDefault="00D800B2" w:rsidP="00C82B80">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p w:rsidR="00C82B80" w:rsidRPr="0068677C" w:rsidRDefault="00C82B80" w:rsidP="00F138C1">
            <w:pPr>
              <w:jc w:val="center"/>
              <w:rPr>
                <w:sz w:val="20"/>
                <w:szCs w:val="20"/>
                <w:lang w:val="en-US"/>
              </w:rPr>
            </w:pPr>
          </w:p>
        </w:tc>
        <w:tc>
          <w:tcPr>
            <w:tcW w:w="4239" w:type="dxa"/>
            <w:shd w:val="clear" w:color="auto" w:fill="auto"/>
          </w:tcPr>
          <w:p w:rsidR="00C82B80" w:rsidRPr="0068677C" w:rsidRDefault="00C82B80" w:rsidP="00C82B80">
            <w:pPr>
              <w:rPr>
                <w:b/>
                <w:sz w:val="20"/>
                <w:szCs w:val="20"/>
                <w:lang w:val="en-US"/>
              </w:rPr>
            </w:pPr>
          </w:p>
        </w:tc>
      </w:tr>
    </w:tbl>
    <w:p w:rsidR="00F138C1" w:rsidRPr="0068677C" w:rsidRDefault="00F138C1" w:rsidP="00F138C1">
      <w:pPr>
        <w:tabs>
          <w:tab w:val="right" w:pos="9360"/>
        </w:tabs>
        <w:rPr>
          <w:sz w:val="20"/>
          <w:szCs w:val="20"/>
          <w:lang w:val="fr-CA"/>
        </w:rPr>
      </w:pPr>
    </w:p>
    <w:p w:rsidR="00F138C1" w:rsidRPr="0068677C" w:rsidRDefault="00F138C1" w:rsidP="00F138C1">
      <w:pPr>
        <w:tabs>
          <w:tab w:val="right" w:pos="9360"/>
        </w:tabs>
        <w:rPr>
          <w:sz w:val="20"/>
          <w:szCs w:val="20"/>
          <w:lang w:val="fr-CA"/>
        </w:rPr>
      </w:pPr>
    </w:p>
    <w:p w:rsidR="00C01FCB" w:rsidRPr="0068677C" w:rsidRDefault="00C01FCB" w:rsidP="0095096B">
      <w:pPr>
        <w:tabs>
          <w:tab w:val="right" w:pos="9360"/>
        </w:tabs>
        <w:rPr>
          <w:sz w:val="20"/>
          <w:szCs w:val="20"/>
          <w:lang w:val="fr-CA"/>
        </w:rPr>
      </w:pPr>
    </w:p>
    <w:p w:rsidR="00242AEE" w:rsidRPr="0068677C" w:rsidRDefault="00242AEE" w:rsidP="0095096B">
      <w:pPr>
        <w:tabs>
          <w:tab w:val="right" w:pos="9360"/>
        </w:tabs>
        <w:rPr>
          <w:sz w:val="20"/>
          <w:szCs w:val="20"/>
          <w:lang w:val="fr-CA"/>
        </w:rPr>
        <w:sectPr w:rsidR="00242AEE" w:rsidRPr="0068677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8677C" w:rsidRDefault="00DD0BDC" w:rsidP="00567602">
      <w:pPr>
        <w:pStyle w:val="Header1StyleE"/>
        <w:pBdr>
          <w:bottom w:val="single" w:sz="12" w:space="1" w:color="auto"/>
        </w:pBdr>
        <w:rPr>
          <w:lang w:val="fr-CA"/>
        </w:rPr>
      </w:pPr>
      <w:bookmarkStart w:id="2" w:name="QuickMark_1"/>
      <w:bookmarkStart w:id="3" w:name="_Toc72405877"/>
      <w:bookmarkEnd w:id="2"/>
      <w:r w:rsidRPr="0068677C">
        <w:rPr>
          <w:lang w:val="fr-CA"/>
        </w:rPr>
        <w:lastRenderedPageBreak/>
        <w:t>Judgments on applications</w:t>
      </w:r>
      <w:r w:rsidR="000C1D9D" w:rsidRPr="0068677C">
        <w:rPr>
          <w:lang w:val="fr-CA"/>
        </w:rPr>
        <w:t xml:space="preserve"> </w:t>
      </w:r>
      <w:r w:rsidRPr="0068677C">
        <w:rPr>
          <w:lang w:val="fr-CA"/>
        </w:rPr>
        <w:t>for leave</w:t>
      </w:r>
      <w:r w:rsidR="00693C38" w:rsidRPr="0068677C">
        <w:rPr>
          <w:noProof/>
          <w:sz w:val="20"/>
          <w:lang w:val="fr-CA"/>
        </w:rPr>
        <w:t xml:space="preserve"> </w:t>
      </w:r>
      <w:r w:rsidR="00271E1E" w:rsidRPr="0068677C">
        <w:rPr>
          <w:noProof/>
          <w:sz w:val="20"/>
          <w:lang w:val="fr-CA"/>
        </w:rPr>
        <w:t xml:space="preserve">/ </w:t>
      </w:r>
      <w:r w:rsidR="00693C38" w:rsidRPr="0068677C">
        <w:rPr>
          <w:noProof/>
          <w:sz w:val="20"/>
          <w:lang w:val="fr-CA"/>
        </w:rPr>
        <w:br/>
      </w:r>
      <w:r w:rsidRPr="0068677C">
        <w:rPr>
          <w:lang w:val="fr-CA"/>
        </w:rPr>
        <w:t>Jugements rendus sur les demandes d’autorisation</w:t>
      </w:r>
      <w:bookmarkEnd w:id="3"/>
    </w:p>
    <w:p w:rsidR="00FB1DB6" w:rsidRPr="0068677C" w:rsidRDefault="00FB1DB6" w:rsidP="00693C38">
      <w:pPr>
        <w:rPr>
          <w:sz w:val="20"/>
          <w:szCs w:val="20"/>
          <w:lang w:val="fr-CA"/>
        </w:rPr>
      </w:pPr>
    </w:p>
    <w:p w:rsidR="00F16063" w:rsidRPr="0068677C" w:rsidRDefault="002349DE" w:rsidP="00F16063">
      <w:pPr>
        <w:rPr>
          <w:b/>
          <w:sz w:val="20"/>
          <w:szCs w:val="20"/>
        </w:rPr>
      </w:pPr>
      <w:r w:rsidRPr="0068677C">
        <w:rPr>
          <w:b/>
          <w:sz w:val="20"/>
          <w:szCs w:val="20"/>
          <w:lang w:val="fr-CA"/>
        </w:rPr>
        <w:t>MAY</w:t>
      </w:r>
      <w:r w:rsidR="00F16063" w:rsidRPr="0068677C">
        <w:rPr>
          <w:b/>
          <w:sz w:val="20"/>
          <w:szCs w:val="20"/>
        </w:rPr>
        <w:t xml:space="preserve"> </w:t>
      </w:r>
      <w:r w:rsidRPr="0068677C">
        <w:rPr>
          <w:b/>
          <w:sz w:val="20"/>
          <w:szCs w:val="20"/>
        </w:rPr>
        <w:t>20</w:t>
      </w:r>
      <w:r w:rsidR="00F16063" w:rsidRPr="0068677C">
        <w:rPr>
          <w:b/>
          <w:sz w:val="20"/>
          <w:szCs w:val="20"/>
        </w:rPr>
        <w:t xml:space="preserve">, </w:t>
      </w:r>
      <w:r w:rsidR="0034657E" w:rsidRPr="0068677C">
        <w:rPr>
          <w:b/>
          <w:sz w:val="20"/>
          <w:szCs w:val="20"/>
        </w:rPr>
        <w:t>20</w:t>
      </w:r>
      <w:r w:rsidR="005967EF" w:rsidRPr="0068677C">
        <w:rPr>
          <w:b/>
          <w:sz w:val="20"/>
          <w:szCs w:val="20"/>
        </w:rPr>
        <w:t>2</w:t>
      </w:r>
      <w:r w:rsidR="009B36BA" w:rsidRPr="0068677C">
        <w:rPr>
          <w:b/>
          <w:sz w:val="20"/>
          <w:szCs w:val="20"/>
        </w:rPr>
        <w:t>1</w:t>
      </w:r>
      <w:r w:rsidR="00F16063" w:rsidRPr="0068677C">
        <w:rPr>
          <w:b/>
          <w:sz w:val="20"/>
          <w:szCs w:val="20"/>
        </w:rPr>
        <w:t xml:space="preserve"> / LE </w:t>
      </w:r>
      <w:r w:rsidRPr="0068677C">
        <w:rPr>
          <w:b/>
          <w:sz w:val="20"/>
          <w:szCs w:val="20"/>
        </w:rPr>
        <w:t>20</w:t>
      </w:r>
      <w:r w:rsidR="00F16063" w:rsidRPr="0068677C">
        <w:rPr>
          <w:b/>
          <w:sz w:val="20"/>
          <w:szCs w:val="20"/>
        </w:rPr>
        <w:t xml:space="preserve"> </w:t>
      </w:r>
      <w:r w:rsidRPr="0068677C">
        <w:rPr>
          <w:b/>
          <w:sz w:val="20"/>
          <w:szCs w:val="20"/>
        </w:rPr>
        <w:t>MAI</w:t>
      </w:r>
      <w:r w:rsidR="00F16063" w:rsidRPr="0068677C">
        <w:rPr>
          <w:b/>
          <w:sz w:val="20"/>
          <w:szCs w:val="20"/>
        </w:rPr>
        <w:t xml:space="preserve"> </w:t>
      </w:r>
      <w:r w:rsidR="0034657E" w:rsidRPr="0068677C">
        <w:rPr>
          <w:b/>
          <w:sz w:val="20"/>
          <w:szCs w:val="20"/>
        </w:rPr>
        <w:t>20</w:t>
      </w:r>
      <w:r w:rsidR="005967EF" w:rsidRPr="0068677C">
        <w:rPr>
          <w:b/>
          <w:sz w:val="20"/>
          <w:szCs w:val="20"/>
        </w:rPr>
        <w:t>2</w:t>
      </w:r>
      <w:r w:rsidR="009B36BA" w:rsidRPr="0068677C">
        <w:rPr>
          <w:b/>
          <w:sz w:val="20"/>
          <w:szCs w:val="20"/>
        </w:rPr>
        <w:t>1</w:t>
      </w:r>
    </w:p>
    <w:p w:rsidR="00C50008" w:rsidRPr="0068677C" w:rsidRDefault="00C50008" w:rsidP="00C500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39411</w:t>
            </w:r>
          </w:p>
        </w:tc>
        <w:tc>
          <w:tcPr>
            <w:tcW w:w="4457" w:type="pct"/>
            <w:gridSpan w:val="3"/>
          </w:tcPr>
          <w:p w:rsidR="00C50008" w:rsidRPr="0068677C" w:rsidRDefault="005B5AEE" w:rsidP="005B5AEE">
            <w:pPr>
              <w:pStyle w:val="SCCLsocParty"/>
              <w:jc w:val="both"/>
              <w:rPr>
                <w:b/>
                <w:sz w:val="20"/>
                <w:szCs w:val="20"/>
                <w:lang w:val="en-CA"/>
              </w:rPr>
            </w:pPr>
            <w:r w:rsidRPr="0068677C">
              <w:rPr>
                <w:b/>
                <w:sz w:val="20"/>
                <w:szCs w:val="20"/>
                <w:lang w:val="en-CA"/>
              </w:rPr>
              <w:t>KPMG inc., in its capacity as liquidator of Dessau Inc. under Superior Court order, Number 500-11-056442-193</w:t>
            </w:r>
            <w:r w:rsidR="00C50008" w:rsidRPr="0068677C">
              <w:rPr>
                <w:b/>
                <w:sz w:val="20"/>
                <w:szCs w:val="20"/>
                <w:lang w:val="en-CA"/>
              </w:rPr>
              <w:t xml:space="preserve"> v. Ville de Lorraine</w:t>
            </w:r>
          </w:p>
          <w:p w:rsidR="00C50008" w:rsidRPr="0068677C" w:rsidRDefault="00C50008" w:rsidP="005B5AEE">
            <w:pPr>
              <w:pStyle w:val="SCCLsocOtherPartySeparator"/>
              <w:rPr>
                <w:sz w:val="20"/>
                <w:szCs w:val="20"/>
                <w:lang w:val="en-CA"/>
              </w:rPr>
            </w:pPr>
            <w:r w:rsidRPr="0068677C">
              <w:rPr>
                <w:sz w:val="20"/>
                <w:szCs w:val="20"/>
                <w:lang w:val="en-CA"/>
              </w:rPr>
              <w:t>- and -</w:t>
            </w:r>
          </w:p>
          <w:p w:rsidR="00C50008" w:rsidRPr="0068677C" w:rsidRDefault="005B5AEE" w:rsidP="005B5AEE">
            <w:pPr>
              <w:pStyle w:val="SCCLsocParty"/>
              <w:jc w:val="both"/>
              <w:rPr>
                <w:b/>
                <w:sz w:val="20"/>
                <w:szCs w:val="20"/>
                <w:lang w:val="en-CA"/>
              </w:rPr>
            </w:pPr>
            <w:r w:rsidRPr="0068677C">
              <w:rPr>
                <w:b/>
                <w:sz w:val="20"/>
                <w:szCs w:val="20"/>
                <w:lang w:val="en-CA"/>
              </w:rPr>
              <w:t>Axa Assurances inc., Intact Insurance Company, Asphalte Desjardins inc., Attorney General of Québec and Innovex produits techniques inc.</w:t>
            </w:r>
          </w:p>
          <w:p w:rsidR="00C50008" w:rsidRPr="0068677C" w:rsidRDefault="00C50008" w:rsidP="005B5AEE">
            <w:pPr>
              <w:jc w:val="both"/>
              <w:rPr>
                <w:sz w:val="20"/>
              </w:rPr>
            </w:pPr>
            <w:r w:rsidRPr="0068677C">
              <w:rPr>
                <w:sz w:val="20"/>
              </w:rPr>
              <w:t>(Que.) (Civil) (By Leave)</w:t>
            </w:r>
          </w:p>
        </w:tc>
      </w:tr>
      <w:tr w:rsidR="00812A2D" w:rsidRPr="0068677C" w:rsidTr="005B5AEE">
        <w:tc>
          <w:tcPr>
            <w:tcW w:w="5000" w:type="pct"/>
            <w:gridSpan w:val="4"/>
          </w:tcPr>
          <w:p w:rsidR="005B5AEE" w:rsidRPr="0068677C" w:rsidRDefault="005B5AEE" w:rsidP="005B5AEE">
            <w:pPr>
              <w:jc w:val="both"/>
              <w:rPr>
                <w:sz w:val="20"/>
                <w:szCs w:val="20"/>
              </w:rPr>
            </w:pPr>
            <w:r w:rsidRPr="0068677C">
              <w:rPr>
                <w:sz w:val="20"/>
                <w:szCs w:val="20"/>
                <w:lang w:val="en-US"/>
              </w:rPr>
              <w:t xml:space="preserve">The motion for an extension of time to serve and file the application for leave to appeal is granted. </w:t>
            </w:r>
            <w:r w:rsidRPr="0068677C">
              <w:rPr>
                <w:sz w:val="20"/>
                <w:szCs w:val="20"/>
              </w:rPr>
              <w:t>The application for leave to appeal from the judgment of the</w:t>
            </w:r>
            <w:bookmarkStart w:id="4" w:name="BM_1_"/>
            <w:bookmarkEnd w:id="4"/>
            <w:r w:rsidRPr="0068677C">
              <w:rPr>
                <w:sz w:val="20"/>
                <w:szCs w:val="20"/>
              </w:rPr>
              <w:t xml:space="preserve"> </w:t>
            </w:r>
            <w:r w:rsidRPr="0068677C">
              <w:rPr>
                <w:sz w:val="20"/>
                <w:szCs w:val="20"/>
                <w:lang w:val="en-US"/>
              </w:rPr>
              <w:t>Court of Appeal of Quebec (Montréal)</w:t>
            </w:r>
            <w:r w:rsidRPr="0068677C">
              <w:rPr>
                <w:sz w:val="20"/>
                <w:szCs w:val="20"/>
              </w:rPr>
              <w:t xml:space="preserve">, Number </w:t>
            </w:r>
            <w:r w:rsidRPr="0068677C">
              <w:rPr>
                <w:sz w:val="20"/>
                <w:szCs w:val="20"/>
                <w:lang w:val="en-US"/>
              </w:rPr>
              <w:t>500-09-027327-188</w:t>
            </w:r>
            <w:r w:rsidRPr="0068677C">
              <w:rPr>
                <w:sz w:val="20"/>
                <w:szCs w:val="20"/>
              </w:rPr>
              <w:t xml:space="preserve">, </w:t>
            </w:r>
            <w:r w:rsidRPr="0068677C">
              <w:rPr>
                <w:sz w:val="20"/>
                <w:szCs w:val="20"/>
                <w:lang w:val="en-US"/>
              </w:rPr>
              <w:t xml:space="preserve">2020 QCCA 1086, </w:t>
            </w:r>
            <w:r w:rsidRPr="0068677C">
              <w:rPr>
                <w:sz w:val="20"/>
                <w:szCs w:val="20"/>
              </w:rPr>
              <w:t xml:space="preserve">dated </w:t>
            </w:r>
            <w:r w:rsidRPr="0068677C">
              <w:rPr>
                <w:sz w:val="20"/>
                <w:szCs w:val="20"/>
                <w:lang w:val="en-US"/>
              </w:rPr>
              <w:t>August 31, 2020,</w:t>
            </w:r>
            <w:r w:rsidRPr="0068677C">
              <w:rPr>
                <w:sz w:val="20"/>
                <w:szCs w:val="20"/>
              </w:rPr>
              <w:t xml:space="preserve"> is dismissed with costs.</w:t>
            </w:r>
          </w:p>
          <w:p w:rsidR="00812A2D" w:rsidRPr="0068677C" w:rsidRDefault="00812A2D"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 xml:space="preserve">Contracts — Construction law — Municipal law — Liability — Loss of work — Obligation to minimize injury — Obligation of good faith — In light of general principle of good faith, extent to which obligation to minimize injury requires client to consider alternatives in collaboration with other contracting parties before unilaterally abandoning construction of work that cannot be completed as initially designed — Whether evidence that work cannot be completed as designed is sufficient to give rise to presumption of total loss in favour of client, such that client can claim damages corresponding to entire price paid without having to show its lack of utility — Extent of trial courts’ latitude in exercising their discretion with respect to compliance with principles of proportionality and cooperation among parties — </w:t>
            </w:r>
            <w:r w:rsidRPr="0068677C">
              <w:rPr>
                <w:i/>
                <w:sz w:val="20"/>
              </w:rPr>
              <w:t>Civil Code of Québec</w:t>
            </w:r>
            <w:r w:rsidRPr="0068677C">
              <w:rPr>
                <w:sz w:val="20"/>
              </w:rPr>
              <w:t>, CQLR, c. CCQ</w:t>
            </w:r>
            <w:r w:rsidRPr="0068677C">
              <w:rPr>
                <w:sz w:val="20"/>
              </w:rPr>
              <w:noBreakHyphen/>
              <w:t>1991, art. 1479.</w:t>
            </w:r>
          </w:p>
        </w:tc>
      </w:tr>
      <w:tr w:rsidR="00C50008" w:rsidRPr="0068677C" w:rsidTr="005B5AEE">
        <w:tc>
          <w:tcPr>
            <w:tcW w:w="5000" w:type="pct"/>
            <w:gridSpan w:val="4"/>
          </w:tcPr>
          <w:p w:rsidR="00C50008" w:rsidRPr="0068677C" w:rsidRDefault="00C50008" w:rsidP="005B5AEE">
            <w:pPr>
              <w:jc w:val="both"/>
              <w:rPr>
                <w:sz w:val="20"/>
              </w:rPr>
            </w:pPr>
          </w:p>
          <w:p w:rsidR="00C50008" w:rsidRPr="0068677C" w:rsidRDefault="00C50008" w:rsidP="005B5AEE">
            <w:pPr>
              <w:jc w:val="both"/>
              <w:rPr>
                <w:sz w:val="20"/>
              </w:rPr>
            </w:pPr>
            <w:r w:rsidRPr="0068677C">
              <w:rPr>
                <w:sz w:val="20"/>
              </w:rPr>
              <w:t>The respondent decided to build a sound abatement wall in order to lessen the impact of motor vehicle traffic on its population. The applicant’s services were retained by the respondent to prepare the plans, draw up calls for tenders, carry out a pre</w:t>
            </w:r>
            <w:r w:rsidRPr="0068677C">
              <w:rPr>
                <w:sz w:val="20"/>
              </w:rPr>
              <w:noBreakHyphen/>
              <w:t>project geotechnical study and oversee the work. Construction began in 2008 but was stopped in 2009 following the collapse of part of the wall due to the presence of soft clay in the soil</w:t>
            </w:r>
            <w:r w:rsidRPr="0068677C">
              <w:rPr>
                <w:color w:val="000000"/>
                <w:sz w:val="20"/>
              </w:rPr>
              <w:t>. Proceedings were instituted by the various parties to the construction project. The Superior Court allowed in part the action brought by Asphalte Desjardins inc. against Ville de Lorraine (“town”) and also allowed in part the town’s action against Asphalte Desjardins inc. and Dessau inc. It dismissed the town’s action against AXA Insurance Inc. and Intact Insurance Company. A majority of the Court of Appeal dismissed the town’s appeal against Asphalte Desjardins inc., AXA Insurance Inc. and Intact Insurance Company, and allowed in part its appeal against Dessau inc.</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January 12, 2018</w:t>
            </w:r>
          </w:p>
          <w:p w:rsidR="00C50008" w:rsidRPr="0068677C" w:rsidRDefault="00C50008" w:rsidP="005B5AEE">
            <w:pPr>
              <w:jc w:val="both"/>
              <w:rPr>
                <w:sz w:val="20"/>
              </w:rPr>
            </w:pPr>
            <w:r w:rsidRPr="0068677C">
              <w:rPr>
                <w:sz w:val="20"/>
              </w:rPr>
              <w:t>Quebec Superior Court</w:t>
            </w:r>
          </w:p>
          <w:p w:rsidR="00C50008" w:rsidRPr="0068677C" w:rsidRDefault="00C50008" w:rsidP="005B5AEE">
            <w:pPr>
              <w:jc w:val="both"/>
              <w:rPr>
                <w:sz w:val="20"/>
              </w:rPr>
            </w:pPr>
            <w:r w:rsidRPr="0068677C">
              <w:rPr>
                <w:sz w:val="20"/>
              </w:rPr>
              <w:t>(Turcotte J.)</w:t>
            </w:r>
          </w:p>
          <w:p w:rsidR="00C50008" w:rsidRPr="0068677C" w:rsidRDefault="00C50008" w:rsidP="005B5AEE">
            <w:pPr>
              <w:jc w:val="both"/>
              <w:rPr>
                <w:sz w:val="20"/>
              </w:rPr>
            </w:pPr>
            <w:r w:rsidRPr="0068677C">
              <w:rPr>
                <w:sz w:val="20"/>
              </w:rPr>
              <w:t>700</w:t>
            </w:r>
            <w:r w:rsidRPr="0068677C">
              <w:rPr>
                <w:sz w:val="20"/>
              </w:rPr>
              <w:noBreakHyphen/>
              <w:t>17</w:t>
            </w:r>
            <w:r w:rsidRPr="0068677C">
              <w:rPr>
                <w:sz w:val="20"/>
              </w:rPr>
              <w:noBreakHyphen/>
              <w:t>007100</w:t>
            </w:r>
            <w:r w:rsidRPr="0068677C">
              <w:rPr>
                <w:sz w:val="20"/>
              </w:rPr>
              <w:noBreakHyphen/>
              <w:t>109; 700</w:t>
            </w:r>
            <w:r w:rsidRPr="0068677C">
              <w:rPr>
                <w:sz w:val="20"/>
              </w:rPr>
              <w:noBreakHyphen/>
              <w:t>17</w:t>
            </w:r>
            <w:r w:rsidRPr="0068677C">
              <w:rPr>
                <w:sz w:val="20"/>
              </w:rPr>
              <w:noBreakHyphen/>
              <w:t>008286</w:t>
            </w:r>
            <w:r w:rsidRPr="0068677C">
              <w:rPr>
                <w:sz w:val="20"/>
              </w:rPr>
              <w:noBreakHyphen/>
              <w:t>113</w:t>
            </w:r>
          </w:p>
          <w:p w:rsidR="00C50008" w:rsidRPr="0068677C" w:rsidRDefault="00D800B2" w:rsidP="005B5AEE">
            <w:pPr>
              <w:jc w:val="both"/>
              <w:rPr>
                <w:sz w:val="20"/>
              </w:rPr>
            </w:pPr>
            <w:hyperlink r:id="rId15" w:history="1">
              <w:r w:rsidR="00C50008" w:rsidRPr="0068677C">
                <w:rPr>
                  <w:rStyle w:val="Hyperlink"/>
                  <w:sz w:val="20"/>
                </w:rPr>
                <w:t>2018 QCCS 60</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Action of Asphalte Desjardins inc. against Ville de Lorraine allowed in part</w:t>
            </w:r>
          </w:p>
          <w:p w:rsidR="00C50008" w:rsidRPr="0068677C" w:rsidRDefault="00C50008" w:rsidP="005B5AEE">
            <w:pPr>
              <w:jc w:val="both"/>
              <w:rPr>
                <w:sz w:val="20"/>
              </w:rPr>
            </w:pPr>
          </w:p>
          <w:p w:rsidR="00C50008" w:rsidRPr="0068677C" w:rsidRDefault="00C50008" w:rsidP="005B5AEE">
            <w:pPr>
              <w:jc w:val="both"/>
              <w:rPr>
                <w:sz w:val="20"/>
              </w:rPr>
            </w:pPr>
            <w:r w:rsidRPr="0068677C">
              <w:rPr>
                <w:sz w:val="20"/>
              </w:rPr>
              <w:t xml:space="preserve">Action of Ville de Lorraine against Asphalte Desjardins inc. and Dessau inc. allowed in part; action of Ville de Lorraine against </w:t>
            </w:r>
            <w:r w:rsidRPr="0068677C">
              <w:rPr>
                <w:color w:val="000000"/>
                <w:sz w:val="20"/>
              </w:rPr>
              <w:t>AXA Insurance Inc.</w:t>
            </w:r>
            <w:r w:rsidRPr="0068677C">
              <w:rPr>
                <w:sz w:val="20"/>
              </w:rPr>
              <w:t xml:space="preserve"> and Intact Insurance Company dismissed</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August 31, 2020</w:t>
            </w:r>
          </w:p>
          <w:p w:rsidR="00C50008" w:rsidRPr="0068677C" w:rsidRDefault="00C50008" w:rsidP="005B5AEE">
            <w:pPr>
              <w:jc w:val="both"/>
              <w:rPr>
                <w:sz w:val="20"/>
              </w:rPr>
            </w:pPr>
            <w:r w:rsidRPr="0068677C">
              <w:rPr>
                <w:sz w:val="20"/>
              </w:rPr>
              <w:t>Quebec Court of Appeal (Montréal)</w:t>
            </w:r>
          </w:p>
          <w:p w:rsidR="00C50008" w:rsidRPr="0068677C" w:rsidRDefault="00C50008" w:rsidP="005B5AEE">
            <w:pPr>
              <w:jc w:val="both"/>
              <w:rPr>
                <w:sz w:val="20"/>
              </w:rPr>
            </w:pPr>
            <w:r w:rsidRPr="0068677C">
              <w:rPr>
                <w:sz w:val="20"/>
              </w:rPr>
              <w:t>(Bich, Marcotte [dissenting in part] and Hogue JJ.A.)</w:t>
            </w:r>
          </w:p>
          <w:p w:rsidR="00C50008" w:rsidRPr="0068677C" w:rsidRDefault="00C50008" w:rsidP="005B5AEE">
            <w:pPr>
              <w:jc w:val="both"/>
              <w:rPr>
                <w:sz w:val="20"/>
              </w:rPr>
            </w:pPr>
            <w:r w:rsidRPr="0068677C">
              <w:rPr>
                <w:sz w:val="20"/>
              </w:rPr>
              <w:t>500</w:t>
            </w:r>
            <w:r w:rsidRPr="0068677C">
              <w:rPr>
                <w:sz w:val="20"/>
              </w:rPr>
              <w:noBreakHyphen/>
              <w:t>09</w:t>
            </w:r>
            <w:r w:rsidRPr="0068677C">
              <w:rPr>
                <w:sz w:val="20"/>
              </w:rPr>
              <w:noBreakHyphen/>
              <w:t>027327</w:t>
            </w:r>
            <w:r w:rsidRPr="0068677C">
              <w:rPr>
                <w:sz w:val="20"/>
              </w:rPr>
              <w:noBreakHyphen/>
              <w:t xml:space="preserve">188 </w:t>
            </w:r>
          </w:p>
          <w:p w:rsidR="00C50008" w:rsidRPr="0068677C" w:rsidRDefault="00D800B2" w:rsidP="005B5AEE">
            <w:pPr>
              <w:jc w:val="both"/>
              <w:rPr>
                <w:sz w:val="20"/>
              </w:rPr>
            </w:pPr>
            <w:hyperlink r:id="rId16" w:history="1">
              <w:r w:rsidR="00C50008" w:rsidRPr="0068677C">
                <w:rPr>
                  <w:rStyle w:val="Hyperlink"/>
                  <w:sz w:val="20"/>
                </w:rPr>
                <w:t>2020 QCCA 1086</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 xml:space="preserve">Appeal of Ville de Lorraine against Asphalte Desjardins inc., </w:t>
            </w:r>
            <w:r w:rsidRPr="0068677C">
              <w:rPr>
                <w:color w:val="000000"/>
                <w:sz w:val="20"/>
              </w:rPr>
              <w:t>AXA Insurance Inc.</w:t>
            </w:r>
            <w:r w:rsidRPr="0068677C">
              <w:rPr>
                <w:sz w:val="20"/>
              </w:rPr>
              <w:t xml:space="preserve"> and Intact Insurance Company dismissed; appeal of Ville de Lorraine against Dessau inc. allowed in part</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November 13, 2020</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36"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lastRenderedPageBreak/>
              <w:t>39411</w:t>
            </w:r>
          </w:p>
        </w:tc>
        <w:tc>
          <w:tcPr>
            <w:tcW w:w="4457" w:type="pct"/>
            <w:gridSpan w:val="3"/>
          </w:tcPr>
          <w:p w:rsidR="00C50008" w:rsidRPr="0068677C" w:rsidRDefault="005B5AEE" w:rsidP="005B5AEE">
            <w:pPr>
              <w:pStyle w:val="SCCLsocParty"/>
              <w:jc w:val="both"/>
              <w:rPr>
                <w:b/>
                <w:sz w:val="20"/>
                <w:szCs w:val="20"/>
              </w:rPr>
            </w:pPr>
            <w:r w:rsidRPr="0068677C">
              <w:rPr>
                <w:b/>
                <w:sz w:val="20"/>
                <w:szCs w:val="20"/>
              </w:rPr>
              <w:t>KPMG inc., en sa qualité de liquidateur de Dessau Inc. suivant l’Ordonnance de la Cour supérieure portant le numéro 500-11-056442-193</w:t>
            </w:r>
            <w:r w:rsidR="00C50008" w:rsidRPr="0068677C">
              <w:rPr>
                <w:b/>
                <w:sz w:val="20"/>
                <w:szCs w:val="20"/>
              </w:rPr>
              <w:t xml:space="preserve"> c. Ville de Lorraine</w:t>
            </w:r>
          </w:p>
          <w:p w:rsidR="00C50008" w:rsidRPr="0068677C" w:rsidRDefault="00C50008" w:rsidP="005B5AEE">
            <w:pPr>
              <w:pStyle w:val="SCCLsocOtherPartySeparator"/>
              <w:rPr>
                <w:sz w:val="20"/>
                <w:szCs w:val="20"/>
                <w:lang w:val="fr-CA"/>
              </w:rPr>
            </w:pPr>
            <w:r w:rsidRPr="0068677C">
              <w:rPr>
                <w:sz w:val="20"/>
                <w:szCs w:val="20"/>
                <w:lang w:val="fr-CA"/>
              </w:rPr>
              <w:t>- et -</w:t>
            </w:r>
          </w:p>
          <w:p w:rsidR="00C50008" w:rsidRPr="0068677C" w:rsidRDefault="005B5AEE" w:rsidP="005B5AEE">
            <w:pPr>
              <w:pStyle w:val="SCCLsocParty"/>
              <w:jc w:val="both"/>
              <w:rPr>
                <w:b/>
                <w:sz w:val="20"/>
                <w:szCs w:val="20"/>
              </w:rPr>
            </w:pPr>
            <w:r w:rsidRPr="0068677C">
              <w:rPr>
                <w:b/>
                <w:sz w:val="20"/>
                <w:szCs w:val="20"/>
              </w:rPr>
              <w:t>Axa Assurances inc., Intact compagnie d’assurance, Asphalte Desjardins inc., Procureur général du Québec et Innovex produits techniques inc.</w:t>
            </w:r>
          </w:p>
          <w:p w:rsidR="00C50008" w:rsidRPr="0068677C" w:rsidRDefault="00C50008" w:rsidP="005B5AEE">
            <w:pPr>
              <w:jc w:val="both"/>
              <w:rPr>
                <w:sz w:val="20"/>
              </w:rPr>
            </w:pPr>
            <w:r w:rsidRPr="0068677C">
              <w:rPr>
                <w:sz w:val="20"/>
              </w:rPr>
              <w:t>(Qc) (Civile) (Autorisation)</w:t>
            </w:r>
          </w:p>
        </w:tc>
      </w:tr>
      <w:tr w:rsidR="00812A2D" w:rsidRPr="00D800B2" w:rsidTr="005B5AEE">
        <w:tc>
          <w:tcPr>
            <w:tcW w:w="5000" w:type="pct"/>
            <w:gridSpan w:val="4"/>
          </w:tcPr>
          <w:p w:rsidR="005B5AEE" w:rsidRPr="0068677C" w:rsidRDefault="005B5AEE" w:rsidP="005B5AEE">
            <w:pPr>
              <w:jc w:val="both"/>
              <w:rPr>
                <w:sz w:val="20"/>
                <w:szCs w:val="20"/>
                <w:lang w:val="fr-CA"/>
              </w:rPr>
            </w:pPr>
            <w:r w:rsidRPr="0068677C">
              <w:rPr>
                <w:sz w:val="20"/>
                <w:szCs w:val="20"/>
                <w:lang w:val="fr-CA"/>
              </w:rPr>
              <w:t>La requ</w:t>
            </w:r>
            <w:r w:rsidRPr="0068677C">
              <w:rPr>
                <w:rFonts w:cs="Times New Roman"/>
                <w:sz w:val="20"/>
                <w:szCs w:val="20"/>
                <w:lang w:val="fr-CA"/>
              </w:rPr>
              <w:t>ê</w:t>
            </w:r>
            <w:r w:rsidRPr="0068677C">
              <w:rPr>
                <w:sz w:val="20"/>
                <w:szCs w:val="20"/>
                <w:lang w:val="fr-CA"/>
              </w:rPr>
              <w:t>te en prorogation du d</w:t>
            </w:r>
            <w:r w:rsidRPr="0068677C">
              <w:rPr>
                <w:rFonts w:cs="Times New Roman"/>
                <w:sz w:val="20"/>
                <w:szCs w:val="20"/>
                <w:lang w:val="fr-CA"/>
              </w:rPr>
              <w:t>é</w:t>
            </w:r>
            <w:r w:rsidRPr="0068677C">
              <w:rPr>
                <w:sz w:val="20"/>
                <w:szCs w:val="20"/>
                <w:lang w:val="fr-CA"/>
              </w:rPr>
              <w:t>lai de signification et de d</w:t>
            </w:r>
            <w:r w:rsidRPr="0068677C">
              <w:rPr>
                <w:rFonts w:cs="Times New Roman"/>
                <w:sz w:val="20"/>
                <w:szCs w:val="20"/>
                <w:lang w:val="fr-CA"/>
              </w:rPr>
              <w:t>é</w:t>
            </w:r>
            <w:r w:rsidRPr="0068677C">
              <w:rPr>
                <w:sz w:val="20"/>
                <w:szCs w:val="20"/>
                <w:lang w:val="fr-CA"/>
              </w:rPr>
              <w:t>p</w:t>
            </w:r>
            <w:r w:rsidRPr="0068677C">
              <w:rPr>
                <w:rFonts w:cs="Times New Roman"/>
                <w:sz w:val="20"/>
                <w:szCs w:val="20"/>
                <w:lang w:val="fr-CA"/>
              </w:rPr>
              <w:t>ô</w:t>
            </w:r>
            <w:r w:rsidRPr="0068677C">
              <w:rPr>
                <w:sz w:val="20"/>
                <w:szCs w:val="20"/>
                <w:lang w:val="fr-CA"/>
              </w:rPr>
              <w:t>t de la demande d’autorisation d’appel est accueillie. La demande d’autorisation d’appel de l’arrêt de la Cour d’appel du Québec (Montréal), numéro 500-09-027327-188, 2020 QCCA 1086, daté du 31 août 2020, est rejetée avec dépens.</w:t>
            </w:r>
          </w:p>
          <w:p w:rsidR="00812A2D" w:rsidRPr="0068677C" w:rsidRDefault="00812A2D"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t xml:space="preserve">Contrats — Droit de la construction — Droit municipal — Responsabilité — Perte de l’ouvrage — Obligation de minimisation du préjudice — Obligation de bonne foi — </w:t>
            </w:r>
            <w:r w:rsidRPr="0068677C">
              <w:rPr>
                <w:sz w:val="20"/>
                <w:lang w:val="x-none"/>
              </w:rPr>
              <w:t>À la lumière du principe général de la bonne foi, dans quelle mesure l’obligation</w:t>
            </w:r>
            <w:r w:rsidRPr="0068677C">
              <w:rPr>
                <w:sz w:val="20"/>
                <w:lang w:val="fr-CA"/>
              </w:rPr>
              <w:t xml:space="preserve"> </w:t>
            </w:r>
            <w:r w:rsidRPr="0068677C">
              <w:rPr>
                <w:sz w:val="20"/>
                <w:lang w:val="x-none"/>
              </w:rPr>
              <w:t>de minimiser le préjudice requiert</w:t>
            </w:r>
            <w:r w:rsidRPr="0068677C">
              <w:rPr>
                <w:sz w:val="20"/>
                <w:lang w:val="x-none"/>
              </w:rPr>
              <w:noBreakHyphen/>
              <w:t xml:space="preserve">elle du </w:t>
            </w:r>
            <w:proofErr w:type="spellStart"/>
            <w:r w:rsidRPr="0068677C">
              <w:rPr>
                <w:sz w:val="20"/>
                <w:lang w:val="x-none"/>
              </w:rPr>
              <w:t>donneur</w:t>
            </w:r>
            <w:proofErr w:type="spellEnd"/>
            <w:r w:rsidRPr="0068677C">
              <w:rPr>
                <w:sz w:val="20"/>
                <w:lang w:val="x-none"/>
              </w:rPr>
              <w:t xml:space="preserve"> </w:t>
            </w:r>
            <w:proofErr w:type="spellStart"/>
            <w:r w:rsidRPr="0068677C">
              <w:rPr>
                <w:sz w:val="20"/>
                <w:lang w:val="x-none"/>
              </w:rPr>
              <w:t>d’ouvrage</w:t>
            </w:r>
            <w:proofErr w:type="spellEnd"/>
            <w:r w:rsidRPr="0068677C">
              <w:rPr>
                <w:sz w:val="20"/>
                <w:lang w:val="x-none"/>
              </w:rPr>
              <w:t xml:space="preserve"> </w:t>
            </w:r>
            <w:proofErr w:type="spellStart"/>
            <w:r w:rsidRPr="0068677C">
              <w:rPr>
                <w:sz w:val="20"/>
                <w:lang w:val="x-none"/>
              </w:rPr>
              <w:t>qu’il</w:t>
            </w:r>
            <w:proofErr w:type="spellEnd"/>
            <w:r w:rsidRPr="0068677C">
              <w:rPr>
                <w:sz w:val="20"/>
                <w:lang w:val="x-none"/>
              </w:rPr>
              <w:t xml:space="preserve"> considère les</w:t>
            </w:r>
            <w:r w:rsidRPr="0068677C">
              <w:rPr>
                <w:sz w:val="20"/>
                <w:lang w:val="fr-CA"/>
              </w:rPr>
              <w:t xml:space="preserve"> </w:t>
            </w:r>
            <w:r w:rsidRPr="0068677C">
              <w:rPr>
                <w:sz w:val="20"/>
                <w:lang w:val="x-none"/>
              </w:rPr>
              <w:t xml:space="preserve">solutions de remplacement en collaboration avec ses cocontractants </w:t>
            </w:r>
            <w:proofErr w:type="spellStart"/>
            <w:r w:rsidRPr="0068677C">
              <w:rPr>
                <w:sz w:val="20"/>
                <w:lang w:val="x-none"/>
              </w:rPr>
              <w:t>avant</w:t>
            </w:r>
            <w:proofErr w:type="spellEnd"/>
            <w:r w:rsidRPr="0068677C">
              <w:rPr>
                <w:sz w:val="20"/>
                <w:lang w:val="fr-CA"/>
              </w:rPr>
              <w:t xml:space="preserve"> </w:t>
            </w:r>
            <w:r w:rsidRPr="0068677C">
              <w:rPr>
                <w:sz w:val="20"/>
                <w:lang w:val="x-none"/>
              </w:rPr>
              <w:t xml:space="preserve">d’abandonner </w:t>
            </w:r>
            <w:proofErr w:type="spellStart"/>
            <w:r w:rsidRPr="0068677C">
              <w:rPr>
                <w:sz w:val="20"/>
                <w:lang w:val="x-none"/>
              </w:rPr>
              <w:t>unilatéralement</w:t>
            </w:r>
            <w:proofErr w:type="spellEnd"/>
            <w:r w:rsidRPr="0068677C">
              <w:rPr>
                <w:sz w:val="20"/>
                <w:lang w:val="x-none"/>
              </w:rPr>
              <w:t xml:space="preserve"> la construction d’un </w:t>
            </w:r>
            <w:proofErr w:type="spellStart"/>
            <w:r w:rsidRPr="0068677C">
              <w:rPr>
                <w:sz w:val="20"/>
                <w:lang w:val="x-none"/>
              </w:rPr>
              <w:t>ouvrage</w:t>
            </w:r>
            <w:proofErr w:type="spellEnd"/>
            <w:r w:rsidRPr="0068677C">
              <w:rPr>
                <w:sz w:val="20"/>
                <w:lang w:val="x-none"/>
              </w:rPr>
              <w:t xml:space="preserve"> qui ne </w:t>
            </w:r>
            <w:proofErr w:type="spellStart"/>
            <w:r w:rsidRPr="0068677C">
              <w:rPr>
                <w:sz w:val="20"/>
                <w:lang w:val="x-none"/>
              </w:rPr>
              <w:t>peut</w:t>
            </w:r>
            <w:proofErr w:type="spellEnd"/>
            <w:r w:rsidRPr="0068677C">
              <w:rPr>
                <w:sz w:val="20"/>
                <w:lang w:val="x-none"/>
              </w:rPr>
              <w:t xml:space="preserve"> être</w:t>
            </w:r>
            <w:r w:rsidRPr="0068677C">
              <w:rPr>
                <w:sz w:val="20"/>
                <w:lang w:val="fr-CA"/>
              </w:rPr>
              <w:t xml:space="preserve"> </w:t>
            </w:r>
            <w:proofErr w:type="spellStart"/>
            <w:r w:rsidRPr="0068677C">
              <w:rPr>
                <w:sz w:val="20"/>
                <w:lang w:val="x-none"/>
              </w:rPr>
              <w:t>complété</w:t>
            </w:r>
            <w:proofErr w:type="spellEnd"/>
            <w:r w:rsidRPr="0068677C">
              <w:rPr>
                <w:sz w:val="20"/>
                <w:lang w:val="x-none"/>
              </w:rPr>
              <w:t xml:space="preserve"> </w:t>
            </w:r>
            <w:proofErr w:type="spellStart"/>
            <w:r w:rsidRPr="0068677C">
              <w:rPr>
                <w:sz w:val="20"/>
                <w:lang w:val="x-none"/>
              </w:rPr>
              <w:t>tel</w:t>
            </w:r>
            <w:proofErr w:type="spellEnd"/>
            <w:r w:rsidRPr="0068677C">
              <w:rPr>
                <w:sz w:val="20"/>
                <w:lang w:val="x-none"/>
              </w:rPr>
              <w:t xml:space="preserve"> qu’initialement </w:t>
            </w:r>
            <w:proofErr w:type="spellStart"/>
            <w:r w:rsidRPr="0068677C">
              <w:rPr>
                <w:sz w:val="20"/>
                <w:lang w:val="x-none"/>
              </w:rPr>
              <w:t>conçu</w:t>
            </w:r>
            <w:proofErr w:type="spellEnd"/>
            <w:r w:rsidRPr="0068677C">
              <w:rPr>
                <w:sz w:val="20"/>
                <w:lang w:val="x-none"/>
              </w:rPr>
              <w:t>?</w:t>
            </w:r>
            <w:r w:rsidRPr="0068677C">
              <w:rPr>
                <w:sz w:val="20"/>
                <w:lang w:val="fr-CA"/>
              </w:rPr>
              <w:t xml:space="preserve"> — </w:t>
            </w:r>
            <w:r w:rsidRPr="0068677C">
              <w:rPr>
                <w:sz w:val="20"/>
                <w:lang w:val="x-none"/>
              </w:rPr>
              <w:t xml:space="preserve">La preuve </w:t>
            </w:r>
            <w:proofErr w:type="spellStart"/>
            <w:r w:rsidRPr="0068677C">
              <w:rPr>
                <w:sz w:val="20"/>
                <w:lang w:val="x-none"/>
              </w:rPr>
              <w:t>qu’un</w:t>
            </w:r>
            <w:proofErr w:type="spellEnd"/>
            <w:r w:rsidRPr="0068677C">
              <w:rPr>
                <w:sz w:val="20"/>
                <w:lang w:val="x-none"/>
              </w:rPr>
              <w:t xml:space="preserve"> </w:t>
            </w:r>
            <w:proofErr w:type="spellStart"/>
            <w:r w:rsidRPr="0068677C">
              <w:rPr>
                <w:sz w:val="20"/>
                <w:lang w:val="x-none"/>
              </w:rPr>
              <w:t>ouvrage</w:t>
            </w:r>
            <w:proofErr w:type="spellEnd"/>
            <w:r w:rsidRPr="0068677C">
              <w:rPr>
                <w:sz w:val="20"/>
                <w:lang w:val="x-none"/>
              </w:rPr>
              <w:t xml:space="preserve"> ne </w:t>
            </w:r>
            <w:proofErr w:type="spellStart"/>
            <w:r w:rsidRPr="0068677C">
              <w:rPr>
                <w:sz w:val="20"/>
                <w:lang w:val="x-none"/>
              </w:rPr>
              <w:t>peut</w:t>
            </w:r>
            <w:proofErr w:type="spellEnd"/>
            <w:r w:rsidRPr="0068677C">
              <w:rPr>
                <w:sz w:val="20"/>
                <w:lang w:val="x-none"/>
              </w:rPr>
              <w:t xml:space="preserve"> être </w:t>
            </w:r>
            <w:proofErr w:type="spellStart"/>
            <w:r w:rsidRPr="0068677C">
              <w:rPr>
                <w:sz w:val="20"/>
                <w:lang w:val="x-none"/>
              </w:rPr>
              <w:t>complété</w:t>
            </w:r>
            <w:proofErr w:type="spellEnd"/>
            <w:r w:rsidRPr="0068677C">
              <w:rPr>
                <w:sz w:val="20"/>
                <w:lang w:val="x-none"/>
              </w:rPr>
              <w:t xml:space="preserve"> </w:t>
            </w:r>
            <w:proofErr w:type="spellStart"/>
            <w:r w:rsidRPr="0068677C">
              <w:rPr>
                <w:sz w:val="20"/>
                <w:lang w:val="x-none"/>
              </w:rPr>
              <w:t>tel</w:t>
            </w:r>
            <w:proofErr w:type="spellEnd"/>
            <w:r w:rsidRPr="0068677C">
              <w:rPr>
                <w:sz w:val="20"/>
                <w:lang w:val="x-none"/>
              </w:rPr>
              <w:t xml:space="preserve"> que </w:t>
            </w:r>
            <w:proofErr w:type="spellStart"/>
            <w:r w:rsidRPr="0068677C">
              <w:rPr>
                <w:sz w:val="20"/>
                <w:lang w:val="x-none"/>
              </w:rPr>
              <w:t>conçu</w:t>
            </w:r>
            <w:proofErr w:type="spellEnd"/>
            <w:r w:rsidRPr="0068677C">
              <w:rPr>
                <w:sz w:val="20"/>
                <w:lang w:val="x-none"/>
              </w:rPr>
              <w:t xml:space="preserve"> est</w:t>
            </w:r>
            <w:r w:rsidRPr="0068677C">
              <w:rPr>
                <w:sz w:val="20"/>
                <w:lang w:val="x-none"/>
              </w:rPr>
              <w:noBreakHyphen/>
              <w:t xml:space="preserve">elle </w:t>
            </w:r>
            <w:proofErr w:type="spellStart"/>
            <w:r w:rsidRPr="0068677C">
              <w:rPr>
                <w:sz w:val="20"/>
                <w:lang w:val="x-none"/>
              </w:rPr>
              <w:t>suffisante</w:t>
            </w:r>
            <w:proofErr w:type="spellEnd"/>
            <w:r w:rsidRPr="0068677C">
              <w:rPr>
                <w:sz w:val="20"/>
                <w:lang w:val="fr-CA"/>
              </w:rPr>
              <w:t xml:space="preserve"> </w:t>
            </w:r>
            <w:r w:rsidRPr="0068677C">
              <w:rPr>
                <w:sz w:val="20"/>
                <w:lang w:val="x-none"/>
              </w:rPr>
              <w:t xml:space="preserve">pour faire </w:t>
            </w:r>
            <w:proofErr w:type="spellStart"/>
            <w:r w:rsidRPr="0068677C">
              <w:rPr>
                <w:sz w:val="20"/>
                <w:lang w:val="x-none"/>
              </w:rPr>
              <w:t>naître</w:t>
            </w:r>
            <w:proofErr w:type="spellEnd"/>
            <w:r w:rsidRPr="0068677C">
              <w:rPr>
                <w:sz w:val="20"/>
                <w:lang w:val="x-none"/>
              </w:rPr>
              <w:t xml:space="preserve"> </w:t>
            </w:r>
            <w:proofErr w:type="spellStart"/>
            <w:r w:rsidRPr="0068677C">
              <w:rPr>
                <w:sz w:val="20"/>
                <w:lang w:val="x-none"/>
              </w:rPr>
              <w:t>une</w:t>
            </w:r>
            <w:proofErr w:type="spellEnd"/>
            <w:r w:rsidRPr="0068677C">
              <w:rPr>
                <w:sz w:val="20"/>
                <w:lang w:val="x-none"/>
              </w:rPr>
              <w:t xml:space="preserve"> </w:t>
            </w:r>
            <w:proofErr w:type="spellStart"/>
            <w:r w:rsidRPr="0068677C">
              <w:rPr>
                <w:sz w:val="20"/>
                <w:lang w:val="x-none"/>
              </w:rPr>
              <w:t>présomption</w:t>
            </w:r>
            <w:proofErr w:type="spellEnd"/>
            <w:r w:rsidRPr="0068677C">
              <w:rPr>
                <w:sz w:val="20"/>
                <w:lang w:val="x-none"/>
              </w:rPr>
              <w:t xml:space="preserve"> de </w:t>
            </w:r>
            <w:proofErr w:type="spellStart"/>
            <w:r w:rsidRPr="0068677C">
              <w:rPr>
                <w:sz w:val="20"/>
                <w:lang w:val="x-none"/>
              </w:rPr>
              <w:t>perte</w:t>
            </w:r>
            <w:proofErr w:type="spellEnd"/>
            <w:r w:rsidRPr="0068677C">
              <w:rPr>
                <w:sz w:val="20"/>
                <w:lang w:val="x-none"/>
              </w:rPr>
              <w:t xml:space="preserve"> </w:t>
            </w:r>
            <w:proofErr w:type="spellStart"/>
            <w:r w:rsidRPr="0068677C">
              <w:rPr>
                <w:sz w:val="20"/>
                <w:lang w:val="x-none"/>
              </w:rPr>
              <w:t>totale</w:t>
            </w:r>
            <w:proofErr w:type="spellEnd"/>
            <w:r w:rsidRPr="0068677C">
              <w:rPr>
                <w:sz w:val="20"/>
                <w:lang w:val="x-none"/>
              </w:rPr>
              <w:t xml:space="preserve"> en faveur du </w:t>
            </w:r>
            <w:proofErr w:type="spellStart"/>
            <w:r w:rsidRPr="0068677C">
              <w:rPr>
                <w:sz w:val="20"/>
                <w:lang w:val="x-none"/>
              </w:rPr>
              <w:t>donneur</w:t>
            </w:r>
            <w:proofErr w:type="spellEnd"/>
            <w:r w:rsidRPr="0068677C">
              <w:rPr>
                <w:sz w:val="20"/>
                <w:lang w:val="x-none"/>
              </w:rPr>
              <w:t xml:space="preserve"> </w:t>
            </w:r>
            <w:proofErr w:type="spellStart"/>
            <w:r w:rsidRPr="0068677C">
              <w:rPr>
                <w:sz w:val="20"/>
                <w:lang w:val="x-none"/>
              </w:rPr>
              <w:t>d’ouvrage</w:t>
            </w:r>
            <w:proofErr w:type="spellEnd"/>
            <w:r w:rsidRPr="0068677C">
              <w:rPr>
                <w:sz w:val="20"/>
                <w:lang w:val="x-none"/>
              </w:rPr>
              <w:t>,</w:t>
            </w:r>
            <w:r w:rsidRPr="0068677C">
              <w:rPr>
                <w:sz w:val="20"/>
                <w:lang w:val="fr-CA"/>
              </w:rPr>
              <w:t xml:space="preserve"> </w:t>
            </w:r>
            <w:proofErr w:type="spellStart"/>
            <w:r w:rsidRPr="0068677C">
              <w:rPr>
                <w:sz w:val="20"/>
                <w:lang w:val="x-none"/>
              </w:rPr>
              <w:t>lui</w:t>
            </w:r>
            <w:proofErr w:type="spellEnd"/>
            <w:r w:rsidRPr="0068677C">
              <w:rPr>
                <w:sz w:val="20"/>
                <w:lang w:val="x-none"/>
              </w:rPr>
              <w:t xml:space="preserve"> </w:t>
            </w:r>
            <w:proofErr w:type="spellStart"/>
            <w:r w:rsidRPr="0068677C">
              <w:rPr>
                <w:sz w:val="20"/>
                <w:lang w:val="x-none"/>
              </w:rPr>
              <w:t>permettant</w:t>
            </w:r>
            <w:proofErr w:type="spellEnd"/>
            <w:r w:rsidRPr="0068677C">
              <w:rPr>
                <w:sz w:val="20"/>
                <w:lang w:val="x-none"/>
              </w:rPr>
              <w:t xml:space="preserve"> de </w:t>
            </w:r>
            <w:proofErr w:type="spellStart"/>
            <w:r w:rsidRPr="0068677C">
              <w:rPr>
                <w:sz w:val="20"/>
                <w:lang w:val="x-none"/>
              </w:rPr>
              <w:t>réclamer</w:t>
            </w:r>
            <w:proofErr w:type="spellEnd"/>
            <w:r w:rsidRPr="0068677C">
              <w:rPr>
                <w:sz w:val="20"/>
                <w:lang w:val="x-none"/>
              </w:rPr>
              <w:t xml:space="preserve"> des dommages</w:t>
            </w:r>
            <w:r w:rsidRPr="0068677C">
              <w:rPr>
                <w:sz w:val="20"/>
                <w:lang w:val="x-none"/>
              </w:rPr>
              <w:noBreakHyphen/>
              <w:t xml:space="preserve">intérêts </w:t>
            </w:r>
            <w:proofErr w:type="spellStart"/>
            <w:r w:rsidRPr="0068677C">
              <w:rPr>
                <w:sz w:val="20"/>
                <w:lang w:val="x-none"/>
              </w:rPr>
              <w:t>correspondant</w:t>
            </w:r>
            <w:proofErr w:type="spellEnd"/>
            <w:r w:rsidRPr="0068677C">
              <w:rPr>
                <w:sz w:val="20"/>
                <w:lang w:val="x-none"/>
              </w:rPr>
              <w:t xml:space="preserve"> à </w:t>
            </w:r>
            <w:proofErr w:type="spellStart"/>
            <w:r w:rsidRPr="0068677C">
              <w:rPr>
                <w:sz w:val="20"/>
                <w:lang w:val="x-none"/>
              </w:rPr>
              <w:t>l’intégralité</w:t>
            </w:r>
            <w:proofErr w:type="spellEnd"/>
            <w:r w:rsidRPr="0068677C">
              <w:rPr>
                <w:sz w:val="20"/>
                <w:lang w:val="x-none"/>
              </w:rPr>
              <w:t xml:space="preserve"> du</w:t>
            </w:r>
            <w:r w:rsidRPr="0068677C">
              <w:rPr>
                <w:sz w:val="20"/>
                <w:lang w:val="fr-CA"/>
              </w:rPr>
              <w:t xml:space="preserve"> </w:t>
            </w:r>
            <w:r w:rsidRPr="0068677C">
              <w:rPr>
                <w:sz w:val="20"/>
                <w:lang w:val="x-none"/>
              </w:rPr>
              <w:t xml:space="preserve">prix </w:t>
            </w:r>
            <w:proofErr w:type="spellStart"/>
            <w:r w:rsidRPr="0068677C">
              <w:rPr>
                <w:sz w:val="20"/>
                <w:lang w:val="x-none"/>
              </w:rPr>
              <w:t>payé</w:t>
            </w:r>
            <w:proofErr w:type="spellEnd"/>
            <w:r w:rsidRPr="0068677C">
              <w:rPr>
                <w:sz w:val="20"/>
                <w:lang w:val="x-none"/>
              </w:rPr>
              <w:t xml:space="preserve"> sans devoir </w:t>
            </w:r>
            <w:proofErr w:type="spellStart"/>
            <w:r w:rsidRPr="0068677C">
              <w:rPr>
                <w:sz w:val="20"/>
                <w:lang w:val="x-none"/>
              </w:rPr>
              <w:t>démontrer</w:t>
            </w:r>
            <w:proofErr w:type="spellEnd"/>
            <w:r w:rsidRPr="0068677C">
              <w:rPr>
                <w:sz w:val="20"/>
                <w:lang w:val="x-none"/>
              </w:rPr>
              <w:t xml:space="preserve"> son </w:t>
            </w:r>
            <w:proofErr w:type="spellStart"/>
            <w:r w:rsidRPr="0068677C">
              <w:rPr>
                <w:sz w:val="20"/>
                <w:lang w:val="x-none"/>
              </w:rPr>
              <w:t>inutilité</w:t>
            </w:r>
            <w:proofErr w:type="spellEnd"/>
            <w:r w:rsidRPr="0068677C">
              <w:rPr>
                <w:sz w:val="20"/>
                <w:lang w:val="x-none"/>
              </w:rPr>
              <w:t>?</w:t>
            </w:r>
            <w:r w:rsidRPr="0068677C">
              <w:rPr>
                <w:sz w:val="20"/>
                <w:lang w:val="fr-CA"/>
              </w:rPr>
              <w:t xml:space="preserve"> — </w:t>
            </w:r>
            <w:r w:rsidRPr="0068677C">
              <w:rPr>
                <w:sz w:val="20"/>
                <w:lang w:val="x-none"/>
              </w:rPr>
              <w:t xml:space="preserve">Quelle est </w:t>
            </w:r>
            <w:proofErr w:type="spellStart"/>
            <w:r w:rsidRPr="0068677C">
              <w:rPr>
                <w:sz w:val="20"/>
                <w:lang w:val="x-none"/>
              </w:rPr>
              <w:t>l’étendue</w:t>
            </w:r>
            <w:proofErr w:type="spellEnd"/>
            <w:r w:rsidRPr="0068677C">
              <w:rPr>
                <w:sz w:val="20"/>
                <w:lang w:val="x-none"/>
              </w:rPr>
              <w:t xml:space="preserve"> de la marge </w:t>
            </w:r>
            <w:proofErr w:type="spellStart"/>
            <w:r w:rsidRPr="0068677C">
              <w:rPr>
                <w:sz w:val="20"/>
                <w:lang w:val="x-none"/>
              </w:rPr>
              <w:t>d’appréciation</w:t>
            </w:r>
            <w:proofErr w:type="spellEnd"/>
            <w:r w:rsidRPr="0068677C">
              <w:rPr>
                <w:sz w:val="20"/>
                <w:lang w:val="x-none"/>
              </w:rPr>
              <w:t xml:space="preserve"> des </w:t>
            </w:r>
            <w:proofErr w:type="spellStart"/>
            <w:r w:rsidRPr="0068677C">
              <w:rPr>
                <w:sz w:val="20"/>
                <w:lang w:val="x-none"/>
              </w:rPr>
              <w:t>tribunaux</w:t>
            </w:r>
            <w:proofErr w:type="spellEnd"/>
            <w:r w:rsidRPr="0068677C">
              <w:rPr>
                <w:sz w:val="20"/>
                <w:lang w:val="x-none"/>
              </w:rPr>
              <w:t xml:space="preserve"> de première instance</w:t>
            </w:r>
            <w:r w:rsidRPr="0068677C">
              <w:rPr>
                <w:sz w:val="20"/>
                <w:lang w:val="fr-CA"/>
              </w:rPr>
              <w:t xml:space="preserve"> </w:t>
            </w:r>
            <w:r w:rsidRPr="0068677C">
              <w:rPr>
                <w:sz w:val="20"/>
                <w:lang w:val="x-none"/>
              </w:rPr>
              <w:t xml:space="preserve">dans </w:t>
            </w:r>
            <w:proofErr w:type="spellStart"/>
            <w:r w:rsidRPr="0068677C">
              <w:rPr>
                <w:sz w:val="20"/>
                <w:lang w:val="x-none"/>
              </w:rPr>
              <w:t>l’exercice</w:t>
            </w:r>
            <w:proofErr w:type="spellEnd"/>
            <w:r w:rsidRPr="0068677C">
              <w:rPr>
                <w:sz w:val="20"/>
                <w:lang w:val="x-none"/>
              </w:rPr>
              <w:t xml:space="preserve"> de </w:t>
            </w:r>
            <w:proofErr w:type="spellStart"/>
            <w:r w:rsidRPr="0068677C">
              <w:rPr>
                <w:sz w:val="20"/>
                <w:lang w:val="x-none"/>
              </w:rPr>
              <w:t>leurs</w:t>
            </w:r>
            <w:proofErr w:type="spellEnd"/>
            <w:r w:rsidRPr="0068677C">
              <w:rPr>
                <w:sz w:val="20"/>
                <w:lang w:val="x-none"/>
              </w:rPr>
              <w:t xml:space="preserve"> </w:t>
            </w:r>
            <w:proofErr w:type="spellStart"/>
            <w:r w:rsidRPr="0068677C">
              <w:rPr>
                <w:sz w:val="20"/>
                <w:lang w:val="x-none"/>
              </w:rPr>
              <w:t>pouvoirs</w:t>
            </w:r>
            <w:proofErr w:type="spellEnd"/>
            <w:r w:rsidRPr="0068677C">
              <w:rPr>
                <w:sz w:val="20"/>
                <w:lang w:val="x-none"/>
              </w:rPr>
              <w:t xml:space="preserve"> </w:t>
            </w:r>
            <w:proofErr w:type="spellStart"/>
            <w:r w:rsidRPr="0068677C">
              <w:rPr>
                <w:sz w:val="20"/>
                <w:lang w:val="x-none"/>
              </w:rPr>
              <w:t>discrétionnaires</w:t>
            </w:r>
            <w:proofErr w:type="spellEnd"/>
            <w:r w:rsidRPr="0068677C">
              <w:rPr>
                <w:sz w:val="20"/>
                <w:lang w:val="x-none"/>
              </w:rPr>
              <w:t xml:space="preserve"> </w:t>
            </w:r>
            <w:proofErr w:type="spellStart"/>
            <w:r w:rsidRPr="0068677C">
              <w:rPr>
                <w:sz w:val="20"/>
                <w:lang w:val="x-none"/>
              </w:rPr>
              <w:t>visant</w:t>
            </w:r>
            <w:proofErr w:type="spellEnd"/>
            <w:r w:rsidRPr="0068677C">
              <w:rPr>
                <w:sz w:val="20"/>
                <w:lang w:val="x-none"/>
              </w:rPr>
              <w:t xml:space="preserve"> le respect des </w:t>
            </w:r>
            <w:proofErr w:type="spellStart"/>
            <w:r w:rsidRPr="0068677C">
              <w:rPr>
                <w:sz w:val="20"/>
                <w:lang w:val="x-none"/>
              </w:rPr>
              <w:t>principes</w:t>
            </w:r>
            <w:proofErr w:type="spellEnd"/>
            <w:r w:rsidRPr="0068677C">
              <w:rPr>
                <w:sz w:val="20"/>
                <w:lang w:val="x-none"/>
              </w:rPr>
              <w:t xml:space="preserve"> de</w:t>
            </w:r>
            <w:r w:rsidRPr="0068677C">
              <w:rPr>
                <w:sz w:val="20"/>
                <w:lang w:val="fr-CA"/>
              </w:rPr>
              <w:t xml:space="preserve"> </w:t>
            </w:r>
            <w:proofErr w:type="spellStart"/>
            <w:r w:rsidRPr="0068677C">
              <w:rPr>
                <w:sz w:val="20"/>
                <w:lang w:val="x-none"/>
              </w:rPr>
              <w:t>proportionnalité</w:t>
            </w:r>
            <w:proofErr w:type="spellEnd"/>
            <w:r w:rsidRPr="0068677C">
              <w:rPr>
                <w:sz w:val="20"/>
                <w:lang w:val="x-none"/>
              </w:rPr>
              <w:t xml:space="preserve"> et de coopération entre les parties?</w:t>
            </w:r>
            <w:r w:rsidRPr="0068677C">
              <w:rPr>
                <w:sz w:val="20"/>
                <w:lang w:val="fr-CA"/>
              </w:rPr>
              <w:t xml:space="preserve"> — </w:t>
            </w:r>
            <w:r w:rsidRPr="0068677C">
              <w:rPr>
                <w:i/>
                <w:sz w:val="20"/>
                <w:lang w:val="fr-CA"/>
              </w:rPr>
              <w:t>Code civil du Québec</w:t>
            </w:r>
            <w:r w:rsidRPr="0068677C">
              <w:rPr>
                <w:sz w:val="20"/>
                <w:lang w:val="fr-CA"/>
              </w:rPr>
              <w:t>, RLRQ c CCQ</w:t>
            </w:r>
            <w:r w:rsidRPr="0068677C">
              <w:rPr>
                <w:sz w:val="20"/>
                <w:lang w:val="fr-CA"/>
              </w:rPr>
              <w:noBreakHyphen/>
              <w:t>1991, art. 1479.</w:t>
            </w:r>
          </w:p>
        </w:tc>
      </w:tr>
      <w:tr w:rsidR="00C50008" w:rsidRPr="00D800B2" w:rsidTr="005B5AEE">
        <w:tc>
          <w:tcPr>
            <w:tcW w:w="5000" w:type="pct"/>
            <w:gridSpan w:val="4"/>
          </w:tcPr>
          <w:p w:rsidR="00C50008" w:rsidRPr="0068677C" w:rsidRDefault="00C50008" w:rsidP="005B5AEE">
            <w:pPr>
              <w:jc w:val="both"/>
              <w:rPr>
                <w:sz w:val="20"/>
                <w:lang w:val="fr-CA"/>
              </w:rPr>
            </w:pPr>
          </w:p>
          <w:p w:rsidR="00C50008" w:rsidRPr="0068677C" w:rsidRDefault="00C50008" w:rsidP="005B5AEE">
            <w:pPr>
              <w:jc w:val="both"/>
              <w:rPr>
                <w:sz w:val="20"/>
                <w:lang w:val="fr-CA"/>
              </w:rPr>
            </w:pPr>
            <w:r w:rsidRPr="0068677C">
              <w:rPr>
                <w:sz w:val="20"/>
                <w:lang w:val="fr-CA"/>
              </w:rPr>
              <w:t>L’intimée décide de construire un mur anti</w:t>
            </w:r>
            <w:r w:rsidRPr="0068677C">
              <w:rPr>
                <w:sz w:val="20"/>
                <w:lang w:val="fr-CA"/>
              </w:rPr>
              <w:noBreakHyphen/>
              <w:t xml:space="preserve">bruit pour réduire les impacts de la circulation automobile sur sa population. Les services de la demanderesse sont retenus par l’intimée </w:t>
            </w:r>
            <w:r w:rsidRPr="0068677C">
              <w:rPr>
                <w:color w:val="000000"/>
                <w:sz w:val="20"/>
                <w:lang w:val="fr-CA"/>
              </w:rPr>
              <w:t>pour préparer les plans, rédiger des appels d’offres, réaliser une étude géotechnique d’avant-projet et surveiller les travaux. La construction débute en 2008, mais est arrêtée en 2009 à la suite de l’effondrement d’une partie du mur, causée par la présence d’argile molle dans le sol. Des poursuites sont intentées par les différentes parties au projet de construction. La Cour supérieure, d’une part, accueille en partie l’action d’Asphalte Desjardins inc. contre la Ville de Lorraine et, d’autre part, accueille en partie l’action de la Ville de Lorraine à l’encontre d’Asphalte Desjardins inc. et Dessau inc. et rejette l’action de la Ville de Lorraine à l’encontre d’Axa assurances inc. et d’Intact compagnie d’assurance inc. La Cour d’appel, à la majorité, rejette l’appel de la Ville de Lorraine contre Asphalte Desjardins inc., Axa assurances inc. et Intact compagnie d’assurance et accueille en partie l’appel de la Ville de Lorraine contre Dessau inc.</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Le 12 janvier 2018</w:t>
            </w:r>
          </w:p>
          <w:p w:rsidR="00C50008" w:rsidRPr="0068677C" w:rsidRDefault="00C50008" w:rsidP="005B5AEE">
            <w:pPr>
              <w:jc w:val="both"/>
              <w:rPr>
                <w:sz w:val="20"/>
                <w:lang w:val="fr-CA"/>
              </w:rPr>
            </w:pPr>
            <w:r w:rsidRPr="0068677C">
              <w:rPr>
                <w:sz w:val="20"/>
                <w:lang w:val="fr-CA"/>
              </w:rPr>
              <w:t>Cour supérieure du Québec</w:t>
            </w:r>
          </w:p>
          <w:p w:rsidR="00C50008" w:rsidRPr="0068677C" w:rsidRDefault="00C50008" w:rsidP="005B5AEE">
            <w:pPr>
              <w:jc w:val="both"/>
              <w:rPr>
                <w:sz w:val="20"/>
              </w:rPr>
            </w:pPr>
            <w:r w:rsidRPr="0068677C">
              <w:rPr>
                <w:sz w:val="20"/>
              </w:rPr>
              <w:t>(La juge Turcotte)</w:t>
            </w:r>
          </w:p>
          <w:p w:rsidR="00C50008" w:rsidRPr="0068677C" w:rsidRDefault="00C50008" w:rsidP="005B5AEE">
            <w:pPr>
              <w:jc w:val="both"/>
              <w:rPr>
                <w:sz w:val="20"/>
              </w:rPr>
            </w:pPr>
            <w:r w:rsidRPr="0068677C">
              <w:rPr>
                <w:sz w:val="20"/>
              </w:rPr>
              <w:t>700</w:t>
            </w:r>
            <w:r w:rsidRPr="0068677C">
              <w:rPr>
                <w:sz w:val="20"/>
              </w:rPr>
              <w:noBreakHyphen/>
              <w:t>17</w:t>
            </w:r>
            <w:r w:rsidRPr="0068677C">
              <w:rPr>
                <w:sz w:val="20"/>
              </w:rPr>
              <w:noBreakHyphen/>
              <w:t>007100</w:t>
            </w:r>
            <w:r w:rsidRPr="0068677C">
              <w:rPr>
                <w:sz w:val="20"/>
              </w:rPr>
              <w:noBreakHyphen/>
              <w:t>109; 700</w:t>
            </w:r>
            <w:r w:rsidRPr="0068677C">
              <w:rPr>
                <w:sz w:val="20"/>
              </w:rPr>
              <w:noBreakHyphen/>
              <w:t>17</w:t>
            </w:r>
            <w:r w:rsidRPr="0068677C">
              <w:rPr>
                <w:sz w:val="20"/>
              </w:rPr>
              <w:noBreakHyphen/>
              <w:t>008286</w:t>
            </w:r>
            <w:r w:rsidRPr="0068677C">
              <w:rPr>
                <w:sz w:val="20"/>
              </w:rPr>
              <w:noBreakHyphen/>
              <w:t>113</w:t>
            </w:r>
          </w:p>
          <w:p w:rsidR="00C50008" w:rsidRPr="0068677C" w:rsidRDefault="00D800B2" w:rsidP="005B5AEE">
            <w:pPr>
              <w:jc w:val="both"/>
              <w:rPr>
                <w:sz w:val="20"/>
              </w:rPr>
            </w:pPr>
            <w:hyperlink r:id="rId17" w:history="1">
              <w:r w:rsidR="00C50008" w:rsidRPr="0068677C">
                <w:rPr>
                  <w:rStyle w:val="Hyperlink"/>
                  <w:sz w:val="20"/>
                </w:rPr>
                <w:t>2018 QCCS 60</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lang w:val="fr-CA"/>
              </w:rPr>
            </w:pPr>
            <w:r w:rsidRPr="0068677C">
              <w:rPr>
                <w:sz w:val="20"/>
                <w:lang w:val="fr-CA"/>
              </w:rPr>
              <w:t>Action d’Asphalte Desjardins inc. contre la Ville de Lorraine accueillie en partie.</w:t>
            </w:r>
          </w:p>
          <w:p w:rsidR="00C50008" w:rsidRPr="0068677C" w:rsidRDefault="00C50008" w:rsidP="005B5AEE">
            <w:pPr>
              <w:jc w:val="both"/>
              <w:rPr>
                <w:sz w:val="20"/>
                <w:lang w:val="fr-CA"/>
              </w:rPr>
            </w:pPr>
          </w:p>
          <w:p w:rsidR="00C50008" w:rsidRPr="0068677C" w:rsidRDefault="00C50008" w:rsidP="005B5AEE">
            <w:pPr>
              <w:jc w:val="both"/>
              <w:rPr>
                <w:sz w:val="20"/>
                <w:lang w:val="fr-CA"/>
              </w:rPr>
            </w:pPr>
            <w:r w:rsidRPr="0068677C">
              <w:rPr>
                <w:sz w:val="20"/>
                <w:lang w:val="fr-CA"/>
              </w:rPr>
              <w:t>Action de la Ville de Lorraine contre Asphalte Desjardins inc. et Dessau inc. accueillie en partie; action de la Ville de Lorraine à l’encontre d’Axa assurances inc. et Intact compagnie d’assurance inc. rejetée.</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Le 31 août 2020</w:t>
            </w:r>
          </w:p>
          <w:p w:rsidR="00C50008" w:rsidRPr="0068677C" w:rsidRDefault="00C50008" w:rsidP="005B5AEE">
            <w:pPr>
              <w:jc w:val="both"/>
              <w:rPr>
                <w:sz w:val="20"/>
                <w:lang w:val="fr-CA"/>
              </w:rPr>
            </w:pPr>
            <w:r w:rsidRPr="0068677C">
              <w:rPr>
                <w:sz w:val="20"/>
                <w:lang w:val="fr-CA"/>
              </w:rPr>
              <w:t>Cour d’appel du Québec (Montréal)</w:t>
            </w:r>
          </w:p>
          <w:p w:rsidR="00C50008" w:rsidRPr="0068677C" w:rsidRDefault="00C50008" w:rsidP="005B5AEE">
            <w:pPr>
              <w:jc w:val="both"/>
              <w:rPr>
                <w:sz w:val="20"/>
                <w:lang w:val="fr-CA"/>
              </w:rPr>
            </w:pPr>
            <w:r w:rsidRPr="0068677C">
              <w:rPr>
                <w:sz w:val="20"/>
                <w:lang w:val="fr-CA"/>
              </w:rPr>
              <w:t>(Les juges Bich, Marcotte [dissidente en partie] et Hogue)</w:t>
            </w:r>
          </w:p>
          <w:p w:rsidR="00C50008" w:rsidRPr="0068677C" w:rsidRDefault="00C50008" w:rsidP="005B5AEE">
            <w:pPr>
              <w:jc w:val="both"/>
              <w:rPr>
                <w:sz w:val="20"/>
              </w:rPr>
            </w:pPr>
            <w:r w:rsidRPr="0068677C">
              <w:rPr>
                <w:sz w:val="20"/>
              </w:rPr>
              <w:t>500</w:t>
            </w:r>
            <w:r w:rsidRPr="0068677C">
              <w:rPr>
                <w:sz w:val="20"/>
              </w:rPr>
              <w:noBreakHyphen/>
              <w:t>09</w:t>
            </w:r>
            <w:r w:rsidRPr="0068677C">
              <w:rPr>
                <w:sz w:val="20"/>
              </w:rPr>
              <w:noBreakHyphen/>
              <w:t>027327</w:t>
            </w:r>
            <w:r w:rsidRPr="0068677C">
              <w:rPr>
                <w:sz w:val="20"/>
              </w:rPr>
              <w:noBreakHyphen/>
              <w:t xml:space="preserve">188 </w:t>
            </w:r>
          </w:p>
          <w:p w:rsidR="00C50008" w:rsidRPr="0068677C" w:rsidRDefault="00D800B2" w:rsidP="005B5AEE">
            <w:pPr>
              <w:jc w:val="both"/>
              <w:rPr>
                <w:sz w:val="20"/>
              </w:rPr>
            </w:pPr>
            <w:hyperlink r:id="rId18" w:history="1">
              <w:r w:rsidR="00C50008" w:rsidRPr="0068677C">
                <w:rPr>
                  <w:rStyle w:val="Hyperlink"/>
                  <w:sz w:val="20"/>
                </w:rPr>
                <w:t>2020 QCCA 1086</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lang w:val="fr-CA"/>
              </w:rPr>
            </w:pPr>
            <w:r w:rsidRPr="0068677C">
              <w:rPr>
                <w:sz w:val="20"/>
                <w:lang w:val="fr-CA"/>
              </w:rPr>
              <w:t>Appel de la Ville de Lorraine contre Asphalte Desjardins inc., Axa assurances inc. et Intact compagnie d’assurance rejeté; appel de la Ville de Lorraine contre Dessau inc. accueilli en partie.</w:t>
            </w:r>
          </w:p>
          <w:p w:rsidR="00C50008" w:rsidRPr="0068677C" w:rsidRDefault="00C50008" w:rsidP="005B5AEE">
            <w:pPr>
              <w:jc w:val="both"/>
              <w:rPr>
                <w:sz w:val="20"/>
                <w:lang w:val="fr-CA"/>
              </w:rPr>
            </w:pPr>
          </w:p>
        </w:tc>
      </w:tr>
      <w:tr w:rsidR="00C50008" w:rsidRPr="0068677C" w:rsidTr="005B5AEE">
        <w:tc>
          <w:tcPr>
            <w:tcW w:w="2427" w:type="pct"/>
            <w:gridSpan w:val="2"/>
          </w:tcPr>
          <w:p w:rsidR="00C50008" w:rsidRPr="0068677C" w:rsidRDefault="00C50008" w:rsidP="005B5AEE">
            <w:pPr>
              <w:jc w:val="both"/>
              <w:rPr>
                <w:sz w:val="20"/>
                <w:lang w:val="fr-CA"/>
              </w:rPr>
            </w:pPr>
            <w:r w:rsidRPr="0068677C">
              <w:rPr>
                <w:sz w:val="20"/>
                <w:lang w:val="fr-CA"/>
              </w:rPr>
              <w:t>Le 13 novembre 2020</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rPr>
            </w:pPr>
            <w:r w:rsidRPr="0068677C">
              <w:rPr>
                <w:sz w:val="20"/>
              </w:rPr>
              <w:t>Demande d’autorisation d’appel déposée</w:t>
            </w:r>
          </w:p>
          <w:p w:rsidR="00C50008" w:rsidRPr="0068677C" w:rsidRDefault="00C50008" w:rsidP="005B5AEE">
            <w:pPr>
              <w:jc w:val="both"/>
              <w:rPr>
                <w:sz w:val="20"/>
              </w:rPr>
            </w:pPr>
          </w:p>
        </w:tc>
      </w:tr>
    </w:tbl>
    <w:p w:rsidR="00C50008" w:rsidRPr="0068677C" w:rsidRDefault="00C50008" w:rsidP="00C50008">
      <w:pPr>
        <w:jc w:val="both"/>
        <w:rPr>
          <w:sz w:val="20"/>
        </w:rPr>
      </w:pPr>
    </w:p>
    <w:p w:rsidR="00C50008" w:rsidRPr="0068677C" w:rsidRDefault="00D800B2" w:rsidP="00C50008">
      <w:pPr>
        <w:widowControl w:val="0"/>
        <w:jc w:val="both"/>
        <w:rPr>
          <w:sz w:val="20"/>
        </w:rPr>
      </w:pPr>
      <w:r>
        <w:rPr>
          <w:sz w:val="20"/>
        </w:rPr>
        <w:pict>
          <v:rect id="_x0000_i1037" style="width:2in;height:1pt" o:hrpct="0" o:hralign="center" o:hrstd="t" o:hrnoshade="t" o:hr="t" fillcolor="black [3213]" stroked="f"/>
        </w:pict>
      </w:r>
    </w:p>
    <w:p w:rsidR="00C50008" w:rsidRPr="0068677C" w:rsidRDefault="00C50008" w:rsidP="00C50008">
      <w:pPr>
        <w:widowControl w:val="0"/>
        <w:jc w:val="both"/>
        <w:rPr>
          <w:sz w:val="20"/>
        </w:rPr>
      </w:pPr>
    </w:p>
    <w:p w:rsidR="006D6263" w:rsidRPr="0068677C" w:rsidRDefault="006D6263">
      <w:r w:rsidRPr="006867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lastRenderedPageBreak/>
              <w:t>39360</w:t>
            </w:r>
          </w:p>
        </w:tc>
        <w:tc>
          <w:tcPr>
            <w:tcW w:w="4457" w:type="pct"/>
            <w:gridSpan w:val="3"/>
          </w:tcPr>
          <w:p w:rsidR="00C50008" w:rsidRPr="0068677C" w:rsidRDefault="00C50008" w:rsidP="005B5AEE">
            <w:pPr>
              <w:pStyle w:val="SCCLsocParty"/>
              <w:jc w:val="both"/>
              <w:rPr>
                <w:b/>
                <w:sz w:val="20"/>
                <w:szCs w:val="20"/>
                <w:lang w:val="en-US"/>
              </w:rPr>
            </w:pPr>
            <w:r w:rsidRPr="0068677C">
              <w:rPr>
                <w:b/>
                <w:sz w:val="20"/>
                <w:szCs w:val="20"/>
                <w:lang w:val="en-US"/>
              </w:rPr>
              <w:t>Eugene Ndhlovu v. Her Majesty the Queen</w:t>
            </w:r>
          </w:p>
          <w:p w:rsidR="00C50008" w:rsidRPr="0068677C" w:rsidRDefault="00C50008" w:rsidP="005B5AEE">
            <w:pPr>
              <w:jc w:val="both"/>
              <w:rPr>
                <w:sz w:val="20"/>
              </w:rPr>
            </w:pPr>
            <w:r w:rsidRPr="0068677C">
              <w:rPr>
                <w:sz w:val="20"/>
              </w:rPr>
              <w:t>(Alta.) (Criminal) (By Leave)</w:t>
            </w:r>
          </w:p>
        </w:tc>
      </w:tr>
      <w:tr w:rsidR="00812A2D" w:rsidRPr="0068677C" w:rsidTr="005B5AEE">
        <w:tc>
          <w:tcPr>
            <w:tcW w:w="5000" w:type="pct"/>
            <w:gridSpan w:val="4"/>
          </w:tcPr>
          <w:p w:rsidR="005B5AEE" w:rsidRPr="0068677C" w:rsidRDefault="005B5AEE" w:rsidP="005B5AEE">
            <w:pPr>
              <w:jc w:val="both"/>
              <w:rPr>
                <w:sz w:val="20"/>
                <w:szCs w:val="20"/>
              </w:rPr>
            </w:pPr>
            <w:r w:rsidRPr="0068677C">
              <w:rPr>
                <w:sz w:val="20"/>
                <w:szCs w:val="20"/>
              </w:rPr>
              <w:t xml:space="preserve">The application for leave to appeal from the judgment of the Court of Appeal of Alberta (Edmonton), Number 1803-0111-A, </w:t>
            </w:r>
            <w:proofErr w:type="gramStart"/>
            <w:r w:rsidRPr="0068677C">
              <w:rPr>
                <w:sz w:val="20"/>
                <w:szCs w:val="20"/>
              </w:rPr>
              <w:t>2020</w:t>
            </w:r>
            <w:proofErr w:type="gramEnd"/>
            <w:r w:rsidRPr="0068677C">
              <w:rPr>
                <w:sz w:val="20"/>
                <w:szCs w:val="20"/>
              </w:rPr>
              <w:t xml:space="preserve"> ABCA 307, dated September 3, 2020, is granted.</w:t>
            </w:r>
          </w:p>
          <w:p w:rsidR="00812A2D" w:rsidRPr="0068677C" w:rsidRDefault="00812A2D" w:rsidP="005B5AEE">
            <w:pPr>
              <w:pStyle w:val="SCCBanSummary0"/>
              <w:rPr>
                <w:smallCaps w:val="0"/>
                <w:sz w:val="20"/>
                <w:szCs w:val="20"/>
              </w:rPr>
            </w:pPr>
          </w:p>
        </w:tc>
      </w:tr>
      <w:tr w:rsidR="00C50008" w:rsidRPr="0068677C" w:rsidTr="005B5AEE">
        <w:tc>
          <w:tcPr>
            <w:tcW w:w="5000" w:type="pct"/>
            <w:gridSpan w:val="4"/>
          </w:tcPr>
          <w:p w:rsidR="00C50008" w:rsidRPr="0068677C" w:rsidRDefault="00C50008" w:rsidP="005B5AEE">
            <w:pPr>
              <w:pStyle w:val="SCCBanSummary0"/>
              <w:rPr>
                <w:sz w:val="20"/>
                <w:szCs w:val="20"/>
              </w:rPr>
            </w:pPr>
            <w:r w:rsidRPr="0068677C">
              <w:rPr>
                <w:sz w:val="20"/>
                <w:szCs w:val="20"/>
              </w:rPr>
              <w:t>(Publication ban in case)</w:t>
            </w:r>
          </w:p>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i/>
                <w:sz w:val="20"/>
              </w:rPr>
              <w:t xml:space="preserve">Charter of Rights </w:t>
            </w:r>
            <w:r w:rsidRPr="0068677C">
              <w:rPr>
                <w:sz w:val="20"/>
              </w:rPr>
              <w:t xml:space="preserve">— Right to life, liberty and security of the person — Whether ss. 490.012 and 490.013(2.1) of the </w:t>
            </w:r>
            <w:r w:rsidRPr="0068677C">
              <w:rPr>
                <w:i/>
                <w:sz w:val="20"/>
              </w:rPr>
              <w:t>Criminal Code</w:t>
            </w:r>
            <w:r w:rsidRPr="0068677C">
              <w:rPr>
                <w:sz w:val="20"/>
              </w:rPr>
              <w:t xml:space="preserve">, requiring mandatory lifetime registration pursuant to the </w:t>
            </w:r>
            <w:r w:rsidRPr="0068677C">
              <w:rPr>
                <w:i/>
                <w:sz w:val="20"/>
              </w:rPr>
              <w:t xml:space="preserve">Sex Offender Information Registration Act </w:t>
            </w:r>
            <w:r w:rsidRPr="0068677C">
              <w:rPr>
                <w:sz w:val="20"/>
              </w:rPr>
              <w:t>for offenders convicted of more than one designated offence,</w:t>
            </w:r>
            <w:r w:rsidRPr="0068677C">
              <w:rPr>
                <w:i/>
                <w:sz w:val="20"/>
              </w:rPr>
              <w:t xml:space="preserve"> </w:t>
            </w:r>
            <w:r w:rsidRPr="0068677C">
              <w:rPr>
                <w:sz w:val="20"/>
              </w:rPr>
              <w:t xml:space="preserve">violate s. 7 of the </w:t>
            </w:r>
            <w:r w:rsidRPr="0068677C">
              <w:rPr>
                <w:i/>
                <w:sz w:val="20"/>
              </w:rPr>
              <w:t>Charter</w:t>
            </w:r>
            <w:r w:rsidRPr="0068677C">
              <w:rPr>
                <w:sz w:val="20"/>
              </w:rPr>
              <w:t xml:space="preserve"> — If so, whether ss. 490.012 and 490.013(2.1) can be saved under s. 1 of the </w:t>
            </w:r>
            <w:r w:rsidRPr="0068677C">
              <w:rPr>
                <w:i/>
                <w:sz w:val="20"/>
              </w:rPr>
              <w:t>Charter</w:t>
            </w:r>
            <w:r w:rsidRPr="0068677C">
              <w:rPr>
                <w:sz w:val="20"/>
              </w:rPr>
              <w:t xml:space="preserve"> — Sections 490.012 and 490.013(2.1) of the </w:t>
            </w:r>
            <w:r w:rsidRPr="0068677C">
              <w:rPr>
                <w:i/>
                <w:sz w:val="20"/>
              </w:rPr>
              <w:t>Criminal Code</w:t>
            </w:r>
            <w:r w:rsidRPr="0068677C">
              <w:rPr>
                <w:sz w:val="20"/>
              </w:rPr>
              <w:t>, R.S.C. 1985, c. C</w:t>
            </w:r>
            <w:r w:rsidRPr="0068677C">
              <w:rPr>
                <w:sz w:val="20"/>
              </w:rPr>
              <w:noBreakHyphen/>
              <w:t xml:space="preserve">46 — Sections 1 and 7 of the </w:t>
            </w:r>
            <w:r w:rsidRPr="0068677C">
              <w:rPr>
                <w:i/>
                <w:sz w:val="20"/>
              </w:rPr>
              <w:t>Canadian Charter of Rights and Freedoms</w:t>
            </w:r>
            <w:r w:rsidRPr="0068677C">
              <w:rPr>
                <w:sz w:val="20"/>
              </w:rPr>
              <w:t>.</w:t>
            </w:r>
          </w:p>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widowControl w:val="0"/>
              <w:jc w:val="both"/>
              <w:rPr>
                <w:sz w:val="20"/>
                <w:lang w:eastAsia="en-CA"/>
              </w:rPr>
            </w:pPr>
            <w:r w:rsidRPr="0068677C">
              <w:rPr>
                <w:sz w:val="20"/>
                <w:lang w:eastAsia="en-CA"/>
              </w:rPr>
              <w:t xml:space="preserve">The applicant pled guilty to two charges of sexual assault, contrary to s. 271 of the </w:t>
            </w:r>
            <w:r w:rsidRPr="0068677C">
              <w:rPr>
                <w:i/>
                <w:sz w:val="20"/>
                <w:lang w:eastAsia="en-CA"/>
              </w:rPr>
              <w:t>Criminal Code</w:t>
            </w:r>
            <w:r w:rsidRPr="0068677C">
              <w:rPr>
                <w:sz w:val="20"/>
                <w:lang w:eastAsia="en-CA"/>
              </w:rPr>
              <w:t>, R.S.C. 1985, c. C</w:t>
            </w:r>
            <w:r w:rsidRPr="0068677C">
              <w:rPr>
                <w:sz w:val="20"/>
                <w:lang w:eastAsia="en-CA"/>
              </w:rPr>
              <w:noBreakHyphen/>
              <w:t xml:space="preserve">46. The assaults had been committed against two complainants during the course of a party. The sentencing judge found the applicant was at low risk to reoffend, and sentenced him to six months of imprisonment and three years of probation. The applicant challenged the constitutionality of ss. 490.012 and 490.013(2.1) of the </w:t>
            </w:r>
            <w:r w:rsidRPr="0068677C">
              <w:rPr>
                <w:i/>
                <w:sz w:val="20"/>
                <w:lang w:eastAsia="en-CA"/>
              </w:rPr>
              <w:t>Criminal Code</w:t>
            </w:r>
            <w:r w:rsidRPr="0068677C">
              <w:rPr>
                <w:sz w:val="20"/>
                <w:lang w:eastAsia="en-CA"/>
              </w:rPr>
              <w:t xml:space="preserve">, which require him to register and report for life under the </w:t>
            </w:r>
            <w:r w:rsidRPr="0068677C">
              <w:rPr>
                <w:i/>
                <w:sz w:val="20"/>
                <w:lang w:eastAsia="en-CA"/>
              </w:rPr>
              <w:t>Sex Offender Information Registration Act</w:t>
            </w:r>
            <w:r w:rsidRPr="0068677C">
              <w:rPr>
                <w:sz w:val="20"/>
                <w:lang w:eastAsia="en-CA"/>
              </w:rPr>
              <w:t xml:space="preserve">, S.C. 2004, c. 10, as a result of his convictions for more than one designated offence. The sentencing judge held that ss. 490.012 and 490.013(2.1) violate s. 7 of the </w:t>
            </w:r>
            <w:r w:rsidRPr="0068677C">
              <w:rPr>
                <w:i/>
                <w:sz w:val="20"/>
                <w:lang w:eastAsia="en-CA"/>
              </w:rPr>
              <w:t>Charter</w:t>
            </w:r>
            <w:r w:rsidRPr="0068677C">
              <w:rPr>
                <w:sz w:val="20"/>
                <w:lang w:eastAsia="en-CA"/>
              </w:rPr>
              <w:t xml:space="preserve"> and cannot be saved under s. 1, and declared the sections to be of no force or effect.</w:t>
            </w:r>
          </w:p>
          <w:p w:rsidR="00C50008" w:rsidRPr="0068677C" w:rsidRDefault="00C50008" w:rsidP="005B5AEE">
            <w:pPr>
              <w:widowControl w:val="0"/>
              <w:jc w:val="both"/>
              <w:rPr>
                <w:sz w:val="20"/>
                <w:lang w:eastAsia="en-CA"/>
              </w:rPr>
            </w:pPr>
          </w:p>
          <w:p w:rsidR="00C50008" w:rsidRPr="0068677C" w:rsidRDefault="00C50008" w:rsidP="005B5AEE">
            <w:pPr>
              <w:widowControl w:val="0"/>
              <w:jc w:val="both"/>
              <w:rPr>
                <w:sz w:val="20"/>
                <w:lang w:eastAsia="en-CA"/>
              </w:rPr>
            </w:pPr>
            <w:r w:rsidRPr="0068677C">
              <w:rPr>
                <w:sz w:val="20"/>
                <w:lang w:eastAsia="en-CA"/>
              </w:rPr>
              <w:t xml:space="preserve">The Crown appealed the sentencing judge’s declaration of unconstitutionality. The majority of the Court of Appeal for Alberta allowed the appeal, holding that the sentencing judge had erred in finding that the applicant had established a deprivation of his right to life, liberty or security of the person under s. 7 of the </w:t>
            </w:r>
            <w:r w:rsidRPr="0068677C">
              <w:rPr>
                <w:i/>
                <w:sz w:val="20"/>
                <w:lang w:eastAsia="en-CA"/>
              </w:rPr>
              <w:t>Charter</w:t>
            </w:r>
            <w:r w:rsidRPr="0068677C">
              <w:rPr>
                <w:sz w:val="20"/>
                <w:lang w:eastAsia="en-CA"/>
              </w:rPr>
              <w:t>. Khullar J.A., dissenting, would have dismissed the appeal and upheld the sentencing judge’s decision.</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October 24, 2016</w:t>
            </w:r>
          </w:p>
          <w:p w:rsidR="00C50008" w:rsidRPr="0068677C" w:rsidRDefault="00C50008" w:rsidP="005B5AEE">
            <w:pPr>
              <w:jc w:val="both"/>
              <w:rPr>
                <w:sz w:val="20"/>
              </w:rPr>
            </w:pPr>
            <w:r w:rsidRPr="0068677C">
              <w:rPr>
                <w:sz w:val="20"/>
              </w:rPr>
              <w:t>Court of Queen’s Bench of Alberta</w:t>
            </w:r>
          </w:p>
          <w:p w:rsidR="00C50008" w:rsidRPr="0068677C" w:rsidRDefault="00C50008" w:rsidP="005B5AEE">
            <w:pPr>
              <w:jc w:val="both"/>
              <w:rPr>
                <w:sz w:val="20"/>
              </w:rPr>
            </w:pPr>
            <w:r w:rsidRPr="0068677C">
              <w:rPr>
                <w:sz w:val="20"/>
              </w:rPr>
              <w:t>(Moen J.)</w:t>
            </w:r>
          </w:p>
          <w:p w:rsidR="00C50008" w:rsidRPr="0068677C" w:rsidRDefault="00D800B2" w:rsidP="005B5AEE">
            <w:pPr>
              <w:jc w:val="both"/>
              <w:rPr>
                <w:rStyle w:val="Hyperlink"/>
                <w:sz w:val="20"/>
              </w:rPr>
            </w:pPr>
            <w:hyperlink r:id="rId19" w:history="1">
              <w:r w:rsidR="00C50008" w:rsidRPr="0068677C">
                <w:rPr>
                  <w:rStyle w:val="Hyperlink"/>
                  <w:sz w:val="20"/>
                </w:rPr>
                <w:t>2016 ABQB 595</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 xml:space="preserve">Sections 490.012 and 490.013(2.1) of the </w:t>
            </w:r>
            <w:r w:rsidRPr="0068677C">
              <w:rPr>
                <w:i/>
                <w:sz w:val="20"/>
              </w:rPr>
              <w:t xml:space="preserve">Criminal Code </w:t>
            </w:r>
            <w:r w:rsidRPr="0068677C">
              <w:rPr>
                <w:sz w:val="20"/>
              </w:rPr>
              <w:t xml:space="preserve">infringe s. 7 of the </w:t>
            </w:r>
            <w:r w:rsidRPr="0068677C">
              <w:rPr>
                <w:i/>
                <w:sz w:val="20"/>
              </w:rPr>
              <w:t>Charter</w:t>
            </w:r>
            <w:r w:rsidRPr="0068677C">
              <w:rPr>
                <w:sz w:val="20"/>
              </w:rPr>
              <w:t>.</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April 9, 2018</w:t>
            </w:r>
          </w:p>
          <w:p w:rsidR="00C50008" w:rsidRPr="0068677C" w:rsidRDefault="00C50008" w:rsidP="005B5AEE">
            <w:pPr>
              <w:jc w:val="both"/>
              <w:rPr>
                <w:sz w:val="20"/>
              </w:rPr>
            </w:pPr>
            <w:r w:rsidRPr="0068677C">
              <w:rPr>
                <w:sz w:val="20"/>
              </w:rPr>
              <w:t>Court of Queen’s Bench of Alberta</w:t>
            </w:r>
          </w:p>
          <w:p w:rsidR="00C50008" w:rsidRPr="0068677C" w:rsidRDefault="00C50008" w:rsidP="005B5AEE">
            <w:pPr>
              <w:jc w:val="both"/>
              <w:rPr>
                <w:sz w:val="20"/>
              </w:rPr>
            </w:pPr>
            <w:r w:rsidRPr="0068677C">
              <w:rPr>
                <w:sz w:val="20"/>
              </w:rPr>
              <w:t>(Moen J.)</w:t>
            </w:r>
          </w:p>
          <w:p w:rsidR="00C50008" w:rsidRPr="0068677C" w:rsidRDefault="00D800B2" w:rsidP="005B5AEE">
            <w:pPr>
              <w:jc w:val="both"/>
              <w:rPr>
                <w:rStyle w:val="Hyperlink"/>
                <w:sz w:val="20"/>
              </w:rPr>
            </w:pPr>
            <w:hyperlink r:id="rId20" w:history="1">
              <w:r w:rsidR="00C50008" w:rsidRPr="0068677C">
                <w:rPr>
                  <w:rStyle w:val="Hyperlink"/>
                  <w:sz w:val="20"/>
                </w:rPr>
                <w:t>2018 ABQB 277</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 xml:space="preserve">The infringement to s. 7 is not justified under s. 1 of the </w:t>
            </w:r>
            <w:r w:rsidRPr="0068677C">
              <w:rPr>
                <w:i/>
                <w:sz w:val="20"/>
              </w:rPr>
              <w:t>Charter</w:t>
            </w:r>
            <w:r w:rsidRPr="0068677C">
              <w:rPr>
                <w:sz w:val="20"/>
              </w:rPr>
              <w:t xml:space="preserve">; ss. 490.012 and 490.013(2.1) of the </w:t>
            </w:r>
            <w:r w:rsidRPr="0068677C">
              <w:rPr>
                <w:i/>
                <w:sz w:val="20"/>
              </w:rPr>
              <w:t xml:space="preserve">Criminal Code </w:t>
            </w:r>
            <w:r w:rsidRPr="0068677C">
              <w:rPr>
                <w:sz w:val="20"/>
              </w:rPr>
              <w:t>are of no force or effect.</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September 3, 2020</w:t>
            </w:r>
          </w:p>
          <w:p w:rsidR="00C50008" w:rsidRPr="0068677C" w:rsidRDefault="00C50008" w:rsidP="005B5AEE">
            <w:pPr>
              <w:jc w:val="both"/>
              <w:rPr>
                <w:sz w:val="20"/>
              </w:rPr>
            </w:pPr>
            <w:r w:rsidRPr="0068677C">
              <w:rPr>
                <w:sz w:val="20"/>
              </w:rPr>
              <w:t>Court of Appeal of Alberta (Edmonton)</w:t>
            </w:r>
          </w:p>
          <w:p w:rsidR="00C50008" w:rsidRPr="0068677C" w:rsidRDefault="00C50008" w:rsidP="005B5AEE">
            <w:pPr>
              <w:jc w:val="both"/>
              <w:rPr>
                <w:sz w:val="20"/>
              </w:rPr>
            </w:pPr>
            <w:r w:rsidRPr="0068677C">
              <w:rPr>
                <w:sz w:val="20"/>
              </w:rPr>
              <w:t xml:space="preserve">(Slatter and Schutz JJ.A.; Khullar J.A. </w:t>
            </w:r>
          </w:p>
          <w:p w:rsidR="00C50008" w:rsidRPr="0068677C" w:rsidRDefault="00C50008" w:rsidP="005B5AEE">
            <w:pPr>
              <w:jc w:val="both"/>
              <w:rPr>
                <w:sz w:val="20"/>
              </w:rPr>
            </w:pPr>
            <w:r w:rsidRPr="0068677C">
              <w:rPr>
                <w:sz w:val="20"/>
              </w:rPr>
              <w:t>(dissenting))</w:t>
            </w:r>
          </w:p>
          <w:p w:rsidR="00C50008" w:rsidRPr="0068677C" w:rsidRDefault="00D800B2" w:rsidP="005B5AEE">
            <w:pPr>
              <w:jc w:val="both"/>
              <w:rPr>
                <w:sz w:val="20"/>
              </w:rPr>
            </w:pPr>
            <w:hyperlink r:id="rId21" w:history="1">
              <w:r w:rsidR="00C50008" w:rsidRPr="0068677C">
                <w:rPr>
                  <w:rStyle w:val="Hyperlink"/>
                  <w:sz w:val="20"/>
                </w:rPr>
                <w:t>2020 ABCA 307</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 xml:space="preserve">Crown appeal allowed; declaration that ss. 490.012 and 490.013(2.1) of the </w:t>
            </w:r>
            <w:r w:rsidRPr="0068677C">
              <w:rPr>
                <w:i/>
                <w:sz w:val="20"/>
              </w:rPr>
              <w:t>Criminal Code</w:t>
            </w:r>
            <w:r w:rsidRPr="0068677C">
              <w:rPr>
                <w:sz w:val="20"/>
              </w:rPr>
              <w:t xml:space="preserve"> are of no force or effect set aside. </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October 1, 2020</w:t>
            </w:r>
          </w:p>
          <w:p w:rsidR="00C50008" w:rsidRPr="0068677C" w:rsidRDefault="00C50008" w:rsidP="005B5AEE">
            <w:pPr>
              <w:jc w:val="both"/>
              <w:rPr>
                <w:sz w:val="20"/>
              </w:rPr>
            </w:pPr>
            <w:r w:rsidRPr="0068677C">
              <w:rPr>
                <w:sz w:val="20"/>
              </w:rPr>
              <w:t>Supreme Court of Canada</w:t>
            </w:r>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Notice of appeal as of right filed by the applicant.</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November 13, 2020</w:t>
            </w:r>
          </w:p>
          <w:p w:rsidR="00C50008" w:rsidRPr="0068677C" w:rsidRDefault="00C50008" w:rsidP="005B5AEE">
            <w:pPr>
              <w:jc w:val="both"/>
              <w:rPr>
                <w:rStyle w:val="Hyperlink"/>
                <w:color w:val="auto"/>
                <w:sz w:val="20"/>
                <w:u w:val="none"/>
              </w:rPr>
            </w:pPr>
            <w:r w:rsidRPr="0068677C">
              <w:rPr>
                <w:sz w:val="20"/>
              </w:rPr>
              <w:t>Supreme Court of Canada</w:t>
            </w:r>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Crown motion to quash the notice of appeal granted; applicant entitled to serve and file an application for leave to appeal within 60 days of the order.</w:t>
            </w:r>
          </w:p>
          <w:p w:rsidR="00C50008" w:rsidRPr="0068677C" w:rsidRDefault="00C50008" w:rsidP="005B5AEE">
            <w:pPr>
              <w:jc w:val="both"/>
              <w:rPr>
                <w:sz w:val="20"/>
              </w:rPr>
            </w:pPr>
          </w:p>
        </w:tc>
      </w:tr>
    </w:tbl>
    <w:p w:rsidR="006D6263" w:rsidRPr="0068677C" w:rsidRDefault="006D6263">
      <w:r w:rsidRPr="0068677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68677C" w:rsidTr="005B5AEE">
        <w:tc>
          <w:tcPr>
            <w:tcW w:w="2427" w:type="pct"/>
          </w:tcPr>
          <w:p w:rsidR="00C50008" w:rsidRPr="0068677C" w:rsidRDefault="00C50008" w:rsidP="005B5AEE">
            <w:pPr>
              <w:jc w:val="both"/>
              <w:rPr>
                <w:sz w:val="20"/>
              </w:rPr>
            </w:pPr>
            <w:r w:rsidRPr="0068677C">
              <w:rPr>
                <w:sz w:val="20"/>
              </w:rPr>
              <w:lastRenderedPageBreak/>
              <w:t>January 8, 2021</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p w:rsidR="00C50008" w:rsidRPr="0068677C" w:rsidRDefault="00C50008" w:rsidP="005B5AEE">
            <w:pPr>
              <w:jc w:val="both"/>
              <w:rPr>
                <w:sz w:val="20"/>
              </w:rPr>
            </w:pP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38"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lang w:val="fr-CA"/>
              </w:rPr>
            </w:pPr>
            <w:r w:rsidRPr="0068677C">
              <w:rPr>
                <w:rStyle w:val="SCCFileNumberChar"/>
                <w:sz w:val="20"/>
                <w:szCs w:val="20"/>
                <w:lang w:val="fr-CA"/>
              </w:rPr>
              <w:t>39360</w:t>
            </w:r>
          </w:p>
        </w:tc>
        <w:tc>
          <w:tcPr>
            <w:tcW w:w="4457" w:type="pct"/>
            <w:gridSpan w:val="3"/>
          </w:tcPr>
          <w:p w:rsidR="00C50008" w:rsidRPr="0068677C" w:rsidRDefault="00C50008" w:rsidP="005B5AEE">
            <w:pPr>
              <w:pStyle w:val="SCCLsocParty"/>
              <w:jc w:val="both"/>
              <w:rPr>
                <w:b/>
                <w:sz w:val="20"/>
                <w:szCs w:val="20"/>
              </w:rPr>
            </w:pPr>
            <w:r w:rsidRPr="0068677C">
              <w:rPr>
                <w:b/>
                <w:sz w:val="20"/>
                <w:szCs w:val="20"/>
              </w:rPr>
              <w:t>Eugene Ndhlovu c. Sa Majesté la Reine</w:t>
            </w:r>
          </w:p>
          <w:p w:rsidR="00C50008" w:rsidRPr="0068677C" w:rsidRDefault="00C50008" w:rsidP="005B5AEE">
            <w:pPr>
              <w:jc w:val="both"/>
              <w:rPr>
                <w:sz w:val="20"/>
                <w:lang w:val="fr-CA"/>
              </w:rPr>
            </w:pPr>
            <w:r w:rsidRPr="0068677C">
              <w:rPr>
                <w:sz w:val="20"/>
                <w:lang w:val="fr-CA"/>
              </w:rPr>
              <w:t>(Alb.) (Criminelle) (Sur autorisation)</w:t>
            </w:r>
          </w:p>
        </w:tc>
      </w:tr>
      <w:tr w:rsidR="00812A2D" w:rsidRPr="00D800B2" w:rsidTr="005B5AEE">
        <w:tc>
          <w:tcPr>
            <w:tcW w:w="5000" w:type="pct"/>
            <w:gridSpan w:val="4"/>
          </w:tcPr>
          <w:p w:rsidR="00812A2D" w:rsidRPr="0068677C" w:rsidRDefault="005B5AEE" w:rsidP="005B5AEE">
            <w:pPr>
              <w:pStyle w:val="SCCBanSummary0"/>
              <w:rPr>
                <w:smallCaps w:val="0"/>
                <w:sz w:val="20"/>
                <w:szCs w:val="20"/>
                <w:lang w:val="fr-CA"/>
              </w:rPr>
            </w:pPr>
            <w:r w:rsidRPr="0068677C">
              <w:rPr>
                <w:smallCaps w:val="0"/>
                <w:sz w:val="20"/>
                <w:szCs w:val="20"/>
                <w:lang w:val="fr-CA"/>
              </w:rPr>
              <w:t>La demande d’autorisation d’appel de l’arrêt de la Cour d’appel de l’Alberta (Edmonton), numéro 1803-0111-A, 2020 ABCA 307, daté du 3 septembre 2020, est accueillie.</w:t>
            </w:r>
          </w:p>
          <w:p w:rsidR="005B5AEE" w:rsidRPr="0068677C" w:rsidRDefault="005B5AEE" w:rsidP="005B5AEE">
            <w:pPr>
              <w:rPr>
                <w:lang w:val="fr-CA"/>
              </w:rPr>
            </w:pPr>
          </w:p>
        </w:tc>
      </w:tr>
      <w:tr w:rsidR="00C50008" w:rsidRPr="00D800B2" w:rsidTr="005B5AEE">
        <w:tc>
          <w:tcPr>
            <w:tcW w:w="5000" w:type="pct"/>
            <w:gridSpan w:val="4"/>
          </w:tcPr>
          <w:p w:rsidR="00C50008" w:rsidRPr="0068677C" w:rsidRDefault="00C50008" w:rsidP="005B5AEE">
            <w:pPr>
              <w:pStyle w:val="SCCBanSummary0"/>
              <w:rPr>
                <w:sz w:val="20"/>
                <w:szCs w:val="20"/>
                <w:lang w:val="fr-CA"/>
              </w:rPr>
            </w:pPr>
            <w:r w:rsidRPr="0068677C">
              <w:rPr>
                <w:sz w:val="20"/>
                <w:szCs w:val="20"/>
                <w:lang w:val="fr-CA"/>
              </w:rPr>
              <w:t>(Ordonnance de non-publication dans le dossier)</w:t>
            </w:r>
          </w:p>
          <w:p w:rsidR="00C50008" w:rsidRPr="0068677C" w:rsidRDefault="00C50008"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i/>
                <w:sz w:val="20"/>
                <w:lang w:val="fr-CA"/>
              </w:rPr>
              <w:t xml:space="preserve">Charte des droits </w:t>
            </w:r>
            <w:r w:rsidRPr="0068677C">
              <w:rPr>
                <w:sz w:val="20"/>
                <w:lang w:val="fr-CA"/>
              </w:rPr>
              <w:t xml:space="preserve">— Droit à la vie, à la liberté et à la sécurité de la personne — L’article 490.012 et le paragraphe 490.013(2.1) du </w:t>
            </w:r>
            <w:r w:rsidRPr="0068677C">
              <w:rPr>
                <w:i/>
                <w:sz w:val="20"/>
                <w:lang w:val="fr-CA"/>
              </w:rPr>
              <w:t>Code criminel</w:t>
            </w:r>
            <w:r w:rsidRPr="0068677C">
              <w:rPr>
                <w:sz w:val="20"/>
                <w:lang w:val="fr-CA"/>
              </w:rPr>
              <w:t xml:space="preserve">, prescrivant l’enregistrement à perpétuité obligatoire, en vertu de la </w:t>
            </w:r>
            <w:r w:rsidRPr="0068677C">
              <w:rPr>
                <w:i/>
                <w:sz w:val="20"/>
                <w:lang w:val="fr-CA"/>
              </w:rPr>
              <w:t>Loi sur l’enregistrement de renseignements sur les délinquants sexuels</w:t>
            </w:r>
            <w:r w:rsidRPr="0068677C">
              <w:rPr>
                <w:sz w:val="20"/>
                <w:lang w:val="fr-CA"/>
              </w:rPr>
              <w:t>,</w:t>
            </w:r>
            <w:r w:rsidRPr="0068677C">
              <w:rPr>
                <w:i/>
                <w:sz w:val="20"/>
                <w:lang w:val="fr-CA"/>
              </w:rPr>
              <w:t xml:space="preserve"> </w:t>
            </w:r>
            <w:r w:rsidRPr="0068677C">
              <w:rPr>
                <w:sz w:val="20"/>
                <w:lang w:val="fr-CA"/>
              </w:rPr>
              <w:t>à l’endroit des délinquants déclarés coupables de plus d’une infraction désignée,</w:t>
            </w:r>
            <w:r w:rsidRPr="0068677C">
              <w:rPr>
                <w:i/>
                <w:sz w:val="20"/>
                <w:lang w:val="fr-CA"/>
              </w:rPr>
              <w:t xml:space="preserve"> </w:t>
            </w:r>
            <w:r w:rsidRPr="0068677C">
              <w:rPr>
                <w:sz w:val="20"/>
                <w:lang w:val="fr-CA"/>
              </w:rPr>
              <w:t>violent</w:t>
            </w:r>
            <w:r w:rsidRPr="0068677C">
              <w:rPr>
                <w:sz w:val="20"/>
                <w:lang w:val="fr-CA"/>
              </w:rPr>
              <w:noBreakHyphen/>
              <w:t xml:space="preserve">ils l’art. 7 de la </w:t>
            </w:r>
            <w:r w:rsidRPr="0068677C">
              <w:rPr>
                <w:i/>
                <w:sz w:val="20"/>
                <w:lang w:val="fr-CA"/>
              </w:rPr>
              <w:t>Charte</w:t>
            </w:r>
            <w:r w:rsidRPr="0068677C">
              <w:rPr>
                <w:sz w:val="20"/>
                <w:lang w:val="fr-CA"/>
              </w:rPr>
              <w:t>? — Dans l’affirmative, l’art. 490.012 et le par. 490.013(2.1) peuvent</w:t>
            </w:r>
            <w:r w:rsidRPr="0068677C">
              <w:rPr>
                <w:sz w:val="20"/>
                <w:lang w:val="fr-CA"/>
              </w:rPr>
              <w:noBreakHyphen/>
              <w:t xml:space="preserve">ils être sauvegardés par application de l’article premier de la </w:t>
            </w:r>
            <w:r w:rsidRPr="0068677C">
              <w:rPr>
                <w:i/>
                <w:sz w:val="20"/>
                <w:lang w:val="fr-CA"/>
              </w:rPr>
              <w:t>Charte</w:t>
            </w:r>
            <w:r w:rsidRPr="0068677C">
              <w:rPr>
                <w:sz w:val="20"/>
                <w:lang w:val="fr-CA"/>
              </w:rPr>
              <w:t xml:space="preserve">? — Article 490.012 et paragraphe 490.013(2.1) du </w:t>
            </w:r>
            <w:r w:rsidRPr="0068677C">
              <w:rPr>
                <w:i/>
                <w:sz w:val="20"/>
                <w:lang w:val="fr-CA"/>
              </w:rPr>
              <w:t>Code criminel</w:t>
            </w:r>
            <w:r w:rsidRPr="0068677C">
              <w:rPr>
                <w:sz w:val="20"/>
                <w:lang w:val="fr-CA"/>
              </w:rPr>
              <w:t>, L.R.C. 1985, ch. C</w:t>
            </w:r>
            <w:r w:rsidRPr="0068677C">
              <w:rPr>
                <w:sz w:val="20"/>
                <w:lang w:val="fr-CA"/>
              </w:rPr>
              <w:noBreakHyphen/>
              <w:t xml:space="preserve">46 — Article premier et article 7 de la </w:t>
            </w:r>
            <w:r w:rsidRPr="0068677C">
              <w:rPr>
                <w:i/>
                <w:sz w:val="20"/>
                <w:lang w:val="fr-CA"/>
              </w:rPr>
              <w:t>Charte canadienne des droits et libertés</w:t>
            </w:r>
          </w:p>
          <w:p w:rsidR="00C50008" w:rsidRPr="0068677C" w:rsidRDefault="00C50008" w:rsidP="005B5AEE">
            <w:pPr>
              <w:jc w:val="both"/>
              <w:rPr>
                <w:sz w:val="20"/>
                <w:lang w:val="fr-CA"/>
              </w:rPr>
            </w:pPr>
          </w:p>
        </w:tc>
      </w:tr>
      <w:tr w:rsidR="00C50008" w:rsidRPr="00D800B2" w:rsidTr="005B5AEE">
        <w:tc>
          <w:tcPr>
            <w:tcW w:w="5000" w:type="pct"/>
            <w:gridSpan w:val="4"/>
          </w:tcPr>
          <w:p w:rsidR="00C50008" w:rsidRPr="0068677C" w:rsidRDefault="00C50008" w:rsidP="005B5AEE">
            <w:pPr>
              <w:widowControl w:val="0"/>
              <w:jc w:val="both"/>
              <w:rPr>
                <w:sz w:val="20"/>
                <w:lang w:val="fr-CA" w:eastAsia="en-CA"/>
              </w:rPr>
            </w:pPr>
            <w:r w:rsidRPr="0068677C">
              <w:rPr>
                <w:sz w:val="20"/>
                <w:lang w:val="fr-CA" w:eastAsia="en-CA"/>
              </w:rPr>
              <w:t xml:space="preserve">Le demandeur a plaidé coupable à deux chefs d’accusation d’agression sexuelle, en contravention de l’art. 271 du </w:t>
            </w:r>
            <w:r w:rsidRPr="0068677C">
              <w:rPr>
                <w:i/>
                <w:sz w:val="20"/>
                <w:lang w:val="fr-CA" w:eastAsia="en-CA"/>
              </w:rPr>
              <w:t>Code criminel</w:t>
            </w:r>
            <w:r w:rsidRPr="0068677C">
              <w:rPr>
                <w:sz w:val="20"/>
                <w:lang w:val="fr-CA" w:eastAsia="en-CA"/>
              </w:rPr>
              <w:t>, L.R.C. 1985, ch. C</w:t>
            </w:r>
            <w:r w:rsidRPr="0068677C">
              <w:rPr>
                <w:sz w:val="20"/>
                <w:lang w:val="fr-CA" w:eastAsia="en-CA"/>
              </w:rPr>
              <w:noBreakHyphen/>
              <w:t xml:space="preserve">46. Les agressions ont été commises à l’encontre de deux plaignantes pendant une fête. La juge chargée de la détermination de la peine a conclu que le demandeur présentait un faible risque de récidive, et l’a condamné à une peine de six mois d’emprisonnement et à une période de probation de trois ans. Le demandeur a contesté la constitutionnalité de l’art. 490.012 et du par. 490.013(2.1) du </w:t>
            </w:r>
            <w:r w:rsidRPr="0068677C">
              <w:rPr>
                <w:i/>
                <w:sz w:val="20"/>
                <w:lang w:val="fr-CA" w:eastAsia="en-CA"/>
              </w:rPr>
              <w:t>Code criminel</w:t>
            </w:r>
            <w:r w:rsidRPr="0068677C">
              <w:rPr>
                <w:sz w:val="20"/>
                <w:lang w:val="fr-CA" w:eastAsia="en-CA"/>
              </w:rPr>
              <w:t xml:space="preserve">, aux termes desquels il doit s’enregistrer et comparaître au bureau d’inscription à perpétuité en vertu de la </w:t>
            </w:r>
            <w:r w:rsidRPr="0068677C">
              <w:rPr>
                <w:i/>
                <w:sz w:val="20"/>
                <w:lang w:val="fr-CA" w:eastAsia="en-CA"/>
              </w:rPr>
              <w:t>Loi sur l’enregistrement de renseignements sur les délinquants sexuels</w:t>
            </w:r>
            <w:r w:rsidRPr="0068677C">
              <w:rPr>
                <w:sz w:val="20"/>
                <w:lang w:val="fr-CA" w:eastAsia="en-CA"/>
              </w:rPr>
              <w:t xml:space="preserve">, L.C. 2004, ch. 10, en conséquence des déclarations de culpabilité prononcées à son égard pour </w:t>
            </w:r>
            <w:r w:rsidRPr="0068677C">
              <w:rPr>
                <w:sz w:val="20"/>
                <w:lang w:val="fr-CA"/>
              </w:rPr>
              <w:t>plus d’une infraction désignée</w:t>
            </w:r>
            <w:r w:rsidRPr="0068677C">
              <w:rPr>
                <w:sz w:val="20"/>
                <w:lang w:val="fr-CA" w:eastAsia="en-CA"/>
              </w:rPr>
              <w:t xml:space="preserve">. La juge chargée de la détermination de la </w:t>
            </w:r>
            <w:proofErr w:type="gramStart"/>
            <w:r w:rsidRPr="0068677C">
              <w:rPr>
                <w:sz w:val="20"/>
                <w:lang w:val="fr-CA" w:eastAsia="en-CA"/>
              </w:rPr>
              <w:t>peine a</w:t>
            </w:r>
            <w:proofErr w:type="gramEnd"/>
            <w:r w:rsidRPr="0068677C">
              <w:rPr>
                <w:sz w:val="20"/>
                <w:lang w:val="fr-CA" w:eastAsia="en-CA"/>
              </w:rPr>
              <w:t xml:space="preserve"> conclu que l’art. 490.012 et le par. 490.013(2.1) violent l’art. 7 de la </w:t>
            </w:r>
            <w:r w:rsidRPr="0068677C">
              <w:rPr>
                <w:i/>
                <w:sz w:val="20"/>
                <w:lang w:val="fr-CA" w:eastAsia="en-CA"/>
              </w:rPr>
              <w:t>Charte</w:t>
            </w:r>
            <w:r w:rsidRPr="0068677C">
              <w:rPr>
                <w:sz w:val="20"/>
                <w:lang w:val="fr-CA" w:eastAsia="en-CA"/>
              </w:rPr>
              <w:t xml:space="preserve"> et ne peuvent être sauvegardés par application de l’article premier, et a déclaré que ces dispositions étaient inopérantes.</w:t>
            </w:r>
          </w:p>
          <w:p w:rsidR="00C50008" w:rsidRPr="0068677C" w:rsidRDefault="00C50008" w:rsidP="005B5AEE">
            <w:pPr>
              <w:widowControl w:val="0"/>
              <w:jc w:val="both"/>
              <w:rPr>
                <w:sz w:val="20"/>
                <w:lang w:val="fr-CA" w:eastAsia="en-CA"/>
              </w:rPr>
            </w:pPr>
          </w:p>
          <w:p w:rsidR="00C50008" w:rsidRPr="0068677C" w:rsidRDefault="00C50008" w:rsidP="005B5AEE">
            <w:pPr>
              <w:widowControl w:val="0"/>
              <w:jc w:val="both"/>
              <w:rPr>
                <w:sz w:val="20"/>
                <w:lang w:val="fr-CA" w:eastAsia="en-CA"/>
              </w:rPr>
            </w:pPr>
            <w:r w:rsidRPr="0068677C">
              <w:rPr>
                <w:sz w:val="20"/>
                <w:lang w:val="fr-CA" w:eastAsia="en-CA"/>
              </w:rPr>
              <w:t xml:space="preserve">Le ministère public a fait appel de la déclaration d’inconstitutionnalité prononcée par la juge chargée de la détermination de la peine. Les juges majoritaires de la Cour d’appel de l’Alberta ont accueilli l’appel, statuant que la juge chargée de la détermination de la peine a commis une erreur en concluant que le demandeur avait établi qu’il y avait eu atteinte à son droit à la vie, à la liberté et à la sécurité de la personne en vertu de l’art. 7 de la </w:t>
            </w:r>
            <w:r w:rsidRPr="0068677C">
              <w:rPr>
                <w:i/>
                <w:sz w:val="20"/>
                <w:lang w:val="fr-CA" w:eastAsia="en-CA"/>
              </w:rPr>
              <w:t>Charte</w:t>
            </w:r>
            <w:r w:rsidRPr="0068677C">
              <w:rPr>
                <w:sz w:val="20"/>
                <w:lang w:val="fr-CA" w:eastAsia="en-CA"/>
              </w:rPr>
              <w:t>. La juge Khullar, dissidente, aurait rejeté l’appel et confirmé la décision de la juge chargée de la détermination de la peine.</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24 octobre 2016</w:t>
            </w:r>
          </w:p>
          <w:p w:rsidR="00C50008" w:rsidRPr="0068677C" w:rsidRDefault="00C50008" w:rsidP="005B5AEE">
            <w:pPr>
              <w:jc w:val="both"/>
              <w:rPr>
                <w:sz w:val="20"/>
                <w:lang w:val="fr-CA"/>
              </w:rPr>
            </w:pPr>
            <w:r w:rsidRPr="0068677C">
              <w:rPr>
                <w:sz w:val="20"/>
                <w:lang w:val="fr-CA"/>
              </w:rPr>
              <w:t>Cour du Banc de la Reine de l’Alberta</w:t>
            </w:r>
          </w:p>
          <w:p w:rsidR="00C50008" w:rsidRPr="0068677C" w:rsidRDefault="00C50008" w:rsidP="005B5AEE">
            <w:pPr>
              <w:jc w:val="both"/>
              <w:rPr>
                <w:sz w:val="20"/>
                <w:lang w:val="fr-CA"/>
              </w:rPr>
            </w:pPr>
            <w:r w:rsidRPr="0068677C">
              <w:rPr>
                <w:sz w:val="20"/>
                <w:lang w:val="fr-CA"/>
              </w:rPr>
              <w:t>(juge Moen)</w:t>
            </w:r>
          </w:p>
          <w:p w:rsidR="00C50008" w:rsidRPr="0068677C" w:rsidRDefault="00D800B2" w:rsidP="005B5AEE">
            <w:pPr>
              <w:jc w:val="both"/>
              <w:rPr>
                <w:rStyle w:val="Hyperlink"/>
                <w:sz w:val="20"/>
                <w:lang w:val="fr-CA"/>
              </w:rPr>
            </w:pPr>
            <w:hyperlink r:id="rId22" w:history="1">
              <w:r w:rsidR="00C50008" w:rsidRPr="0068677C">
                <w:rPr>
                  <w:rStyle w:val="Hyperlink"/>
                  <w:sz w:val="20"/>
                  <w:lang w:val="fr-CA"/>
                </w:rPr>
                <w:t>2016 ABQB 595</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 xml:space="preserve">L’article 490.012 et le paragraphe 490.013(2.1) du </w:t>
            </w:r>
            <w:r w:rsidRPr="0068677C">
              <w:rPr>
                <w:i/>
                <w:sz w:val="20"/>
                <w:lang w:val="fr-CA"/>
              </w:rPr>
              <w:t xml:space="preserve">Code criminel </w:t>
            </w:r>
            <w:r w:rsidRPr="0068677C">
              <w:rPr>
                <w:sz w:val="20"/>
                <w:lang w:val="fr-CA"/>
              </w:rPr>
              <w:t xml:space="preserve">violent l’art. 7 de la </w:t>
            </w:r>
            <w:r w:rsidRPr="0068677C">
              <w:rPr>
                <w:i/>
                <w:sz w:val="20"/>
                <w:lang w:val="fr-CA"/>
              </w:rPr>
              <w:t>Charte</w:t>
            </w:r>
            <w:r w:rsidRPr="0068677C">
              <w:rPr>
                <w:sz w:val="20"/>
                <w:lang w:val="fr-CA"/>
              </w:rPr>
              <w:t>.</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9 avril 2018</w:t>
            </w:r>
          </w:p>
          <w:p w:rsidR="00C50008" w:rsidRPr="0068677C" w:rsidRDefault="00C50008" w:rsidP="005B5AEE">
            <w:pPr>
              <w:jc w:val="both"/>
              <w:rPr>
                <w:sz w:val="20"/>
                <w:lang w:val="fr-CA"/>
              </w:rPr>
            </w:pPr>
            <w:r w:rsidRPr="0068677C">
              <w:rPr>
                <w:sz w:val="20"/>
                <w:lang w:val="fr-CA"/>
              </w:rPr>
              <w:t>Cour du Banc de la Reine de l’Alberta</w:t>
            </w:r>
          </w:p>
          <w:p w:rsidR="00C50008" w:rsidRPr="0068677C" w:rsidRDefault="00C50008" w:rsidP="005B5AEE">
            <w:pPr>
              <w:jc w:val="both"/>
              <w:rPr>
                <w:sz w:val="20"/>
                <w:lang w:val="fr-CA"/>
              </w:rPr>
            </w:pPr>
            <w:r w:rsidRPr="0068677C">
              <w:rPr>
                <w:sz w:val="20"/>
                <w:lang w:val="fr-CA"/>
              </w:rPr>
              <w:t>(juge Moen)</w:t>
            </w:r>
          </w:p>
          <w:p w:rsidR="00C50008" w:rsidRPr="0068677C" w:rsidRDefault="00D800B2" w:rsidP="005B5AEE">
            <w:pPr>
              <w:jc w:val="both"/>
              <w:rPr>
                <w:rStyle w:val="Hyperlink"/>
                <w:sz w:val="20"/>
                <w:lang w:val="fr-CA"/>
              </w:rPr>
            </w:pPr>
            <w:hyperlink r:id="rId23" w:history="1">
              <w:r w:rsidR="00C50008" w:rsidRPr="0068677C">
                <w:rPr>
                  <w:rStyle w:val="Hyperlink"/>
                  <w:sz w:val="20"/>
                  <w:lang w:val="fr-CA"/>
                </w:rPr>
                <w:t>2018 ABQB 277</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 xml:space="preserve">La violation de l’art. 7 n’est pas justifiée aux termes de l’article premier de la </w:t>
            </w:r>
            <w:r w:rsidRPr="0068677C">
              <w:rPr>
                <w:i/>
                <w:sz w:val="20"/>
                <w:lang w:val="fr-CA"/>
              </w:rPr>
              <w:t>Charte</w:t>
            </w:r>
            <w:r w:rsidRPr="0068677C">
              <w:rPr>
                <w:sz w:val="20"/>
                <w:lang w:val="fr-CA"/>
              </w:rPr>
              <w:t xml:space="preserve">; l’art. 490.012 et le par. 490.013(2.1) du </w:t>
            </w:r>
            <w:r w:rsidRPr="0068677C">
              <w:rPr>
                <w:i/>
                <w:sz w:val="20"/>
                <w:lang w:val="fr-CA"/>
              </w:rPr>
              <w:t xml:space="preserve">Code criminel </w:t>
            </w:r>
            <w:r w:rsidRPr="0068677C">
              <w:rPr>
                <w:sz w:val="20"/>
                <w:lang w:val="fr-CA"/>
              </w:rPr>
              <w:t>sont inopérants.</w:t>
            </w:r>
          </w:p>
          <w:p w:rsidR="00C50008" w:rsidRPr="0068677C" w:rsidRDefault="00C50008" w:rsidP="005B5AEE">
            <w:pPr>
              <w:jc w:val="both"/>
              <w:rPr>
                <w:sz w:val="20"/>
                <w:lang w:val="fr-CA"/>
              </w:rPr>
            </w:pPr>
          </w:p>
        </w:tc>
      </w:tr>
    </w:tbl>
    <w:p w:rsidR="006D6263" w:rsidRPr="0068677C" w:rsidRDefault="006D6263">
      <w:pPr>
        <w:rPr>
          <w:lang w:val="fr-CA"/>
        </w:rPr>
      </w:pPr>
      <w:r w:rsidRPr="0068677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D800B2" w:rsidTr="005B5AEE">
        <w:tc>
          <w:tcPr>
            <w:tcW w:w="2427" w:type="pct"/>
          </w:tcPr>
          <w:p w:rsidR="00C50008" w:rsidRPr="0068677C" w:rsidRDefault="00C50008" w:rsidP="005B5AEE">
            <w:pPr>
              <w:jc w:val="both"/>
              <w:rPr>
                <w:sz w:val="20"/>
                <w:lang w:val="fr-CA"/>
              </w:rPr>
            </w:pPr>
            <w:r w:rsidRPr="0068677C">
              <w:rPr>
                <w:sz w:val="20"/>
                <w:lang w:val="fr-CA"/>
              </w:rPr>
              <w:lastRenderedPageBreak/>
              <w:t>3 septembre 2020</w:t>
            </w:r>
          </w:p>
          <w:p w:rsidR="00C50008" w:rsidRPr="0068677C" w:rsidRDefault="00C50008" w:rsidP="005B5AEE">
            <w:pPr>
              <w:jc w:val="both"/>
              <w:rPr>
                <w:sz w:val="20"/>
                <w:lang w:val="fr-CA"/>
              </w:rPr>
            </w:pPr>
            <w:r w:rsidRPr="0068677C">
              <w:rPr>
                <w:sz w:val="20"/>
                <w:lang w:val="fr-CA"/>
              </w:rPr>
              <w:t>Cour d’appel de l’Alberta (Edmonton)</w:t>
            </w:r>
          </w:p>
          <w:p w:rsidR="00C50008" w:rsidRPr="0068677C" w:rsidRDefault="00C50008" w:rsidP="005B5AEE">
            <w:pPr>
              <w:jc w:val="both"/>
              <w:rPr>
                <w:sz w:val="20"/>
                <w:lang w:val="fr-CA"/>
              </w:rPr>
            </w:pPr>
            <w:r w:rsidRPr="0068677C">
              <w:rPr>
                <w:sz w:val="20"/>
                <w:lang w:val="fr-CA"/>
              </w:rPr>
              <w:t xml:space="preserve">(juges Slatter et Schutz; juge Khullar </w:t>
            </w:r>
          </w:p>
          <w:p w:rsidR="00C50008" w:rsidRPr="0068677C" w:rsidRDefault="00C50008" w:rsidP="005B5AEE">
            <w:pPr>
              <w:jc w:val="both"/>
              <w:rPr>
                <w:sz w:val="20"/>
                <w:lang w:val="fr-CA"/>
              </w:rPr>
            </w:pPr>
            <w:r w:rsidRPr="0068677C">
              <w:rPr>
                <w:sz w:val="20"/>
                <w:lang w:val="fr-CA"/>
              </w:rPr>
              <w:t>(dissidente))</w:t>
            </w:r>
          </w:p>
          <w:p w:rsidR="00C50008" w:rsidRPr="0068677C" w:rsidRDefault="00D800B2" w:rsidP="005B5AEE">
            <w:pPr>
              <w:jc w:val="both"/>
              <w:rPr>
                <w:sz w:val="20"/>
                <w:lang w:val="fr-CA"/>
              </w:rPr>
            </w:pPr>
            <w:hyperlink r:id="rId24" w:history="1">
              <w:r w:rsidR="00C50008" w:rsidRPr="0068677C">
                <w:rPr>
                  <w:rStyle w:val="Hyperlink"/>
                  <w:sz w:val="20"/>
                  <w:lang w:val="fr-CA"/>
                </w:rPr>
                <w:t>2020 ABCA 307</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 xml:space="preserve">L’appel du ministère public est accueilli; la déclaration portant que l’art. 490.012 et le par. 490.013(2.1) du </w:t>
            </w:r>
            <w:r w:rsidRPr="0068677C">
              <w:rPr>
                <w:i/>
                <w:sz w:val="20"/>
                <w:lang w:val="fr-CA"/>
              </w:rPr>
              <w:t xml:space="preserve">Code criminel </w:t>
            </w:r>
            <w:r w:rsidRPr="0068677C">
              <w:rPr>
                <w:sz w:val="20"/>
                <w:lang w:val="fr-CA"/>
              </w:rPr>
              <w:t xml:space="preserve">sont inopérants est annulée. </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1</w:t>
            </w:r>
            <w:r w:rsidRPr="0068677C">
              <w:rPr>
                <w:sz w:val="20"/>
                <w:vertAlign w:val="superscript"/>
                <w:lang w:val="fr-CA"/>
              </w:rPr>
              <w:t>er</w:t>
            </w:r>
            <w:r w:rsidRPr="0068677C">
              <w:rPr>
                <w:sz w:val="20"/>
                <w:lang w:val="fr-CA"/>
              </w:rPr>
              <w:t xml:space="preserve"> octobre 2020</w:t>
            </w:r>
          </w:p>
          <w:p w:rsidR="00C50008" w:rsidRPr="0068677C" w:rsidRDefault="00C50008" w:rsidP="005B5AEE">
            <w:pPr>
              <w:jc w:val="both"/>
              <w:rPr>
                <w:sz w:val="20"/>
                <w:lang w:val="fr-CA"/>
              </w:rPr>
            </w:pPr>
            <w:r w:rsidRPr="0068677C">
              <w:rPr>
                <w:sz w:val="20"/>
                <w:lang w:val="fr-CA"/>
              </w:rPr>
              <w:t>Cour suprême du Canada</w:t>
            </w:r>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L’avis d’appel de plein droit est présenté par le demandeur.</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13 novembre 2020</w:t>
            </w:r>
          </w:p>
          <w:p w:rsidR="00C50008" w:rsidRPr="0068677C" w:rsidRDefault="00C50008" w:rsidP="005B5AEE">
            <w:pPr>
              <w:jc w:val="both"/>
              <w:rPr>
                <w:sz w:val="20"/>
                <w:lang w:val="fr-CA"/>
              </w:rPr>
            </w:pPr>
            <w:r w:rsidRPr="0068677C">
              <w:rPr>
                <w:sz w:val="20"/>
                <w:lang w:val="fr-CA"/>
              </w:rPr>
              <w:t>Cour suprême du Canada</w:t>
            </w:r>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 requête en annulation de l’avis d’appel présentée par le ministre public est accueillie; le demandeur a droit de signifier et de déposer une demande d’autorisation d’appel dans les 60 jours de l’ordonnance.</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8 janvier 2021</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 demande d’autorisation d’appel est présentée.</w:t>
            </w:r>
          </w:p>
          <w:p w:rsidR="00C50008" w:rsidRPr="0068677C" w:rsidRDefault="00C50008" w:rsidP="005B5AEE">
            <w:pPr>
              <w:jc w:val="both"/>
              <w:rPr>
                <w:sz w:val="20"/>
                <w:lang w:val="fr-CA"/>
              </w:rPr>
            </w:pPr>
          </w:p>
        </w:tc>
      </w:tr>
    </w:tbl>
    <w:p w:rsidR="00C50008" w:rsidRPr="0068677C" w:rsidRDefault="00C50008" w:rsidP="00C50008">
      <w:pPr>
        <w:jc w:val="both"/>
        <w:rPr>
          <w:sz w:val="20"/>
          <w:lang w:val="fr-CA"/>
        </w:rPr>
      </w:pPr>
    </w:p>
    <w:p w:rsidR="00C50008" w:rsidRPr="0068677C" w:rsidRDefault="00D800B2" w:rsidP="00C50008">
      <w:pPr>
        <w:widowControl w:val="0"/>
        <w:jc w:val="both"/>
        <w:rPr>
          <w:sz w:val="20"/>
          <w:lang w:val="fr-CA"/>
        </w:rPr>
      </w:pPr>
      <w:r>
        <w:rPr>
          <w:sz w:val="20"/>
        </w:rPr>
        <w:pict>
          <v:rect id="_x0000_i1039" style="width:2in;height:1pt" o:hrpct="0" o:hralign="center" o:hrstd="t" o:hrnoshade="t" o:hr="t" fillcolor="black [3213]" stroked="f"/>
        </w:pict>
      </w:r>
    </w:p>
    <w:p w:rsidR="00C50008" w:rsidRPr="0068677C" w:rsidRDefault="00C50008" w:rsidP="00C500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39554</w:t>
            </w:r>
          </w:p>
        </w:tc>
        <w:tc>
          <w:tcPr>
            <w:tcW w:w="4457" w:type="pct"/>
            <w:gridSpan w:val="3"/>
          </w:tcPr>
          <w:p w:rsidR="00C50008" w:rsidRPr="0068677C" w:rsidRDefault="00C50008" w:rsidP="005B5AEE">
            <w:pPr>
              <w:pStyle w:val="SCCLsocParty"/>
              <w:jc w:val="both"/>
              <w:rPr>
                <w:b/>
                <w:sz w:val="20"/>
                <w:szCs w:val="20"/>
                <w:lang w:val="en-US"/>
              </w:rPr>
            </w:pPr>
            <w:r w:rsidRPr="0068677C">
              <w:rPr>
                <w:b/>
                <w:sz w:val="20"/>
                <w:szCs w:val="20"/>
                <w:lang w:val="en-US"/>
              </w:rPr>
              <w:t xml:space="preserve">Lionel Ravvin v. </w:t>
            </w:r>
            <w:r w:rsidR="005B5AEE" w:rsidRPr="0068677C">
              <w:rPr>
                <w:b/>
                <w:sz w:val="20"/>
                <w:szCs w:val="20"/>
                <w:lang w:val="en-US"/>
              </w:rPr>
              <w:t>Canada Bread Company Limited, George Weston Limited, Giant Tiger Stores Limited, Kimberley Marie Pfaff, Loblaw Companies Limited, Sobeys Incorporated, Walmart Canada Corp. and Weston Foods (Canada) Inc.</w:t>
            </w:r>
          </w:p>
          <w:p w:rsidR="00C50008" w:rsidRPr="0068677C" w:rsidRDefault="00C50008" w:rsidP="005B5AEE">
            <w:pPr>
              <w:jc w:val="both"/>
              <w:rPr>
                <w:sz w:val="20"/>
              </w:rPr>
            </w:pPr>
            <w:r w:rsidRPr="0068677C">
              <w:rPr>
                <w:sz w:val="20"/>
              </w:rPr>
              <w:t>(Alta.) (Civil) (By Leave)</w:t>
            </w:r>
          </w:p>
        </w:tc>
      </w:tr>
      <w:tr w:rsidR="00812A2D" w:rsidRPr="0068677C" w:rsidTr="005B5AEE">
        <w:tc>
          <w:tcPr>
            <w:tcW w:w="5000" w:type="pct"/>
            <w:gridSpan w:val="4"/>
          </w:tcPr>
          <w:p w:rsidR="005B5AEE" w:rsidRPr="0068677C" w:rsidRDefault="005B5AEE" w:rsidP="005B5AEE">
            <w:pPr>
              <w:jc w:val="both"/>
              <w:rPr>
                <w:sz w:val="20"/>
                <w:szCs w:val="20"/>
              </w:rPr>
            </w:pPr>
            <w:r w:rsidRPr="0068677C">
              <w:rPr>
                <w:sz w:val="20"/>
                <w:szCs w:val="20"/>
              </w:rPr>
              <w:t>The application for leave to appeal from the judgment of the Court of Appeal of Alberta (Calgary), Number 1901-0148-AC, 2020 ABCA 424, dated November 27, 2020, is dismissed with costs.</w:t>
            </w:r>
          </w:p>
          <w:p w:rsidR="00812A2D" w:rsidRPr="0068677C" w:rsidRDefault="00812A2D"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 xml:space="preserve">Civil procedure — Class actions — Applications for stays of actions in Alberta granted in favour of Ontario action proceeding on national basis prior to consideration of merits of certification of proposed Alberta action — May a court in British Columbia, Alberta, or Saskatchewan, faced with a proposed class proceeding in which parallel or potentially overlapping actions have been commenced in other jurisdictions, adjudicate the multijurisdictional priority issues in advance of the hearing to determine the remainder of the certification criteria? — </w:t>
            </w:r>
            <w:r w:rsidRPr="0068677C">
              <w:rPr>
                <w:i/>
                <w:sz w:val="20"/>
              </w:rPr>
              <w:t>Class Proceedings Act</w:t>
            </w:r>
            <w:r w:rsidRPr="0068677C">
              <w:rPr>
                <w:sz w:val="20"/>
              </w:rPr>
              <w:t>, S.A. 2003, c. C</w:t>
            </w:r>
            <w:r w:rsidRPr="0068677C">
              <w:rPr>
                <w:sz w:val="20"/>
              </w:rPr>
              <w:noBreakHyphen/>
              <w:t xml:space="preserve">16.5, s. 5 (as amended by </w:t>
            </w:r>
            <w:r w:rsidRPr="0068677C">
              <w:rPr>
                <w:i/>
                <w:sz w:val="20"/>
              </w:rPr>
              <w:t>Class Proceedings Amendment Act, 2010</w:t>
            </w:r>
            <w:r w:rsidRPr="0068677C">
              <w:rPr>
                <w:sz w:val="20"/>
              </w:rPr>
              <w:t>, S.A. 2010, c. 15).</w:t>
            </w:r>
          </w:p>
        </w:tc>
      </w:tr>
      <w:tr w:rsidR="00C50008" w:rsidRPr="0068677C" w:rsidTr="005B5AEE">
        <w:tc>
          <w:tcPr>
            <w:tcW w:w="5000" w:type="pct"/>
            <w:gridSpan w:val="4"/>
          </w:tcPr>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Proposed class proceedings were filed across the country related to an alleged price</w:t>
            </w:r>
            <w:r w:rsidRPr="0068677C">
              <w:rPr>
                <w:sz w:val="20"/>
              </w:rPr>
              <w:noBreakHyphen/>
              <w:t>fixing conspiracy in the packaged bread market. The alleged perpetrators include the respondent corporations. Two of the proposed class proceedings were filed in Alberta by the applicant, Mr. Ravvin, and by the respondent, Ms. Pfaff. Ms. Pfaff is represented by counsel who is part of a consortium of law firms that have agreed to coordinate the claims for a national class and who have carriage of a proposed national class proceeding currently before the Ontario Superior Court of Justice. Mr. Ravvin’s counsel is not part of the consortium. The respondents sought a stay of both proposed class proceedings filed in Alberta, as being duplicative of the facts and matters advanced in the action in Ontario. Mr. Ravvin opposed the application to stay his action, arguing that his certification application ought to proceed before the stay application. The case management judge granted a stay of both Alberta actions. The Court of Appeal dismissed the appeal. It was satisfied that the case management judge had a sufficient understanding of the nature and particulars of the proposed class proceeding to grant the stays.</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 xml:space="preserve">April 8, 2019 </w:t>
            </w:r>
          </w:p>
          <w:p w:rsidR="00C50008" w:rsidRPr="0068677C" w:rsidRDefault="00C50008" w:rsidP="005B5AEE">
            <w:pPr>
              <w:jc w:val="both"/>
              <w:rPr>
                <w:sz w:val="20"/>
              </w:rPr>
            </w:pPr>
            <w:r w:rsidRPr="0068677C">
              <w:rPr>
                <w:sz w:val="20"/>
              </w:rPr>
              <w:t>Court of Queen’s Bench of Alberta</w:t>
            </w:r>
          </w:p>
          <w:p w:rsidR="00C50008" w:rsidRPr="0068677C" w:rsidRDefault="00C50008" w:rsidP="005B5AEE">
            <w:pPr>
              <w:jc w:val="both"/>
              <w:rPr>
                <w:sz w:val="20"/>
              </w:rPr>
            </w:pPr>
            <w:r w:rsidRPr="0068677C">
              <w:rPr>
                <w:sz w:val="20"/>
              </w:rPr>
              <w:t>(Rooke, A.C.J.)</w:t>
            </w:r>
          </w:p>
          <w:p w:rsidR="00C50008" w:rsidRPr="0068677C" w:rsidRDefault="00C50008" w:rsidP="005B5AEE">
            <w:pPr>
              <w:jc w:val="both"/>
              <w:rPr>
                <w:sz w:val="20"/>
              </w:rPr>
            </w:pPr>
            <w:r w:rsidRPr="0068677C">
              <w:rPr>
                <w:sz w:val="20"/>
              </w:rPr>
              <w:t>(Unpublished oral decision)</w:t>
            </w:r>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 xml:space="preserve">Class actions commenced in Alberta stayed </w:t>
            </w:r>
          </w:p>
        </w:tc>
      </w:tr>
      <w:tr w:rsidR="00C50008" w:rsidRPr="0068677C" w:rsidTr="005B5AEE">
        <w:tc>
          <w:tcPr>
            <w:tcW w:w="2427" w:type="pct"/>
            <w:gridSpan w:val="2"/>
          </w:tcPr>
          <w:p w:rsidR="00C50008" w:rsidRPr="0068677C" w:rsidRDefault="00C50008" w:rsidP="005B5AEE">
            <w:pPr>
              <w:jc w:val="both"/>
              <w:rPr>
                <w:sz w:val="20"/>
              </w:rPr>
            </w:pPr>
            <w:r w:rsidRPr="0068677C">
              <w:rPr>
                <w:sz w:val="20"/>
              </w:rPr>
              <w:lastRenderedPageBreak/>
              <w:t>September 5, 2019</w:t>
            </w:r>
          </w:p>
          <w:p w:rsidR="00C50008" w:rsidRPr="0068677C" w:rsidRDefault="00C50008" w:rsidP="005B5AEE">
            <w:pPr>
              <w:jc w:val="both"/>
              <w:rPr>
                <w:sz w:val="20"/>
              </w:rPr>
            </w:pPr>
            <w:r w:rsidRPr="0068677C">
              <w:rPr>
                <w:sz w:val="20"/>
              </w:rPr>
              <w:t>Court of Queen’s Bench of Alberta</w:t>
            </w:r>
          </w:p>
          <w:p w:rsidR="00C50008" w:rsidRPr="0068677C" w:rsidRDefault="00C50008" w:rsidP="005B5AEE">
            <w:pPr>
              <w:jc w:val="both"/>
              <w:rPr>
                <w:sz w:val="20"/>
              </w:rPr>
            </w:pPr>
            <w:r w:rsidRPr="0068677C">
              <w:rPr>
                <w:sz w:val="20"/>
              </w:rPr>
              <w:t>(Rooke, A.C.J.)</w:t>
            </w:r>
          </w:p>
          <w:p w:rsidR="00C50008" w:rsidRPr="0068677C" w:rsidRDefault="00D800B2" w:rsidP="005B5AEE">
            <w:pPr>
              <w:jc w:val="both"/>
              <w:rPr>
                <w:sz w:val="20"/>
              </w:rPr>
            </w:pPr>
            <w:hyperlink r:id="rId25" w:history="1">
              <w:r w:rsidR="00C50008" w:rsidRPr="0068677C">
                <w:rPr>
                  <w:rStyle w:val="Hyperlink"/>
                  <w:sz w:val="20"/>
                </w:rPr>
                <w:t>2019 ABQB 686</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Supplementary reasons for decision to stay class actions issued</w:t>
            </w:r>
          </w:p>
        </w:tc>
      </w:tr>
      <w:tr w:rsidR="00C50008" w:rsidRPr="0068677C" w:rsidTr="005B5AEE">
        <w:tc>
          <w:tcPr>
            <w:tcW w:w="2427" w:type="pct"/>
            <w:gridSpan w:val="2"/>
          </w:tcPr>
          <w:p w:rsidR="00C50008" w:rsidRPr="0068677C" w:rsidRDefault="00C50008" w:rsidP="005B5AEE">
            <w:pPr>
              <w:jc w:val="both"/>
              <w:rPr>
                <w:sz w:val="20"/>
              </w:rPr>
            </w:pPr>
            <w:r w:rsidRPr="0068677C">
              <w:rPr>
                <w:sz w:val="20"/>
              </w:rPr>
              <w:t>November 27, 2020</w:t>
            </w:r>
          </w:p>
          <w:p w:rsidR="00C50008" w:rsidRPr="0068677C" w:rsidRDefault="00C50008" w:rsidP="005B5AEE">
            <w:pPr>
              <w:jc w:val="both"/>
              <w:rPr>
                <w:sz w:val="20"/>
              </w:rPr>
            </w:pPr>
            <w:r w:rsidRPr="0068677C">
              <w:rPr>
                <w:sz w:val="20"/>
              </w:rPr>
              <w:t>Court of Appeal of Alberta (Calgary)</w:t>
            </w:r>
          </w:p>
          <w:p w:rsidR="00C50008" w:rsidRPr="0068677C" w:rsidRDefault="00C50008" w:rsidP="005B5AEE">
            <w:pPr>
              <w:jc w:val="both"/>
              <w:rPr>
                <w:sz w:val="20"/>
              </w:rPr>
            </w:pPr>
            <w:r w:rsidRPr="0068677C">
              <w:rPr>
                <w:sz w:val="20"/>
              </w:rPr>
              <w:t>(Veldhuis, Crighton, and Antonio JJ.A.)</w:t>
            </w:r>
          </w:p>
          <w:p w:rsidR="00C50008" w:rsidRPr="0068677C" w:rsidRDefault="00D800B2" w:rsidP="005B5AEE">
            <w:pPr>
              <w:jc w:val="both"/>
              <w:rPr>
                <w:sz w:val="20"/>
              </w:rPr>
            </w:pPr>
            <w:hyperlink r:id="rId26" w:history="1">
              <w:r w:rsidR="00C50008" w:rsidRPr="0068677C">
                <w:rPr>
                  <w:rStyle w:val="Hyperlink"/>
                  <w:sz w:val="20"/>
                </w:rPr>
                <w:t>2020 ABCA 424</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rPr>
            </w:pPr>
            <w:r w:rsidRPr="0068677C">
              <w:rPr>
                <w:sz w:val="20"/>
              </w:rPr>
              <w:t>Appeal dismissed</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January 25, 2021</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p w:rsidR="00C50008" w:rsidRPr="0068677C" w:rsidRDefault="00C50008" w:rsidP="005B5AEE">
            <w:pPr>
              <w:jc w:val="both"/>
              <w:rPr>
                <w:sz w:val="20"/>
              </w:rPr>
            </w:pP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40"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lang w:val="fr-CA"/>
              </w:rPr>
            </w:pPr>
            <w:r w:rsidRPr="0068677C">
              <w:rPr>
                <w:rStyle w:val="SCCFileNumberChar"/>
                <w:sz w:val="20"/>
                <w:szCs w:val="20"/>
                <w:lang w:val="fr-CA"/>
              </w:rPr>
              <w:t>39554</w:t>
            </w:r>
          </w:p>
        </w:tc>
        <w:tc>
          <w:tcPr>
            <w:tcW w:w="4457" w:type="pct"/>
            <w:gridSpan w:val="3"/>
          </w:tcPr>
          <w:p w:rsidR="00C50008" w:rsidRPr="0068677C" w:rsidRDefault="00C50008" w:rsidP="005B5AEE">
            <w:pPr>
              <w:pStyle w:val="SCCLsocParty"/>
              <w:jc w:val="both"/>
              <w:rPr>
                <w:b/>
                <w:sz w:val="20"/>
                <w:szCs w:val="20"/>
                <w:lang w:val="en-US"/>
              </w:rPr>
            </w:pPr>
            <w:r w:rsidRPr="0068677C">
              <w:rPr>
                <w:b/>
                <w:sz w:val="20"/>
                <w:szCs w:val="20"/>
                <w:lang w:val="en-US"/>
              </w:rPr>
              <w:t xml:space="preserve">Lionel Ravvin c. </w:t>
            </w:r>
            <w:r w:rsidR="005B5AEE" w:rsidRPr="0068677C">
              <w:rPr>
                <w:b/>
                <w:sz w:val="20"/>
                <w:szCs w:val="20"/>
                <w:lang w:val="en-US"/>
              </w:rPr>
              <w:t>Boulangerie Canada Bread Limitée, George Weston Limited, Giant Tiger Stores Limited, Kimberley Marie Pfaff, Loblaw Companies Limited, Sobeys Incorporated, Compagnie Wal-Mart du Canada et Weston Foods (Canada) Inc.</w:t>
            </w:r>
          </w:p>
          <w:p w:rsidR="00C50008" w:rsidRPr="0068677C" w:rsidRDefault="00C50008" w:rsidP="005B5AEE">
            <w:pPr>
              <w:jc w:val="both"/>
              <w:rPr>
                <w:sz w:val="20"/>
                <w:lang w:val="fr-CA"/>
              </w:rPr>
            </w:pPr>
            <w:r w:rsidRPr="0068677C">
              <w:rPr>
                <w:sz w:val="20"/>
                <w:lang w:val="fr-CA"/>
              </w:rPr>
              <w:t>(Alb.) (Civile) (Sur autorisation)</w:t>
            </w:r>
          </w:p>
        </w:tc>
      </w:tr>
      <w:tr w:rsidR="00812A2D" w:rsidRPr="00D800B2" w:rsidTr="005B5AEE">
        <w:tc>
          <w:tcPr>
            <w:tcW w:w="5000" w:type="pct"/>
            <w:gridSpan w:val="4"/>
          </w:tcPr>
          <w:p w:rsidR="00812A2D" w:rsidRPr="0068677C" w:rsidRDefault="005B5AEE" w:rsidP="005B5AEE">
            <w:pPr>
              <w:jc w:val="both"/>
              <w:rPr>
                <w:sz w:val="20"/>
                <w:szCs w:val="20"/>
                <w:lang w:val="fr-CA"/>
              </w:rPr>
            </w:pPr>
            <w:r w:rsidRPr="0068677C">
              <w:rPr>
                <w:sz w:val="20"/>
                <w:szCs w:val="20"/>
                <w:lang w:val="fr-CA"/>
              </w:rPr>
              <w:t>La demande d’autorisation d’appel de l’arrêt de la Cour d’appel de l’Alberta (Calgary), numéro 1901-0148-AC, 2020 ABCA 424, daté du 27 novembre 2020, est rejet</w:t>
            </w:r>
            <w:r w:rsidRPr="0068677C">
              <w:rPr>
                <w:rFonts w:cs="Times New Roman"/>
                <w:sz w:val="20"/>
                <w:szCs w:val="20"/>
                <w:lang w:val="fr-CA"/>
              </w:rPr>
              <w:t>é</w:t>
            </w:r>
            <w:r w:rsidRPr="0068677C">
              <w:rPr>
                <w:sz w:val="20"/>
                <w:szCs w:val="20"/>
                <w:lang w:val="fr-CA"/>
              </w:rPr>
              <w:t>e avec d</w:t>
            </w:r>
            <w:r w:rsidRPr="0068677C">
              <w:rPr>
                <w:rFonts w:cs="Times New Roman"/>
                <w:sz w:val="20"/>
                <w:szCs w:val="20"/>
                <w:lang w:val="fr-CA"/>
              </w:rPr>
              <w:t>é</w:t>
            </w:r>
            <w:r w:rsidRPr="0068677C">
              <w:rPr>
                <w:sz w:val="20"/>
                <w:szCs w:val="20"/>
                <w:lang w:val="fr-CA"/>
              </w:rPr>
              <w:t>pens.</w:t>
            </w:r>
          </w:p>
          <w:p w:rsidR="005B5AEE" w:rsidRPr="0068677C" w:rsidRDefault="005B5AEE"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t>Procédure civile — Recours collectifs — On a fait droit aux demandes de sursis d’actions en Alberta au profit d’une action intentée en Ontario à l’échelle nationale avant d’examiner le bien</w:t>
            </w:r>
            <w:r w:rsidRPr="0068677C">
              <w:rPr>
                <w:sz w:val="20"/>
                <w:lang w:val="fr-CA"/>
              </w:rPr>
              <w:noBreakHyphen/>
              <w:t>fondé de la certification de l’action projetée en Alberta — Un tribunal en Colombie</w:t>
            </w:r>
            <w:r w:rsidRPr="0068677C">
              <w:rPr>
                <w:sz w:val="20"/>
                <w:lang w:val="fr-CA"/>
              </w:rPr>
              <w:noBreakHyphen/>
              <w:t>Britannique, en Alberta ou en Saskatchewan saisi d’un recours collectif projeté, dans le cadre duquel des actions parallèles ou se chevauchant potentiellement ont été intentées dans d’autres provinces, peut</w:t>
            </w:r>
            <w:r w:rsidRPr="0068677C">
              <w:rPr>
                <w:sz w:val="20"/>
                <w:lang w:val="fr-CA"/>
              </w:rPr>
              <w:noBreakHyphen/>
              <w:t xml:space="preserve">il se prononcer sur les questions multijuridictionnelles prioritaires avant l’audience visant à déterminer les autres critères de certification? — </w:t>
            </w:r>
            <w:r w:rsidRPr="0068677C">
              <w:rPr>
                <w:i/>
                <w:sz w:val="20"/>
                <w:lang w:val="fr-CA"/>
              </w:rPr>
              <w:t>Class Proceedings Act</w:t>
            </w:r>
            <w:r w:rsidRPr="0068677C">
              <w:rPr>
                <w:sz w:val="20"/>
                <w:lang w:val="fr-CA"/>
              </w:rPr>
              <w:t>, S.A. 2003, c. C</w:t>
            </w:r>
            <w:r w:rsidRPr="0068677C">
              <w:rPr>
                <w:sz w:val="20"/>
                <w:lang w:val="fr-CA"/>
              </w:rPr>
              <w:noBreakHyphen/>
              <w:t xml:space="preserve">16.5, art. 5 (modifiée par la </w:t>
            </w:r>
            <w:r w:rsidRPr="0068677C">
              <w:rPr>
                <w:i/>
                <w:sz w:val="20"/>
                <w:lang w:val="fr-CA"/>
              </w:rPr>
              <w:t>Class Proceedings Amendment Act, 2010</w:t>
            </w:r>
            <w:r w:rsidRPr="0068677C">
              <w:rPr>
                <w:sz w:val="20"/>
                <w:lang w:val="fr-CA"/>
              </w:rPr>
              <w:t>, S.A. 2010, c. 15)</w:t>
            </w:r>
          </w:p>
        </w:tc>
      </w:tr>
      <w:tr w:rsidR="00C50008" w:rsidRPr="00D800B2" w:rsidTr="005B5AEE">
        <w:tc>
          <w:tcPr>
            <w:tcW w:w="5000" w:type="pct"/>
            <w:gridSpan w:val="4"/>
          </w:tcPr>
          <w:p w:rsidR="00C50008" w:rsidRPr="0068677C" w:rsidRDefault="00C50008"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t>Des projets de recours collectifs ont été déposés d’un bout à l’autre du pays à l’égard d’allégations d’un complot de fixation des prix touchant le marché du pain emballé. Les sociétés intimées figurent parmi les auteurs présumés de ce complot. Deux des recours collectifs projetés ont été déposés en Alberta par le demandeur, M. Ravvin, et par l’intimée, Mme Pfaff. Cette dernière est représentée par un avocat qui fait partie d’un consortium de cabinets d’avocats qui se sont mis d’accord pour coordonner les réclamations afin de former un groupe national, et qui ont la charge d’un recours collectif projeté dont est présentement saisie la Cour supérieure de justice de l’Ontario. L’avocat de M. Ravvin ne fait pas partie de ce consortium. Les intimées ont demandé le sursis des deux recours collectifs projetés qui ont été déposés en Alberta, puisque les questions en litige et les faits chevauchent ceux de l’action intentée en Ontario. M. Ravvin a contesté la demande de sursis de son action, soutenant que sa demande de certification devrait être entendue avant la demande de sursis. Le juge chargé de la gestion de l’instance a accueilli la demande de sursis des deux actions intentées en Alberta. La Cour d’appel a rejeté l’appel. Elle s’est dite convaincue que le juge chargé de la gestion de l’instance avait une connaissance suffisante de la nature et des détails du recours collectif projeté pour pouvoir faire droit à la demande de sursis des actions.</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 xml:space="preserve">8 avril 2019 </w:t>
            </w:r>
          </w:p>
          <w:p w:rsidR="00C50008" w:rsidRPr="0068677C" w:rsidRDefault="00C50008" w:rsidP="005B5AEE">
            <w:pPr>
              <w:jc w:val="both"/>
              <w:rPr>
                <w:sz w:val="20"/>
                <w:lang w:val="fr-CA"/>
              </w:rPr>
            </w:pPr>
            <w:r w:rsidRPr="0068677C">
              <w:rPr>
                <w:sz w:val="20"/>
                <w:lang w:val="fr-CA"/>
              </w:rPr>
              <w:t>Cour du Banc de la Reine de l’Alberta</w:t>
            </w:r>
          </w:p>
          <w:p w:rsidR="00C50008" w:rsidRPr="0068677C" w:rsidRDefault="00C50008" w:rsidP="005B5AEE">
            <w:pPr>
              <w:jc w:val="both"/>
              <w:rPr>
                <w:sz w:val="20"/>
                <w:lang w:val="fr-CA"/>
              </w:rPr>
            </w:pPr>
            <w:r w:rsidRPr="0068677C">
              <w:rPr>
                <w:sz w:val="20"/>
                <w:lang w:val="fr-CA"/>
              </w:rPr>
              <w:t>(juge en chef adjoint Rooke)</w:t>
            </w:r>
          </w:p>
          <w:p w:rsidR="00C50008" w:rsidRPr="0068677C" w:rsidRDefault="00C50008" w:rsidP="005B5AEE">
            <w:pPr>
              <w:jc w:val="both"/>
              <w:rPr>
                <w:sz w:val="20"/>
                <w:lang w:val="fr-CA"/>
              </w:rPr>
            </w:pPr>
            <w:r w:rsidRPr="0068677C">
              <w:rPr>
                <w:sz w:val="20"/>
                <w:lang w:val="fr-CA"/>
              </w:rPr>
              <w:t>(décision rendue oralement non publiée)</w:t>
            </w:r>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Il est sursis aux recours collectifs intentés en Alberta.</w:t>
            </w:r>
          </w:p>
        </w:tc>
      </w:tr>
    </w:tbl>
    <w:p w:rsidR="006D6263" w:rsidRPr="0068677C" w:rsidRDefault="006D6263">
      <w:pPr>
        <w:rPr>
          <w:lang w:val="fr-CA"/>
        </w:rPr>
      </w:pPr>
      <w:r w:rsidRPr="0068677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D800B2" w:rsidTr="005B5AEE">
        <w:tc>
          <w:tcPr>
            <w:tcW w:w="2427" w:type="pct"/>
          </w:tcPr>
          <w:p w:rsidR="00C50008" w:rsidRPr="0068677C" w:rsidRDefault="00C50008" w:rsidP="005B5AEE">
            <w:pPr>
              <w:jc w:val="both"/>
              <w:rPr>
                <w:sz w:val="20"/>
                <w:lang w:val="fr-CA"/>
              </w:rPr>
            </w:pPr>
            <w:r w:rsidRPr="0068677C">
              <w:rPr>
                <w:sz w:val="20"/>
                <w:lang w:val="fr-CA"/>
              </w:rPr>
              <w:lastRenderedPageBreak/>
              <w:t>5 septembre 2019</w:t>
            </w:r>
          </w:p>
          <w:p w:rsidR="00C50008" w:rsidRPr="0068677C" w:rsidRDefault="00C50008" w:rsidP="005B5AEE">
            <w:pPr>
              <w:jc w:val="both"/>
              <w:rPr>
                <w:sz w:val="20"/>
                <w:lang w:val="fr-CA"/>
              </w:rPr>
            </w:pPr>
            <w:r w:rsidRPr="0068677C">
              <w:rPr>
                <w:sz w:val="20"/>
                <w:lang w:val="fr-CA"/>
              </w:rPr>
              <w:t>Cour du Banc de la Reine de l’Alberta</w:t>
            </w:r>
          </w:p>
          <w:p w:rsidR="00C50008" w:rsidRPr="0068677C" w:rsidRDefault="00C50008" w:rsidP="005B5AEE">
            <w:pPr>
              <w:jc w:val="both"/>
              <w:rPr>
                <w:sz w:val="20"/>
                <w:lang w:val="fr-CA"/>
              </w:rPr>
            </w:pPr>
            <w:r w:rsidRPr="0068677C">
              <w:rPr>
                <w:sz w:val="20"/>
                <w:lang w:val="fr-CA"/>
              </w:rPr>
              <w:t>(juge en chef adjoint Rooke)</w:t>
            </w:r>
          </w:p>
          <w:p w:rsidR="00C50008" w:rsidRPr="0068677C" w:rsidRDefault="00D800B2" w:rsidP="005B5AEE">
            <w:pPr>
              <w:jc w:val="both"/>
              <w:rPr>
                <w:sz w:val="20"/>
                <w:lang w:val="fr-CA"/>
              </w:rPr>
            </w:pPr>
            <w:hyperlink r:id="rId27" w:history="1">
              <w:r w:rsidR="00C50008" w:rsidRPr="0068677C">
                <w:rPr>
                  <w:rStyle w:val="Hyperlink"/>
                  <w:sz w:val="20"/>
                  <w:lang w:val="fr-CA"/>
                </w:rPr>
                <w:t>2019 ABQB 686</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Des motifs de jugement supplémentaires à l’égard de la décision de surseoir aux recours collectifs sont rendus.</w:t>
            </w:r>
          </w:p>
        </w:tc>
      </w:tr>
      <w:tr w:rsidR="00C50008" w:rsidRPr="0068677C" w:rsidTr="005B5AEE">
        <w:tc>
          <w:tcPr>
            <w:tcW w:w="2427" w:type="pct"/>
          </w:tcPr>
          <w:p w:rsidR="00C50008" w:rsidRPr="0068677C" w:rsidRDefault="00C50008" w:rsidP="005B5AEE">
            <w:pPr>
              <w:jc w:val="both"/>
              <w:rPr>
                <w:sz w:val="20"/>
                <w:lang w:val="fr-CA"/>
              </w:rPr>
            </w:pPr>
            <w:r w:rsidRPr="0068677C">
              <w:rPr>
                <w:sz w:val="20"/>
                <w:lang w:val="fr-CA"/>
              </w:rPr>
              <w:t>27 novembre 2020</w:t>
            </w:r>
          </w:p>
          <w:p w:rsidR="00C50008" w:rsidRPr="0068677C" w:rsidRDefault="00C50008" w:rsidP="005B5AEE">
            <w:pPr>
              <w:jc w:val="both"/>
              <w:rPr>
                <w:sz w:val="20"/>
                <w:lang w:val="fr-CA"/>
              </w:rPr>
            </w:pPr>
            <w:r w:rsidRPr="0068677C">
              <w:rPr>
                <w:sz w:val="20"/>
                <w:lang w:val="fr-CA"/>
              </w:rPr>
              <w:t>Cour d’appel de l’Alberta (Calgary)</w:t>
            </w:r>
          </w:p>
          <w:p w:rsidR="00C50008" w:rsidRPr="0068677C" w:rsidRDefault="00C50008" w:rsidP="005B5AEE">
            <w:pPr>
              <w:jc w:val="both"/>
              <w:rPr>
                <w:sz w:val="20"/>
                <w:lang w:val="fr-CA"/>
              </w:rPr>
            </w:pPr>
            <w:r w:rsidRPr="0068677C">
              <w:rPr>
                <w:sz w:val="20"/>
                <w:lang w:val="fr-CA"/>
              </w:rPr>
              <w:t>(juges Veldhuis, Crighton et Antonio)</w:t>
            </w:r>
          </w:p>
          <w:p w:rsidR="00C50008" w:rsidRPr="0068677C" w:rsidRDefault="00D800B2" w:rsidP="005B5AEE">
            <w:pPr>
              <w:jc w:val="both"/>
              <w:rPr>
                <w:sz w:val="20"/>
                <w:lang w:val="fr-CA"/>
              </w:rPr>
            </w:pPr>
            <w:hyperlink r:id="rId28" w:history="1">
              <w:r w:rsidR="00C50008" w:rsidRPr="0068677C">
                <w:rPr>
                  <w:rStyle w:val="Hyperlink"/>
                  <w:sz w:val="20"/>
                  <w:lang w:val="fr-CA"/>
                </w:rPr>
                <w:t>2020 ABCA 424</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L’appel est rejeté.</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25 janvier 2021</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 demande d’autorisation d’appel est présentée.</w:t>
            </w:r>
          </w:p>
          <w:p w:rsidR="00C50008" w:rsidRPr="0068677C" w:rsidRDefault="00C50008" w:rsidP="005B5AEE">
            <w:pPr>
              <w:jc w:val="both"/>
              <w:rPr>
                <w:sz w:val="20"/>
                <w:lang w:val="fr-CA"/>
              </w:rPr>
            </w:pPr>
          </w:p>
        </w:tc>
      </w:tr>
    </w:tbl>
    <w:p w:rsidR="00C50008" w:rsidRPr="0068677C" w:rsidRDefault="00C50008" w:rsidP="00C50008">
      <w:pPr>
        <w:jc w:val="both"/>
        <w:rPr>
          <w:sz w:val="20"/>
          <w:lang w:val="fr-CA"/>
        </w:rPr>
      </w:pPr>
    </w:p>
    <w:p w:rsidR="00C50008" w:rsidRPr="0068677C" w:rsidRDefault="00D800B2" w:rsidP="00C50008">
      <w:pPr>
        <w:widowControl w:val="0"/>
        <w:jc w:val="both"/>
        <w:rPr>
          <w:sz w:val="20"/>
          <w:lang w:val="fr-CA"/>
        </w:rPr>
      </w:pPr>
      <w:r>
        <w:rPr>
          <w:sz w:val="20"/>
        </w:rPr>
        <w:pict>
          <v:rect id="_x0000_i1041" style="width:2in;height:1pt" o:hrpct="0" o:hralign="center" o:hrstd="t" o:hrnoshade="t" o:hr="t" fillcolor="black [3213]" stroked="f"/>
        </w:pict>
      </w:r>
    </w:p>
    <w:p w:rsidR="00C50008" w:rsidRPr="0068677C" w:rsidRDefault="00C50008" w:rsidP="00C500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39439</w:t>
            </w:r>
          </w:p>
        </w:tc>
        <w:tc>
          <w:tcPr>
            <w:tcW w:w="4457" w:type="pct"/>
            <w:gridSpan w:val="3"/>
          </w:tcPr>
          <w:p w:rsidR="00C50008" w:rsidRPr="0068677C" w:rsidRDefault="00C50008" w:rsidP="005B5AEE">
            <w:pPr>
              <w:pStyle w:val="SCCLsocParty"/>
              <w:jc w:val="both"/>
              <w:rPr>
                <w:b/>
                <w:sz w:val="20"/>
                <w:szCs w:val="20"/>
                <w:lang w:val="en-US"/>
              </w:rPr>
            </w:pPr>
            <w:r w:rsidRPr="0068677C">
              <w:rPr>
                <w:b/>
                <w:sz w:val="20"/>
                <w:szCs w:val="20"/>
                <w:lang w:val="en-US"/>
              </w:rPr>
              <w:t xml:space="preserve">Nova Chemicals Corporation v. </w:t>
            </w:r>
            <w:r w:rsidR="005B5AEE" w:rsidRPr="0068677C">
              <w:rPr>
                <w:b/>
                <w:sz w:val="20"/>
                <w:szCs w:val="20"/>
                <w:lang w:val="en-US"/>
              </w:rPr>
              <w:t>Dow Chemical Company, Dow Global Technologies Inc. and Dow Chemical Canada ULC</w:t>
            </w:r>
          </w:p>
          <w:p w:rsidR="00C50008" w:rsidRPr="0068677C" w:rsidRDefault="00C50008" w:rsidP="005B5AEE">
            <w:pPr>
              <w:jc w:val="both"/>
              <w:rPr>
                <w:sz w:val="20"/>
              </w:rPr>
            </w:pPr>
            <w:r w:rsidRPr="0068677C">
              <w:rPr>
                <w:sz w:val="20"/>
              </w:rPr>
              <w:t>(F.C.) (Civil) (By Leave)</w:t>
            </w:r>
          </w:p>
        </w:tc>
      </w:tr>
      <w:tr w:rsidR="00812A2D" w:rsidRPr="0068677C" w:rsidTr="005B5AEE">
        <w:tc>
          <w:tcPr>
            <w:tcW w:w="5000" w:type="pct"/>
            <w:gridSpan w:val="4"/>
          </w:tcPr>
          <w:p w:rsidR="005B5AEE" w:rsidRPr="0068677C" w:rsidRDefault="005B5AEE" w:rsidP="005B5AEE">
            <w:pPr>
              <w:jc w:val="both"/>
              <w:rPr>
                <w:sz w:val="20"/>
                <w:szCs w:val="20"/>
              </w:rPr>
            </w:pPr>
            <w:r w:rsidRPr="0068677C">
              <w:rPr>
                <w:sz w:val="20"/>
                <w:szCs w:val="20"/>
              </w:rPr>
              <w:t>The request to join two Federal Court of Appeal files in a single application for leave to appeal is granted. The application for leave to appeal from the judgments of the Federal Court of Appeal, Numbers A-150-17 and A-227-17, 2020 FCA 141, dated September 15, 2020, is granted with costs in the cause.</w:t>
            </w:r>
          </w:p>
          <w:p w:rsidR="00812A2D" w:rsidRPr="0068677C" w:rsidRDefault="00812A2D" w:rsidP="005B5AEE">
            <w:pPr>
              <w:pStyle w:val="SCCBanSummary0"/>
              <w:rPr>
                <w:smallCaps w:val="0"/>
                <w:sz w:val="20"/>
                <w:szCs w:val="20"/>
              </w:rPr>
            </w:pPr>
          </w:p>
        </w:tc>
      </w:tr>
      <w:tr w:rsidR="00C50008" w:rsidRPr="0068677C" w:rsidTr="005B5AEE">
        <w:tc>
          <w:tcPr>
            <w:tcW w:w="5000" w:type="pct"/>
            <w:gridSpan w:val="4"/>
          </w:tcPr>
          <w:p w:rsidR="00C50008" w:rsidRPr="0068677C" w:rsidRDefault="00C50008" w:rsidP="005B5AEE">
            <w:pPr>
              <w:pStyle w:val="SCCBanSummary0"/>
              <w:rPr>
                <w:sz w:val="20"/>
                <w:szCs w:val="20"/>
              </w:rPr>
            </w:pPr>
            <w:r w:rsidRPr="0068677C">
              <w:rPr>
                <w:sz w:val="20"/>
                <w:szCs w:val="20"/>
              </w:rPr>
              <w:t>(Sealing order)</w:t>
            </w:r>
          </w:p>
          <w:p w:rsidR="00C50008" w:rsidRPr="0068677C" w:rsidRDefault="00C50008" w:rsidP="005B5AEE">
            <w:pPr>
              <w:jc w:val="both"/>
              <w:rPr>
                <w:sz w:val="20"/>
              </w:rPr>
            </w:pPr>
          </w:p>
          <w:p w:rsidR="00C50008" w:rsidRPr="0068677C" w:rsidRDefault="00C50008" w:rsidP="005B5AEE">
            <w:pPr>
              <w:jc w:val="both"/>
              <w:rPr>
                <w:sz w:val="20"/>
              </w:rPr>
            </w:pPr>
            <w:r w:rsidRPr="0068677C">
              <w:rPr>
                <w:sz w:val="20"/>
              </w:rPr>
              <w:t>Intellectual property — Patents — Medicines — Damages — Respondent seeking remedy of accounting of profits following determination applicant had infringed respondent’s patent — What is the proper conceptual approach to determining how to calculate a disgorgement of profits in the patent context? — Are “springboard profits” on products sold after patent expiry available at law?</w:t>
            </w:r>
          </w:p>
        </w:tc>
      </w:tr>
      <w:tr w:rsidR="00C50008" w:rsidRPr="0068677C" w:rsidTr="005B5AEE">
        <w:tc>
          <w:tcPr>
            <w:tcW w:w="5000" w:type="pct"/>
            <w:gridSpan w:val="4"/>
          </w:tcPr>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 xml:space="preserve">In 2014, the Federal Court, in the liability phase of the trial, held that the respondents’ (collectively “Dow”) 705 Patent for fabricated products made from ethylene polymer blends was found to be valid and infringed by a product manufactured by Nova Chemicals Corporation (“Nova”). The 705 Patent issued in 2006 and expired on April 19, 2014. Dow was held to be entitled to damages under the </w:t>
            </w:r>
            <w:r w:rsidRPr="0068677C">
              <w:rPr>
                <w:i/>
                <w:sz w:val="20"/>
              </w:rPr>
              <w:t>Patent Act</w:t>
            </w:r>
            <w:r w:rsidRPr="0068677C">
              <w:rPr>
                <w:sz w:val="20"/>
              </w:rPr>
              <w:t>, R.S.C. 1985, c. P</w:t>
            </w:r>
            <w:r w:rsidRPr="0068677C">
              <w:rPr>
                <w:sz w:val="20"/>
              </w:rPr>
              <w:noBreakHyphen/>
              <w:t>4, and had to elect either an accounting of Nova’s profits or damages sustained by reason of Nova’s infringement under s. 55(1) of the Act. The quantum of that award was to be assessed by reference. Dow elected an accounting of profits. The reference judge was required to determine the manner in which damages payable to Dow pursuant to ss. 55(1) and 55(2) of the Act should be calculated. The principles articulated by the reference judge allowed for the calculation of the accounting of profits to be disgorged by Nova and made payable to Dow. That decision was upheld on appeal.</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April 19, 2017</w:t>
            </w:r>
          </w:p>
          <w:p w:rsidR="00C50008" w:rsidRPr="0068677C" w:rsidRDefault="00C50008" w:rsidP="005B5AEE">
            <w:pPr>
              <w:jc w:val="both"/>
              <w:rPr>
                <w:sz w:val="20"/>
              </w:rPr>
            </w:pPr>
            <w:r w:rsidRPr="0068677C">
              <w:rPr>
                <w:sz w:val="20"/>
              </w:rPr>
              <w:t>Federal Court</w:t>
            </w:r>
          </w:p>
          <w:p w:rsidR="00C50008" w:rsidRPr="0068677C" w:rsidRDefault="00C50008" w:rsidP="005B5AEE">
            <w:pPr>
              <w:jc w:val="both"/>
              <w:rPr>
                <w:sz w:val="20"/>
              </w:rPr>
            </w:pPr>
            <w:r w:rsidRPr="0068677C">
              <w:rPr>
                <w:sz w:val="20"/>
              </w:rPr>
              <w:t>(Fothergill J.)</w:t>
            </w:r>
          </w:p>
          <w:p w:rsidR="00C50008" w:rsidRPr="0068677C" w:rsidRDefault="00D800B2" w:rsidP="005B5AEE">
            <w:pPr>
              <w:jc w:val="both"/>
              <w:rPr>
                <w:sz w:val="20"/>
              </w:rPr>
            </w:pPr>
            <w:hyperlink r:id="rId29" w:history="1">
              <w:r w:rsidR="00C50008" w:rsidRPr="0068677C">
                <w:rPr>
                  <w:rStyle w:val="Hyperlink"/>
                  <w:sz w:val="20"/>
                </w:rPr>
                <w:t>2017 FC 350</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Order assessing damages to be paid by applicant to respondent pursuant to an accounting of profits</w:t>
            </w:r>
          </w:p>
          <w:p w:rsidR="00C50008" w:rsidRPr="0068677C" w:rsidRDefault="00C50008" w:rsidP="005B5AEE">
            <w:pPr>
              <w:jc w:val="both"/>
              <w:rPr>
                <w:sz w:val="20"/>
              </w:rPr>
            </w:pP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September 15, 2020</w:t>
            </w:r>
          </w:p>
          <w:p w:rsidR="00C50008" w:rsidRPr="0068677C" w:rsidRDefault="00C50008" w:rsidP="005B5AEE">
            <w:pPr>
              <w:jc w:val="both"/>
              <w:rPr>
                <w:sz w:val="20"/>
              </w:rPr>
            </w:pPr>
            <w:r w:rsidRPr="0068677C">
              <w:rPr>
                <w:sz w:val="20"/>
              </w:rPr>
              <w:t>Federal Court of Appeal</w:t>
            </w:r>
          </w:p>
          <w:p w:rsidR="00C50008" w:rsidRPr="0068677C" w:rsidRDefault="00C50008" w:rsidP="005B5AEE">
            <w:pPr>
              <w:jc w:val="both"/>
              <w:rPr>
                <w:sz w:val="20"/>
              </w:rPr>
            </w:pPr>
            <w:r w:rsidRPr="0068677C">
              <w:rPr>
                <w:sz w:val="20"/>
              </w:rPr>
              <w:t>(Stratas, Near and Woods [dissenting] JJ.A.)</w:t>
            </w:r>
          </w:p>
          <w:p w:rsidR="00C50008" w:rsidRPr="0068677C" w:rsidRDefault="00D800B2" w:rsidP="005B5AEE">
            <w:pPr>
              <w:jc w:val="both"/>
              <w:rPr>
                <w:sz w:val="20"/>
              </w:rPr>
            </w:pPr>
            <w:hyperlink r:id="rId30" w:history="1">
              <w:r w:rsidR="00C50008" w:rsidRPr="0068677C">
                <w:rPr>
                  <w:rStyle w:val="Hyperlink"/>
                  <w:sz w:val="20"/>
                </w:rPr>
                <w:t>2020 FCA 141</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Applicant’s appeal dismissed; Respondents’ cross</w:t>
            </w:r>
            <w:r w:rsidRPr="0068677C">
              <w:rPr>
                <w:sz w:val="20"/>
              </w:rPr>
              <w:noBreakHyphen/>
              <w:t>appeal dismissed</w:t>
            </w:r>
          </w:p>
          <w:p w:rsidR="00C50008" w:rsidRPr="0068677C" w:rsidRDefault="00C50008" w:rsidP="005B5AEE">
            <w:pPr>
              <w:jc w:val="both"/>
              <w:rPr>
                <w:sz w:val="20"/>
              </w:rPr>
            </w:pPr>
          </w:p>
          <w:p w:rsidR="00C50008" w:rsidRPr="0068677C" w:rsidRDefault="00C50008" w:rsidP="005B5AEE">
            <w:pPr>
              <w:jc w:val="both"/>
              <w:rPr>
                <w:sz w:val="20"/>
              </w:rPr>
            </w:pPr>
          </w:p>
        </w:tc>
      </w:tr>
    </w:tbl>
    <w:p w:rsidR="006D6263" w:rsidRPr="0068677C" w:rsidRDefault="006D6263">
      <w:r w:rsidRPr="0068677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68677C" w:rsidTr="005B5AEE">
        <w:tc>
          <w:tcPr>
            <w:tcW w:w="2427" w:type="pct"/>
          </w:tcPr>
          <w:p w:rsidR="00C50008" w:rsidRPr="0068677C" w:rsidRDefault="00C50008" w:rsidP="005B5AEE">
            <w:pPr>
              <w:jc w:val="both"/>
              <w:rPr>
                <w:sz w:val="20"/>
              </w:rPr>
            </w:pPr>
            <w:r w:rsidRPr="0068677C">
              <w:rPr>
                <w:sz w:val="20"/>
              </w:rPr>
              <w:lastRenderedPageBreak/>
              <w:t>November 13, 2020</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p w:rsidR="00C50008" w:rsidRPr="0068677C" w:rsidRDefault="00C50008" w:rsidP="005B5AEE">
            <w:pPr>
              <w:jc w:val="both"/>
              <w:rPr>
                <w:sz w:val="20"/>
              </w:rPr>
            </w:pP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42"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lang w:val="fr-CA"/>
              </w:rPr>
            </w:pPr>
            <w:r w:rsidRPr="0068677C">
              <w:rPr>
                <w:rStyle w:val="SCCFileNumberChar"/>
                <w:sz w:val="20"/>
                <w:szCs w:val="20"/>
                <w:lang w:val="fr-CA"/>
              </w:rPr>
              <w:t>39439</w:t>
            </w:r>
          </w:p>
        </w:tc>
        <w:tc>
          <w:tcPr>
            <w:tcW w:w="4457" w:type="pct"/>
            <w:gridSpan w:val="3"/>
          </w:tcPr>
          <w:p w:rsidR="00C50008" w:rsidRPr="0068677C" w:rsidRDefault="00C50008" w:rsidP="005B5AEE">
            <w:pPr>
              <w:pStyle w:val="SCCLsocParty"/>
              <w:jc w:val="both"/>
              <w:rPr>
                <w:b/>
                <w:sz w:val="20"/>
                <w:szCs w:val="20"/>
                <w:lang w:val="en-US"/>
              </w:rPr>
            </w:pPr>
            <w:r w:rsidRPr="0068677C">
              <w:rPr>
                <w:b/>
                <w:sz w:val="20"/>
                <w:szCs w:val="20"/>
                <w:lang w:val="en-US"/>
              </w:rPr>
              <w:t xml:space="preserve">Nova Chemicals Corporation c. </w:t>
            </w:r>
            <w:r w:rsidR="005B5AEE" w:rsidRPr="0068677C">
              <w:rPr>
                <w:b/>
                <w:sz w:val="20"/>
                <w:szCs w:val="20"/>
                <w:lang w:val="en-US"/>
              </w:rPr>
              <w:t>Dow Chemical Company, Dow Global Technologies Inc. et Dow Chemical Canada ULC</w:t>
            </w:r>
          </w:p>
          <w:p w:rsidR="00C50008" w:rsidRPr="0068677C" w:rsidRDefault="00C50008" w:rsidP="005B5AEE">
            <w:pPr>
              <w:jc w:val="both"/>
              <w:rPr>
                <w:sz w:val="20"/>
                <w:lang w:val="fr-CA"/>
              </w:rPr>
            </w:pPr>
            <w:r w:rsidRPr="0068677C">
              <w:rPr>
                <w:sz w:val="20"/>
                <w:lang w:val="fr-CA"/>
              </w:rPr>
              <w:t>(C.F.) (Civile) (Autorisation)</w:t>
            </w:r>
          </w:p>
        </w:tc>
      </w:tr>
      <w:tr w:rsidR="00812A2D" w:rsidRPr="00D800B2" w:rsidTr="005B5AEE">
        <w:tc>
          <w:tcPr>
            <w:tcW w:w="5000" w:type="pct"/>
            <w:gridSpan w:val="4"/>
          </w:tcPr>
          <w:p w:rsidR="00812A2D" w:rsidRPr="0068677C" w:rsidRDefault="005B5AEE" w:rsidP="005B5AEE">
            <w:pPr>
              <w:pStyle w:val="SCCBanSummary0"/>
              <w:rPr>
                <w:smallCaps w:val="0"/>
                <w:sz w:val="20"/>
                <w:szCs w:val="20"/>
                <w:lang w:val="fr-CA"/>
              </w:rPr>
            </w:pPr>
            <w:r w:rsidRPr="0068677C">
              <w:rPr>
                <w:smallCaps w:val="0"/>
                <w:sz w:val="20"/>
                <w:szCs w:val="20"/>
                <w:lang w:val="fr-CA"/>
              </w:rPr>
              <w:t>La demande pour joindre deux dossiers de la Cour d’appel fédérale dans une seule demande d’autorisation d’appel est accueillie. La demande d’autorisation d’appel des arrêts de la Cour d’appel fédérale, numéros A-150-17 et A-227-17, 2020 FCA 141, daté du 15 septembre 2020, est accueillie avec dépens suivant l’issue de la cause.</w:t>
            </w:r>
          </w:p>
          <w:p w:rsidR="005B5AEE" w:rsidRPr="0068677C" w:rsidRDefault="005B5AEE" w:rsidP="005B5AEE">
            <w:pPr>
              <w:rPr>
                <w:lang w:val="fr-CA"/>
              </w:rPr>
            </w:pPr>
          </w:p>
        </w:tc>
      </w:tr>
      <w:tr w:rsidR="00C50008" w:rsidRPr="00D800B2" w:rsidTr="005B5AEE">
        <w:tc>
          <w:tcPr>
            <w:tcW w:w="5000" w:type="pct"/>
            <w:gridSpan w:val="4"/>
          </w:tcPr>
          <w:p w:rsidR="00C50008" w:rsidRPr="0068677C" w:rsidRDefault="00C50008" w:rsidP="005B5AEE">
            <w:pPr>
              <w:pStyle w:val="SCCBanSummary0"/>
              <w:rPr>
                <w:sz w:val="20"/>
                <w:szCs w:val="20"/>
                <w:lang w:val="fr-CA"/>
              </w:rPr>
            </w:pPr>
            <w:r w:rsidRPr="0068677C">
              <w:rPr>
                <w:sz w:val="20"/>
                <w:szCs w:val="20"/>
                <w:lang w:val="fr-CA"/>
              </w:rPr>
              <w:t>(Ordonnance de mise sous scellés)</w:t>
            </w:r>
          </w:p>
          <w:p w:rsidR="00C50008" w:rsidRPr="0068677C" w:rsidRDefault="00C50008" w:rsidP="005B5AEE">
            <w:pPr>
              <w:jc w:val="both"/>
              <w:rPr>
                <w:sz w:val="20"/>
                <w:lang w:val="fr-CA"/>
              </w:rPr>
            </w:pPr>
          </w:p>
          <w:p w:rsidR="00C50008" w:rsidRPr="0068677C" w:rsidRDefault="00C50008" w:rsidP="005B5AEE">
            <w:pPr>
              <w:jc w:val="both"/>
              <w:rPr>
                <w:sz w:val="20"/>
                <w:lang w:val="fr-CA"/>
              </w:rPr>
            </w:pPr>
            <w:r w:rsidRPr="0068677C">
              <w:rPr>
                <w:sz w:val="20"/>
                <w:lang w:val="fr-CA"/>
              </w:rPr>
              <w:t>Propriété intellectuelle — Brevets — Médicaments — Dommages</w:t>
            </w:r>
            <w:r w:rsidRPr="0068677C">
              <w:rPr>
                <w:sz w:val="20"/>
                <w:lang w:val="fr-CA"/>
              </w:rPr>
              <w:noBreakHyphen/>
              <w:t>intérêts — L’intimée sollicite la remise des profits à la suite d’un jugement portant que la demanderesse avait contrefait le brevet de l’intimée — Quelle est l’approche conceptuelle appropriée pour déterminer comment calculer la restitution des profits dans le contexte des brevets? — Le droit permet</w:t>
            </w:r>
            <w:r w:rsidRPr="0068677C">
              <w:rPr>
                <w:sz w:val="20"/>
                <w:lang w:val="fr-CA"/>
              </w:rPr>
              <w:noBreakHyphen/>
              <w:t>il les « bénéfices de rebond » sur les produits vendus après l’expiration d’un brevet?</w:t>
            </w:r>
          </w:p>
        </w:tc>
      </w:tr>
      <w:tr w:rsidR="00C50008" w:rsidRPr="00D800B2" w:rsidTr="005B5AEE">
        <w:tc>
          <w:tcPr>
            <w:tcW w:w="5000" w:type="pct"/>
            <w:gridSpan w:val="4"/>
          </w:tcPr>
          <w:p w:rsidR="00C50008" w:rsidRPr="0068677C" w:rsidRDefault="00C50008" w:rsidP="005B5AEE">
            <w:pPr>
              <w:jc w:val="both"/>
              <w:rPr>
                <w:sz w:val="20"/>
                <w:lang w:val="fr-CA"/>
              </w:rPr>
            </w:pPr>
          </w:p>
        </w:tc>
      </w:tr>
      <w:tr w:rsidR="00C50008" w:rsidRPr="0068677C" w:rsidTr="005B5AEE">
        <w:tc>
          <w:tcPr>
            <w:tcW w:w="5000" w:type="pct"/>
            <w:gridSpan w:val="4"/>
          </w:tcPr>
          <w:p w:rsidR="00C50008" w:rsidRPr="0068677C" w:rsidRDefault="00C50008" w:rsidP="005B5AEE">
            <w:pPr>
              <w:jc w:val="both"/>
              <w:rPr>
                <w:sz w:val="20"/>
                <w:lang w:val="fr-CA"/>
              </w:rPr>
            </w:pPr>
            <w:r w:rsidRPr="0068677C">
              <w:rPr>
                <w:sz w:val="20"/>
                <w:lang w:val="fr-CA"/>
              </w:rPr>
              <w:t xml:space="preserve">En 2014, la Cour fédérale, dans la phase du procès ayant pour objet l’examen de la responsabilité, a statué que le brevet 705 des intimées (collectivement « Dow ») portant sur les articles produits à partir de mélanges de polymères éthyléniques avait été jugé valide et qu’il avait été contrefait par un produit fabriqué par Nova Chemicals Corporation (« Nova »). Le brevet 705 avait été émis en 2006 et est arrivé à échéance le 19 avril 2014. Le tribunal a statué que Dow avait droit à des dommages-intérêts en vertu de la </w:t>
            </w:r>
            <w:r w:rsidRPr="0068677C">
              <w:rPr>
                <w:i/>
                <w:sz w:val="20"/>
                <w:lang w:val="fr-CA"/>
              </w:rPr>
              <w:t>Loi sur les brevets</w:t>
            </w:r>
            <w:r w:rsidRPr="0068677C">
              <w:rPr>
                <w:sz w:val="20"/>
                <w:lang w:val="fr-CA"/>
              </w:rPr>
              <w:t>, L.R.C. 1985, ch. P</w:t>
            </w:r>
            <w:r w:rsidRPr="0068677C">
              <w:rPr>
                <w:sz w:val="20"/>
                <w:lang w:val="fr-CA"/>
              </w:rPr>
              <w:noBreakHyphen/>
              <w:t>4, et devait choisir entre la restitution des profits de Nova ou les dommages</w:t>
            </w:r>
            <w:r w:rsidRPr="0068677C">
              <w:rPr>
                <w:sz w:val="20"/>
                <w:lang w:val="fr-CA"/>
              </w:rPr>
              <w:noBreakHyphen/>
              <w:t>intérêts liés à la contrefaçon par Nova du brevet 705 en vertu du par. 55(1) de la Loi. Le montant de cet octroi devait être évalué par un renvoi. Dow a choisi la remise des profits. Le juge chargé du renvoi devait déterminer méthode de calcul des dommages-intérêts payables à Dow en vertu des par. 55(1) et 55(2) de la Loi. Les principes formulés par le juge chargé du renvoi ont permis de calculer la remise des profits à restituer par Nova et payables à Dow. Cette décision a été confirmée en appel.</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19 avril 2017</w:t>
            </w:r>
          </w:p>
          <w:p w:rsidR="00C50008" w:rsidRPr="0068677C" w:rsidRDefault="00C50008" w:rsidP="005B5AEE">
            <w:pPr>
              <w:jc w:val="both"/>
              <w:rPr>
                <w:sz w:val="20"/>
                <w:lang w:val="fr-CA"/>
              </w:rPr>
            </w:pPr>
            <w:r w:rsidRPr="0068677C">
              <w:rPr>
                <w:sz w:val="20"/>
                <w:lang w:val="fr-CA"/>
              </w:rPr>
              <w:t>Cour fédérale</w:t>
            </w:r>
          </w:p>
          <w:p w:rsidR="00C50008" w:rsidRPr="0068677C" w:rsidRDefault="00C50008" w:rsidP="005B5AEE">
            <w:pPr>
              <w:jc w:val="both"/>
              <w:rPr>
                <w:sz w:val="20"/>
                <w:lang w:val="fr-CA"/>
              </w:rPr>
            </w:pPr>
            <w:r w:rsidRPr="0068677C">
              <w:rPr>
                <w:sz w:val="20"/>
                <w:lang w:val="fr-CA"/>
              </w:rPr>
              <w:t>(Juge Fothergill)</w:t>
            </w:r>
          </w:p>
          <w:p w:rsidR="00C50008" w:rsidRPr="0068677C" w:rsidRDefault="00D800B2" w:rsidP="005B5AEE">
            <w:pPr>
              <w:jc w:val="both"/>
              <w:rPr>
                <w:sz w:val="20"/>
                <w:lang w:val="fr-CA"/>
              </w:rPr>
            </w:pPr>
            <w:hyperlink r:id="rId31" w:history="1">
              <w:r w:rsidR="00C50008" w:rsidRPr="0068677C">
                <w:rPr>
                  <w:rStyle w:val="Hyperlink"/>
                  <w:sz w:val="20"/>
                  <w:lang w:val="fr-CA"/>
                </w:rPr>
                <w:t>2017 CF 350</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Ordonnance évaluant les dommages-intérêts que la demanderesse doit payer à l’intimée en vertu d’une remise des profits</w:t>
            </w:r>
          </w:p>
          <w:p w:rsidR="00C50008" w:rsidRPr="0068677C" w:rsidRDefault="00C50008" w:rsidP="005B5AEE">
            <w:pPr>
              <w:jc w:val="both"/>
              <w:rPr>
                <w:sz w:val="20"/>
                <w:lang w:val="fr-CA"/>
              </w:rPr>
            </w:pP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15 septembre 2020</w:t>
            </w:r>
          </w:p>
          <w:p w:rsidR="00C50008" w:rsidRPr="0068677C" w:rsidRDefault="00C50008" w:rsidP="005B5AEE">
            <w:pPr>
              <w:jc w:val="both"/>
              <w:rPr>
                <w:sz w:val="20"/>
                <w:lang w:val="fr-CA"/>
              </w:rPr>
            </w:pPr>
            <w:r w:rsidRPr="0068677C">
              <w:rPr>
                <w:sz w:val="20"/>
                <w:lang w:val="fr-CA"/>
              </w:rPr>
              <w:t>Cour d’appel fédérale</w:t>
            </w:r>
          </w:p>
          <w:p w:rsidR="00C50008" w:rsidRPr="0068677C" w:rsidRDefault="00C50008" w:rsidP="005B5AEE">
            <w:pPr>
              <w:jc w:val="both"/>
              <w:rPr>
                <w:sz w:val="20"/>
                <w:lang w:val="fr-CA"/>
              </w:rPr>
            </w:pPr>
            <w:r w:rsidRPr="0068677C">
              <w:rPr>
                <w:sz w:val="20"/>
                <w:lang w:val="fr-CA"/>
              </w:rPr>
              <w:t>(Juges Stratas, Near et Woods [dissidente])</w:t>
            </w:r>
          </w:p>
          <w:p w:rsidR="00C50008" w:rsidRPr="0068677C" w:rsidRDefault="00D800B2" w:rsidP="005B5AEE">
            <w:pPr>
              <w:jc w:val="both"/>
              <w:rPr>
                <w:sz w:val="20"/>
                <w:lang w:val="fr-CA"/>
              </w:rPr>
            </w:pPr>
            <w:hyperlink r:id="rId32" w:history="1">
              <w:r w:rsidR="00C50008" w:rsidRPr="0068677C">
                <w:rPr>
                  <w:rStyle w:val="Hyperlink"/>
                  <w:sz w:val="20"/>
                  <w:lang w:val="fr-CA"/>
                </w:rPr>
                <w:t>2020 FCA 141</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Rejet de l’appel de la demanderesse; rejet de l’appel incident des intimées</w:t>
            </w:r>
          </w:p>
          <w:p w:rsidR="00C50008" w:rsidRPr="0068677C" w:rsidRDefault="00C50008" w:rsidP="005B5AEE">
            <w:pPr>
              <w:jc w:val="both"/>
              <w:rPr>
                <w:sz w:val="20"/>
                <w:lang w:val="fr-CA"/>
              </w:rPr>
            </w:pP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13 novembre 2020</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Dépôt de la demande d’autorisation d’appel</w:t>
            </w:r>
          </w:p>
          <w:p w:rsidR="00C50008" w:rsidRPr="0068677C" w:rsidRDefault="00C50008" w:rsidP="005B5AEE">
            <w:pPr>
              <w:jc w:val="both"/>
              <w:rPr>
                <w:sz w:val="20"/>
                <w:lang w:val="fr-CA"/>
              </w:rPr>
            </w:pPr>
          </w:p>
        </w:tc>
      </w:tr>
    </w:tbl>
    <w:p w:rsidR="00C50008" w:rsidRPr="0068677C" w:rsidRDefault="00C50008" w:rsidP="00C50008">
      <w:pPr>
        <w:jc w:val="both"/>
        <w:rPr>
          <w:sz w:val="20"/>
          <w:lang w:val="fr-CA"/>
        </w:rPr>
      </w:pPr>
    </w:p>
    <w:p w:rsidR="00C50008" w:rsidRPr="0068677C" w:rsidRDefault="00D800B2" w:rsidP="00C50008">
      <w:pPr>
        <w:widowControl w:val="0"/>
        <w:jc w:val="both"/>
        <w:rPr>
          <w:sz w:val="20"/>
          <w:lang w:val="fr-CA"/>
        </w:rPr>
      </w:pPr>
      <w:r>
        <w:rPr>
          <w:sz w:val="20"/>
        </w:rPr>
        <w:pict>
          <v:rect id="_x0000_i1043" style="width:2in;height:1pt" o:hrpct="0" o:hralign="center" o:hrstd="t" o:hrnoshade="t" o:hr="t" fillcolor="black [3213]" stroked="f"/>
        </w:pict>
      </w:r>
    </w:p>
    <w:p w:rsidR="00C50008" w:rsidRPr="0068677C" w:rsidRDefault="00C50008" w:rsidP="00C50008">
      <w:pPr>
        <w:widowControl w:val="0"/>
        <w:jc w:val="both"/>
        <w:rPr>
          <w:sz w:val="20"/>
          <w:lang w:val="fr-CA"/>
        </w:rPr>
      </w:pPr>
    </w:p>
    <w:p w:rsidR="006D6263" w:rsidRPr="0068677C" w:rsidRDefault="006D6263">
      <w:r w:rsidRPr="006867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lastRenderedPageBreak/>
              <w:t>39545</w:t>
            </w:r>
          </w:p>
        </w:tc>
        <w:tc>
          <w:tcPr>
            <w:tcW w:w="4457" w:type="pct"/>
            <w:gridSpan w:val="3"/>
          </w:tcPr>
          <w:p w:rsidR="00C50008" w:rsidRPr="0068677C" w:rsidRDefault="00DC7B0B" w:rsidP="005B5AEE">
            <w:pPr>
              <w:pStyle w:val="SCCLsocParty"/>
              <w:jc w:val="both"/>
              <w:rPr>
                <w:b/>
                <w:sz w:val="20"/>
                <w:szCs w:val="20"/>
                <w:lang w:val="en-US"/>
              </w:rPr>
            </w:pPr>
            <w:r w:rsidRPr="0068677C">
              <w:rPr>
                <w:b/>
                <w:sz w:val="20"/>
                <w:szCs w:val="20"/>
                <w:lang w:val="en-CA"/>
              </w:rPr>
              <w:t>Michel Labonté, personally and in his capacity as tutor or representative of a minor child, and Annie Otis, personally and in her capacity as tutor or representative of a minor child</w:t>
            </w:r>
            <w:r w:rsidR="00C50008" w:rsidRPr="0068677C">
              <w:rPr>
                <w:b/>
                <w:sz w:val="20"/>
                <w:szCs w:val="20"/>
                <w:lang w:val="en-CA"/>
              </w:rPr>
              <w:t xml:space="preserve"> v. </w:t>
            </w:r>
            <w:r w:rsidRPr="0068677C">
              <w:rPr>
                <w:b/>
                <w:sz w:val="20"/>
                <w:szCs w:val="20"/>
                <w:lang w:val="en-CA"/>
              </w:rPr>
              <w:t>Centre de services scolaire de la Capitale</w:t>
            </w:r>
          </w:p>
          <w:p w:rsidR="00C50008" w:rsidRPr="0068677C" w:rsidRDefault="00C50008" w:rsidP="005B5AEE">
            <w:pPr>
              <w:jc w:val="both"/>
              <w:rPr>
                <w:sz w:val="20"/>
              </w:rPr>
            </w:pPr>
            <w:r w:rsidRPr="0068677C">
              <w:rPr>
                <w:sz w:val="20"/>
              </w:rPr>
              <w:t>(Que.) (Civil) (By Leave)</w:t>
            </w:r>
          </w:p>
        </w:tc>
      </w:tr>
      <w:tr w:rsidR="00812A2D" w:rsidRPr="0068677C" w:rsidTr="005B5AEE">
        <w:tc>
          <w:tcPr>
            <w:tcW w:w="5000" w:type="pct"/>
            <w:gridSpan w:val="4"/>
          </w:tcPr>
          <w:p w:rsidR="00DC7B0B" w:rsidRPr="0068677C" w:rsidRDefault="00DC7B0B" w:rsidP="00DC7B0B">
            <w:pPr>
              <w:jc w:val="both"/>
              <w:rPr>
                <w:sz w:val="20"/>
                <w:szCs w:val="20"/>
              </w:rPr>
            </w:pPr>
            <w:r w:rsidRPr="0068677C">
              <w:rPr>
                <w:sz w:val="20"/>
                <w:szCs w:val="20"/>
              </w:rPr>
              <w:t xml:space="preserve">The application for leave to appeal from the judgment of the </w:t>
            </w:r>
            <w:r w:rsidRPr="0068677C">
              <w:rPr>
                <w:sz w:val="20"/>
                <w:szCs w:val="20"/>
                <w:lang w:val="en-US"/>
              </w:rPr>
              <w:t>Court of Appeal of Quebec (Québec)</w:t>
            </w:r>
            <w:r w:rsidRPr="0068677C">
              <w:rPr>
                <w:sz w:val="20"/>
                <w:szCs w:val="20"/>
              </w:rPr>
              <w:t xml:space="preserve">, Number </w:t>
            </w:r>
            <w:r w:rsidRPr="0068677C">
              <w:rPr>
                <w:sz w:val="20"/>
                <w:szCs w:val="20"/>
                <w:lang w:val="en-US"/>
              </w:rPr>
              <w:t>200-09-009958-197, 2020 QCCA 1589</w:t>
            </w:r>
            <w:r w:rsidRPr="0068677C">
              <w:rPr>
                <w:sz w:val="20"/>
                <w:szCs w:val="20"/>
              </w:rPr>
              <w:t xml:space="preserve">, dated </w:t>
            </w:r>
            <w:r w:rsidRPr="0068677C">
              <w:rPr>
                <w:sz w:val="20"/>
                <w:szCs w:val="20"/>
                <w:lang w:val="en-US"/>
              </w:rPr>
              <w:t>November 27, 2020,</w:t>
            </w:r>
            <w:r w:rsidRPr="0068677C">
              <w:rPr>
                <w:sz w:val="20"/>
                <w:szCs w:val="20"/>
              </w:rPr>
              <w:t xml:space="preserve"> is dismissed with costs. </w:t>
            </w:r>
          </w:p>
          <w:p w:rsidR="00812A2D" w:rsidRPr="0068677C" w:rsidRDefault="00812A2D"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(PUBLICATION BAN ON PARTY)</w:t>
            </w:r>
          </w:p>
          <w:p w:rsidR="00C50008" w:rsidRPr="0068677C" w:rsidRDefault="00C50008" w:rsidP="005B5AEE">
            <w:pPr>
              <w:jc w:val="both"/>
              <w:rPr>
                <w:sz w:val="20"/>
              </w:rPr>
            </w:pPr>
          </w:p>
          <w:p w:rsidR="00C50008" w:rsidRPr="0068677C" w:rsidRDefault="00C50008" w:rsidP="005B5AEE">
            <w:pPr>
              <w:jc w:val="both"/>
              <w:rPr>
                <w:sz w:val="20"/>
              </w:rPr>
            </w:pPr>
            <w:r w:rsidRPr="0068677C">
              <w:rPr>
                <w:sz w:val="20"/>
              </w:rPr>
              <w:t>Civil liability — Unlawful intentional fault — Human rights — Discrimination — Prohibited grounds — Mental or physical disability — Evaluation of child’s needs at school — Regular class versus specialized class — School board alleged to have deprived child diagnosed with autism spectrum disorder of adapted educational services — School board also accused of discrimination in refusing to transfer child to specialized class — Lower courts concluding that there no fault or injury — Court of Appeal addressing issue of discrimination and concluding that there no evidence of discriminatory treatment — Whether application for leave to appeal raising issue of public importance.</w:t>
            </w:r>
          </w:p>
        </w:tc>
      </w:tr>
      <w:tr w:rsidR="00C50008" w:rsidRPr="0068677C" w:rsidTr="005B5AEE">
        <w:tc>
          <w:tcPr>
            <w:tcW w:w="5000" w:type="pct"/>
            <w:gridSpan w:val="4"/>
          </w:tcPr>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The applicants are the parents of X, who has autism spectrum disorder. They alleged that the respondent, the Commission scolaire de la Capitale, had committed a fault in depriving X of adapted educational services, including access to a specialized class beginning in Grade 2. They claimed compensatory and punitive damages, and argued that the Commission scolaire’s treatment of X was discriminatory. The Superior Court dismissed the parents’ action. It found that the Commission scolaire had not committed a fault and that the parents had not established injury. It noted that the Commission scolaire had evaluated X’s ability and needs before he was integrated into the classroom and throughout his time in regular classes. The Court of Appeal dismissed the parents’ appeal. In its view, the parents had not identified a palpable and overriding error that would allow it to review the trial court’s conclusions. In its analysis of the issue of discriminatory treatment of X, the Court of Appeal held that not allowing X to have access to a specialized class, given that there were other children with greater needs and given the number of available spaces, whereas, moreover, X was developing well in the regular program and had received other accommodations, could not be considered discriminatory.</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January 29, 2019</w:t>
            </w:r>
          </w:p>
          <w:p w:rsidR="00C50008" w:rsidRPr="0068677C" w:rsidRDefault="00C50008" w:rsidP="005B5AEE">
            <w:pPr>
              <w:jc w:val="both"/>
              <w:rPr>
                <w:sz w:val="20"/>
              </w:rPr>
            </w:pPr>
            <w:r w:rsidRPr="0068677C">
              <w:rPr>
                <w:sz w:val="20"/>
              </w:rPr>
              <w:t>Quebec Superior Court</w:t>
            </w:r>
          </w:p>
          <w:p w:rsidR="00C50008" w:rsidRPr="0068677C" w:rsidRDefault="00C50008" w:rsidP="005B5AEE">
            <w:pPr>
              <w:jc w:val="both"/>
              <w:rPr>
                <w:sz w:val="20"/>
              </w:rPr>
            </w:pPr>
            <w:r w:rsidRPr="0068677C">
              <w:rPr>
                <w:sz w:val="20"/>
              </w:rPr>
              <w:t>(Paradis J.)</w:t>
            </w:r>
          </w:p>
          <w:p w:rsidR="00C50008" w:rsidRPr="0068677C" w:rsidRDefault="00D800B2" w:rsidP="005B5AEE">
            <w:pPr>
              <w:jc w:val="both"/>
              <w:rPr>
                <w:sz w:val="20"/>
              </w:rPr>
            </w:pPr>
            <w:hyperlink r:id="rId33" w:history="1">
              <w:r w:rsidR="00C50008" w:rsidRPr="0068677C">
                <w:rPr>
                  <w:rStyle w:val="Hyperlink"/>
                  <w:sz w:val="20"/>
                </w:rPr>
                <w:t>2019 QCCS 222</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Action for damages dismissed</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November 27, 2020</w:t>
            </w:r>
          </w:p>
          <w:p w:rsidR="00C50008" w:rsidRPr="0068677C" w:rsidRDefault="00C50008" w:rsidP="005B5AEE">
            <w:pPr>
              <w:jc w:val="both"/>
              <w:rPr>
                <w:sz w:val="20"/>
              </w:rPr>
            </w:pPr>
            <w:r w:rsidRPr="0068677C">
              <w:rPr>
                <w:sz w:val="20"/>
              </w:rPr>
              <w:t>Quebec Court of Appeal (Québec)</w:t>
            </w:r>
          </w:p>
          <w:p w:rsidR="00C50008" w:rsidRPr="0068677C" w:rsidRDefault="00C50008" w:rsidP="005B5AEE">
            <w:pPr>
              <w:jc w:val="both"/>
              <w:rPr>
                <w:sz w:val="20"/>
              </w:rPr>
            </w:pPr>
            <w:r w:rsidRPr="0068677C">
              <w:rPr>
                <w:sz w:val="20"/>
              </w:rPr>
              <w:t>(Lévesque, Cotnam and Beaupré JJ.A.)</w:t>
            </w:r>
          </w:p>
          <w:p w:rsidR="00C50008" w:rsidRPr="0068677C" w:rsidRDefault="00C50008" w:rsidP="005B5AEE">
            <w:pPr>
              <w:jc w:val="both"/>
              <w:rPr>
                <w:sz w:val="20"/>
              </w:rPr>
            </w:pPr>
            <w:r w:rsidRPr="0068677C">
              <w:rPr>
                <w:sz w:val="20"/>
              </w:rPr>
              <w:t>File No. 200</w:t>
            </w:r>
            <w:r w:rsidRPr="0068677C">
              <w:rPr>
                <w:sz w:val="20"/>
              </w:rPr>
              <w:noBreakHyphen/>
              <w:t>09</w:t>
            </w:r>
            <w:r w:rsidRPr="0068677C">
              <w:rPr>
                <w:sz w:val="20"/>
              </w:rPr>
              <w:noBreakHyphen/>
              <w:t>009958</w:t>
            </w:r>
            <w:r w:rsidRPr="0068677C">
              <w:rPr>
                <w:sz w:val="20"/>
              </w:rPr>
              <w:noBreakHyphen/>
              <w:t>197</w:t>
            </w:r>
          </w:p>
          <w:p w:rsidR="00C50008" w:rsidRPr="0068677C" w:rsidRDefault="00D800B2" w:rsidP="005B5AEE">
            <w:pPr>
              <w:jc w:val="both"/>
              <w:rPr>
                <w:sz w:val="20"/>
              </w:rPr>
            </w:pPr>
            <w:hyperlink r:id="rId34" w:history="1">
              <w:r w:rsidR="00C50008" w:rsidRPr="0068677C">
                <w:rPr>
                  <w:rStyle w:val="Hyperlink"/>
                  <w:sz w:val="20"/>
                </w:rPr>
                <w:t>2020 QCCA 1589</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Appeal dismissed</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January 26, 2021</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44"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39545</w:t>
            </w:r>
          </w:p>
        </w:tc>
        <w:tc>
          <w:tcPr>
            <w:tcW w:w="4457" w:type="pct"/>
            <w:gridSpan w:val="3"/>
          </w:tcPr>
          <w:p w:rsidR="00C50008" w:rsidRPr="0068677C" w:rsidRDefault="00DC7B0B" w:rsidP="005B5AEE">
            <w:pPr>
              <w:pStyle w:val="SCCLsocParty"/>
              <w:jc w:val="both"/>
              <w:rPr>
                <w:b/>
                <w:sz w:val="20"/>
                <w:szCs w:val="20"/>
              </w:rPr>
            </w:pPr>
            <w:r w:rsidRPr="0068677C">
              <w:rPr>
                <w:b/>
                <w:sz w:val="20"/>
                <w:szCs w:val="20"/>
              </w:rPr>
              <w:t>Michel Labonté, personnellement et en sa qualité de tuteur ou représentant d’un enfant mineur, et Annie Otis, personnellement et en sa qualité de tutrice ou représentante d’un enfant mineur</w:t>
            </w:r>
            <w:r w:rsidR="00C50008" w:rsidRPr="0068677C">
              <w:rPr>
                <w:b/>
                <w:sz w:val="20"/>
                <w:szCs w:val="20"/>
              </w:rPr>
              <w:t xml:space="preserve"> c. </w:t>
            </w:r>
            <w:r w:rsidRPr="0068677C">
              <w:rPr>
                <w:b/>
                <w:sz w:val="20"/>
                <w:szCs w:val="20"/>
              </w:rPr>
              <w:t>Centre de services scolaire de la Capitale</w:t>
            </w:r>
          </w:p>
          <w:p w:rsidR="00C50008" w:rsidRPr="0068677C" w:rsidRDefault="00C50008" w:rsidP="005B5AEE">
            <w:pPr>
              <w:jc w:val="both"/>
              <w:rPr>
                <w:sz w:val="20"/>
              </w:rPr>
            </w:pPr>
            <w:r w:rsidRPr="0068677C">
              <w:rPr>
                <w:sz w:val="20"/>
              </w:rPr>
              <w:t>(Qc) (Civile) (Autorisation)</w:t>
            </w:r>
          </w:p>
        </w:tc>
      </w:tr>
      <w:tr w:rsidR="00812A2D" w:rsidRPr="00D800B2" w:rsidTr="005B5AEE">
        <w:tc>
          <w:tcPr>
            <w:tcW w:w="5000" w:type="pct"/>
            <w:gridSpan w:val="4"/>
          </w:tcPr>
          <w:p w:rsidR="00812A2D" w:rsidRPr="0068677C" w:rsidRDefault="00DC7B0B" w:rsidP="00DC7B0B">
            <w:pPr>
              <w:tabs>
                <w:tab w:val="left" w:pos="1427"/>
              </w:tabs>
              <w:jc w:val="both"/>
              <w:rPr>
                <w:sz w:val="20"/>
                <w:szCs w:val="20"/>
                <w:lang w:val="fr-CA"/>
              </w:rPr>
            </w:pPr>
            <w:r w:rsidRPr="0068677C">
              <w:rPr>
                <w:sz w:val="20"/>
                <w:szCs w:val="20"/>
                <w:lang w:val="fr-CA"/>
              </w:rPr>
              <w:t>La demande d’autorisation d’appel de l’arrêt de la Cour d’appel du Québec (Québec), numéro 200-09-009958-197, 2020 QCCA 1589, daté du 27 novembre 2020, est rejetée avec dépens.</w:t>
            </w:r>
          </w:p>
          <w:p w:rsidR="00DC7B0B" w:rsidRPr="0068677C" w:rsidRDefault="00DC7B0B" w:rsidP="00DC7B0B">
            <w:pPr>
              <w:tabs>
                <w:tab w:val="left" w:pos="1427"/>
              </w:tabs>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lastRenderedPageBreak/>
              <w:t>(ORDONNANCE DE NON-PUBLICATION VISANT UNE PARTIE)</w:t>
            </w:r>
          </w:p>
          <w:p w:rsidR="00C50008" w:rsidRPr="0068677C" w:rsidRDefault="00C50008" w:rsidP="005B5AEE">
            <w:pPr>
              <w:jc w:val="both"/>
              <w:rPr>
                <w:sz w:val="20"/>
                <w:lang w:val="fr-CA"/>
              </w:rPr>
            </w:pPr>
          </w:p>
          <w:p w:rsidR="00C50008" w:rsidRPr="0068677C" w:rsidRDefault="00C50008" w:rsidP="005B5AEE">
            <w:pPr>
              <w:jc w:val="both"/>
              <w:rPr>
                <w:sz w:val="20"/>
                <w:lang w:val="fr-CA"/>
              </w:rPr>
            </w:pPr>
            <w:r w:rsidRPr="0068677C">
              <w:rPr>
                <w:sz w:val="20"/>
                <w:lang w:val="fr-CA"/>
              </w:rPr>
              <w:t>Responsabilité civile — Faute illicite et intentionnelle — Droits de la personne – Discrimination — Motifs de distinction illicite — Déficience mentale ou physique — Évaluation des besoins de l’enfant en milieu scolaire — Classe régulière versus classe spécialisée — Commission scolaire reprochée d’avoir privé enfant diagnostiqué du spectre de l’autisme de services éducatifs adaptés — Commission scolaire aussi reprochée d’avoir fait preuve de discrimination en refusant transfert de l’enfant à une classe spécialisée — Tribunaux inférieurs concluant à l’absence de faute et de préjudice — Cour d’appel traitant de la question de discrimination et concluant à l’absence de preuve de traitement discriminatoire — La demande d’autorisation d’appel soulève</w:t>
            </w:r>
            <w:r w:rsidRPr="0068677C">
              <w:rPr>
                <w:sz w:val="20"/>
                <w:lang w:val="fr-CA"/>
              </w:rPr>
              <w:noBreakHyphen/>
              <w:t>t</w:t>
            </w:r>
            <w:r w:rsidRPr="0068677C">
              <w:rPr>
                <w:sz w:val="20"/>
                <w:lang w:val="fr-CA"/>
              </w:rPr>
              <w:noBreakHyphen/>
              <w:t>elle une question d’importance pour le public?</w:t>
            </w:r>
          </w:p>
        </w:tc>
      </w:tr>
      <w:tr w:rsidR="00C50008" w:rsidRPr="00D800B2" w:rsidTr="005B5AEE">
        <w:tc>
          <w:tcPr>
            <w:tcW w:w="5000" w:type="pct"/>
            <w:gridSpan w:val="4"/>
          </w:tcPr>
          <w:p w:rsidR="00C50008" w:rsidRPr="0068677C" w:rsidRDefault="00C50008"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t>Les demandeurs sont les parents de X, qui est atteint de trouble du spectre de l’autisme. Ils allèguent que l’intimée, la Commission scolaire de la Capitale, a commis une faute en privant X des services éducatifs adaptés, dont l’accès à une classe spécialisée à partir de la seconde année du primaire. Ils réclament des dommages</w:t>
            </w:r>
            <w:r w:rsidRPr="0068677C">
              <w:rPr>
                <w:sz w:val="20"/>
                <w:lang w:val="fr-CA"/>
              </w:rPr>
              <w:noBreakHyphen/>
              <w:t>intérêts compensatoires et punitifs, et considèrent que le traitement de X par la Commission scolaire a été discriminatoire. La Cour supérieure a rejeté l’action des parents. Elle a conclu que la Commission scolaire n’a pas commis de faute, et que les parents n’ont pas fait la preuve de préjudice. Elle a retenu que la Commission scolaire a procédé à l’évaluation des capacités et des besoins de X avant son intégration dans le milieu scolaire et tout au long de son parcours en classe régulière. La Cour d’appel a rejeté l’appel des parents. Elle a conclu que les parents n’ont pas identifié d’erreur manifeste et déterminante lui permettant de revenir sur les conclusions du tribunal d’instance. Procédant à sa propre analyse du traitement discriminatoire de X, la Cour d’appel a retenu que le fait de ne pas permettre l’accès à X à une classe spécialisée, vu les besoins supérieurs d’autres enfants et le nombre de places disponibles, alors qu’au surplus X se développait bien dans le programme régulier et qu’il bénéficiait d’autres accommodements, ne pouvait être considéré comme discriminatoire.</w:t>
            </w:r>
          </w:p>
          <w:p w:rsidR="00C50008" w:rsidRPr="0068677C" w:rsidRDefault="00C50008" w:rsidP="005B5AEE">
            <w:pPr>
              <w:jc w:val="both"/>
              <w:rPr>
                <w:sz w:val="20"/>
                <w:lang w:val="fr-CA"/>
              </w:rPr>
            </w:pPr>
          </w:p>
        </w:tc>
      </w:tr>
      <w:tr w:rsidR="00C50008" w:rsidRPr="0068677C" w:rsidTr="005B5AEE">
        <w:tc>
          <w:tcPr>
            <w:tcW w:w="2427" w:type="pct"/>
            <w:gridSpan w:val="2"/>
          </w:tcPr>
          <w:p w:rsidR="00C50008" w:rsidRPr="0068677C" w:rsidRDefault="00C50008" w:rsidP="005B5AEE">
            <w:pPr>
              <w:jc w:val="both"/>
              <w:rPr>
                <w:sz w:val="20"/>
                <w:lang w:val="fr-CA"/>
              </w:rPr>
            </w:pPr>
            <w:r w:rsidRPr="0068677C">
              <w:rPr>
                <w:sz w:val="20"/>
                <w:lang w:val="fr-CA"/>
              </w:rPr>
              <w:t>Le 29 janvier 2019</w:t>
            </w:r>
          </w:p>
          <w:p w:rsidR="00C50008" w:rsidRPr="0068677C" w:rsidRDefault="00C50008" w:rsidP="005B5AEE">
            <w:pPr>
              <w:jc w:val="both"/>
              <w:rPr>
                <w:sz w:val="20"/>
                <w:lang w:val="fr-CA"/>
              </w:rPr>
            </w:pPr>
            <w:r w:rsidRPr="0068677C">
              <w:rPr>
                <w:sz w:val="20"/>
                <w:lang w:val="fr-CA"/>
              </w:rPr>
              <w:t>Cour supérieure du Québec</w:t>
            </w:r>
          </w:p>
          <w:p w:rsidR="00C50008" w:rsidRPr="0068677C" w:rsidRDefault="00C50008" w:rsidP="005B5AEE">
            <w:pPr>
              <w:jc w:val="both"/>
              <w:rPr>
                <w:sz w:val="20"/>
              </w:rPr>
            </w:pPr>
            <w:r w:rsidRPr="0068677C">
              <w:rPr>
                <w:sz w:val="20"/>
              </w:rPr>
              <w:t>(le juge Paradis)</w:t>
            </w:r>
          </w:p>
          <w:p w:rsidR="00C50008" w:rsidRPr="0068677C" w:rsidRDefault="00D800B2" w:rsidP="005B5AEE">
            <w:pPr>
              <w:jc w:val="both"/>
              <w:rPr>
                <w:sz w:val="20"/>
              </w:rPr>
            </w:pPr>
            <w:hyperlink r:id="rId35" w:history="1">
              <w:r w:rsidR="00C50008" w:rsidRPr="0068677C">
                <w:rPr>
                  <w:rStyle w:val="Hyperlink"/>
                  <w:sz w:val="20"/>
                </w:rPr>
                <w:t>2019 QCCS 222</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Action en dommages</w:t>
            </w:r>
            <w:r w:rsidRPr="0068677C">
              <w:rPr>
                <w:sz w:val="20"/>
              </w:rPr>
              <w:noBreakHyphen/>
              <w:t>intérêts rejetée</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lang w:val="fr-CA"/>
              </w:rPr>
            </w:pPr>
            <w:r w:rsidRPr="0068677C">
              <w:rPr>
                <w:sz w:val="20"/>
                <w:lang w:val="fr-CA"/>
              </w:rPr>
              <w:t>Le 27 novembre 2020</w:t>
            </w:r>
          </w:p>
          <w:p w:rsidR="00C50008" w:rsidRPr="0068677C" w:rsidRDefault="00C50008" w:rsidP="005B5AEE">
            <w:pPr>
              <w:jc w:val="both"/>
              <w:rPr>
                <w:sz w:val="20"/>
                <w:lang w:val="fr-CA"/>
              </w:rPr>
            </w:pPr>
            <w:r w:rsidRPr="0068677C">
              <w:rPr>
                <w:sz w:val="20"/>
                <w:lang w:val="fr-CA"/>
              </w:rPr>
              <w:t>Cour d’appel du Québec (Québec)</w:t>
            </w:r>
          </w:p>
          <w:p w:rsidR="00C50008" w:rsidRPr="0068677C" w:rsidRDefault="00C50008" w:rsidP="005B5AEE">
            <w:pPr>
              <w:jc w:val="both"/>
              <w:rPr>
                <w:sz w:val="20"/>
                <w:lang w:val="fr-CA"/>
              </w:rPr>
            </w:pPr>
            <w:r w:rsidRPr="0068677C">
              <w:rPr>
                <w:sz w:val="20"/>
                <w:lang w:val="fr-CA"/>
              </w:rPr>
              <w:t>(les juges Lévesque, Cotnam et Beaupré)</w:t>
            </w:r>
          </w:p>
          <w:p w:rsidR="00C50008" w:rsidRPr="0068677C" w:rsidRDefault="00C50008" w:rsidP="005B5AEE">
            <w:pPr>
              <w:jc w:val="both"/>
              <w:rPr>
                <w:sz w:val="20"/>
              </w:rPr>
            </w:pPr>
            <w:r w:rsidRPr="0068677C">
              <w:rPr>
                <w:sz w:val="20"/>
              </w:rPr>
              <w:t>No. dossier 200</w:t>
            </w:r>
            <w:r w:rsidRPr="0068677C">
              <w:rPr>
                <w:sz w:val="20"/>
              </w:rPr>
              <w:noBreakHyphen/>
              <w:t>09</w:t>
            </w:r>
            <w:r w:rsidRPr="0068677C">
              <w:rPr>
                <w:sz w:val="20"/>
              </w:rPr>
              <w:noBreakHyphen/>
              <w:t>009958</w:t>
            </w:r>
            <w:r w:rsidRPr="0068677C">
              <w:rPr>
                <w:sz w:val="20"/>
              </w:rPr>
              <w:noBreakHyphen/>
              <w:t>197</w:t>
            </w:r>
          </w:p>
          <w:p w:rsidR="00C50008" w:rsidRPr="0068677C" w:rsidRDefault="00D800B2" w:rsidP="005B5AEE">
            <w:pPr>
              <w:jc w:val="both"/>
              <w:rPr>
                <w:sz w:val="20"/>
              </w:rPr>
            </w:pPr>
            <w:hyperlink r:id="rId36" w:history="1">
              <w:r w:rsidR="00C50008" w:rsidRPr="0068677C">
                <w:rPr>
                  <w:rStyle w:val="Hyperlink"/>
                  <w:sz w:val="20"/>
                </w:rPr>
                <w:t>2020 QCCA 1589</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Appel rejeté</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lang w:val="fr-CA"/>
              </w:rPr>
            </w:pPr>
            <w:r w:rsidRPr="0068677C">
              <w:rPr>
                <w:sz w:val="20"/>
                <w:lang w:val="fr-CA"/>
              </w:rPr>
              <w:t>Le 26 janvier 2021</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rPr>
            </w:pPr>
            <w:r w:rsidRPr="0068677C">
              <w:rPr>
                <w:sz w:val="20"/>
              </w:rPr>
              <w:t>Demande d’autorisation d’appel déposée</w:t>
            </w:r>
          </w:p>
        </w:tc>
      </w:tr>
    </w:tbl>
    <w:p w:rsidR="00C50008" w:rsidRPr="0068677C" w:rsidRDefault="00C50008" w:rsidP="00C50008">
      <w:pPr>
        <w:jc w:val="both"/>
        <w:rPr>
          <w:sz w:val="20"/>
        </w:rPr>
      </w:pPr>
    </w:p>
    <w:p w:rsidR="00C50008" w:rsidRPr="0068677C" w:rsidRDefault="00D800B2" w:rsidP="00C50008">
      <w:pPr>
        <w:widowControl w:val="0"/>
        <w:jc w:val="both"/>
        <w:rPr>
          <w:sz w:val="20"/>
          <w:lang w:val="fr-CA"/>
        </w:rPr>
      </w:pPr>
      <w:r>
        <w:rPr>
          <w:sz w:val="20"/>
        </w:rPr>
        <w:pict>
          <v:rect id="_x0000_i1045" style="width:2in;height:1pt" o:hrpct="0" o:hralign="center" o:hrstd="t" o:hrnoshade="t" o:hr="t" fillcolor="black [3213]" stroked="f"/>
        </w:pict>
      </w:r>
    </w:p>
    <w:p w:rsidR="00C50008" w:rsidRPr="0068677C" w:rsidRDefault="00C50008" w:rsidP="00C500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39546</w:t>
            </w:r>
          </w:p>
        </w:tc>
        <w:tc>
          <w:tcPr>
            <w:tcW w:w="4457" w:type="pct"/>
            <w:gridSpan w:val="3"/>
          </w:tcPr>
          <w:p w:rsidR="00C50008" w:rsidRPr="0068677C" w:rsidRDefault="00C50008" w:rsidP="005B5AEE">
            <w:pPr>
              <w:pStyle w:val="SCCLsocParty"/>
              <w:jc w:val="both"/>
              <w:rPr>
                <w:b/>
                <w:sz w:val="20"/>
                <w:szCs w:val="20"/>
              </w:rPr>
            </w:pPr>
            <w:r w:rsidRPr="0068677C">
              <w:rPr>
                <w:b/>
                <w:sz w:val="20"/>
                <w:szCs w:val="20"/>
              </w:rPr>
              <w:t>Claude Pierre Bouvier v. Jo-Ann Marie Bouvier</w:t>
            </w:r>
          </w:p>
          <w:p w:rsidR="00C50008" w:rsidRPr="0068677C" w:rsidRDefault="00C50008" w:rsidP="005B5AEE">
            <w:pPr>
              <w:jc w:val="both"/>
              <w:rPr>
                <w:sz w:val="20"/>
              </w:rPr>
            </w:pPr>
            <w:r w:rsidRPr="0068677C">
              <w:rPr>
                <w:sz w:val="20"/>
              </w:rPr>
              <w:t>(Sask.) (Civil) (By Leave)</w:t>
            </w:r>
          </w:p>
        </w:tc>
      </w:tr>
      <w:tr w:rsidR="00812A2D" w:rsidRPr="0068677C" w:rsidTr="005B5AEE">
        <w:tc>
          <w:tcPr>
            <w:tcW w:w="5000" w:type="pct"/>
            <w:gridSpan w:val="4"/>
          </w:tcPr>
          <w:p w:rsidR="00DC7B0B" w:rsidRPr="0068677C" w:rsidRDefault="00DC7B0B" w:rsidP="00DC7B0B">
            <w:pPr>
              <w:jc w:val="both"/>
              <w:rPr>
                <w:sz w:val="20"/>
                <w:szCs w:val="20"/>
              </w:rPr>
            </w:pPr>
            <w:r w:rsidRPr="0068677C">
              <w:rPr>
                <w:sz w:val="20"/>
                <w:szCs w:val="20"/>
              </w:rPr>
              <w:t>The application for leave to appeal from the judgment of the Court of Appeal for Saskatchewan, Number CACV3112, 2020 SKCA 133, dated November 26, 2020, is dismissed with costs.</w:t>
            </w:r>
          </w:p>
          <w:p w:rsidR="00812A2D" w:rsidRPr="0068677C" w:rsidRDefault="00812A2D"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 xml:space="preserve">Family law – Family assets – Division - Disclosure – Wife obtaining uncontested order for unequal division of family home and family property after husband failing to respond to wife’s pleadings and failing to make financial disclosure – Whether Court of Appeal erred in law by determining that the Chambers Judge had appropriately departed from the presumption of an equal division of the family property and family home under </w:t>
            </w:r>
            <w:r w:rsidRPr="0068677C">
              <w:rPr>
                <w:i/>
                <w:sz w:val="20"/>
              </w:rPr>
              <w:t>The Family Property Act</w:t>
            </w:r>
            <w:r w:rsidRPr="0068677C">
              <w:rPr>
                <w:sz w:val="20"/>
              </w:rPr>
              <w:t>, S.S. 1997, c. F-6.3, in granting judgment for the unequal division of the family property and family home in an uncontested proceeding on the basis of the wife’s affidavit evidence alone.</w:t>
            </w:r>
          </w:p>
        </w:tc>
      </w:tr>
      <w:tr w:rsidR="00C50008" w:rsidRPr="0068677C" w:rsidTr="005B5AEE">
        <w:tc>
          <w:tcPr>
            <w:tcW w:w="5000" w:type="pct"/>
            <w:gridSpan w:val="4"/>
          </w:tcPr>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lastRenderedPageBreak/>
              <w:t>The parties married in 1982 and separated in June 2011. Ms. Bouvier was granted an unequal distribution of the family home and family property after Mr. Bouvier failed to respond to her pleadings and to make financial disclosure. Mr. Bouvier filed a notice of appeal which had the effect of staying execution of that judgment. The Court of Appeal dismissed Mr. Bouvier’s subsequent appeal.</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June 26, 2017</w:t>
            </w:r>
          </w:p>
          <w:p w:rsidR="00C50008" w:rsidRPr="0068677C" w:rsidRDefault="00C50008" w:rsidP="005B5AEE">
            <w:pPr>
              <w:jc w:val="both"/>
              <w:rPr>
                <w:sz w:val="20"/>
              </w:rPr>
            </w:pPr>
            <w:r w:rsidRPr="0068677C">
              <w:rPr>
                <w:sz w:val="20"/>
              </w:rPr>
              <w:t>Court of Queen’s Bench of Saskatchewan</w:t>
            </w:r>
          </w:p>
          <w:p w:rsidR="00C50008" w:rsidRPr="0068677C" w:rsidRDefault="00C50008" w:rsidP="005B5AEE">
            <w:pPr>
              <w:jc w:val="both"/>
              <w:rPr>
                <w:sz w:val="20"/>
              </w:rPr>
            </w:pPr>
            <w:r w:rsidRPr="0068677C">
              <w:rPr>
                <w:sz w:val="20"/>
              </w:rPr>
              <w:t>(Keene J.)</w:t>
            </w:r>
          </w:p>
          <w:p w:rsidR="00C50008" w:rsidRPr="0068677C" w:rsidRDefault="00C50008" w:rsidP="005B5AEE">
            <w:pPr>
              <w:jc w:val="both"/>
              <w:rPr>
                <w:sz w:val="20"/>
              </w:rPr>
            </w:pPr>
            <w:r w:rsidRPr="0068677C">
              <w:rPr>
                <w:sz w:val="20"/>
              </w:rPr>
              <w:t>Unreported</w:t>
            </w:r>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Order dissolving marriage and vesting properties owned by parties on unequal basis as requested  by wife</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November 26, 2020</w:t>
            </w:r>
          </w:p>
          <w:p w:rsidR="00C50008" w:rsidRPr="0068677C" w:rsidRDefault="00C50008" w:rsidP="005B5AEE">
            <w:pPr>
              <w:jc w:val="both"/>
              <w:rPr>
                <w:sz w:val="20"/>
              </w:rPr>
            </w:pPr>
            <w:r w:rsidRPr="0068677C">
              <w:rPr>
                <w:sz w:val="20"/>
              </w:rPr>
              <w:t>Court of Appeal for Saskatchewan</w:t>
            </w:r>
          </w:p>
          <w:p w:rsidR="00C50008" w:rsidRPr="0068677C" w:rsidRDefault="00C50008" w:rsidP="005B5AEE">
            <w:pPr>
              <w:jc w:val="both"/>
              <w:rPr>
                <w:sz w:val="20"/>
              </w:rPr>
            </w:pPr>
            <w:r w:rsidRPr="0068677C">
              <w:rPr>
                <w:sz w:val="20"/>
              </w:rPr>
              <w:t xml:space="preserve">(Whitmore, Tholl and Kalmakoff JJ.A.) </w:t>
            </w:r>
          </w:p>
          <w:p w:rsidR="00C50008" w:rsidRPr="0068677C" w:rsidRDefault="00D800B2" w:rsidP="005B5AEE">
            <w:pPr>
              <w:jc w:val="both"/>
              <w:rPr>
                <w:sz w:val="20"/>
              </w:rPr>
            </w:pPr>
            <w:hyperlink r:id="rId37" w:history="1">
              <w:r w:rsidR="00C50008" w:rsidRPr="0068677C">
                <w:rPr>
                  <w:rStyle w:val="Hyperlink"/>
                  <w:sz w:val="20"/>
                </w:rPr>
                <w:t>2020 SKCA 133</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Husband’s appeal dismissed</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January 25, 2021</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p w:rsidR="00C50008" w:rsidRPr="0068677C" w:rsidRDefault="00C50008" w:rsidP="005B5AEE">
            <w:pPr>
              <w:jc w:val="both"/>
              <w:rPr>
                <w:sz w:val="20"/>
              </w:rPr>
            </w:pP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46"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lang w:val="fr-CA"/>
              </w:rPr>
            </w:pPr>
            <w:r w:rsidRPr="0068677C">
              <w:rPr>
                <w:rStyle w:val="SCCFileNumberChar"/>
                <w:sz w:val="20"/>
                <w:szCs w:val="20"/>
                <w:lang w:val="fr-CA"/>
              </w:rPr>
              <w:t>39546</w:t>
            </w:r>
          </w:p>
        </w:tc>
        <w:tc>
          <w:tcPr>
            <w:tcW w:w="4457" w:type="pct"/>
            <w:gridSpan w:val="3"/>
          </w:tcPr>
          <w:p w:rsidR="00C50008" w:rsidRPr="0068677C" w:rsidRDefault="00C50008" w:rsidP="005B5AEE">
            <w:pPr>
              <w:pStyle w:val="SCCLsocParty"/>
              <w:jc w:val="both"/>
              <w:rPr>
                <w:b/>
                <w:sz w:val="20"/>
                <w:szCs w:val="20"/>
              </w:rPr>
            </w:pPr>
            <w:r w:rsidRPr="0068677C">
              <w:rPr>
                <w:b/>
                <w:sz w:val="20"/>
                <w:szCs w:val="20"/>
              </w:rPr>
              <w:t>Claude Pierre Bouvier c. Jo-Ann Marie Bouvier</w:t>
            </w:r>
          </w:p>
          <w:p w:rsidR="00C50008" w:rsidRPr="0068677C" w:rsidRDefault="00C50008" w:rsidP="005B5AEE">
            <w:pPr>
              <w:jc w:val="both"/>
              <w:rPr>
                <w:sz w:val="20"/>
                <w:lang w:val="fr-CA"/>
              </w:rPr>
            </w:pPr>
            <w:r w:rsidRPr="0068677C">
              <w:rPr>
                <w:sz w:val="20"/>
                <w:lang w:val="fr-CA"/>
              </w:rPr>
              <w:t>(Sask.) (Civile) (Sur autorisation)</w:t>
            </w:r>
          </w:p>
        </w:tc>
      </w:tr>
      <w:tr w:rsidR="00812A2D" w:rsidRPr="00D800B2" w:rsidTr="005B5AEE">
        <w:tc>
          <w:tcPr>
            <w:tcW w:w="5000" w:type="pct"/>
            <w:gridSpan w:val="4"/>
          </w:tcPr>
          <w:p w:rsidR="00812A2D" w:rsidRPr="0068677C" w:rsidRDefault="00DC7B0B" w:rsidP="00DC7B0B">
            <w:pPr>
              <w:tabs>
                <w:tab w:val="left" w:pos="1227"/>
              </w:tabs>
              <w:jc w:val="both"/>
              <w:rPr>
                <w:sz w:val="20"/>
                <w:szCs w:val="20"/>
                <w:lang w:val="fr-CA"/>
              </w:rPr>
            </w:pPr>
            <w:r w:rsidRPr="0068677C">
              <w:rPr>
                <w:sz w:val="20"/>
                <w:szCs w:val="20"/>
                <w:lang w:val="fr-CA"/>
              </w:rPr>
              <w:t>La demande d’autorisation d’appel de l’arrêt de la Cour d’appel de la Saskatchewan, numéro CACV3112, 2020 SKCA 133, daté du 26 novembre 2020, est rejetée avec dépens.</w:t>
            </w:r>
          </w:p>
          <w:p w:rsidR="00DC7B0B" w:rsidRPr="0068677C" w:rsidRDefault="00DC7B0B" w:rsidP="00DC7B0B">
            <w:pPr>
              <w:tabs>
                <w:tab w:val="left" w:pos="1227"/>
              </w:tabs>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t>Droit de la famille — Biens familiaux — Partage — Communication de la preuve — L’épouse obtient une ordonnance non contestée de partage inégal de la maison familiale et des biens familiaux après que l’époux a omis de répondre aux actes de procédure de l’épouse et de communiquer les renseignements financiers — La Cour d’appel a</w:t>
            </w:r>
            <w:r w:rsidRPr="0068677C">
              <w:rPr>
                <w:sz w:val="20"/>
                <w:lang w:val="fr-CA"/>
              </w:rPr>
              <w:noBreakHyphen/>
              <w:t>t</w:t>
            </w:r>
            <w:r w:rsidRPr="0068677C">
              <w:rPr>
                <w:sz w:val="20"/>
                <w:lang w:val="fr-CA"/>
              </w:rPr>
              <w:noBreakHyphen/>
              <w:t xml:space="preserve">elle commis une erreur de droit en concluant que le juge siégeant en cabinet avait dûment fait abstraction de la présomption de partage égal des biens familiaux et de la maison familiale en vertu de la loi intitulée </w:t>
            </w:r>
            <w:r w:rsidRPr="0068677C">
              <w:rPr>
                <w:i/>
                <w:sz w:val="20"/>
                <w:lang w:val="fr-CA"/>
              </w:rPr>
              <w:t>The Family Property Act</w:t>
            </w:r>
            <w:r w:rsidRPr="0068677C">
              <w:rPr>
                <w:sz w:val="20"/>
                <w:lang w:val="fr-CA"/>
              </w:rPr>
              <w:t>, S.S. 1997, c. F</w:t>
            </w:r>
            <w:r w:rsidRPr="0068677C">
              <w:rPr>
                <w:sz w:val="20"/>
                <w:lang w:val="fr-CA"/>
              </w:rPr>
              <w:noBreakHyphen/>
              <w:t>6.3, en accordant le partage inégal de ceux</w:t>
            </w:r>
            <w:r w:rsidRPr="0068677C">
              <w:rPr>
                <w:sz w:val="20"/>
                <w:lang w:val="fr-CA"/>
              </w:rPr>
              <w:noBreakHyphen/>
              <w:t>ci dans le cadre d’une instance non contestée, en se fondant uniquement sur la preuve par affidavit présentée par l’épouse?</w:t>
            </w:r>
          </w:p>
        </w:tc>
      </w:tr>
      <w:tr w:rsidR="00C50008" w:rsidRPr="00D800B2" w:rsidTr="005B5AEE">
        <w:tc>
          <w:tcPr>
            <w:tcW w:w="5000" w:type="pct"/>
            <w:gridSpan w:val="4"/>
          </w:tcPr>
          <w:p w:rsidR="00C50008" w:rsidRPr="0068677C" w:rsidRDefault="00C50008"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t>Les parties se sont mariées en 1982 et se sont séparées en juin 2011. Mme Bouvier s’est vu accorder une répartition inégale de la maison familiale et des biens familiaux après que M. Bouvier a omis de répondre aux actes de procédure qu’elle a présentés et de communiquer les renseignements financiers. M. Bouvier a déposé un avis d’appel qui a eu pour effet de suspendre l’exécution de ce jugement. La Cour d’appel a rejeté l’appel subséquent de M. Bouvier.</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26 juin 2017</w:t>
            </w:r>
          </w:p>
          <w:p w:rsidR="00C50008" w:rsidRPr="0068677C" w:rsidRDefault="00C50008" w:rsidP="005B5AEE">
            <w:pPr>
              <w:jc w:val="both"/>
              <w:rPr>
                <w:sz w:val="20"/>
                <w:lang w:val="fr-CA"/>
              </w:rPr>
            </w:pPr>
            <w:r w:rsidRPr="0068677C">
              <w:rPr>
                <w:sz w:val="20"/>
                <w:lang w:val="fr-CA"/>
              </w:rPr>
              <w:t>Cour du Banc de la Reine de la Saskatchewan</w:t>
            </w:r>
          </w:p>
          <w:p w:rsidR="00C50008" w:rsidRPr="0068677C" w:rsidRDefault="00C50008" w:rsidP="005B5AEE">
            <w:pPr>
              <w:jc w:val="both"/>
              <w:rPr>
                <w:sz w:val="20"/>
                <w:lang w:val="fr-CA"/>
              </w:rPr>
            </w:pPr>
            <w:r w:rsidRPr="0068677C">
              <w:rPr>
                <w:sz w:val="20"/>
                <w:lang w:val="fr-CA"/>
              </w:rPr>
              <w:t>(juge Keene)</w:t>
            </w:r>
          </w:p>
          <w:p w:rsidR="00C50008" w:rsidRPr="0068677C" w:rsidRDefault="00C50008" w:rsidP="005B5AEE">
            <w:pPr>
              <w:jc w:val="both"/>
              <w:rPr>
                <w:sz w:val="20"/>
                <w:lang w:val="fr-CA"/>
              </w:rPr>
            </w:pPr>
            <w:r w:rsidRPr="0068677C">
              <w:rPr>
                <w:sz w:val="20"/>
                <w:lang w:val="fr-CA"/>
              </w:rPr>
              <w:t>Non publié</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Une ordonnance portant dissolution du mariage et dévolution des biens appartenant aux parties de façon inégale, tel qu’il a été demandé par l’épouse, est rendue.</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26 novembre 2020</w:t>
            </w:r>
          </w:p>
          <w:p w:rsidR="00C50008" w:rsidRPr="0068677C" w:rsidRDefault="00C50008" w:rsidP="005B5AEE">
            <w:pPr>
              <w:jc w:val="both"/>
              <w:rPr>
                <w:sz w:val="20"/>
                <w:lang w:val="fr-CA"/>
              </w:rPr>
            </w:pPr>
            <w:r w:rsidRPr="0068677C">
              <w:rPr>
                <w:sz w:val="20"/>
                <w:lang w:val="fr-CA"/>
              </w:rPr>
              <w:t>Cour d’appel de la Saskatchewan</w:t>
            </w:r>
          </w:p>
          <w:p w:rsidR="00C50008" w:rsidRPr="0068677C" w:rsidRDefault="00C50008" w:rsidP="005B5AEE">
            <w:pPr>
              <w:jc w:val="both"/>
              <w:rPr>
                <w:sz w:val="20"/>
              </w:rPr>
            </w:pPr>
            <w:r w:rsidRPr="0068677C">
              <w:rPr>
                <w:sz w:val="20"/>
              </w:rPr>
              <w:t xml:space="preserve">(juges Whitmore, Tholl et Kalmakoff) </w:t>
            </w:r>
          </w:p>
          <w:p w:rsidR="00C50008" w:rsidRPr="0068677C" w:rsidRDefault="00D800B2" w:rsidP="005B5AEE">
            <w:pPr>
              <w:jc w:val="both"/>
              <w:rPr>
                <w:sz w:val="20"/>
                <w:lang w:val="fr-CA"/>
              </w:rPr>
            </w:pPr>
            <w:hyperlink r:id="rId38" w:history="1">
              <w:r w:rsidR="00C50008" w:rsidRPr="0068677C">
                <w:rPr>
                  <w:rStyle w:val="Hyperlink"/>
                  <w:sz w:val="20"/>
                  <w:lang w:val="fr-CA"/>
                </w:rPr>
                <w:t>2020 SKCA 133</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L’appel de l’époux est rejeté.</w:t>
            </w:r>
          </w:p>
          <w:p w:rsidR="00C50008" w:rsidRPr="0068677C" w:rsidRDefault="00C50008" w:rsidP="005B5AEE">
            <w:pPr>
              <w:jc w:val="both"/>
              <w:rPr>
                <w:sz w:val="20"/>
                <w:lang w:val="fr-CA"/>
              </w:rPr>
            </w:pPr>
          </w:p>
        </w:tc>
      </w:tr>
    </w:tbl>
    <w:p w:rsidR="006D6263" w:rsidRPr="0068677C" w:rsidRDefault="006D6263">
      <w:pPr>
        <w:rPr>
          <w:lang w:val="fr-CA"/>
        </w:rPr>
      </w:pPr>
      <w:r w:rsidRPr="0068677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D800B2" w:rsidTr="005B5AEE">
        <w:tc>
          <w:tcPr>
            <w:tcW w:w="2427" w:type="pct"/>
          </w:tcPr>
          <w:p w:rsidR="00C50008" w:rsidRPr="0068677C" w:rsidRDefault="00C50008" w:rsidP="005B5AEE">
            <w:pPr>
              <w:jc w:val="both"/>
              <w:rPr>
                <w:sz w:val="20"/>
                <w:lang w:val="fr-CA"/>
              </w:rPr>
            </w:pPr>
            <w:r w:rsidRPr="0068677C">
              <w:rPr>
                <w:sz w:val="20"/>
                <w:lang w:val="fr-CA"/>
              </w:rPr>
              <w:lastRenderedPageBreak/>
              <w:t>25 janvier 2021</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 demande d’autorisation d’appel est présentée.</w:t>
            </w:r>
          </w:p>
          <w:p w:rsidR="00C50008" w:rsidRPr="0068677C" w:rsidRDefault="00C50008" w:rsidP="005B5AEE">
            <w:pPr>
              <w:jc w:val="both"/>
              <w:rPr>
                <w:sz w:val="20"/>
                <w:lang w:val="fr-CA"/>
              </w:rPr>
            </w:pPr>
          </w:p>
        </w:tc>
      </w:tr>
    </w:tbl>
    <w:p w:rsidR="00C50008" w:rsidRPr="0068677C" w:rsidRDefault="00C50008" w:rsidP="00C50008">
      <w:pPr>
        <w:jc w:val="both"/>
        <w:rPr>
          <w:sz w:val="20"/>
          <w:lang w:val="fr-CA"/>
        </w:rPr>
      </w:pPr>
    </w:p>
    <w:p w:rsidR="00C50008" w:rsidRPr="0068677C" w:rsidRDefault="00D800B2" w:rsidP="00C50008">
      <w:pPr>
        <w:widowControl w:val="0"/>
        <w:jc w:val="both"/>
        <w:rPr>
          <w:sz w:val="20"/>
          <w:lang w:val="fr-CA"/>
        </w:rPr>
      </w:pPr>
      <w:r>
        <w:rPr>
          <w:sz w:val="20"/>
        </w:rPr>
        <w:pict>
          <v:rect id="_x0000_i1047" style="width:2in;height:1pt" o:hrpct="0" o:hralign="center" o:hrstd="t" o:hrnoshade="t" o:hr="t" fillcolor="black [3213]" stroked="f"/>
        </w:pict>
      </w:r>
    </w:p>
    <w:p w:rsidR="00C50008" w:rsidRPr="0068677C" w:rsidRDefault="00C50008" w:rsidP="00C500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39480</w:t>
            </w:r>
          </w:p>
        </w:tc>
        <w:tc>
          <w:tcPr>
            <w:tcW w:w="4457" w:type="pct"/>
            <w:gridSpan w:val="3"/>
          </w:tcPr>
          <w:p w:rsidR="00C50008" w:rsidRPr="0068677C" w:rsidRDefault="00C50008" w:rsidP="005B5AEE">
            <w:pPr>
              <w:pStyle w:val="SCCLsocParty"/>
              <w:jc w:val="both"/>
              <w:rPr>
                <w:b/>
                <w:sz w:val="20"/>
                <w:szCs w:val="20"/>
                <w:lang w:val="en-US"/>
              </w:rPr>
            </w:pPr>
            <w:r w:rsidRPr="0068677C">
              <w:rPr>
                <w:b/>
                <w:sz w:val="20"/>
                <w:szCs w:val="20"/>
                <w:lang w:val="en-US"/>
              </w:rPr>
              <w:t>James Andrew Beaver v. Her Majesty the Queen</w:t>
            </w:r>
          </w:p>
          <w:p w:rsidR="00C50008" w:rsidRPr="0068677C" w:rsidRDefault="00C50008" w:rsidP="005B5AEE">
            <w:pPr>
              <w:jc w:val="both"/>
              <w:rPr>
                <w:sz w:val="20"/>
              </w:rPr>
            </w:pPr>
            <w:r w:rsidRPr="0068677C">
              <w:rPr>
                <w:sz w:val="20"/>
              </w:rPr>
              <w:t>(Alta.) (Criminal) (By Leave)</w:t>
            </w:r>
          </w:p>
        </w:tc>
      </w:tr>
      <w:tr w:rsidR="00812A2D" w:rsidRPr="0068677C" w:rsidTr="005B5AEE">
        <w:tc>
          <w:tcPr>
            <w:tcW w:w="5000" w:type="pct"/>
            <w:gridSpan w:val="4"/>
          </w:tcPr>
          <w:p w:rsidR="00466C63" w:rsidRPr="0068677C" w:rsidRDefault="00466C63" w:rsidP="00466C63">
            <w:pPr>
              <w:jc w:val="both"/>
              <w:rPr>
                <w:sz w:val="20"/>
                <w:szCs w:val="20"/>
              </w:rPr>
            </w:pPr>
            <w:r w:rsidRPr="0068677C">
              <w:rPr>
                <w:sz w:val="20"/>
                <w:szCs w:val="20"/>
              </w:rPr>
              <w:t xml:space="preserve">The motion for an extension of time to serve and file the application for leave to appeal is granted. The application for leave to appeal from the judgment of the Court of Appeal of Alberta (Calgary), Number 1901-0114A, </w:t>
            </w:r>
            <w:proofErr w:type="gramStart"/>
            <w:r w:rsidRPr="0068677C">
              <w:rPr>
                <w:sz w:val="20"/>
                <w:szCs w:val="20"/>
              </w:rPr>
              <w:t>2020</w:t>
            </w:r>
            <w:proofErr w:type="gramEnd"/>
            <w:r w:rsidRPr="0068677C">
              <w:rPr>
                <w:sz w:val="20"/>
                <w:szCs w:val="20"/>
              </w:rPr>
              <w:t xml:space="preserve"> ABCA 203, dated May 14, 2020, is granted.</w:t>
            </w:r>
          </w:p>
          <w:p w:rsidR="00812A2D" w:rsidRPr="0068677C" w:rsidRDefault="00812A2D"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 xml:space="preserve">Criminal law — </w:t>
            </w:r>
            <w:r w:rsidRPr="0068677C">
              <w:rPr>
                <w:i/>
                <w:sz w:val="20"/>
              </w:rPr>
              <w:t>Charter of Rights</w:t>
            </w:r>
            <w:r w:rsidRPr="0068677C">
              <w:rPr>
                <w:sz w:val="20"/>
              </w:rPr>
              <w:t xml:space="preserve"> — Evidence — Admissibility — Reasonable and probable grounds for arrest — Whether a “fresh start” can insulate evidence from previous</w:t>
            </w:r>
            <w:r w:rsidRPr="0068677C">
              <w:rPr>
                <w:i/>
                <w:sz w:val="20"/>
              </w:rPr>
              <w:t xml:space="preserve"> </w:t>
            </w:r>
            <w:r w:rsidRPr="0068677C">
              <w:rPr>
                <w:sz w:val="20"/>
              </w:rPr>
              <w:t xml:space="preserve">violations of ss. 7, 8 and 9 of the </w:t>
            </w:r>
            <w:r w:rsidRPr="0068677C">
              <w:rPr>
                <w:i/>
                <w:sz w:val="20"/>
              </w:rPr>
              <w:t xml:space="preserve">Charter </w:t>
            </w:r>
            <w:r w:rsidRPr="0068677C">
              <w:rPr>
                <w:sz w:val="20"/>
              </w:rPr>
              <w:t>— Whether judicial scrutiny of reasonable and probable grounds should be more stringent in circumstances where an individual was initially unlawfully detained and police have no notes regarding the grounds for arrest or the information relied upon — Whether police must impart particular information to a detained person about their legal jeopardy to permit them to make a meaningful choice about whether or not to speak to police.</w:t>
            </w:r>
          </w:p>
        </w:tc>
      </w:tr>
      <w:tr w:rsidR="00C50008" w:rsidRPr="0068677C" w:rsidTr="005B5AEE">
        <w:tc>
          <w:tcPr>
            <w:tcW w:w="5000" w:type="pct"/>
            <w:gridSpan w:val="4"/>
          </w:tcPr>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lang w:eastAsia="en-CA"/>
              </w:rPr>
            </w:pPr>
            <w:r w:rsidRPr="0068677C">
              <w:rPr>
                <w:sz w:val="20"/>
                <w:lang w:eastAsia="en-CA"/>
              </w:rPr>
              <w:t>The applicant and his co</w:t>
            </w:r>
            <w:r w:rsidRPr="0068677C">
              <w:rPr>
                <w:sz w:val="20"/>
                <w:lang w:eastAsia="en-CA"/>
              </w:rPr>
              <w:noBreakHyphen/>
              <w:t>accused were convicted of manslaughter in relation to the death of their roommate. After being initially detained by officers at the scene under a non</w:t>
            </w:r>
            <w:r w:rsidRPr="0068677C">
              <w:rPr>
                <w:sz w:val="20"/>
                <w:lang w:eastAsia="en-CA"/>
              </w:rPr>
              <w:noBreakHyphen/>
              <w:t>existent act, they were arrested by detectives for murder two hours later at the police station. Following a lengthy interview, the co</w:t>
            </w:r>
            <w:r w:rsidRPr="0068677C">
              <w:rPr>
                <w:sz w:val="20"/>
                <w:lang w:eastAsia="en-CA"/>
              </w:rPr>
              <w:noBreakHyphen/>
              <w:t>accused confessed to their involvement in the death of the roommate; when confronted with the confession, the applicant admitted his participation as well. At trial, the applicant sought a stay of proceedings or, alternatively, the exclusion of all evidence which derived from alleged violations of his rights protected by ss. 7, 9, 10(</w:t>
            </w:r>
            <w:r w:rsidRPr="0068677C">
              <w:rPr>
                <w:i/>
                <w:sz w:val="20"/>
                <w:lang w:eastAsia="en-CA"/>
              </w:rPr>
              <w:t>a</w:t>
            </w:r>
            <w:r w:rsidRPr="0068677C">
              <w:rPr>
                <w:sz w:val="20"/>
                <w:lang w:eastAsia="en-CA"/>
              </w:rPr>
              <w:t>) and 10(</w:t>
            </w:r>
            <w:r w:rsidRPr="0068677C">
              <w:rPr>
                <w:i/>
                <w:sz w:val="20"/>
                <w:lang w:eastAsia="en-CA"/>
              </w:rPr>
              <w:t>b</w:t>
            </w:r>
            <w:r w:rsidRPr="0068677C">
              <w:rPr>
                <w:sz w:val="20"/>
                <w:lang w:eastAsia="en-CA"/>
              </w:rPr>
              <w:t xml:space="preserve">) of the </w:t>
            </w:r>
            <w:r w:rsidRPr="0068677C">
              <w:rPr>
                <w:i/>
                <w:sz w:val="20"/>
                <w:lang w:eastAsia="en-CA"/>
              </w:rPr>
              <w:t>Canadian</w:t>
            </w:r>
            <w:r w:rsidRPr="0068677C">
              <w:rPr>
                <w:sz w:val="20"/>
                <w:lang w:eastAsia="en-CA"/>
              </w:rPr>
              <w:t xml:space="preserve"> </w:t>
            </w:r>
            <w:r w:rsidRPr="0068677C">
              <w:rPr>
                <w:i/>
                <w:sz w:val="20"/>
                <w:lang w:eastAsia="en-CA"/>
              </w:rPr>
              <w:t>Charter of Rights and Freedoms</w:t>
            </w:r>
            <w:r w:rsidRPr="0068677C">
              <w:rPr>
                <w:sz w:val="20"/>
                <w:lang w:eastAsia="en-CA"/>
              </w:rPr>
              <w:t xml:space="preserve">. The applicant also alleged that the detective who arrested him at the station did not have reasonable and probable grounds to do so. The Crown conceded that the applicant’s </w:t>
            </w:r>
            <w:r w:rsidRPr="0068677C">
              <w:rPr>
                <w:i/>
                <w:sz w:val="20"/>
                <w:lang w:eastAsia="en-CA"/>
              </w:rPr>
              <w:t>Charter</w:t>
            </w:r>
            <w:r w:rsidRPr="0068677C">
              <w:rPr>
                <w:sz w:val="20"/>
                <w:lang w:eastAsia="en-CA"/>
              </w:rPr>
              <w:t xml:space="preserve"> rights had been breached when he was detained under a non</w:t>
            </w:r>
            <w:r w:rsidRPr="0068677C">
              <w:rPr>
                <w:sz w:val="20"/>
                <w:lang w:eastAsia="en-CA"/>
              </w:rPr>
              <w:noBreakHyphen/>
              <w:t xml:space="preserve">existent law, but argued that the arrest at the station constituted a “fresh start” which insulated his confession from the previous breaches. </w:t>
            </w:r>
          </w:p>
          <w:p w:rsidR="00C50008" w:rsidRPr="0068677C" w:rsidRDefault="00C50008" w:rsidP="005B5AEE">
            <w:pPr>
              <w:jc w:val="both"/>
              <w:rPr>
                <w:sz w:val="20"/>
                <w:lang w:eastAsia="en-CA"/>
              </w:rPr>
            </w:pPr>
          </w:p>
          <w:p w:rsidR="00C50008" w:rsidRPr="0068677C" w:rsidRDefault="00C50008" w:rsidP="005B5AEE">
            <w:pPr>
              <w:jc w:val="both"/>
              <w:rPr>
                <w:sz w:val="20"/>
                <w:lang w:eastAsia="en-CA"/>
              </w:rPr>
            </w:pPr>
            <w:r w:rsidRPr="0068677C">
              <w:rPr>
                <w:sz w:val="20"/>
                <w:lang w:eastAsia="en-CA"/>
              </w:rPr>
              <w:t>The trial judge dismissed the</w:t>
            </w:r>
            <w:r w:rsidRPr="0068677C">
              <w:rPr>
                <w:i/>
                <w:sz w:val="20"/>
                <w:lang w:eastAsia="en-CA"/>
              </w:rPr>
              <w:t xml:space="preserve"> </w:t>
            </w:r>
            <w:r w:rsidRPr="0068677C">
              <w:rPr>
                <w:sz w:val="20"/>
                <w:lang w:eastAsia="en-CA"/>
              </w:rPr>
              <w:t xml:space="preserve">application, finding that the police had reasonable and probable grounds to arrest the applicant for murder at the police station, and that the arrest constituted a “fresh start” which cured the previous breaches. He concluded that the applicant’s subsequent confession had not been tainted by the breaches. Nevertheless, the trial judge conducted a s. 24(2) analysis as set out in </w:t>
            </w:r>
            <w:r w:rsidRPr="0068677C">
              <w:rPr>
                <w:i/>
                <w:sz w:val="20"/>
                <w:lang w:eastAsia="en-CA"/>
              </w:rPr>
              <w:t>R. v. Grant</w:t>
            </w:r>
            <w:r w:rsidRPr="0068677C">
              <w:rPr>
                <w:sz w:val="20"/>
                <w:lang w:eastAsia="en-CA"/>
              </w:rPr>
              <w:t>, 2009 SCC 32, and concluded that the confession would have been admitted, in any event. The Court of Appeal unanimously dismissed the applicant’s appeal.</w:t>
            </w:r>
          </w:p>
          <w:p w:rsidR="00C50008" w:rsidRPr="0068677C" w:rsidRDefault="00C50008" w:rsidP="005B5AEE">
            <w:pPr>
              <w:jc w:val="both"/>
              <w:rPr>
                <w:sz w:val="20"/>
                <w:lang w:eastAsia="en-CA"/>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February 21, 2019</w:t>
            </w:r>
          </w:p>
          <w:p w:rsidR="00C50008" w:rsidRPr="0068677C" w:rsidRDefault="00C50008" w:rsidP="005B5AEE">
            <w:pPr>
              <w:jc w:val="both"/>
              <w:rPr>
                <w:sz w:val="20"/>
              </w:rPr>
            </w:pPr>
            <w:r w:rsidRPr="0068677C">
              <w:rPr>
                <w:sz w:val="20"/>
              </w:rPr>
              <w:t>Court of Queen’s Bench of Alberta</w:t>
            </w:r>
          </w:p>
          <w:p w:rsidR="00C50008" w:rsidRPr="0068677C" w:rsidRDefault="00C50008" w:rsidP="005B5AEE">
            <w:pPr>
              <w:jc w:val="both"/>
              <w:rPr>
                <w:sz w:val="20"/>
              </w:rPr>
            </w:pPr>
            <w:r w:rsidRPr="0068677C">
              <w:rPr>
                <w:sz w:val="20"/>
              </w:rPr>
              <w:t>(Yamauchi J.)</w:t>
            </w:r>
          </w:p>
          <w:p w:rsidR="00C50008" w:rsidRPr="0068677C" w:rsidRDefault="00D800B2" w:rsidP="005B5AEE">
            <w:pPr>
              <w:jc w:val="both"/>
              <w:rPr>
                <w:sz w:val="20"/>
              </w:rPr>
            </w:pPr>
            <w:hyperlink r:id="rId39" w:history="1">
              <w:r w:rsidR="00C50008" w:rsidRPr="0068677C">
                <w:rPr>
                  <w:rStyle w:val="Hyperlink"/>
                  <w:sz w:val="20"/>
                </w:rPr>
                <w:t>2019 ABQB 125</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i/>
                <w:sz w:val="20"/>
              </w:rPr>
            </w:pPr>
            <w:r w:rsidRPr="0068677C">
              <w:rPr>
                <w:sz w:val="20"/>
              </w:rPr>
              <w:t xml:space="preserve">Applicant’s </w:t>
            </w:r>
            <w:r w:rsidRPr="0068677C">
              <w:rPr>
                <w:i/>
                <w:sz w:val="20"/>
              </w:rPr>
              <w:t>Charter</w:t>
            </w:r>
            <w:r w:rsidRPr="0068677C">
              <w:rPr>
                <w:sz w:val="20"/>
              </w:rPr>
              <w:t xml:space="preserve"> application dismissed.</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May 14, 2020</w:t>
            </w:r>
          </w:p>
          <w:p w:rsidR="00C50008" w:rsidRPr="0068677C" w:rsidRDefault="00C50008" w:rsidP="005B5AEE">
            <w:pPr>
              <w:jc w:val="both"/>
              <w:rPr>
                <w:sz w:val="20"/>
              </w:rPr>
            </w:pPr>
            <w:r w:rsidRPr="0068677C">
              <w:rPr>
                <w:sz w:val="20"/>
              </w:rPr>
              <w:t>Court of Appeal of Alberta (Calgary)</w:t>
            </w:r>
          </w:p>
          <w:p w:rsidR="00C50008" w:rsidRPr="0068677C" w:rsidRDefault="00C50008" w:rsidP="005B5AEE">
            <w:pPr>
              <w:jc w:val="both"/>
              <w:rPr>
                <w:sz w:val="20"/>
              </w:rPr>
            </w:pPr>
            <w:r w:rsidRPr="0068677C">
              <w:rPr>
                <w:sz w:val="20"/>
              </w:rPr>
              <w:t>(O'Ferrall, Wakeling and Feehan JJ.A.)</w:t>
            </w:r>
          </w:p>
          <w:p w:rsidR="00C50008" w:rsidRPr="0068677C" w:rsidRDefault="00D800B2" w:rsidP="005B5AEE">
            <w:pPr>
              <w:jc w:val="both"/>
              <w:rPr>
                <w:sz w:val="20"/>
              </w:rPr>
            </w:pPr>
            <w:hyperlink r:id="rId40" w:history="1">
              <w:r w:rsidR="00C50008" w:rsidRPr="0068677C">
                <w:rPr>
                  <w:rStyle w:val="Hyperlink"/>
                  <w:sz w:val="20"/>
                </w:rPr>
                <w:t>2020 ABCA 203</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Applicant’s appeal dismissed.</w:t>
            </w:r>
          </w:p>
        </w:tc>
      </w:tr>
      <w:tr w:rsidR="00C50008" w:rsidRPr="0068677C" w:rsidTr="005B5AEE">
        <w:tc>
          <w:tcPr>
            <w:tcW w:w="2427" w:type="pct"/>
            <w:gridSpan w:val="2"/>
          </w:tcPr>
          <w:p w:rsidR="00C50008" w:rsidRPr="0068677C" w:rsidRDefault="00C50008" w:rsidP="005B5AEE">
            <w:pPr>
              <w:jc w:val="both"/>
              <w:rPr>
                <w:sz w:val="20"/>
              </w:rPr>
            </w:pPr>
            <w:r w:rsidRPr="0068677C">
              <w:rPr>
                <w:sz w:val="20"/>
              </w:rPr>
              <w:t>December 17, 2020</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p w:rsidR="00C50008" w:rsidRPr="0068677C" w:rsidRDefault="00C50008" w:rsidP="005B5AEE">
            <w:pPr>
              <w:jc w:val="both"/>
              <w:rPr>
                <w:sz w:val="20"/>
              </w:rPr>
            </w:pP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48" style="width:2in;height:1pt" o:hrpct="0" o:hralign="center" o:hrstd="t" o:hrnoshade="t" o:hr="t" fillcolor="black [3213]" stroked="f"/>
        </w:pict>
      </w:r>
    </w:p>
    <w:p w:rsidR="00C50008" w:rsidRPr="0068677C" w:rsidRDefault="00C50008" w:rsidP="00C50008">
      <w:pPr>
        <w:jc w:val="both"/>
        <w:rPr>
          <w:sz w:val="20"/>
        </w:rPr>
      </w:pPr>
    </w:p>
    <w:p w:rsidR="006D6263" w:rsidRPr="0068677C" w:rsidRDefault="006D6263">
      <w:r w:rsidRPr="006867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lastRenderedPageBreak/>
              <w:t>39480</w:t>
            </w:r>
          </w:p>
        </w:tc>
        <w:tc>
          <w:tcPr>
            <w:tcW w:w="4457" w:type="pct"/>
            <w:gridSpan w:val="3"/>
          </w:tcPr>
          <w:p w:rsidR="00C50008" w:rsidRPr="0068677C" w:rsidRDefault="00C50008" w:rsidP="005B5AEE">
            <w:pPr>
              <w:pStyle w:val="SCCLsocParty"/>
              <w:jc w:val="both"/>
              <w:rPr>
                <w:b/>
                <w:sz w:val="20"/>
                <w:szCs w:val="20"/>
              </w:rPr>
            </w:pPr>
            <w:r w:rsidRPr="0068677C">
              <w:rPr>
                <w:b/>
                <w:sz w:val="20"/>
                <w:szCs w:val="20"/>
              </w:rPr>
              <w:t>James Andrew Beaver c. Sa Majesté la Reine</w:t>
            </w:r>
          </w:p>
          <w:p w:rsidR="00C50008" w:rsidRPr="0068677C" w:rsidRDefault="00C50008" w:rsidP="005B5AEE">
            <w:pPr>
              <w:jc w:val="both"/>
              <w:rPr>
                <w:sz w:val="20"/>
              </w:rPr>
            </w:pPr>
            <w:r w:rsidRPr="0068677C">
              <w:rPr>
                <w:sz w:val="20"/>
              </w:rPr>
              <w:t>(Alb.) (Criminelle) (Autorisation)</w:t>
            </w:r>
          </w:p>
        </w:tc>
      </w:tr>
      <w:tr w:rsidR="00812A2D" w:rsidRPr="00D800B2" w:rsidTr="005B5AEE">
        <w:tc>
          <w:tcPr>
            <w:tcW w:w="5000" w:type="pct"/>
            <w:gridSpan w:val="4"/>
          </w:tcPr>
          <w:p w:rsidR="00812A2D" w:rsidRPr="0068677C" w:rsidRDefault="00466C63" w:rsidP="005B5AEE">
            <w:pPr>
              <w:jc w:val="both"/>
              <w:rPr>
                <w:sz w:val="20"/>
                <w:szCs w:val="20"/>
                <w:lang w:val="fr-CA"/>
              </w:rPr>
            </w:pPr>
            <w:r w:rsidRPr="0068677C">
              <w:rPr>
                <w:sz w:val="20"/>
                <w:szCs w:val="20"/>
                <w:lang w:val="fr-CA"/>
              </w:rPr>
              <w:t>La requête en prorogation du délai de signification et de dépôt de la demande d’autorisation d’appel est accueillie. La demande d’autorisation d’appel de l’arrêt de la Cour d’appel de l’Alberta (Calgary), numéro 1901-0114A, 2020 ABCA 203, daté du 14 mai 2020, est accueillie.</w:t>
            </w:r>
          </w:p>
          <w:p w:rsidR="00466C63" w:rsidRPr="0068677C" w:rsidRDefault="00466C63"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rPr>
            </w:pPr>
            <w:r w:rsidRPr="0068677C">
              <w:rPr>
                <w:sz w:val="20"/>
                <w:lang w:val="fr-CA"/>
              </w:rPr>
              <w:t>Droit criminel —</w:t>
            </w:r>
            <w:r w:rsidRPr="0068677C">
              <w:rPr>
                <w:i/>
                <w:sz w:val="20"/>
                <w:lang w:val="fr-CA"/>
              </w:rPr>
              <w:t xml:space="preserve"> Charte des droits </w:t>
            </w:r>
            <w:r w:rsidRPr="0068677C">
              <w:rPr>
                <w:sz w:val="20"/>
                <w:lang w:val="fr-CA"/>
              </w:rPr>
              <w:t>— Preuve — Admissibilité — Motifs raisonnables et probables de procéder à une arrestation — Un « nouveau départ » peut</w:t>
            </w:r>
            <w:r w:rsidRPr="0068677C">
              <w:rPr>
                <w:sz w:val="20"/>
                <w:lang w:val="fr-CA"/>
              </w:rPr>
              <w:noBreakHyphen/>
              <w:t xml:space="preserve">il permettre d’isoler la preuve de violations antérieures des </w:t>
            </w:r>
            <w:proofErr w:type="gramStart"/>
            <w:r w:rsidRPr="0068677C">
              <w:rPr>
                <w:sz w:val="20"/>
                <w:lang w:val="fr-CA"/>
              </w:rPr>
              <w:t>art</w:t>
            </w:r>
            <w:proofErr w:type="gramEnd"/>
            <w:r w:rsidRPr="0068677C">
              <w:rPr>
                <w:sz w:val="20"/>
                <w:lang w:val="fr-CA"/>
              </w:rPr>
              <w:t xml:space="preserve">. 7, 8 et 9 de la </w:t>
            </w:r>
            <w:r w:rsidRPr="0068677C">
              <w:rPr>
                <w:i/>
                <w:sz w:val="20"/>
                <w:lang w:val="fr-CA"/>
              </w:rPr>
              <w:t>Charte</w:t>
            </w:r>
            <w:r w:rsidRPr="0068677C">
              <w:rPr>
                <w:sz w:val="20"/>
                <w:lang w:val="fr-CA"/>
              </w:rPr>
              <w:t>? — Le contrôle judiciaire des motifs raisonnables et probables devrait</w:t>
            </w:r>
            <w:r w:rsidRPr="0068677C">
              <w:rPr>
                <w:sz w:val="20"/>
                <w:lang w:val="fr-CA"/>
              </w:rPr>
              <w:noBreakHyphen/>
              <w:t>il être plus rigoureux dans les circonstances où une personne a initialement été détenue de manière illicite et où la police ne dispose pas de notes concernant les motifs de l’arrestation ou les renseignements justifiant l’arrestation? — La police doit</w:t>
            </w:r>
            <w:r w:rsidRPr="0068677C">
              <w:rPr>
                <w:sz w:val="20"/>
                <w:lang w:val="fr-CA"/>
              </w:rPr>
              <w:noBreakHyphen/>
              <w:t>elle faire connaître un renseignement précis à une personne détenue sur le risque qu’elle court, sur le plan juridique, pour lui permettre de faire un choix réel quant à savoir si elle doit parler à la police ou non?</w:t>
            </w:r>
          </w:p>
        </w:tc>
      </w:tr>
      <w:tr w:rsidR="00C50008" w:rsidRPr="00D800B2" w:rsidTr="005B5AEE">
        <w:tc>
          <w:tcPr>
            <w:tcW w:w="5000" w:type="pct"/>
            <w:gridSpan w:val="4"/>
          </w:tcPr>
          <w:p w:rsidR="00C50008" w:rsidRPr="0068677C" w:rsidRDefault="00C50008" w:rsidP="005B5AEE">
            <w:pPr>
              <w:jc w:val="both"/>
              <w:rPr>
                <w:sz w:val="20"/>
                <w:lang w:val="fr-CA"/>
              </w:rPr>
            </w:pPr>
          </w:p>
        </w:tc>
      </w:tr>
      <w:tr w:rsidR="00C50008" w:rsidRPr="00D800B2" w:rsidTr="005B5AEE">
        <w:tc>
          <w:tcPr>
            <w:tcW w:w="5000" w:type="pct"/>
            <w:gridSpan w:val="4"/>
          </w:tcPr>
          <w:p w:rsidR="00C50008" w:rsidRPr="0068677C" w:rsidRDefault="00C50008" w:rsidP="005B5AEE">
            <w:pPr>
              <w:jc w:val="both"/>
              <w:rPr>
                <w:sz w:val="20"/>
                <w:lang w:val="fr-CA" w:eastAsia="en-CA"/>
              </w:rPr>
            </w:pPr>
            <w:r w:rsidRPr="0068677C">
              <w:rPr>
                <w:sz w:val="20"/>
                <w:lang w:val="fr-CA" w:eastAsia="en-CA"/>
              </w:rPr>
              <w:t xml:space="preserve">Le demandeur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le coaccusé a avoué son implication dans le décès du colocataire; lorsqu’il a été exposé aux aveux, le demandeur a également avoué son implication. Lors du procès, le demandeur a sollicité une suspension de l’instance ou, de manière subsidiaire, l’exclusion de tous les éléments de preuve qui provenaient des violations alléguées de ses droits protégés par </w:t>
            </w:r>
            <w:proofErr w:type="gramStart"/>
            <w:r w:rsidRPr="0068677C">
              <w:rPr>
                <w:sz w:val="20"/>
                <w:lang w:val="fr-CA" w:eastAsia="en-CA"/>
              </w:rPr>
              <w:t>les art</w:t>
            </w:r>
            <w:proofErr w:type="gramEnd"/>
            <w:r w:rsidRPr="0068677C">
              <w:rPr>
                <w:sz w:val="20"/>
                <w:lang w:val="fr-CA" w:eastAsia="en-CA"/>
              </w:rPr>
              <w:t>. 7 et 9, et les al. 10</w:t>
            </w:r>
            <w:r w:rsidRPr="0068677C">
              <w:rPr>
                <w:i/>
                <w:sz w:val="20"/>
                <w:lang w:val="fr-CA" w:eastAsia="en-CA"/>
              </w:rPr>
              <w:t>a</w:t>
            </w:r>
            <w:r w:rsidRPr="0068677C">
              <w:rPr>
                <w:sz w:val="20"/>
                <w:lang w:val="fr-CA" w:eastAsia="en-CA"/>
              </w:rPr>
              <w:t>) et 10</w:t>
            </w:r>
            <w:r w:rsidRPr="0068677C">
              <w:rPr>
                <w:i/>
                <w:sz w:val="20"/>
                <w:lang w:val="fr-CA" w:eastAsia="en-CA"/>
              </w:rPr>
              <w:t>b</w:t>
            </w:r>
            <w:r w:rsidRPr="0068677C">
              <w:rPr>
                <w:sz w:val="20"/>
                <w:lang w:val="fr-CA" w:eastAsia="en-CA"/>
              </w:rPr>
              <w:t xml:space="preserve">) de la </w:t>
            </w:r>
            <w:r w:rsidRPr="0068677C">
              <w:rPr>
                <w:i/>
                <w:sz w:val="20"/>
                <w:lang w:val="fr-CA" w:eastAsia="en-CA"/>
              </w:rPr>
              <w:t>Charte canadienne des droits et libertés</w:t>
            </w:r>
            <w:r w:rsidRPr="0068677C">
              <w:rPr>
                <w:sz w:val="20"/>
                <w:lang w:val="fr-CA" w:eastAsia="en-CA"/>
              </w:rPr>
              <w:t xml:space="preserve">. Le demandeur a aussi fait valoir que le détective qui l’a arrêté au poste de police n’avait pas de motifs raisonnables et probables de procéder à l’arrestation. La Couronne a reconnu que les droits du demandeur fondés sur la </w:t>
            </w:r>
            <w:r w:rsidRPr="0068677C">
              <w:rPr>
                <w:i/>
                <w:sz w:val="20"/>
                <w:lang w:val="fr-CA" w:eastAsia="en-CA"/>
              </w:rPr>
              <w:t>Charte</w:t>
            </w:r>
            <w:r w:rsidRPr="0068677C">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C50008" w:rsidRPr="0068677C" w:rsidRDefault="00C50008" w:rsidP="005B5AEE">
            <w:pPr>
              <w:jc w:val="both"/>
              <w:rPr>
                <w:sz w:val="20"/>
                <w:lang w:val="fr-CA" w:eastAsia="en-CA"/>
              </w:rPr>
            </w:pPr>
          </w:p>
          <w:p w:rsidR="00C50008" w:rsidRPr="0068677C" w:rsidRDefault="00C50008" w:rsidP="005B5AEE">
            <w:pPr>
              <w:jc w:val="both"/>
              <w:rPr>
                <w:sz w:val="20"/>
                <w:lang w:val="fr-CA" w:eastAsia="en-CA"/>
              </w:rPr>
            </w:pPr>
            <w:r w:rsidRPr="0068677C">
              <w:rPr>
                <w:sz w:val="20"/>
                <w:lang w:val="fr-CA" w:eastAsia="en-CA"/>
              </w:rPr>
              <w:t>Le juge du procès a rejeté la demande, concluant que la police avait des motifs raisonnables et probables de procéder à l’arrestation du demandeur au poste de police pour le meurtre, et que l’arrestation constituait un « nouveau départ » qui a permis de remédier aux violations antérieures. Il a conclu que l’aveu subséquent du demandeur n’avait pas été entaché par les violations. Néanmoins, le juge de première instance a mené l’analyse selon le par. 24(2) telle qu’elle est établie dans l’arrêt</w:t>
            </w:r>
            <w:r w:rsidRPr="0068677C">
              <w:rPr>
                <w:i/>
                <w:sz w:val="20"/>
                <w:lang w:val="fr-CA" w:eastAsia="en-CA"/>
              </w:rPr>
              <w:t xml:space="preserve"> R. c. Grant</w:t>
            </w:r>
            <w:r w:rsidRPr="0068677C">
              <w:rPr>
                <w:sz w:val="20"/>
                <w:lang w:val="fr-CA" w:eastAsia="en-CA"/>
              </w:rPr>
              <w:t>, 2009 CSC 32, et a conclu que l’aveu aurait été admis en preuve quoi qu’il en soit. La Cour d’appel a unanimement rejeté l’appel interjeté par le demandeur.</w:t>
            </w:r>
          </w:p>
          <w:p w:rsidR="00C50008" w:rsidRPr="0068677C" w:rsidRDefault="00C50008" w:rsidP="005B5AEE">
            <w:pPr>
              <w:jc w:val="both"/>
              <w:rPr>
                <w:sz w:val="20"/>
                <w:lang w:val="fr-CA" w:eastAsia="en-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21 février 2019</w:t>
            </w:r>
          </w:p>
          <w:p w:rsidR="00C50008" w:rsidRPr="0068677C" w:rsidRDefault="00C50008" w:rsidP="005B5AEE">
            <w:pPr>
              <w:jc w:val="both"/>
              <w:rPr>
                <w:sz w:val="20"/>
                <w:lang w:val="fr-CA"/>
              </w:rPr>
            </w:pPr>
            <w:r w:rsidRPr="0068677C">
              <w:rPr>
                <w:sz w:val="20"/>
                <w:lang w:val="fr-CA"/>
              </w:rPr>
              <w:t>Cour du banc de la reine de l’Alberta</w:t>
            </w:r>
          </w:p>
          <w:p w:rsidR="00C50008" w:rsidRPr="0068677C" w:rsidRDefault="00C50008" w:rsidP="005B5AEE">
            <w:pPr>
              <w:jc w:val="both"/>
              <w:rPr>
                <w:sz w:val="20"/>
              </w:rPr>
            </w:pPr>
            <w:r w:rsidRPr="0068677C">
              <w:rPr>
                <w:sz w:val="20"/>
              </w:rPr>
              <w:t>(juge Yamauchi)</w:t>
            </w:r>
          </w:p>
          <w:p w:rsidR="00C50008" w:rsidRPr="0068677C" w:rsidRDefault="00D800B2" w:rsidP="005B5AEE">
            <w:pPr>
              <w:jc w:val="both"/>
              <w:rPr>
                <w:sz w:val="20"/>
              </w:rPr>
            </w:pPr>
            <w:hyperlink r:id="rId41" w:history="1">
              <w:r w:rsidR="00C50008" w:rsidRPr="0068677C">
                <w:rPr>
                  <w:rStyle w:val="Hyperlink"/>
                  <w:sz w:val="20"/>
                </w:rPr>
                <w:t>2019 ABQB 125</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i/>
                <w:sz w:val="20"/>
                <w:lang w:val="fr-CA"/>
              </w:rPr>
            </w:pPr>
            <w:r w:rsidRPr="0068677C">
              <w:rPr>
                <w:sz w:val="20"/>
                <w:lang w:val="fr-CA"/>
              </w:rPr>
              <w:t xml:space="preserve">Rejet de la demande présentée par le demandeur fondée sur la </w:t>
            </w:r>
            <w:r w:rsidRPr="0068677C">
              <w:rPr>
                <w:i/>
                <w:sz w:val="20"/>
                <w:lang w:val="fr-CA"/>
              </w:rPr>
              <w:t>Charte</w:t>
            </w:r>
            <w:r w:rsidRPr="0068677C">
              <w:rPr>
                <w:sz w:val="20"/>
                <w:lang w:val="fr-CA"/>
              </w:rPr>
              <w:t>.</w:t>
            </w:r>
          </w:p>
          <w:p w:rsidR="00C50008" w:rsidRPr="0068677C" w:rsidRDefault="00C50008" w:rsidP="005B5AEE">
            <w:pPr>
              <w:jc w:val="both"/>
              <w:rPr>
                <w:sz w:val="20"/>
                <w:lang w:val="fr-CA"/>
              </w:rPr>
            </w:pP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14 mai 2020</w:t>
            </w:r>
          </w:p>
          <w:p w:rsidR="00C50008" w:rsidRPr="0068677C" w:rsidRDefault="00C50008" w:rsidP="005B5AEE">
            <w:pPr>
              <w:jc w:val="both"/>
              <w:rPr>
                <w:sz w:val="20"/>
                <w:lang w:val="fr-CA"/>
              </w:rPr>
            </w:pPr>
            <w:r w:rsidRPr="0068677C">
              <w:rPr>
                <w:sz w:val="20"/>
                <w:lang w:val="fr-CA"/>
              </w:rPr>
              <w:t>Cour d’appel de l’Alberta (Calgary)</w:t>
            </w:r>
          </w:p>
          <w:p w:rsidR="00C50008" w:rsidRPr="0068677C" w:rsidRDefault="00C50008" w:rsidP="005B5AEE">
            <w:pPr>
              <w:jc w:val="both"/>
              <w:rPr>
                <w:sz w:val="20"/>
              </w:rPr>
            </w:pPr>
            <w:r w:rsidRPr="0068677C">
              <w:rPr>
                <w:sz w:val="20"/>
              </w:rPr>
              <w:t>(juges O’Ferrall, Wakeling et Feehan)</w:t>
            </w:r>
          </w:p>
          <w:p w:rsidR="00C50008" w:rsidRPr="0068677C" w:rsidRDefault="00D800B2" w:rsidP="005B5AEE">
            <w:pPr>
              <w:jc w:val="both"/>
              <w:rPr>
                <w:sz w:val="20"/>
              </w:rPr>
            </w:pPr>
            <w:hyperlink r:id="rId42" w:history="1">
              <w:r w:rsidR="00C50008" w:rsidRPr="0068677C">
                <w:rPr>
                  <w:rStyle w:val="Hyperlink"/>
                  <w:sz w:val="20"/>
                </w:rPr>
                <w:t>2020 ABCA 203</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lang w:val="fr-CA"/>
              </w:rPr>
            </w:pPr>
            <w:r w:rsidRPr="0068677C">
              <w:rPr>
                <w:sz w:val="20"/>
                <w:lang w:val="fr-CA"/>
              </w:rPr>
              <w:t>Rejet de l’appel interjeté par le demandeur.</w:t>
            </w:r>
          </w:p>
        </w:tc>
      </w:tr>
      <w:tr w:rsidR="00C50008" w:rsidRPr="00D800B2" w:rsidTr="005B5AEE">
        <w:tc>
          <w:tcPr>
            <w:tcW w:w="2427" w:type="pct"/>
            <w:gridSpan w:val="2"/>
          </w:tcPr>
          <w:p w:rsidR="00C50008" w:rsidRPr="0068677C" w:rsidRDefault="00C50008" w:rsidP="005B5AEE">
            <w:pPr>
              <w:jc w:val="both"/>
              <w:rPr>
                <w:sz w:val="20"/>
                <w:lang w:val="fr-CA"/>
              </w:rPr>
            </w:pPr>
            <w:r w:rsidRPr="0068677C">
              <w:rPr>
                <w:sz w:val="20"/>
                <w:lang w:val="fr-CA"/>
              </w:rPr>
              <w:t>17 décembre 2020</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Dépôt de la demande d’autorisation d’appel.</w:t>
            </w:r>
          </w:p>
          <w:p w:rsidR="00C50008" w:rsidRPr="0068677C" w:rsidRDefault="00C50008" w:rsidP="005B5AEE">
            <w:pPr>
              <w:jc w:val="both"/>
              <w:rPr>
                <w:sz w:val="20"/>
                <w:lang w:val="fr-CA"/>
              </w:rPr>
            </w:pPr>
          </w:p>
        </w:tc>
      </w:tr>
    </w:tbl>
    <w:p w:rsidR="00C50008" w:rsidRPr="0068677C" w:rsidRDefault="00C50008" w:rsidP="00C50008">
      <w:pPr>
        <w:jc w:val="both"/>
        <w:rPr>
          <w:sz w:val="20"/>
          <w:lang w:val="fr-CA"/>
        </w:rPr>
      </w:pPr>
    </w:p>
    <w:p w:rsidR="00C50008" w:rsidRPr="0068677C" w:rsidRDefault="00D800B2" w:rsidP="00C50008">
      <w:pPr>
        <w:widowControl w:val="0"/>
        <w:jc w:val="both"/>
        <w:rPr>
          <w:sz w:val="20"/>
          <w:lang w:val="fr-CA"/>
        </w:rPr>
      </w:pPr>
      <w:r>
        <w:rPr>
          <w:sz w:val="20"/>
        </w:rPr>
        <w:pict>
          <v:rect id="_x0000_i1049" style="width:2in;height:1pt" o:hrpct="0" o:hralign="center" o:hrstd="t" o:hrnoshade="t" o:hr="t" fillcolor="black [3213]" stroked="f"/>
        </w:pict>
      </w:r>
    </w:p>
    <w:p w:rsidR="00C50008" w:rsidRPr="0068677C" w:rsidRDefault="00C50008" w:rsidP="00C50008">
      <w:pPr>
        <w:widowControl w:val="0"/>
        <w:jc w:val="both"/>
        <w:rPr>
          <w:sz w:val="20"/>
          <w:lang w:val="fr-CA"/>
        </w:rPr>
      </w:pPr>
    </w:p>
    <w:p w:rsidR="006D6263" w:rsidRPr="0068677C" w:rsidRDefault="006D6263">
      <w:r w:rsidRPr="0068677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lastRenderedPageBreak/>
              <w:t>39481</w:t>
            </w:r>
          </w:p>
        </w:tc>
        <w:tc>
          <w:tcPr>
            <w:tcW w:w="4457" w:type="pct"/>
            <w:gridSpan w:val="3"/>
          </w:tcPr>
          <w:p w:rsidR="00C50008" w:rsidRPr="0068677C" w:rsidRDefault="00C50008" w:rsidP="005B5AEE">
            <w:pPr>
              <w:pStyle w:val="SCCLsocParty"/>
              <w:jc w:val="both"/>
              <w:rPr>
                <w:b/>
                <w:sz w:val="20"/>
                <w:szCs w:val="20"/>
                <w:lang w:val="en-US"/>
              </w:rPr>
            </w:pPr>
            <w:r w:rsidRPr="0068677C">
              <w:rPr>
                <w:b/>
                <w:sz w:val="20"/>
                <w:szCs w:val="20"/>
                <w:lang w:val="en-US"/>
              </w:rPr>
              <w:t>Brian John Lambert v. Her Majesty the Queen</w:t>
            </w:r>
          </w:p>
          <w:p w:rsidR="00C50008" w:rsidRPr="0068677C" w:rsidRDefault="00C50008" w:rsidP="005B5AEE">
            <w:pPr>
              <w:jc w:val="both"/>
              <w:rPr>
                <w:sz w:val="20"/>
              </w:rPr>
            </w:pPr>
            <w:r w:rsidRPr="0068677C">
              <w:rPr>
                <w:sz w:val="20"/>
              </w:rPr>
              <w:t>(Alta.) (Criminal) (By Leave)</w:t>
            </w:r>
          </w:p>
        </w:tc>
      </w:tr>
      <w:tr w:rsidR="00C50008" w:rsidRPr="0068677C" w:rsidTr="005B5AEE">
        <w:tc>
          <w:tcPr>
            <w:tcW w:w="5000" w:type="pct"/>
            <w:gridSpan w:val="4"/>
          </w:tcPr>
          <w:p w:rsidR="00466C63" w:rsidRPr="0068677C" w:rsidRDefault="00466C63" w:rsidP="00466C63">
            <w:pPr>
              <w:jc w:val="both"/>
              <w:rPr>
                <w:sz w:val="20"/>
                <w:szCs w:val="20"/>
              </w:rPr>
            </w:pPr>
            <w:r w:rsidRPr="0068677C">
              <w:rPr>
                <w:sz w:val="20"/>
                <w:szCs w:val="20"/>
              </w:rPr>
              <w:t xml:space="preserve">The motion for an extension of time to serve and file the application for leave to appeal is granted. The application for leave to appeal from the judgment of the Court of Appeal of Alberta (Calgary), Number 1901-0134A, </w:t>
            </w:r>
            <w:proofErr w:type="gramStart"/>
            <w:r w:rsidRPr="0068677C">
              <w:rPr>
                <w:sz w:val="20"/>
                <w:szCs w:val="20"/>
              </w:rPr>
              <w:t>2020</w:t>
            </w:r>
            <w:proofErr w:type="gramEnd"/>
            <w:r w:rsidRPr="0068677C">
              <w:rPr>
                <w:sz w:val="20"/>
                <w:szCs w:val="20"/>
              </w:rPr>
              <w:t xml:space="preserve"> ABCA 203, dated May 14, 2020, is granted.</w:t>
            </w:r>
          </w:p>
          <w:p w:rsidR="00C50008" w:rsidRPr="0068677C" w:rsidRDefault="00C50008" w:rsidP="005B5AEE">
            <w:pPr>
              <w:jc w:val="both"/>
              <w:rPr>
                <w:sz w:val="20"/>
              </w:rPr>
            </w:pPr>
          </w:p>
        </w:tc>
      </w:tr>
      <w:tr w:rsidR="00C50008" w:rsidRPr="0068677C" w:rsidTr="005B5AEE">
        <w:tc>
          <w:tcPr>
            <w:tcW w:w="5000" w:type="pct"/>
            <w:gridSpan w:val="4"/>
          </w:tcPr>
          <w:p w:rsidR="00C50008" w:rsidRPr="0068677C" w:rsidRDefault="00C50008" w:rsidP="005B5AEE">
            <w:pPr>
              <w:jc w:val="both"/>
              <w:rPr>
                <w:sz w:val="20"/>
              </w:rPr>
            </w:pPr>
            <w:r w:rsidRPr="0068677C">
              <w:rPr>
                <w:sz w:val="20"/>
              </w:rPr>
              <w:t xml:space="preserve">Criminal law — </w:t>
            </w:r>
            <w:r w:rsidRPr="0068677C">
              <w:rPr>
                <w:i/>
                <w:sz w:val="20"/>
              </w:rPr>
              <w:t>Charter of Rights</w:t>
            </w:r>
            <w:r w:rsidRPr="0068677C">
              <w:rPr>
                <w:sz w:val="20"/>
              </w:rPr>
              <w:t xml:space="preserve"> — Evidence — Admissibility — Reasonable and probable grounds for arrest — Whether a “fresh start” can insulate evidence from previous</w:t>
            </w:r>
            <w:r w:rsidRPr="0068677C">
              <w:rPr>
                <w:i/>
                <w:sz w:val="20"/>
              </w:rPr>
              <w:t xml:space="preserve"> </w:t>
            </w:r>
            <w:r w:rsidRPr="0068677C">
              <w:rPr>
                <w:sz w:val="20"/>
              </w:rPr>
              <w:t xml:space="preserve">violations of ss. 7, 8 and 9 of the </w:t>
            </w:r>
            <w:r w:rsidRPr="0068677C">
              <w:rPr>
                <w:i/>
                <w:sz w:val="20"/>
              </w:rPr>
              <w:t xml:space="preserve">Charter </w:t>
            </w:r>
            <w:r w:rsidRPr="0068677C">
              <w:rPr>
                <w:sz w:val="20"/>
              </w:rPr>
              <w:t>— Whether judicial scrutiny of reasonable and probable grounds should be more stringent in circumstances where an individual was initially unlawfully detained and police have no notes regarding the grounds for arrest or the information relied upon.</w:t>
            </w:r>
          </w:p>
        </w:tc>
      </w:tr>
      <w:tr w:rsidR="00C50008" w:rsidRPr="0068677C" w:rsidTr="005B5AEE">
        <w:tc>
          <w:tcPr>
            <w:tcW w:w="5000" w:type="pct"/>
            <w:gridSpan w:val="4"/>
          </w:tcPr>
          <w:p w:rsidR="00C50008" w:rsidRPr="0068677C" w:rsidRDefault="00C50008" w:rsidP="005B5AEE">
            <w:pPr>
              <w:jc w:val="both"/>
              <w:rPr>
                <w:sz w:val="20"/>
                <w:lang w:eastAsia="en-CA"/>
              </w:rPr>
            </w:pPr>
          </w:p>
        </w:tc>
      </w:tr>
      <w:tr w:rsidR="00C50008" w:rsidRPr="0068677C" w:rsidTr="005B5AEE">
        <w:tc>
          <w:tcPr>
            <w:tcW w:w="5000" w:type="pct"/>
            <w:gridSpan w:val="4"/>
          </w:tcPr>
          <w:p w:rsidR="00C50008" w:rsidRPr="0068677C" w:rsidRDefault="00C50008" w:rsidP="005B5AEE">
            <w:pPr>
              <w:jc w:val="both"/>
              <w:rPr>
                <w:sz w:val="20"/>
                <w:lang w:eastAsia="en-CA"/>
              </w:rPr>
            </w:pPr>
            <w:r w:rsidRPr="0068677C">
              <w:rPr>
                <w:sz w:val="20"/>
                <w:lang w:eastAsia="en-CA"/>
              </w:rPr>
              <w:t>The applicant and his co</w:t>
            </w:r>
            <w:r w:rsidRPr="0068677C">
              <w:rPr>
                <w:sz w:val="20"/>
                <w:lang w:eastAsia="en-CA"/>
              </w:rPr>
              <w:noBreakHyphen/>
              <w:t>accused were convicted of manslaughter in relation to the death of their roommate. After being initially detained by officers at the scene under a non</w:t>
            </w:r>
            <w:r w:rsidRPr="0068677C">
              <w:rPr>
                <w:sz w:val="20"/>
                <w:lang w:eastAsia="en-CA"/>
              </w:rPr>
              <w:noBreakHyphen/>
              <w:t>existent act, they were arrested by detectives for murder two hours later at the police station. Following a lengthy interview, the applicant confessed to their involvement in the death of the roommate; when confronted with the confession, the co</w:t>
            </w:r>
            <w:r w:rsidRPr="0068677C">
              <w:rPr>
                <w:sz w:val="20"/>
                <w:lang w:eastAsia="en-CA"/>
              </w:rPr>
              <w:noBreakHyphen/>
              <w:t>accused admitted his participation as well. At trial, the applicant sought the exclusion of all evidence which derived from alleged violations of his rights protected by ss. 7, 8, 9 and 10(</w:t>
            </w:r>
            <w:r w:rsidRPr="0068677C">
              <w:rPr>
                <w:i/>
                <w:sz w:val="20"/>
                <w:lang w:eastAsia="en-CA"/>
              </w:rPr>
              <w:t>b</w:t>
            </w:r>
            <w:r w:rsidRPr="0068677C">
              <w:rPr>
                <w:sz w:val="20"/>
                <w:lang w:eastAsia="en-CA"/>
              </w:rPr>
              <w:t xml:space="preserve">) of the </w:t>
            </w:r>
            <w:r w:rsidRPr="0068677C">
              <w:rPr>
                <w:i/>
                <w:sz w:val="20"/>
                <w:lang w:eastAsia="en-CA"/>
              </w:rPr>
              <w:t>Canadian</w:t>
            </w:r>
            <w:r w:rsidRPr="0068677C">
              <w:rPr>
                <w:sz w:val="20"/>
                <w:lang w:eastAsia="en-CA"/>
              </w:rPr>
              <w:t xml:space="preserve"> </w:t>
            </w:r>
            <w:r w:rsidRPr="0068677C">
              <w:rPr>
                <w:i/>
                <w:sz w:val="20"/>
                <w:lang w:eastAsia="en-CA"/>
              </w:rPr>
              <w:t>Charter of Rights and Freedoms</w:t>
            </w:r>
            <w:r w:rsidRPr="0068677C">
              <w:rPr>
                <w:sz w:val="20"/>
                <w:lang w:eastAsia="en-CA"/>
              </w:rPr>
              <w:t xml:space="preserve">. The applicant also alleged that the detective who arrested him at the station did not have reasonable and probable grounds to do so. The Crown conceded that the applicant’s </w:t>
            </w:r>
            <w:r w:rsidRPr="0068677C">
              <w:rPr>
                <w:i/>
                <w:sz w:val="20"/>
                <w:lang w:eastAsia="en-CA"/>
              </w:rPr>
              <w:t>Charter</w:t>
            </w:r>
            <w:r w:rsidRPr="0068677C">
              <w:rPr>
                <w:sz w:val="20"/>
                <w:lang w:eastAsia="en-CA"/>
              </w:rPr>
              <w:t xml:space="preserve"> rights had been breached when he was detained under a non-existent law, but argued that the arrest at the station constituted a “fresh start” which insulated his confession from the previous breaches. </w:t>
            </w:r>
          </w:p>
          <w:p w:rsidR="00C50008" w:rsidRPr="0068677C" w:rsidRDefault="00C50008" w:rsidP="005B5AEE">
            <w:pPr>
              <w:jc w:val="both"/>
              <w:rPr>
                <w:sz w:val="20"/>
                <w:lang w:eastAsia="en-CA"/>
              </w:rPr>
            </w:pPr>
          </w:p>
          <w:p w:rsidR="00C50008" w:rsidRPr="0068677C" w:rsidRDefault="00C50008" w:rsidP="005B5AEE">
            <w:pPr>
              <w:jc w:val="both"/>
              <w:rPr>
                <w:sz w:val="20"/>
                <w:lang w:eastAsia="en-CA"/>
              </w:rPr>
            </w:pPr>
            <w:r w:rsidRPr="0068677C">
              <w:rPr>
                <w:sz w:val="20"/>
                <w:lang w:eastAsia="en-CA"/>
              </w:rPr>
              <w:t>The trial judge dismissed the</w:t>
            </w:r>
            <w:r w:rsidRPr="0068677C">
              <w:rPr>
                <w:i/>
                <w:sz w:val="20"/>
                <w:lang w:eastAsia="en-CA"/>
              </w:rPr>
              <w:t xml:space="preserve"> </w:t>
            </w:r>
            <w:r w:rsidRPr="0068677C">
              <w:rPr>
                <w:sz w:val="20"/>
                <w:lang w:eastAsia="en-CA"/>
              </w:rPr>
              <w:t xml:space="preserve">application, finding that the police had reasonable and probable grounds to arrest the applicant for murder at the police station, and that the arrest constituted a “fresh start” which cured the previous breaches. He concluded that the applicant’s subsequent confession had not been tainted by the breaches. Nevertheless, the trial judge conducted a s. 24(2) analysis as set out in </w:t>
            </w:r>
            <w:r w:rsidRPr="0068677C">
              <w:rPr>
                <w:i/>
                <w:sz w:val="20"/>
                <w:lang w:eastAsia="en-CA"/>
              </w:rPr>
              <w:t>R. v. Grant</w:t>
            </w:r>
            <w:r w:rsidRPr="0068677C">
              <w:rPr>
                <w:sz w:val="20"/>
                <w:lang w:eastAsia="en-CA"/>
              </w:rPr>
              <w:t>, 2009 SCC 32, and concluded that the confession would have been admitted, in any event. The Court of Appeal unanimously dismissed the applicant’s appeal.</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February 21, 2019</w:t>
            </w:r>
          </w:p>
          <w:p w:rsidR="00C50008" w:rsidRPr="0068677C" w:rsidRDefault="00C50008" w:rsidP="005B5AEE">
            <w:pPr>
              <w:jc w:val="both"/>
              <w:rPr>
                <w:sz w:val="20"/>
              </w:rPr>
            </w:pPr>
            <w:r w:rsidRPr="0068677C">
              <w:rPr>
                <w:sz w:val="20"/>
              </w:rPr>
              <w:t>Court of Queen’s Bench of Alberta</w:t>
            </w:r>
          </w:p>
          <w:p w:rsidR="00C50008" w:rsidRPr="0068677C" w:rsidRDefault="00C50008" w:rsidP="005B5AEE">
            <w:pPr>
              <w:jc w:val="both"/>
              <w:rPr>
                <w:sz w:val="20"/>
              </w:rPr>
            </w:pPr>
            <w:r w:rsidRPr="0068677C">
              <w:rPr>
                <w:sz w:val="20"/>
              </w:rPr>
              <w:t>(Yamauchi J.)</w:t>
            </w:r>
          </w:p>
          <w:p w:rsidR="00C50008" w:rsidRPr="0068677C" w:rsidRDefault="00D800B2" w:rsidP="005B5AEE">
            <w:pPr>
              <w:jc w:val="both"/>
              <w:rPr>
                <w:sz w:val="20"/>
              </w:rPr>
            </w:pPr>
            <w:hyperlink r:id="rId43" w:history="1">
              <w:r w:rsidR="00C50008" w:rsidRPr="0068677C">
                <w:rPr>
                  <w:rStyle w:val="Hyperlink"/>
                  <w:sz w:val="20"/>
                </w:rPr>
                <w:t>2019 ABQB 125</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i/>
                <w:sz w:val="20"/>
              </w:rPr>
            </w:pPr>
            <w:r w:rsidRPr="0068677C">
              <w:rPr>
                <w:sz w:val="20"/>
              </w:rPr>
              <w:t xml:space="preserve">Applicant’s </w:t>
            </w:r>
            <w:r w:rsidRPr="0068677C">
              <w:rPr>
                <w:i/>
                <w:sz w:val="20"/>
              </w:rPr>
              <w:t>Charter</w:t>
            </w:r>
            <w:r w:rsidRPr="0068677C">
              <w:rPr>
                <w:sz w:val="20"/>
              </w:rPr>
              <w:t xml:space="preserve"> application dismissed.</w:t>
            </w:r>
          </w:p>
          <w:p w:rsidR="00C50008" w:rsidRPr="0068677C" w:rsidRDefault="00C50008" w:rsidP="005B5AEE">
            <w:pPr>
              <w:jc w:val="both"/>
              <w:rPr>
                <w:sz w:val="20"/>
              </w:rPr>
            </w:pPr>
          </w:p>
        </w:tc>
      </w:tr>
      <w:tr w:rsidR="00C50008" w:rsidRPr="0068677C" w:rsidTr="005B5AEE">
        <w:tc>
          <w:tcPr>
            <w:tcW w:w="2427" w:type="pct"/>
            <w:gridSpan w:val="2"/>
          </w:tcPr>
          <w:p w:rsidR="00C50008" w:rsidRPr="0068677C" w:rsidRDefault="00C50008" w:rsidP="005B5AEE">
            <w:pPr>
              <w:jc w:val="both"/>
              <w:rPr>
                <w:sz w:val="20"/>
              </w:rPr>
            </w:pPr>
            <w:r w:rsidRPr="0068677C">
              <w:rPr>
                <w:sz w:val="20"/>
              </w:rPr>
              <w:t>May 14, 2020</w:t>
            </w:r>
          </w:p>
          <w:p w:rsidR="00C50008" w:rsidRPr="0068677C" w:rsidRDefault="00C50008" w:rsidP="005B5AEE">
            <w:pPr>
              <w:jc w:val="both"/>
              <w:rPr>
                <w:sz w:val="20"/>
              </w:rPr>
            </w:pPr>
            <w:r w:rsidRPr="0068677C">
              <w:rPr>
                <w:sz w:val="20"/>
              </w:rPr>
              <w:t>Court of Appeal of Alberta (Calgary)</w:t>
            </w:r>
          </w:p>
          <w:p w:rsidR="00C50008" w:rsidRPr="0068677C" w:rsidRDefault="00C50008" w:rsidP="005B5AEE">
            <w:pPr>
              <w:jc w:val="both"/>
              <w:rPr>
                <w:sz w:val="20"/>
              </w:rPr>
            </w:pPr>
            <w:r w:rsidRPr="0068677C">
              <w:rPr>
                <w:sz w:val="20"/>
              </w:rPr>
              <w:t>(O'Ferrall, Wakeling and Feehan JJ.A.)</w:t>
            </w:r>
          </w:p>
          <w:p w:rsidR="00C50008" w:rsidRPr="0068677C" w:rsidRDefault="00D800B2" w:rsidP="005B5AEE">
            <w:pPr>
              <w:jc w:val="both"/>
              <w:rPr>
                <w:sz w:val="20"/>
              </w:rPr>
            </w:pPr>
            <w:hyperlink r:id="rId44" w:history="1">
              <w:r w:rsidR="00C50008" w:rsidRPr="0068677C">
                <w:rPr>
                  <w:rStyle w:val="Hyperlink"/>
                  <w:sz w:val="20"/>
                </w:rPr>
                <w:t>2020 ABCA 203</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Applicant’s appeal dismissed.</w:t>
            </w:r>
          </w:p>
        </w:tc>
      </w:tr>
      <w:tr w:rsidR="00C50008" w:rsidRPr="0068677C" w:rsidTr="005B5AEE">
        <w:tc>
          <w:tcPr>
            <w:tcW w:w="2427" w:type="pct"/>
            <w:gridSpan w:val="2"/>
          </w:tcPr>
          <w:p w:rsidR="00C50008" w:rsidRPr="0068677C" w:rsidRDefault="00C50008" w:rsidP="005B5AEE">
            <w:pPr>
              <w:jc w:val="both"/>
              <w:rPr>
                <w:sz w:val="20"/>
              </w:rPr>
            </w:pPr>
            <w:r w:rsidRPr="0068677C">
              <w:rPr>
                <w:sz w:val="20"/>
              </w:rPr>
              <w:t>December 17, 2020</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p w:rsidR="00C50008" w:rsidRPr="0068677C" w:rsidRDefault="00C50008" w:rsidP="005B5AEE">
            <w:pPr>
              <w:jc w:val="both"/>
              <w:rPr>
                <w:sz w:val="20"/>
              </w:rPr>
            </w:pP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50"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39481</w:t>
            </w:r>
          </w:p>
        </w:tc>
        <w:tc>
          <w:tcPr>
            <w:tcW w:w="4457" w:type="pct"/>
          </w:tcPr>
          <w:p w:rsidR="00C50008" w:rsidRPr="0068677C" w:rsidRDefault="00C50008" w:rsidP="005B5AEE">
            <w:pPr>
              <w:pStyle w:val="SCCLsocParty"/>
              <w:jc w:val="both"/>
              <w:rPr>
                <w:b/>
                <w:sz w:val="20"/>
                <w:szCs w:val="20"/>
              </w:rPr>
            </w:pPr>
            <w:r w:rsidRPr="0068677C">
              <w:rPr>
                <w:b/>
                <w:sz w:val="20"/>
                <w:szCs w:val="20"/>
              </w:rPr>
              <w:t>Brian John Lambert c. Sa Majesté la Reine</w:t>
            </w:r>
          </w:p>
          <w:p w:rsidR="00C50008" w:rsidRPr="0068677C" w:rsidRDefault="00C50008" w:rsidP="005B5AEE">
            <w:pPr>
              <w:jc w:val="both"/>
              <w:rPr>
                <w:sz w:val="20"/>
              </w:rPr>
            </w:pPr>
            <w:r w:rsidRPr="0068677C">
              <w:rPr>
                <w:sz w:val="20"/>
              </w:rPr>
              <w:t>(Alb.) (Criminelle) (Autorisation)</w:t>
            </w:r>
          </w:p>
        </w:tc>
      </w:tr>
      <w:tr w:rsidR="00C50008" w:rsidRPr="00D800B2" w:rsidTr="005B5AEE">
        <w:tc>
          <w:tcPr>
            <w:tcW w:w="5000" w:type="pct"/>
            <w:gridSpan w:val="2"/>
          </w:tcPr>
          <w:p w:rsidR="00C50008" w:rsidRPr="0068677C" w:rsidRDefault="00466C63" w:rsidP="005B5AEE">
            <w:pPr>
              <w:jc w:val="both"/>
              <w:rPr>
                <w:sz w:val="20"/>
                <w:szCs w:val="20"/>
                <w:lang w:val="fr-CA"/>
              </w:rPr>
            </w:pPr>
            <w:r w:rsidRPr="0068677C">
              <w:rPr>
                <w:sz w:val="20"/>
                <w:szCs w:val="20"/>
                <w:lang w:val="fr-CA"/>
              </w:rPr>
              <w:t>La requête en prorogation du délai de signification et de dépôt de la demande d’autorisation d’appel est accueillie. La demande d’autorisation d’appel de l’arrêt de la Cour d’appel de l’Alberta (Calgary), numéro 1901-0134A, 2020 ABCA 203, daté du 14 mai 2020, est accueillie.</w:t>
            </w:r>
          </w:p>
          <w:p w:rsidR="00466C63" w:rsidRPr="0068677C" w:rsidRDefault="00466C63" w:rsidP="005B5AEE">
            <w:pPr>
              <w:jc w:val="both"/>
              <w:rPr>
                <w:sz w:val="20"/>
                <w:lang w:val="fr-CA"/>
              </w:rPr>
            </w:pPr>
          </w:p>
        </w:tc>
      </w:tr>
    </w:tbl>
    <w:p w:rsidR="006D6263" w:rsidRPr="0068677C" w:rsidRDefault="006D6263">
      <w:pPr>
        <w:rPr>
          <w:lang w:val="fr-CA"/>
        </w:rPr>
      </w:pPr>
      <w:r w:rsidRPr="0068677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D800B2" w:rsidTr="005B5AEE">
        <w:tc>
          <w:tcPr>
            <w:tcW w:w="5000" w:type="pct"/>
            <w:gridSpan w:val="3"/>
          </w:tcPr>
          <w:p w:rsidR="00C50008" w:rsidRPr="0068677C" w:rsidRDefault="00C50008" w:rsidP="005B5AEE">
            <w:pPr>
              <w:jc w:val="both"/>
              <w:rPr>
                <w:sz w:val="20"/>
                <w:lang w:val="fr-CA"/>
              </w:rPr>
            </w:pPr>
            <w:r w:rsidRPr="0068677C">
              <w:rPr>
                <w:sz w:val="20"/>
                <w:lang w:val="fr-CA"/>
              </w:rPr>
              <w:lastRenderedPageBreak/>
              <w:t>Droit criminel —</w:t>
            </w:r>
            <w:r w:rsidRPr="0068677C">
              <w:rPr>
                <w:i/>
                <w:sz w:val="20"/>
                <w:lang w:val="fr-CA"/>
              </w:rPr>
              <w:t xml:space="preserve"> Charte des droits </w:t>
            </w:r>
            <w:r w:rsidRPr="0068677C">
              <w:rPr>
                <w:sz w:val="20"/>
                <w:lang w:val="fr-CA"/>
              </w:rPr>
              <w:t>— Preuve — Admissibilité — Motifs raisonnables et probables de procéder à une arrestation — Un « nouveau départ » peut</w:t>
            </w:r>
            <w:r w:rsidRPr="0068677C">
              <w:rPr>
                <w:sz w:val="20"/>
                <w:lang w:val="fr-CA"/>
              </w:rPr>
              <w:noBreakHyphen/>
              <w:t xml:space="preserve">il permettre d’isoler la preuve de violations antérieures des </w:t>
            </w:r>
            <w:proofErr w:type="gramStart"/>
            <w:r w:rsidRPr="0068677C">
              <w:rPr>
                <w:sz w:val="20"/>
                <w:lang w:val="fr-CA"/>
              </w:rPr>
              <w:t>art</w:t>
            </w:r>
            <w:proofErr w:type="gramEnd"/>
            <w:r w:rsidRPr="0068677C">
              <w:rPr>
                <w:sz w:val="20"/>
                <w:lang w:val="fr-CA"/>
              </w:rPr>
              <w:t xml:space="preserve">. 7, 8 et 9 de la </w:t>
            </w:r>
            <w:r w:rsidRPr="0068677C">
              <w:rPr>
                <w:i/>
                <w:sz w:val="20"/>
                <w:lang w:val="fr-CA"/>
              </w:rPr>
              <w:t>Charte</w:t>
            </w:r>
            <w:r w:rsidRPr="0068677C">
              <w:rPr>
                <w:sz w:val="20"/>
                <w:lang w:val="fr-CA"/>
              </w:rPr>
              <w:t xml:space="preserve">? — Le contrôle judiciaire de motifs raisonnables et probables devrait-il être plus rigoureux dans les circonstances où une personne a initialement été détenue de manière illicite et où la police ne dispose pas de notes concernant les motifs de l’arrestation ou les renseignements justifiant l’arrestation? </w:t>
            </w:r>
          </w:p>
        </w:tc>
      </w:tr>
      <w:tr w:rsidR="00C50008" w:rsidRPr="00D800B2" w:rsidTr="005B5AEE">
        <w:tc>
          <w:tcPr>
            <w:tcW w:w="5000" w:type="pct"/>
            <w:gridSpan w:val="3"/>
          </w:tcPr>
          <w:p w:rsidR="00C50008" w:rsidRPr="0068677C" w:rsidRDefault="00C50008" w:rsidP="005B5AEE">
            <w:pPr>
              <w:jc w:val="both"/>
              <w:rPr>
                <w:sz w:val="20"/>
                <w:lang w:val="fr-CA"/>
              </w:rPr>
            </w:pPr>
          </w:p>
        </w:tc>
      </w:tr>
      <w:tr w:rsidR="00C50008" w:rsidRPr="00D800B2" w:rsidTr="005B5AEE">
        <w:tc>
          <w:tcPr>
            <w:tcW w:w="5000" w:type="pct"/>
            <w:gridSpan w:val="3"/>
          </w:tcPr>
          <w:p w:rsidR="00C50008" w:rsidRPr="0068677C" w:rsidRDefault="00C50008" w:rsidP="005B5AEE">
            <w:pPr>
              <w:jc w:val="both"/>
              <w:rPr>
                <w:sz w:val="20"/>
                <w:lang w:val="fr-CA" w:eastAsia="en-CA"/>
              </w:rPr>
            </w:pPr>
            <w:r w:rsidRPr="0068677C">
              <w:rPr>
                <w:sz w:val="20"/>
                <w:lang w:val="fr-CA" w:eastAsia="en-CA"/>
              </w:rPr>
              <w:t xml:space="preserve">Le demandeur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le demandeur a avoué son implication dans le décès du colocataire; lorsqu’il a été exposé aux aveux, le coaccusé a également avoué son implication. Lors du procès, le demandeur a sollicité l’exclusion de tous les éléments de preuve qui provenait de violations alléguées de ses droits protégés par </w:t>
            </w:r>
            <w:proofErr w:type="gramStart"/>
            <w:r w:rsidRPr="0068677C">
              <w:rPr>
                <w:sz w:val="20"/>
                <w:lang w:val="fr-CA" w:eastAsia="en-CA"/>
              </w:rPr>
              <w:t>les art</w:t>
            </w:r>
            <w:proofErr w:type="gramEnd"/>
            <w:r w:rsidRPr="0068677C">
              <w:rPr>
                <w:sz w:val="20"/>
                <w:lang w:val="fr-CA" w:eastAsia="en-CA"/>
              </w:rPr>
              <w:t>. 7 et 9, et les al. 10</w:t>
            </w:r>
            <w:r w:rsidRPr="0068677C">
              <w:rPr>
                <w:i/>
                <w:sz w:val="20"/>
                <w:lang w:val="fr-CA" w:eastAsia="en-CA"/>
              </w:rPr>
              <w:t>a</w:t>
            </w:r>
            <w:r w:rsidRPr="0068677C">
              <w:rPr>
                <w:sz w:val="20"/>
                <w:lang w:val="fr-CA" w:eastAsia="en-CA"/>
              </w:rPr>
              <w:t>) et 10</w:t>
            </w:r>
            <w:r w:rsidRPr="0068677C">
              <w:rPr>
                <w:i/>
                <w:sz w:val="20"/>
                <w:lang w:val="fr-CA" w:eastAsia="en-CA"/>
              </w:rPr>
              <w:t>b</w:t>
            </w:r>
            <w:r w:rsidRPr="0068677C">
              <w:rPr>
                <w:sz w:val="20"/>
                <w:lang w:val="fr-CA" w:eastAsia="en-CA"/>
              </w:rPr>
              <w:t xml:space="preserve">) de la </w:t>
            </w:r>
            <w:r w:rsidRPr="0068677C">
              <w:rPr>
                <w:i/>
                <w:sz w:val="20"/>
                <w:lang w:val="fr-CA" w:eastAsia="en-CA"/>
              </w:rPr>
              <w:t>Charte canadienne des droits et libertés</w:t>
            </w:r>
            <w:r w:rsidRPr="0068677C">
              <w:rPr>
                <w:sz w:val="20"/>
                <w:lang w:val="fr-CA" w:eastAsia="en-CA"/>
              </w:rPr>
              <w:t xml:space="preserve">. Le demandeur a aussi fait valoir que le détective qui l’a arrêté au poste de police n’avait pas de motifs raisonnables et probables de procéder à l’arrestation. La Couronne a reconnu que les droits du demandeur fondés sur la </w:t>
            </w:r>
            <w:r w:rsidRPr="0068677C">
              <w:rPr>
                <w:i/>
                <w:sz w:val="20"/>
                <w:lang w:val="fr-CA" w:eastAsia="en-CA"/>
              </w:rPr>
              <w:t>Charte</w:t>
            </w:r>
            <w:r w:rsidRPr="0068677C">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C50008" w:rsidRPr="0068677C" w:rsidRDefault="00C50008" w:rsidP="005B5AEE">
            <w:pPr>
              <w:jc w:val="both"/>
              <w:rPr>
                <w:sz w:val="20"/>
                <w:lang w:val="fr-CA" w:eastAsia="en-CA"/>
              </w:rPr>
            </w:pPr>
          </w:p>
          <w:p w:rsidR="00C50008" w:rsidRPr="0068677C" w:rsidRDefault="00C50008" w:rsidP="005B5AEE">
            <w:pPr>
              <w:jc w:val="both"/>
              <w:rPr>
                <w:sz w:val="20"/>
                <w:lang w:val="fr-CA" w:eastAsia="en-CA"/>
              </w:rPr>
            </w:pPr>
            <w:r w:rsidRPr="0068677C">
              <w:rPr>
                <w:sz w:val="20"/>
                <w:lang w:val="fr-CA" w:eastAsia="en-CA"/>
              </w:rPr>
              <w:t>Le juge du procès a rejeté la demande, concluant que la police avait des motifs raisonnables et probables de procéder à l’arrestation du demandeur au poste de police pour le meurtre, et que l’arrestation constituait un « nouveau départ » qui a permis de remédier aux violations antérieures. Il a conclu que l’aveu subséquent du demandeur n’avait pas été entaché par les violations. Néanmoins, le juge de première instance a mené l’analyse selon le par. 24(2) telle qu’elle est établie dans l’arrêt</w:t>
            </w:r>
            <w:r w:rsidRPr="0068677C">
              <w:rPr>
                <w:i/>
                <w:sz w:val="20"/>
                <w:lang w:val="fr-CA" w:eastAsia="en-CA"/>
              </w:rPr>
              <w:t xml:space="preserve"> R. c. Grant</w:t>
            </w:r>
            <w:r w:rsidRPr="0068677C">
              <w:rPr>
                <w:sz w:val="20"/>
                <w:lang w:val="fr-CA" w:eastAsia="en-CA"/>
              </w:rPr>
              <w:t>, 2009 CSC 32, et a conclu que l’aveu aurait été admis en preuve quoi qu’il en soit. La Cour d’appel a unanimement rejeté l’appel interjeté par le demandeur.</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21 février 2019</w:t>
            </w:r>
          </w:p>
          <w:p w:rsidR="00C50008" w:rsidRPr="0068677C" w:rsidRDefault="00C50008" w:rsidP="005B5AEE">
            <w:pPr>
              <w:jc w:val="both"/>
              <w:rPr>
                <w:sz w:val="20"/>
                <w:lang w:val="fr-CA"/>
              </w:rPr>
            </w:pPr>
            <w:r w:rsidRPr="0068677C">
              <w:rPr>
                <w:sz w:val="20"/>
                <w:lang w:val="fr-CA"/>
              </w:rPr>
              <w:t>Cour du banc de la reine de l’Alberta</w:t>
            </w:r>
          </w:p>
          <w:p w:rsidR="00C50008" w:rsidRPr="0068677C" w:rsidRDefault="00C50008" w:rsidP="005B5AEE">
            <w:pPr>
              <w:jc w:val="both"/>
              <w:rPr>
                <w:sz w:val="20"/>
              </w:rPr>
            </w:pPr>
            <w:r w:rsidRPr="0068677C">
              <w:rPr>
                <w:sz w:val="20"/>
              </w:rPr>
              <w:t>(juge Yamauchi)</w:t>
            </w:r>
          </w:p>
          <w:p w:rsidR="00C50008" w:rsidRPr="0068677C" w:rsidRDefault="00D800B2" w:rsidP="005B5AEE">
            <w:pPr>
              <w:jc w:val="both"/>
              <w:rPr>
                <w:sz w:val="20"/>
              </w:rPr>
            </w:pPr>
            <w:hyperlink r:id="rId45" w:history="1">
              <w:r w:rsidR="00C50008" w:rsidRPr="0068677C">
                <w:rPr>
                  <w:rStyle w:val="Hyperlink"/>
                  <w:sz w:val="20"/>
                </w:rPr>
                <w:t>2019 ABQB 125</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p w:rsidR="00C50008" w:rsidRPr="0068677C" w:rsidRDefault="00C50008" w:rsidP="005B5AEE">
            <w:pPr>
              <w:tabs>
                <w:tab w:val="left" w:pos="421"/>
              </w:tabs>
              <w:jc w:val="both"/>
              <w:rPr>
                <w:sz w:val="20"/>
              </w:rPr>
            </w:pPr>
          </w:p>
        </w:tc>
        <w:tc>
          <w:tcPr>
            <w:tcW w:w="2330" w:type="pct"/>
          </w:tcPr>
          <w:p w:rsidR="00C50008" w:rsidRPr="0068677C" w:rsidRDefault="00C50008" w:rsidP="005B5AEE">
            <w:pPr>
              <w:jc w:val="both"/>
              <w:rPr>
                <w:i/>
                <w:sz w:val="20"/>
                <w:lang w:val="fr-CA"/>
              </w:rPr>
            </w:pPr>
            <w:r w:rsidRPr="0068677C">
              <w:rPr>
                <w:sz w:val="20"/>
                <w:lang w:val="fr-CA"/>
              </w:rPr>
              <w:t xml:space="preserve">Rejet de la demande présentée par le demandeur fondée sur la </w:t>
            </w:r>
            <w:r w:rsidRPr="0068677C">
              <w:rPr>
                <w:i/>
                <w:sz w:val="20"/>
                <w:lang w:val="fr-CA"/>
              </w:rPr>
              <w:t>Charte</w:t>
            </w:r>
            <w:r w:rsidRPr="0068677C">
              <w:rPr>
                <w:sz w:val="20"/>
                <w:lang w:val="fr-CA"/>
              </w:rPr>
              <w:t>.</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14 mai 2020</w:t>
            </w:r>
          </w:p>
          <w:p w:rsidR="00C50008" w:rsidRPr="0068677C" w:rsidRDefault="00C50008" w:rsidP="005B5AEE">
            <w:pPr>
              <w:jc w:val="both"/>
              <w:rPr>
                <w:sz w:val="20"/>
                <w:lang w:val="fr-CA"/>
              </w:rPr>
            </w:pPr>
            <w:r w:rsidRPr="0068677C">
              <w:rPr>
                <w:sz w:val="20"/>
                <w:lang w:val="fr-CA"/>
              </w:rPr>
              <w:t>Cour d’appel de l’Alberta (Calgary)</w:t>
            </w:r>
          </w:p>
          <w:p w:rsidR="00C50008" w:rsidRPr="0068677C" w:rsidRDefault="00C50008" w:rsidP="005B5AEE">
            <w:pPr>
              <w:jc w:val="both"/>
              <w:rPr>
                <w:sz w:val="20"/>
              </w:rPr>
            </w:pPr>
            <w:r w:rsidRPr="0068677C">
              <w:rPr>
                <w:sz w:val="20"/>
              </w:rPr>
              <w:t>(juges O’Ferrall, Wakeling et Feehan)</w:t>
            </w:r>
          </w:p>
          <w:p w:rsidR="00C50008" w:rsidRPr="0068677C" w:rsidRDefault="00D800B2" w:rsidP="005B5AEE">
            <w:pPr>
              <w:jc w:val="both"/>
              <w:rPr>
                <w:sz w:val="20"/>
              </w:rPr>
            </w:pPr>
            <w:hyperlink r:id="rId46" w:history="1">
              <w:r w:rsidR="00C50008" w:rsidRPr="0068677C">
                <w:rPr>
                  <w:rStyle w:val="Hyperlink"/>
                  <w:sz w:val="20"/>
                </w:rPr>
                <w:t>2020 ABCA 203</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lang w:val="fr-CA"/>
              </w:rPr>
            </w:pPr>
            <w:r w:rsidRPr="0068677C">
              <w:rPr>
                <w:sz w:val="20"/>
                <w:lang w:val="fr-CA"/>
              </w:rPr>
              <w:t>Rejet de l’appel interjeté par le demandeur.</w:t>
            </w: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17 décembre 2020</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Dépôt de la demande d’autorisation d’appel.</w:t>
            </w:r>
          </w:p>
          <w:p w:rsidR="00C50008" w:rsidRPr="0068677C" w:rsidRDefault="00C50008" w:rsidP="005B5AEE">
            <w:pPr>
              <w:jc w:val="both"/>
              <w:rPr>
                <w:sz w:val="20"/>
                <w:lang w:val="fr-CA"/>
              </w:rPr>
            </w:pPr>
          </w:p>
        </w:tc>
      </w:tr>
    </w:tbl>
    <w:p w:rsidR="00C50008" w:rsidRPr="0068677C" w:rsidRDefault="00C50008" w:rsidP="00C50008">
      <w:pPr>
        <w:jc w:val="both"/>
        <w:rPr>
          <w:sz w:val="20"/>
          <w:lang w:val="fr-CA"/>
        </w:rPr>
      </w:pPr>
    </w:p>
    <w:p w:rsidR="00C50008" w:rsidRPr="0068677C" w:rsidRDefault="00D800B2" w:rsidP="00C50008">
      <w:pPr>
        <w:widowControl w:val="0"/>
        <w:jc w:val="both"/>
        <w:rPr>
          <w:sz w:val="20"/>
          <w:lang w:val="fr-CA"/>
        </w:rPr>
      </w:pPr>
      <w:r>
        <w:rPr>
          <w:sz w:val="20"/>
        </w:rPr>
        <w:pict>
          <v:rect id="_x0000_i1051" style="width:2in;height:1pt" o:hrpct="0" o:hralign="center" o:hrstd="t" o:hrnoshade="t" o:hr="t" fillcolor="black [3213]" stroked="f"/>
        </w:pict>
      </w:r>
    </w:p>
    <w:p w:rsidR="00C50008" w:rsidRPr="0068677C" w:rsidRDefault="00C50008" w:rsidP="00C500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50008" w:rsidRPr="0068677C" w:rsidTr="006D6263">
        <w:tc>
          <w:tcPr>
            <w:tcW w:w="543" w:type="pct"/>
          </w:tcPr>
          <w:p w:rsidR="00C50008" w:rsidRPr="0068677C" w:rsidRDefault="00C50008" w:rsidP="005B5AEE">
            <w:pPr>
              <w:jc w:val="both"/>
              <w:rPr>
                <w:sz w:val="20"/>
              </w:rPr>
            </w:pPr>
            <w:r w:rsidRPr="0068677C">
              <w:rPr>
                <w:rStyle w:val="SCCFileNumberChar"/>
                <w:sz w:val="20"/>
                <w:szCs w:val="20"/>
              </w:rPr>
              <w:t>39521</w:t>
            </w:r>
          </w:p>
        </w:tc>
        <w:tc>
          <w:tcPr>
            <w:tcW w:w="4457" w:type="pct"/>
          </w:tcPr>
          <w:p w:rsidR="00C50008" w:rsidRPr="0068677C" w:rsidRDefault="00C50008" w:rsidP="005B5AEE">
            <w:pPr>
              <w:pStyle w:val="SCCLsocParty"/>
              <w:jc w:val="both"/>
              <w:rPr>
                <w:b/>
                <w:sz w:val="20"/>
                <w:szCs w:val="20"/>
                <w:lang w:val="en-US"/>
              </w:rPr>
            </w:pPr>
            <w:r w:rsidRPr="0068677C">
              <w:rPr>
                <w:b/>
                <w:sz w:val="20"/>
                <w:szCs w:val="20"/>
                <w:lang w:val="en-US"/>
              </w:rPr>
              <w:t>E.W. v. Windsor-Essex Childrens’s Aid Society</w:t>
            </w:r>
          </w:p>
          <w:p w:rsidR="00C50008" w:rsidRPr="0068677C" w:rsidRDefault="00C50008" w:rsidP="005B5AEE">
            <w:pPr>
              <w:jc w:val="both"/>
              <w:rPr>
                <w:sz w:val="20"/>
              </w:rPr>
            </w:pPr>
            <w:r w:rsidRPr="0068677C">
              <w:rPr>
                <w:sz w:val="20"/>
              </w:rPr>
              <w:t>(Ont.) (Civil) (By Leave)</w:t>
            </w:r>
          </w:p>
        </w:tc>
      </w:tr>
      <w:tr w:rsidR="00C50008" w:rsidRPr="0068677C" w:rsidTr="006D6263">
        <w:tc>
          <w:tcPr>
            <w:tcW w:w="5000" w:type="pct"/>
            <w:gridSpan w:val="2"/>
          </w:tcPr>
          <w:p w:rsidR="00466C63" w:rsidRPr="0068677C" w:rsidRDefault="00466C63" w:rsidP="00466C63">
            <w:pPr>
              <w:jc w:val="both"/>
              <w:rPr>
                <w:sz w:val="20"/>
                <w:szCs w:val="20"/>
              </w:rPr>
            </w:pPr>
            <w:r w:rsidRPr="0068677C">
              <w:rPr>
                <w:sz w:val="20"/>
                <w:szCs w:val="20"/>
              </w:rPr>
              <w:t>The motion for an extension of time to serve and file the application for leave to appeal is granted. The application for leave to appeal from the judgment of the Court of Appeal for Ontario, Number C67174, 2020 ONCA 682, dated October 28, 2020, is dismissed without costs.</w:t>
            </w:r>
          </w:p>
          <w:p w:rsidR="00C50008" w:rsidRPr="0068677C" w:rsidRDefault="00C50008" w:rsidP="005B5AEE">
            <w:pPr>
              <w:pStyle w:val="SCCBanSummary0"/>
              <w:rPr>
                <w:smallCaps w:val="0"/>
                <w:sz w:val="20"/>
                <w:szCs w:val="20"/>
              </w:rPr>
            </w:pPr>
          </w:p>
        </w:tc>
      </w:tr>
    </w:tbl>
    <w:p w:rsidR="006D6263" w:rsidRPr="0068677C" w:rsidRDefault="006D6263">
      <w:r w:rsidRPr="0068677C">
        <w:rPr>
          <w:smallCaps/>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C50008" w:rsidRPr="0068677C" w:rsidTr="005B5AEE">
        <w:trPr>
          <w:gridAfter w:val="1"/>
          <w:wAfter w:w="48" w:type="pct"/>
        </w:trPr>
        <w:tc>
          <w:tcPr>
            <w:tcW w:w="4952" w:type="pct"/>
            <w:gridSpan w:val="3"/>
          </w:tcPr>
          <w:p w:rsidR="00C50008" w:rsidRPr="0068677C" w:rsidRDefault="00C50008" w:rsidP="005B5AEE">
            <w:pPr>
              <w:pStyle w:val="SCCBanSummary0"/>
              <w:rPr>
                <w:sz w:val="20"/>
                <w:szCs w:val="20"/>
              </w:rPr>
            </w:pPr>
            <w:r w:rsidRPr="0068677C">
              <w:rPr>
                <w:sz w:val="20"/>
                <w:szCs w:val="20"/>
              </w:rPr>
              <w:lastRenderedPageBreak/>
              <w:t>(Publication ban in case) (Certain information not available to the public)</w:t>
            </w:r>
          </w:p>
          <w:p w:rsidR="00C50008" w:rsidRPr="0068677C" w:rsidRDefault="00C50008" w:rsidP="005B5AEE">
            <w:pPr>
              <w:jc w:val="both"/>
              <w:rPr>
                <w:sz w:val="20"/>
              </w:rPr>
            </w:pPr>
          </w:p>
          <w:p w:rsidR="00C50008" w:rsidRPr="0068677C" w:rsidRDefault="00C50008" w:rsidP="005B5AEE">
            <w:pPr>
              <w:jc w:val="both"/>
              <w:rPr>
                <w:sz w:val="20"/>
              </w:rPr>
            </w:pPr>
            <w:r w:rsidRPr="0068677C">
              <w:rPr>
                <w:sz w:val="20"/>
              </w:rPr>
              <w:t xml:space="preserve">Status of persons — Child protection — Family law — Whether Indigenous children’s best interests are statutorily entitled to special considerations — Scope of meaningful access of Indigenous children to Indigenous parents that retains cultural, heritage, language and familial ties — Burden of proof regarding access by Indigenous children to Indigenous parents in child welfare proceedings — </w:t>
            </w:r>
            <w:r w:rsidRPr="0068677C">
              <w:rPr>
                <w:i/>
                <w:sz w:val="20"/>
              </w:rPr>
              <w:t>Child, Youth and Family Services Act</w:t>
            </w:r>
            <w:r w:rsidRPr="0068677C">
              <w:rPr>
                <w:sz w:val="20"/>
              </w:rPr>
              <w:t>, 2017, S.O. 2017, c. 14.</w:t>
            </w:r>
          </w:p>
        </w:tc>
      </w:tr>
      <w:tr w:rsidR="00C50008" w:rsidRPr="0068677C" w:rsidTr="005B5AEE">
        <w:trPr>
          <w:gridAfter w:val="1"/>
          <w:wAfter w:w="48" w:type="pct"/>
        </w:trPr>
        <w:tc>
          <w:tcPr>
            <w:tcW w:w="4952" w:type="pct"/>
            <w:gridSpan w:val="3"/>
          </w:tcPr>
          <w:p w:rsidR="00C50008" w:rsidRPr="0068677C" w:rsidRDefault="00C50008" w:rsidP="005B5AEE">
            <w:pPr>
              <w:jc w:val="both"/>
              <w:rPr>
                <w:sz w:val="20"/>
              </w:rPr>
            </w:pPr>
          </w:p>
        </w:tc>
      </w:tr>
      <w:tr w:rsidR="00C50008" w:rsidRPr="0068677C" w:rsidTr="005B5AEE">
        <w:trPr>
          <w:gridAfter w:val="1"/>
          <w:wAfter w:w="48" w:type="pct"/>
        </w:trPr>
        <w:tc>
          <w:tcPr>
            <w:tcW w:w="4952" w:type="pct"/>
            <w:gridSpan w:val="3"/>
          </w:tcPr>
          <w:p w:rsidR="00C50008" w:rsidRPr="0068677C" w:rsidRDefault="00C50008" w:rsidP="005B5AEE">
            <w:pPr>
              <w:jc w:val="both"/>
              <w:rPr>
                <w:sz w:val="20"/>
              </w:rPr>
            </w:pPr>
            <w:r w:rsidRPr="0068677C">
              <w:rPr>
                <w:sz w:val="20"/>
              </w:rPr>
              <w:t>E.W. and her two children are Métis</w:t>
            </w:r>
            <w:r w:rsidRPr="0068677C">
              <w:rPr>
                <w:rFonts w:cs="Arial"/>
                <w:color w:val="222222"/>
                <w:sz w:val="20"/>
                <w:lang w:val="en"/>
              </w:rPr>
              <w:t xml:space="preserve">. </w:t>
            </w:r>
            <w:r w:rsidRPr="0068677C">
              <w:rPr>
                <w:sz w:val="20"/>
              </w:rPr>
              <w:t>The children were placed with the Windsor</w:t>
            </w:r>
            <w:r w:rsidRPr="0068677C">
              <w:rPr>
                <w:sz w:val="20"/>
              </w:rPr>
              <w:noBreakHyphen/>
              <w:t>Essex Children’s Aid Society in 2016. In 2018, the Society applied for a permanent extended care placement</w:t>
            </w:r>
            <w:r w:rsidRPr="0068677C">
              <w:rPr>
                <w:rFonts w:cs="Arial"/>
                <w:color w:val="222222"/>
                <w:sz w:val="20"/>
              </w:rPr>
              <w:t>.</w:t>
            </w:r>
            <w:r w:rsidRPr="0068677C">
              <w:rPr>
                <w:rFonts w:cs="Arial"/>
                <w:color w:val="222222"/>
                <w:sz w:val="20"/>
                <w:lang w:val="en"/>
              </w:rPr>
              <w:t xml:space="preserve">The application judge did not consider a kin or </w:t>
            </w:r>
            <w:r w:rsidRPr="0068677C">
              <w:rPr>
                <w:sz w:val="20"/>
              </w:rPr>
              <w:t>Métis</w:t>
            </w:r>
            <w:r w:rsidRPr="0068677C">
              <w:rPr>
                <w:i/>
                <w:sz w:val="20"/>
              </w:rPr>
              <w:t xml:space="preserve"> </w:t>
            </w:r>
            <w:r w:rsidRPr="0068677C">
              <w:rPr>
                <w:sz w:val="20"/>
              </w:rPr>
              <w:t xml:space="preserve">family placement as required by the </w:t>
            </w:r>
            <w:r w:rsidRPr="0068677C">
              <w:rPr>
                <w:i/>
                <w:sz w:val="20"/>
              </w:rPr>
              <w:t>Child, Youth and Family Services Act</w:t>
            </w:r>
            <w:r w:rsidRPr="0068677C">
              <w:rPr>
                <w:sz w:val="20"/>
              </w:rPr>
              <w:t>, 2017, S.O. 2017, c. 14,</w:t>
            </w:r>
            <w:r w:rsidRPr="0068677C">
              <w:rPr>
                <w:rFonts w:cs="Arial"/>
                <w:color w:val="222222"/>
                <w:sz w:val="20"/>
                <w:lang w:val="en"/>
              </w:rPr>
              <w:t xml:space="preserve"> because he held the children were not </w:t>
            </w:r>
            <w:r w:rsidRPr="0068677C">
              <w:rPr>
                <w:sz w:val="20"/>
              </w:rPr>
              <w:t>Métis. The appellate level courts held this was an error but it was not significant because he considered their Métis status when assessing their best interests. The application judge ordered permanent extended care with the Society and no access to the parents. The Superior Court of Justice dismissed an appeal. The Court of Appeal ordered monthly photograph access to E.W. but otherwise dismissed her appeal.</w:t>
            </w:r>
          </w:p>
          <w:p w:rsidR="00C50008" w:rsidRPr="0068677C" w:rsidRDefault="00C50008" w:rsidP="005B5AEE">
            <w:pPr>
              <w:jc w:val="both"/>
              <w:rPr>
                <w:sz w:val="20"/>
              </w:rPr>
            </w:pPr>
          </w:p>
        </w:tc>
      </w:tr>
      <w:tr w:rsidR="00C50008" w:rsidRPr="0068677C" w:rsidTr="005B5AEE">
        <w:tblPrEx>
          <w:tblCellMar>
            <w:bottom w:w="0" w:type="dxa"/>
          </w:tblCellMar>
        </w:tblPrEx>
        <w:tc>
          <w:tcPr>
            <w:tcW w:w="2367" w:type="pct"/>
          </w:tcPr>
          <w:p w:rsidR="00C50008" w:rsidRPr="0068677C" w:rsidRDefault="00C50008" w:rsidP="005B5AEE">
            <w:pPr>
              <w:jc w:val="both"/>
              <w:rPr>
                <w:sz w:val="20"/>
              </w:rPr>
            </w:pPr>
            <w:r w:rsidRPr="0068677C">
              <w:rPr>
                <w:sz w:val="20"/>
              </w:rPr>
              <w:t xml:space="preserve">May 29, 2018 </w:t>
            </w:r>
          </w:p>
          <w:p w:rsidR="00C50008" w:rsidRPr="0068677C" w:rsidRDefault="00C50008" w:rsidP="005B5AEE">
            <w:pPr>
              <w:jc w:val="both"/>
              <w:rPr>
                <w:sz w:val="20"/>
              </w:rPr>
            </w:pPr>
            <w:r w:rsidRPr="0068677C">
              <w:rPr>
                <w:sz w:val="20"/>
              </w:rPr>
              <w:t>Ontario Court of Justice</w:t>
            </w:r>
          </w:p>
          <w:p w:rsidR="00C50008" w:rsidRPr="0068677C" w:rsidRDefault="00C50008" w:rsidP="005B5AEE">
            <w:pPr>
              <w:jc w:val="both"/>
              <w:rPr>
                <w:sz w:val="20"/>
              </w:rPr>
            </w:pPr>
            <w:r w:rsidRPr="0068677C">
              <w:rPr>
                <w:sz w:val="20"/>
              </w:rPr>
              <w:t>(Phillips J.)(Unreported)</w:t>
            </w:r>
          </w:p>
          <w:p w:rsidR="00C50008" w:rsidRPr="0068677C" w:rsidRDefault="00C50008" w:rsidP="005B5AEE">
            <w:pPr>
              <w:jc w:val="both"/>
              <w:rPr>
                <w:sz w:val="20"/>
              </w:rPr>
            </w:pPr>
          </w:p>
        </w:tc>
        <w:tc>
          <w:tcPr>
            <w:tcW w:w="267" w:type="pct"/>
          </w:tcPr>
          <w:p w:rsidR="00C50008" w:rsidRPr="0068677C" w:rsidRDefault="00C50008" w:rsidP="005B5AEE">
            <w:pPr>
              <w:jc w:val="both"/>
              <w:rPr>
                <w:sz w:val="20"/>
              </w:rPr>
            </w:pPr>
          </w:p>
        </w:tc>
        <w:tc>
          <w:tcPr>
            <w:tcW w:w="2366" w:type="pct"/>
            <w:gridSpan w:val="2"/>
          </w:tcPr>
          <w:p w:rsidR="00C50008" w:rsidRPr="0068677C" w:rsidRDefault="00C50008" w:rsidP="005B5AEE">
            <w:pPr>
              <w:jc w:val="both"/>
              <w:rPr>
                <w:sz w:val="20"/>
              </w:rPr>
            </w:pPr>
            <w:r w:rsidRPr="0068677C">
              <w:rPr>
                <w:sz w:val="20"/>
              </w:rPr>
              <w:t>Order granted placing children in extended care of Windsor</w:t>
            </w:r>
            <w:r w:rsidRPr="0068677C">
              <w:rPr>
                <w:sz w:val="20"/>
              </w:rPr>
              <w:noBreakHyphen/>
              <w:t>Essex Children’s Aid Society without access granted to parents</w:t>
            </w:r>
          </w:p>
        </w:tc>
      </w:tr>
      <w:tr w:rsidR="00C50008" w:rsidRPr="0068677C" w:rsidTr="005B5AEE">
        <w:tblPrEx>
          <w:tblCellMar>
            <w:bottom w:w="0" w:type="dxa"/>
          </w:tblCellMar>
        </w:tblPrEx>
        <w:tc>
          <w:tcPr>
            <w:tcW w:w="2367" w:type="pct"/>
          </w:tcPr>
          <w:p w:rsidR="00C50008" w:rsidRPr="0068677C" w:rsidRDefault="00C50008" w:rsidP="005B5AEE">
            <w:pPr>
              <w:jc w:val="both"/>
              <w:rPr>
                <w:sz w:val="20"/>
              </w:rPr>
            </w:pPr>
            <w:r w:rsidRPr="0068677C">
              <w:rPr>
                <w:sz w:val="20"/>
              </w:rPr>
              <w:t>June 4, 2019</w:t>
            </w:r>
          </w:p>
          <w:p w:rsidR="00C50008" w:rsidRPr="0068677C" w:rsidRDefault="00C50008" w:rsidP="005B5AEE">
            <w:pPr>
              <w:jc w:val="both"/>
              <w:rPr>
                <w:sz w:val="20"/>
              </w:rPr>
            </w:pPr>
            <w:r w:rsidRPr="0068677C">
              <w:rPr>
                <w:sz w:val="20"/>
              </w:rPr>
              <w:t>Ontario Superior Court of Justice</w:t>
            </w:r>
          </w:p>
          <w:p w:rsidR="00C50008" w:rsidRPr="0068677C" w:rsidRDefault="00C50008" w:rsidP="005B5AEE">
            <w:pPr>
              <w:jc w:val="both"/>
              <w:rPr>
                <w:sz w:val="20"/>
              </w:rPr>
            </w:pPr>
            <w:r w:rsidRPr="0068677C">
              <w:rPr>
                <w:sz w:val="20"/>
              </w:rPr>
              <w:t>(Verbeem J.)</w:t>
            </w:r>
          </w:p>
          <w:p w:rsidR="00C50008" w:rsidRPr="0068677C" w:rsidRDefault="00D800B2" w:rsidP="005B5AEE">
            <w:pPr>
              <w:jc w:val="both"/>
              <w:rPr>
                <w:sz w:val="20"/>
              </w:rPr>
            </w:pPr>
            <w:hyperlink r:id="rId47" w:history="1">
              <w:r w:rsidR="00C50008" w:rsidRPr="0068677C">
                <w:rPr>
                  <w:rStyle w:val="Hyperlink"/>
                  <w:sz w:val="20"/>
                </w:rPr>
                <w:t>2019 ONSC 3404</w:t>
              </w:r>
            </w:hyperlink>
          </w:p>
          <w:p w:rsidR="00C50008" w:rsidRPr="0068677C" w:rsidRDefault="00C50008" w:rsidP="005B5AEE">
            <w:pPr>
              <w:jc w:val="both"/>
              <w:rPr>
                <w:sz w:val="20"/>
              </w:rPr>
            </w:pPr>
          </w:p>
        </w:tc>
        <w:tc>
          <w:tcPr>
            <w:tcW w:w="267" w:type="pct"/>
          </w:tcPr>
          <w:p w:rsidR="00C50008" w:rsidRPr="0068677C" w:rsidRDefault="00C50008" w:rsidP="005B5AEE">
            <w:pPr>
              <w:jc w:val="both"/>
              <w:rPr>
                <w:sz w:val="20"/>
              </w:rPr>
            </w:pPr>
          </w:p>
        </w:tc>
        <w:tc>
          <w:tcPr>
            <w:tcW w:w="2366" w:type="pct"/>
            <w:gridSpan w:val="2"/>
          </w:tcPr>
          <w:p w:rsidR="00C50008" w:rsidRPr="0068677C" w:rsidRDefault="00C50008" w:rsidP="005B5AEE">
            <w:pPr>
              <w:jc w:val="both"/>
              <w:rPr>
                <w:sz w:val="20"/>
              </w:rPr>
            </w:pPr>
            <w:r w:rsidRPr="0068677C">
              <w:rPr>
                <w:sz w:val="20"/>
              </w:rPr>
              <w:t>Appeal dismissed</w:t>
            </w:r>
          </w:p>
        </w:tc>
      </w:tr>
      <w:tr w:rsidR="00C50008" w:rsidRPr="0068677C" w:rsidTr="005B5AEE">
        <w:tblPrEx>
          <w:tblCellMar>
            <w:bottom w:w="0" w:type="dxa"/>
          </w:tblCellMar>
        </w:tblPrEx>
        <w:tc>
          <w:tcPr>
            <w:tcW w:w="2367" w:type="pct"/>
          </w:tcPr>
          <w:p w:rsidR="00C50008" w:rsidRPr="0068677C" w:rsidRDefault="00C50008" w:rsidP="005B5AEE">
            <w:pPr>
              <w:jc w:val="both"/>
              <w:rPr>
                <w:sz w:val="20"/>
              </w:rPr>
            </w:pPr>
            <w:r w:rsidRPr="0068677C">
              <w:rPr>
                <w:sz w:val="20"/>
              </w:rPr>
              <w:t>October 28, 2020</w:t>
            </w:r>
          </w:p>
          <w:p w:rsidR="00C50008" w:rsidRPr="0068677C" w:rsidRDefault="00C50008" w:rsidP="005B5AEE">
            <w:pPr>
              <w:jc w:val="both"/>
              <w:rPr>
                <w:sz w:val="20"/>
              </w:rPr>
            </w:pPr>
            <w:r w:rsidRPr="0068677C">
              <w:rPr>
                <w:sz w:val="20"/>
              </w:rPr>
              <w:t>Court of Appeal for Ontario</w:t>
            </w:r>
          </w:p>
          <w:p w:rsidR="00C50008" w:rsidRPr="0068677C" w:rsidRDefault="00C50008" w:rsidP="005B5AEE">
            <w:pPr>
              <w:jc w:val="both"/>
              <w:rPr>
                <w:sz w:val="20"/>
              </w:rPr>
            </w:pPr>
            <w:r w:rsidRPr="0068677C">
              <w:rPr>
                <w:sz w:val="20"/>
              </w:rPr>
              <w:t>(Doherty, Hoy, Jamal JJ.A.)</w:t>
            </w:r>
          </w:p>
          <w:p w:rsidR="00C50008" w:rsidRPr="0068677C" w:rsidRDefault="00D800B2" w:rsidP="005B5AEE">
            <w:pPr>
              <w:jc w:val="both"/>
              <w:rPr>
                <w:sz w:val="20"/>
              </w:rPr>
            </w:pPr>
            <w:hyperlink r:id="rId48" w:history="1">
              <w:r w:rsidR="00C50008" w:rsidRPr="0068677C">
                <w:rPr>
                  <w:rStyle w:val="Hyperlink"/>
                  <w:sz w:val="20"/>
                </w:rPr>
                <w:t>2020 ONCA 682</w:t>
              </w:r>
            </w:hyperlink>
            <w:r w:rsidR="00C50008" w:rsidRPr="0068677C">
              <w:rPr>
                <w:sz w:val="20"/>
              </w:rPr>
              <w:t>; C67174</w:t>
            </w:r>
          </w:p>
          <w:p w:rsidR="00C50008" w:rsidRPr="0068677C" w:rsidRDefault="00C50008" w:rsidP="005B5AEE">
            <w:pPr>
              <w:jc w:val="both"/>
              <w:rPr>
                <w:sz w:val="20"/>
              </w:rPr>
            </w:pPr>
          </w:p>
        </w:tc>
        <w:tc>
          <w:tcPr>
            <w:tcW w:w="267" w:type="pct"/>
          </w:tcPr>
          <w:p w:rsidR="00C50008" w:rsidRPr="0068677C" w:rsidRDefault="00C50008" w:rsidP="005B5AEE">
            <w:pPr>
              <w:jc w:val="both"/>
              <w:rPr>
                <w:sz w:val="20"/>
              </w:rPr>
            </w:pPr>
          </w:p>
        </w:tc>
        <w:tc>
          <w:tcPr>
            <w:tcW w:w="2366" w:type="pct"/>
            <w:gridSpan w:val="2"/>
          </w:tcPr>
          <w:p w:rsidR="00C50008" w:rsidRPr="0068677C" w:rsidRDefault="00C50008" w:rsidP="005B5AEE">
            <w:pPr>
              <w:jc w:val="both"/>
              <w:rPr>
                <w:sz w:val="20"/>
              </w:rPr>
            </w:pPr>
            <w:r w:rsidRPr="0068677C">
              <w:rPr>
                <w:sz w:val="20"/>
              </w:rPr>
              <w:t>Appeal allowed in part, mother granted monthly access to photographs</w:t>
            </w:r>
          </w:p>
        </w:tc>
      </w:tr>
      <w:tr w:rsidR="00C50008" w:rsidRPr="0068677C" w:rsidTr="005B5AEE">
        <w:tblPrEx>
          <w:tblCellMar>
            <w:bottom w:w="0" w:type="dxa"/>
          </w:tblCellMar>
        </w:tblPrEx>
        <w:tc>
          <w:tcPr>
            <w:tcW w:w="2367" w:type="pct"/>
          </w:tcPr>
          <w:p w:rsidR="00C50008" w:rsidRPr="0068677C" w:rsidRDefault="00C50008" w:rsidP="005B5AEE">
            <w:pPr>
              <w:jc w:val="both"/>
              <w:rPr>
                <w:sz w:val="20"/>
              </w:rPr>
            </w:pPr>
            <w:r w:rsidRPr="0068677C">
              <w:rPr>
                <w:sz w:val="20"/>
              </w:rPr>
              <w:t>January 8, 2021</w:t>
            </w:r>
          </w:p>
          <w:p w:rsidR="00C50008" w:rsidRPr="0068677C" w:rsidRDefault="00C50008" w:rsidP="005B5AEE">
            <w:pPr>
              <w:jc w:val="both"/>
              <w:rPr>
                <w:sz w:val="20"/>
              </w:rPr>
            </w:pPr>
            <w:r w:rsidRPr="0068677C">
              <w:rPr>
                <w:sz w:val="20"/>
              </w:rPr>
              <w:t>Supreme Court of Canada</w:t>
            </w:r>
          </w:p>
        </w:tc>
        <w:tc>
          <w:tcPr>
            <w:tcW w:w="267" w:type="pct"/>
          </w:tcPr>
          <w:p w:rsidR="00C50008" w:rsidRPr="0068677C" w:rsidRDefault="00C50008" w:rsidP="005B5AEE">
            <w:pPr>
              <w:jc w:val="both"/>
              <w:rPr>
                <w:sz w:val="20"/>
              </w:rPr>
            </w:pPr>
          </w:p>
        </w:tc>
        <w:tc>
          <w:tcPr>
            <w:tcW w:w="2366" w:type="pct"/>
            <w:gridSpan w:val="2"/>
          </w:tcPr>
          <w:p w:rsidR="00C50008" w:rsidRPr="0068677C" w:rsidRDefault="00C50008" w:rsidP="005B5AEE">
            <w:pPr>
              <w:jc w:val="both"/>
              <w:rPr>
                <w:sz w:val="20"/>
              </w:rPr>
            </w:pPr>
            <w:r w:rsidRPr="0068677C">
              <w:rPr>
                <w:sz w:val="20"/>
              </w:rPr>
              <w:t>Motion for extension of time to serve and file application for leave to appeal and Application for leave to appeal filed</w:t>
            </w: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52" style="width:2in;height:1pt" o:hrpct="0" o:hralign="center" o:hrstd="t" o:hrnoshade="t" o:hr="t" fillcolor="black [3213]" stroked="f"/>
        </w:pict>
      </w:r>
    </w:p>
    <w:p w:rsidR="00C50008" w:rsidRPr="0068677C" w:rsidRDefault="00C50008" w:rsidP="00C5000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50008" w:rsidRPr="0068677C" w:rsidTr="005B5AEE">
        <w:trPr>
          <w:gridAfter w:val="1"/>
          <w:wAfter w:w="48" w:type="pct"/>
        </w:trPr>
        <w:tc>
          <w:tcPr>
            <w:tcW w:w="538" w:type="pct"/>
          </w:tcPr>
          <w:p w:rsidR="00C50008" w:rsidRPr="0068677C" w:rsidRDefault="00C50008" w:rsidP="005B5AEE">
            <w:pPr>
              <w:jc w:val="both"/>
              <w:rPr>
                <w:sz w:val="20"/>
                <w:lang w:val="fr-CA"/>
              </w:rPr>
            </w:pPr>
            <w:r w:rsidRPr="0068677C">
              <w:rPr>
                <w:rStyle w:val="SCCFileNumberChar"/>
                <w:sz w:val="20"/>
                <w:szCs w:val="20"/>
                <w:lang w:val="fr-CA"/>
              </w:rPr>
              <w:t>39521</w:t>
            </w:r>
          </w:p>
        </w:tc>
        <w:tc>
          <w:tcPr>
            <w:tcW w:w="4414" w:type="pct"/>
            <w:gridSpan w:val="3"/>
          </w:tcPr>
          <w:p w:rsidR="00C50008" w:rsidRPr="0068677C" w:rsidRDefault="00C50008" w:rsidP="005B5AEE">
            <w:pPr>
              <w:pStyle w:val="SCCLsocParty"/>
              <w:jc w:val="both"/>
              <w:rPr>
                <w:b/>
                <w:sz w:val="20"/>
                <w:szCs w:val="20"/>
              </w:rPr>
            </w:pPr>
            <w:r w:rsidRPr="0068677C">
              <w:rPr>
                <w:b/>
                <w:sz w:val="20"/>
                <w:szCs w:val="20"/>
              </w:rPr>
              <w:t xml:space="preserve">E.W. c. </w:t>
            </w:r>
            <w:r w:rsidR="00466C63" w:rsidRPr="0068677C">
              <w:rPr>
                <w:b/>
                <w:sz w:val="20"/>
                <w:szCs w:val="20"/>
              </w:rPr>
              <w:t>Société de l’aide à l’enfance de Windsor-Essex</w:t>
            </w:r>
          </w:p>
          <w:p w:rsidR="00C50008" w:rsidRPr="0068677C" w:rsidRDefault="00C50008" w:rsidP="005B5AEE">
            <w:pPr>
              <w:jc w:val="both"/>
              <w:rPr>
                <w:sz w:val="20"/>
                <w:lang w:val="fr-CA"/>
              </w:rPr>
            </w:pPr>
            <w:r w:rsidRPr="0068677C">
              <w:rPr>
                <w:sz w:val="20"/>
                <w:lang w:val="fr-CA"/>
              </w:rPr>
              <w:t>(Ont.) (Civile) (Sur autorisation)</w:t>
            </w:r>
          </w:p>
        </w:tc>
      </w:tr>
      <w:tr w:rsidR="00C50008" w:rsidRPr="00D800B2" w:rsidTr="005B5AEE">
        <w:trPr>
          <w:gridAfter w:val="1"/>
          <w:wAfter w:w="48" w:type="pct"/>
        </w:trPr>
        <w:tc>
          <w:tcPr>
            <w:tcW w:w="4952" w:type="pct"/>
            <w:gridSpan w:val="4"/>
          </w:tcPr>
          <w:p w:rsidR="00C50008" w:rsidRPr="0068677C" w:rsidRDefault="00466C63" w:rsidP="005B5AEE">
            <w:pPr>
              <w:pStyle w:val="SCCBanSummary0"/>
              <w:rPr>
                <w:smallCaps w:val="0"/>
                <w:sz w:val="20"/>
                <w:szCs w:val="20"/>
                <w:lang w:val="fr-CA"/>
              </w:rPr>
            </w:pPr>
            <w:r w:rsidRPr="0068677C">
              <w:rPr>
                <w:smallCaps w:val="0"/>
                <w:sz w:val="20"/>
                <w:szCs w:val="20"/>
                <w:lang w:val="fr-CA"/>
              </w:rPr>
              <w:t>La requête en prorogation du délai de signification et de dépôt de la demande d’autorisation d’appel est accueillie. La demande d’autorisation d’appel de l’arrêt de la Cour d’appel de l’Ontario, numéro C67174, 2020 ONCA 682, daté du 28 octobre 2020, est rejetée sans dépens.</w:t>
            </w:r>
          </w:p>
          <w:p w:rsidR="00466C63" w:rsidRPr="0068677C" w:rsidRDefault="00466C63" w:rsidP="00466C63">
            <w:pPr>
              <w:rPr>
                <w:lang w:val="fr-CA"/>
              </w:rPr>
            </w:pPr>
          </w:p>
        </w:tc>
      </w:tr>
      <w:tr w:rsidR="00C50008" w:rsidRPr="00D800B2" w:rsidTr="005B5AEE">
        <w:trPr>
          <w:gridAfter w:val="1"/>
          <w:wAfter w:w="48" w:type="pct"/>
        </w:trPr>
        <w:tc>
          <w:tcPr>
            <w:tcW w:w="4952" w:type="pct"/>
            <w:gridSpan w:val="4"/>
          </w:tcPr>
          <w:p w:rsidR="00C50008" w:rsidRPr="0068677C" w:rsidRDefault="00C50008" w:rsidP="005B5AEE">
            <w:pPr>
              <w:pStyle w:val="SCCBanSummary0"/>
              <w:rPr>
                <w:sz w:val="20"/>
                <w:szCs w:val="20"/>
                <w:lang w:val="fr-CA"/>
              </w:rPr>
            </w:pPr>
            <w:r w:rsidRPr="0068677C">
              <w:rPr>
                <w:sz w:val="20"/>
                <w:szCs w:val="20"/>
                <w:lang w:val="fr-CA"/>
              </w:rPr>
              <w:t>(Ordonnance de non-publication dans le dossier) (Le public n’est pas autorisé à prendre connaissance de certains renseignements)</w:t>
            </w:r>
          </w:p>
          <w:p w:rsidR="00C50008" w:rsidRPr="0068677C" w:rsidRDefault="00C50008" w:rsidP="005B5AEE">
            <w:pPr>
              <w:pStyle w:val="SCCBanSummary0"/>
              <w:rPr>
                <w:sz w:val="20"/>
                <w:szCs w:val="20"/>
                <w:lang w:val="fr-CA"/>
              </w:rPr>
            </w:pPr>
          </w:p>
          <w:p w:rsidR="00C50008" w:rsidRPr="0068677C" w:rsidRDefault="00C50008" w:rsidP="005B5AEE">
            <w:pPr>
              <w:jc w:val="both"/>
              <w:rPr>
                <w:sz w:val="20"/>
                <w:lang w:val="fr-CA"/>
              </w:rPr>
            </w:pPr>
            <w:r w:rsidRPr="0068677C">
              <w:rPr>
                <w:sz w:val="20"/>
                <w:lang w:val="fr-CA"/>
              </w:rPr>
              <w:t xml:space="preserve">Droit des personnes — Protection de l’enfance — Droit de la famille — L’intérêt véritable des enfants autochtones bénéficie-t-il d’un droit à une considération spéciale en vertu de la loi? — Portée d’un droit de visite réel des parents autochtones avec leurs enfants autochtones qui conserve les liens relatifs à la culture, au patrimoine, à la langue et à la famille — Fardeau de la preuve quant au droit de visite des parents autochtones avec leurs enfants autochtones </w:t>
            </w:r>
            <w:r w:rsidRPr="0068677C">
              <w:rPr>
                <w:rFonts w:ascii="CG Times" w:hAnsi="CG Times"/>
                <w:spacing w:val="-3"/>
                <w:sz w:val="20"/>
                <w:lang w:val="fr-CA"/>
              </w:rPr>
              <w:t>dans une instance concernant le bien</w:t>
            </w:r>
            <w:r w:rsidRPr="0068677C">
              <w:rPr>
                <w:rFonts w:ascii="CG Times" w:hAnsi="CG Times"/>
                <w:spacing w:val="-3"/>
                <w:sz w:val="20"/>
                <w:lang w:val="fr-CA"/>
              </w:rPr>
              <w:noBreakHyphen/>
              <w:t>être des enfants</w:t>
            </w:r>
            <w:r w:rsidRPr="0068677C">
              <w:rPr>
                <w:sz w:val="20"/>
                <w:lang w:val="fr-CA"/>
              </w:rPr>
              <w:t xml:space="preserve"> — </w:t>
            </w:r>
            <w:r w:rsidRPr="0068677C">
              <w:rPr>
                <w:i/>
                <w:sz w:val="20"/>
                <w:lang w:val="fr-FR"/>
              </w:rPr>
              <w:t>Loi de 2017 sur les services à l’enfance, à la jeunesse et à la famille</w:t>
            </w:r>
            <w:r w:rsidRPr="0068677C">
              <w:rPr>
                <w:sz w:val="20"/>
                <w:lang w:val="fr-FR"/>
              </w:rPr>
              <w:t>,</w:t>
            </w:r>
            <w:r w:rsidRPr="0068677C">
              <w:rPr>
                <w:sz w:val="20"/>
                <w:lang w:val="fr-CA"/>
              </w:rPr>
              <w:t xml:space="preserve"> L.O. 2017, c. 14.</w:t>
            </w:r>
          </w:p>
        </w:tc>
      </w:tr>
      <w:tr w:rsidR="00C50008" w:rsidRPr="00D800B2" w:rsidTr="005B5AEE">
        <w:trPr>
          <w:gridAfter w:val="1"/>
          <w:wAfter w:w="48" w:type="pct"/>
        </w:trPr>
        <w:tc>
          <w:tcPr>
            <w:tcW w:w="4952" w:type="pct"/>
            <w:gridSpan w:val="4"/>
          </w:tcPr>
          <w:p w:rsidR="00C50008" w:rsidRPr="0068677C" w:rsidRDefault="00C50008" w:rsidP="005B5AEE">
            <w:pPr>
              <w:jc w:val="both"/>
              <w:rPr>
                <w:sz w:val="20"/>
                <w:lang w:val="fr-CA"/>
              </w:rPr>
            </w:pPr>
          </w:p>
        </w:tc>
      </w:tr>
      <w:tr w:rsidR="00C50008" w:rsidRPr="00D800B2" w:rsidTr="005B5AEE">
        <w:trPr>
          <w:gridAfter w:val="1"/>
          <w:wAfter w:w="48" w:type="pct"/>
        </w:trPr>
        <w:tc>
          <w:tcPr>
            <w:tcW w:w="4952" w:type="pct"/>
            <w:gridSpan w:val="4"/>
          </w:tcPr>
          <w:p w:rsidR="00C50008" w:rsidRPr="0068677C" w:rsidRDefault="00C50008" w:rsidP="005B5AEE">
            <w:pPr>
              <w:jc w:val="both"/>
              <w:rPr>
                <w:sz w:val="20"/>
                <w:lang w:val="fr-CA"/>
              </w:rPr>
            </w:pPr>
            <w:r w:rsidRPr="0068677C">
              <w:rPr>
                <w:sz w:val="20"/>
                <w:lang w:val="fr-CA"/>
              </w:rPr>
              <w:lastRenderedPageBreak/>
              <w:t>E.W. et ses deux enfants sont des Métis</w:t>
            </w:r>
            <w:r w:rsidRPr="0068677C">
              <w:rPr>
                <w:rFonts w:cs="Arial"/>
                <w:color w:val="222222"/>
                <w:sz w:val="20"/>
                <w:lang w:val="fr-CA"/>
              </w:rPr>
              <w:t xml:space="preserve">. </w:t>
            </w:r>
            <w:r w:rsidRPr="0068677C">
              <w:rPr>
                <w:sz w:val="20"/>
                <w:lang w:val="fr-CA"/>
              </w:rPr>
              <w:t>Les enfants ont été pris en charge par la Windsor</w:t>
            </w:r>
            <w:r w:rsidRPr="0068677C">
              <w:rPr>
                <w:sz w:val="20"/>
                <w:lang w:val="fr-CA"/>
              </w:rPr>
              <w:noBreakHyphen/>
              <w:t xml:space="preserve">Essex Children’s Aid Society en 2016. En 2018, cette dernière a demandé que les enfants soient confiés aux soins de la Children’s Aid Society de façon prolongée et définitive. Le juge saisi de la demande n’a pas examiné la possibilité de placer les enfants chez un parent proche ou dans une famille métisse comme l’exige la </w:t>
            </w:r>
            <w:r w:rsidRPr="0068677C">
              <w:rPr>
                <w:i/>
                <w:sz w:val="20"/>
                <w:lang w:val="fr-FR"/>
              </w:rPr>
              <w:t>Loi de 2017 sur les services à l’enfance, à la jeunesse et à la famille</w:t>
            </w:r>
            <w:r w:rsidRPr="0068677C">
              <w:rPr>
                <w:sz w:val="20"/>
                <w:lang w:val="fr-FR"/>
              </w:rPr>
              <w:t>,</w:t>
            </w:r>
            <w:r w:rsidRPr="0068677C">
              <w:rPr>
                <w:sz w:val="20"/>
                <w:lang w:val="fr-CA"/>
              </w:rPr>
              <w:t xml:space="preserve"> L.O. 2017, c. 14,</w:t>
            </w:r>
            <w:r w:rsidRPr="0068677C">
              <w:rPr>
                <w:rFonts w:cs="Arial"/>
                <w:color w:val="222222"/>
                <w:sz w:val="20"/>
                <w:lang w:val="fr-CA"/>
              </w:rPr>
              <w:t xml:space="preserve"> puisqu’il a conclu que les enfants n’étaient pas des M</w:t>
            </w:r>
            <w:r w:rsidRPr="0068677C">
              <w:rPr>
                <w:sz w:val="20"/>
                <w:lang w:val="fr-CA"/>
              </w:rPr>
              <w:t>étis. Les cours d’appel ont statué qu’il s’agissait là d’une erreur, mais qu’elle n’était pas importante en raison du fait que le juge a tenu compte de leur statut de Métis au moment d’apprécier l’intérêt véritable de ceux-ci. Le juge saisi de la demande a ordonné que les enfants soient confiés aux soins de la Children’s Aid Society de façon prolongée et définitive, sans accorder aux parents aucun droit de visite. La Cour supérieure de justice a rejeté l’appel. La Cour d’appel a rejeté l’appel d’E.W., sauf pour lui accorder le droit de recevoir des photographies de ses enfants tous les mois.</w:t>
            </w:r>
          </w:p>
          <w:p w:rsidR="00C50008" w:rsidRPr="0068677C" w:rsidRDefault="00C50008" w:rsidP="005B5AEE">
            <w:pPr>
              <w:jc w:val="both"/>
              <w:rPr>
                <w:sz w:val="20"/>
                <w:lang w:val="fr-CA"/>
              </w:rPr>
            </w:pPr>
          </w:p>
        </w:tc>
      </w:tr>
      <w:tr w:rsidR="00C50008" w:rsidRPr="00D800B2" w:rsidTr="005B5AEE">
        <w:tblPrEx>
          <w:tblCellMar>
            <w:bottom w:w="0" w:type="dxa"/>
          </w:tblCellMar>
        </w:tblPrEx>
        <w:tc>
          <w:tcPr>
            <w:tcW w:w="2367" w:type="pct"/>
            <w:gridSpan w:val="2"/>
          </w:tcPr>
          <w:p w:rsidR="00C50008" w:rsidRPr="0068677C" w:rsidRDefault="00C50008" w:rsidP="005B5AEE">
            <w:pPr>
              <w:jc w:val="both"/>
              <w:rPr>
                <w:sz w:val="20"/>
                <w:lang w:val="fr-CA"/>
              </w:rPr>
            </w:pPr>
            <w:r w:rsidRPr="0068677C">
              <w:rPr>
                <w:sz w:val="20"/>
                <w:lang w:val="fr-CA"/>
              </w:rPr>
              <w:t xml:space="preserve">29 mai 2018 </w:t>
            </w:r>
          </w:p>
          <w:p w:rsidR="00C50008" w:rsidRPr="0068677C" w:rsidRDefault="00C50008" w:rsidP="005B5AEE">
            <w:pPr>
              <w:jc w:val="both"/>
              <w:rPr>
                <w:sz w:val="20"/>
                <w:lang w:val="fr-CA"/>
              </w:rPr>
            </w:pPr>
            <w:r w:rsidRPr="0068677C">
              <w:rPr>
                <w:sz w:val="20"/>
                <w:lang w:val="fr-CA"/>
              </w:rPr>
              <w:t>Cour de justice de l’Ontario</w:t>
            </w:r>
          </w:p>
          <w:p w:rsidR="00C50008" w:rsidRPr="0068677C" w:rsidRDefault="00C50008" w:rsidP="005B5AEE">
            <w:pPr>
              <w:jc w:val="both"/>
              <w:rPr>
                <w:sz w:val="20"/>
                <w:lang w:val="fr-CA"/>
              </w:rPr>
            </w:pPr>
            <w:r w:rsidRPr="0068677C">
              <w:rPr>
                <w:sz w:val="20"/>
                <w:lang w:val="fr-CA"/>
              </w:rPr>
              <w:t>(juge Phillips) (non publié)</w:t>
            </w:r>
          </w:p>
          <w:p w:rsidR="00C50008" w:rsidRPr="0068677C" w:rsidRDefault="00C50008" w:rsidP="005B5AEE">
            <w:pPr>
              <w:jc w:val="both"/>
              <w:rPr>
                <w:sz w:val="20"/>
                <w:lang w:val="fr-CA"/>
              </w:rPr>
            </w:pPr>
          </w:p>
        </w:tc>
        <w:tc>
          <w:tcPr>
            <w:tcW w:w="267" w:type="pct"/>
          </w:tcPr>
          <w:p w:rsidR="00C50008" w:rsidRPr="0068677C" w:rsidRDefault="00C50008" w:rsidP="005B5AEE">
            <w:pPr>
              <w:jc w:val="both"/>
              <w:rPr>
                <w:sz w:val="20"/>
                <w:lang w:val="fr-CA"/>
              </w:rPr>
            </w:pPr>
          </w:p>
        </w:tc>
        <w:tc>
          <w:tcPr>
            <w:tcW w:w="2366" w:type="pct"/>
            <w:gridSpan w:val="2"/>
          </w:tcPr>
          <w:p w:rsidR="00C50008" w:rsidRPr="0068677C" w:rsidRDefault="00C50008" w:rsidP="005B5AEE">
            <w:pPr>
              <w:jc w:val="both"/>
              <w:rPr>
                <w:sz w:val="20"/>
                <w:lang w:val="fr-CA"/>
              </w:rPr>
            </w:pPr>
            <w:r w:rsidRPr="0068677C">
              <w:rPr>
                <w:sz w:val="20"/>
                <w:lang w:val="fr-CA"/>
              </w:rPr>
              <w:t>L’ordonnance portant que les enfants sont confiés aux soins de la Windsor</w:t>
            </w:r>
            <w:r w:rsidRPr="0068677C">
              <w:rPr>
                <w:sz w:val="20"/>
                <w:lang w:val="fr-CA"/>
              </w:rPr>
              <w:noBreakHyphen/>
              <w:t>Essex Children’s Aid Society de façon prolongée, sans droit de visite accordé aux parents, est rendue.</w:t>
            </w:r>
          </w:p>
          <w:p w:rsidR="00C50008" w:rsidRPr="0068677C" w:rsidRDefault="00C50008" w:rsidP="005B5AEE">
            <w:pPr>
              <w:jc w:val="both"/>
              <w:rPr>
                <w:sz w:val="20"/>
                <w:lang w:val="fr-CA"/>
              </w:rPr>
            </w:pPr>
          </w:p>
        </w:tc>
      </w:tr>
      <w:tr w:rsidR="00C50008" w:rsidRPr="0068677C" w:rsidTr="005B5AEE">
        <w:tblPrEx>
          <w:tblCellMar>
            <w:bottom w:w="0" w:type="dxa"/>
          </w:tblCellMar>
        </w:tblPrEx>
        <w:tc>
          <w:tcPr>
            <w:tcW w:w="2367" w:type="pct"/>
            <w:gridSpan w:val="2"/>
          </w:tcPr>
          <w:p w:rsidR="00C50008" w:rsidRPr="0068677C" w:rsidRDefault="00C50008" w:rsidP="005B5AEE">
            <w:pPr>
              <w:jc w:val="both"/>
              <w:rPr>
                <w:sz w:val="20"/>
                <w:lang w:val="fr-CA"/>
              </w:rPr>
            </w:pPr>
            <w:r w:rsidRPr="0068677C">
              <w:rPr>
                <w:sz w:val="20"/>
                <w:lang w:val="fr-CA"/>
              </w:rPr>
              <w:t>4 juin 2019</w:t>
            </w:r>
          </w:p>
          <w:p w:rsidR="00C50008" w:rsidRPr="0068677C" w:rsidRDefault="00C50008" w:rsidP="005B5AEE">
            <w:pPr>
              <w:jc w:val="both"/>
              <w:rPr>
                <w:sz w:val="20"/>
                <w:lang w:val="fr-CA"/>
              </w:rPr>
            </w:pPr>
            <w:r w:rsidRPr="0068677C">
              <w:rPr>
                <w:sz w:val="20"/>
                <w:lang w:val="fr-CA"/>
              </w:rPr>
              <w:t>Cour supérieure de justice de l’Ontario</w:t>
            </w:r>
          </w:p>
          <w:p w:rsidR="00C50008" w:rsidRPr="0068677C" w:rsidRDefault="00C50008" w:rsidP="005B5AEE">
            <w:pPr>
              <w:jc w:val="both"/>
              <w:rPr>
                <w:sz w:val="20"/>
                <w:lang w:val="fr-CA"/>
              </w:rPr>
            </w:pPr>
            <w:r w:rsidRPr="0068677C">
              <w:rPr>
                <w:sz w:val="20"/>
                <w:lang w:val="fr-CA"/>
              </w:rPr>
              <w:t>(juge Verbeem)</w:t>
            </w:r>
          </w:p>
          <w:p w:rsidR="00C50008" w:rsidRPr="0068677C" w:rsidRDefault="00D800B2" w:rsidP="005B5AEE">
            <w:pPr>
              <w:jc w:val="both"/>
              <w:rPr>
                <w:sz w:val="20"/>
                <w:lang w:val="fr-CA"/>
              </w:rPr>
            </w:pPr>
            <w:hyperlink r:id="rId49" w:history="1">
              <w:r w:rsidR="00C50008" w:rsidRPr="0068677C">
                <w:rPr>
                  <w:rStyle w:val="Hyperlink"/>
                  <w:sz w:val="20"/>
                  <w:lang w:val="fr-CA"/>
                </w:rPr>
                <w:t>2019 ONSC 3404</w:t>
              </w:r>
            </w:hyperlink>
          </w:p>
          <w:p w:rsidR="00C50008" w:rsidRPr="0068677C" w:rsidRDefault="00C50008" w:rsidP="005B5AEE">
            <w:pPr>
              <w:jc w:val="both"/>
              <w:rPr>
                <w:sz w:val="20"/>
                <w:lang w:val="fr-CA"/>
              </w:rPr>
            </w:pPr>
          </w:p>
        </w:tc>
        <w:tc>
          <w:tcPr>
            <w:tcW w:w="267" w:type="pct"/>
          </w:tcPr>
          <w:p w:rsidR="00C50008" w:rsidRPr="0068677C" w:rsidRDefault="00C50008" w:rsidP="005B5AEE">
            <w:pPr>
              <w:jc w:val="both"/>
              <w:rPr>
                <w:sz w:val="20"/>
                <w:lang w:val="fr-CA"/>
              </w:rPr>
            </w:pPr>
          </w:p>
        </w:tc>
        <w:tc>
          <w:tcPr>
            <w:tcW w:w="2366" w:type="pct"/>
            <w:gridSpan w:val="2"/>
          </w:tcPr>
          <w:p w:rsidR="00C50008" w:rsidRPr="0068677C" w:rsidRDefault="00C50008" w:rsidP="005B5AEE">
            <w:pPr>
              <w:jc w:val="both"/>
              <w:rPr>
                <w:sz w:val="20"/>
                <w:lang w:val="fr-CA"/>
              </w:rPr>
            </w:pPr>
            <w:r w:rsidRPr="0068677C">
              <w:rPr>
                <w:sz w:val="20"/>
                <w:lang w:val="fr-CA"/>
              </w:rPr>
              <w:t>L’appel est rejeté.</w:t>
            </w:r>
          </w:p>
        </w:tc>
      </w:tr>
      <w:tr w:rsidR="00C50008" w:rsidRPr="00D800B2" w:rsidTr="005B5AEE">
        <w:tblPrEx>
          <w:tblCellMar>
            <w:bottom w:w="0" w:type="dxa"/>
          </w:tblCellMar>
        </w:tblPrEx>
        <w:tc>
          <w:tcPr>
            <w:tcW w:w="2367" w:type="pct"/>
            <w:gridSpan w:val="2"/>
          </w:tcPr>
          <w:p w:rsidR="00C50008" w:rsidRPr="0068677C" w:rsidRDefault="00C50008" w:rsidP="005B5AEE">
            <w:pPr>
              <w:jc w:val="both"/>
              <w:rPr>
                <w:sz w:val="20"/>
                <w:lang w:val="fr-CA"/>
              </w:rPr>
            </w:pPr>
            <w:r w:rsidRPr="0068677C">
              <w:rPr>
                <w:sz w:val="20"/>
                <w:lang w:val="fr-CA"/>
              </w:rPr>
              <w:t>28 octobre 2020</w:t>
            </w:r>
          </w:p>
          <w:p w:rsidR="00C50008" w:rsidRPr="0068677C" w:rsidRDefault="00C50008" w:rsidP="005B5AEE">
            <w:pPr>
              <w:jc w:val="both"/>
              <w:rPr>
                <w:sz w:val="20"/>
                <w:lang w:val="fr-CA"/>
              </w:rPr>
            </w:pPr>
            <w:r w:rsidRPr="0068677C">
              <w:rPr>
                <w:sz w:val="20"/>
                <w:lang w:val="fr-CA"/>
              </w:rPr>
              <w:t>Cour d’appel de l’Ontario</w:t>
            </w:r>
          </w:p>
          <w:p w:rsidR="00C50008" w:rsidRPr="0068677C" w:rsidRDefault="00C50008" w:rsidP="005B5AEE">
            <w:pPr>
              <w:jc w:val="both"/>
              <w:rPr>
                <w:sz w:val="20"/>
                <w:lang w:val="fr-CA"/>
              </w:rPr>
            </w:pPr>
            <w:r w:rsidRPr="0068677C">
              <w:rPr>
                <w:sz w:val="20"/>
                <w:lang w:val="fr-CA"/>
              </w:rPr>
              <w:t>(juges Doherty, Hoy, Jamal)</w:t>
            </w:r>
          </w:p>
          <w:p w:rsidR="00C50008" w:rsidRPr="0068677C" w:rsidRDefault="00D800B2" w:rsidP="005B5AEE">
            <w:pPr>
              <w:jc w:val="both"/>
              <w:rPr>
                <w:sz w:val="20"/>
                <w:lang w:val="fr-CA"/>
              </w:rPr>
            </w:pPr>
            <w:hyperlink r:id="rId50" w:history="1">
              <w:r w:rsidR="00C50008" w:rsidRPr="0068677C">
                <w:rPr>
                  <w:rStyle w:val="Hyperlink"/>
                  <w:sz w:val="20"/>
                  <w:lang w:val="fr-CA"/>
                </w:rPr>
                <w:t>2020 ONCA 682</w:t>
              </w:r>
            </w:hyperlink>
            <w:r w:rsidR="00C50008" w:rsidRPr="0068677C">
              <w:rPr>
                <w:sz w:val="20"/>
                <w:lang w:val="fr-CA"/>
              </w:rPr>
              <w:t>; C67174</w:t>
            </w:r>
          </w:p>
          <w:p w:rsidR="00C50008" w:rsidRPr="0068677C" w:rsidRDefault="00C50008" w:rsidP="005B5AEE">
            <w:pPr>
              <w:jc w:val="both"/>
              <w:rPr>
                <w:sz w:val="20"/>
                <w:lang w:val="fr-CA"/>
              </w:rPr>
            </w:pPr>
          </w:p>
        </w:tc>
        <w:tc>
          <w:tcPr>
            <w:tcW w:w="267" w:type="pct"/>
          </w:tcPr>
          <w:p w:rsidR="00C50008" w:rsidRPr="0068677C" w:rsidRDefault="00C50008" w:rsidP="005B5AEE">
            <w:pPr>
              <w:jc w:val="both"/>
              <w:rPr>
                <w:sz w:val="20"/>
                <w:lang w:val="fr-CA"/>
              </w:rPr>
            </w:pPr>
          </w:p>
        </w:tc>
        <w:tc>
          <w:tcPr>
            <w:tcW w:w="2366" w:type="pct"/>
            <w:gridSpan w:val="2"/>
          </w:tcPr>
          <w:p w:rsidR="00C50008" w:rsidRPr="0068677C" w:rsidRDefault="00C50008" w:rsidP="005B5AEE">
            <w:pPr>
              <w:jc w:val="both"/>
              <w:rPr>
                <w:sz w:val="20"/>
                <w:lang w:val="fr-CA"/>
              </w:rPr>
            </w:pPr>
            <w:r w:rsidRPr="0068677C">
              <w:rPr>
                <w:sz w:val="20"/>
                <w:lang w:val="fr-CA"/>
              </w:rPr>
              <w:t>L’appel est accueilli en partie, dans la mesure où le droit de recevoir des photographies des enfants est accordé à la mère.</w:t>
            </w:r>
          </w:p>
        </w:tc>
      </w:tr>
      <w:tr w:rsidR="00C50008" w:rsidRPr="00D800B2" w:rsidTr="005B5AEE">
        <w:tblPrEx>
          <w:tblCellMar>
            <w:bottom w:w="0" w:type="dxa"/>
          </w:tblCellMar>
        </w:tblPrEx>
        <w:tc>
          <w:tcPr>
            <w:tcW w:w="2367" w:type="pct"/>
            <w:gridSpan w:val="2"/>
          </w:tcPr>
          <w:p w:rsidR="00C50008" w:rsidRPr="0068677C" w:rsidRDefault="00C50008" w:rsidP="005B5AEE">
            <w:pPr>
              <w:jc w:val="both"/>
              <w:rPr>
                <w:sz w:val="20"/>
                <w:lang w:val="fr-CA"/>
              </w:rPr>
            </w:pPr>
            <w:r w:rsidRPr="0068677C">
              <w:rPr>
                <w:sz w:val="20"/>
                <w:lang w:val="fr-CA"/>
              </w:rPr>
              <w:t>8 janvier 2021</w:t>
            </w:r>
          </w:p>
          <w:p w:rsidR="00C50008" w:rsidRPr="0068677C" w:rsidRDefault="00C50008" w:rsidP="005B5AEE">
            <w:pPr>
              <w:jc w:val="both"/>
              <w:rPr>
                <w:sz w:val="20"/>
                <w:lang w:val="fr-CA"/>
              </w:rPr>
            </w:pPr>
            <w:r w:rsidRPr="0068677C">
              <w:rPr>
                <w:sz w:val="20"/>
                <w:lang w:val="fr-CA"/>
              </w:rPr>
              <w:t>Cour suprême du Canada</w:t>
            </w:r>
          </w:p>
        </w:tc>
        <w:tc>
          <w:tcPr>
            <w:tcW w:w="267" w:type="pct"/>
          </w:tcPr>
          <w:p w:rsidR="00C50008" w:rsidRPr="0068677C" w:rsidRDefault="00C50008" w:rsidP="005B5AEE">
            <w:pPr>
              <w:jc w:val="both"/>
              <w:rPr>
                <w:sz w:val="20"/>
                <w:lang w:val="fr-CA"/>
              </w:rPr>
            </w:pPr>
          </w:p>
        </w:tc>
        <w:tc>
          <w:tcPr>
            <w:tcW w:w="2366" w:type="pct"/>
            <w:gridSpan w:val="2"/>
          </w:tcPr>
          <w:p w:rsidR="00C50008" w:rsidRPr="0068677C" w:rsidRDefault="00C50008" w:rsidP="005B5AEE">
            <w:pPr>
              <w:jc w:val="both"/>
              <w:rPr>
                <w:sz w:val="20"/>
                <w:lang w:val="fr-CA"/>
              </w:rPr>
            </w:pPr>
            <w:r w:rsidRPr="0068677C">
              <w:rPr>
                <w:sz w:val="20"/>
                <w:lang w:val="fr-CA"/>
              </w:rPr>
              <w:t>La requête en prorogation du délai de signification et de dépôt de la demande d’autorisation d’appel et la demande d’autorisation d’appel sont présentées.</w:t>
            </w:r>
          </w:p>
          <w:p w:rsidR="00C50008" w:rsidRPr="0068677C" w:rsidRDefault="00C50008" w:rsidP="005B5AEE">
            <w:pPr>
              <w:jc w:val="both"/>
              <w:rPr>
                <w:sz w:val="20"/>
                <w:lang w:val="fr-CA"/>
              </w:rPr>
            </w:pPr>
          </w:p>
        </w:tc>
      </w:tr>
    </w:tbl>
    <w:p w:rsidR="00C50008" w:rsidRPr="0068677C" w:rsidRDefault="00C50008" w:rsidP="00C50008">
      <w:pPr>
        <w:widowControl w:val="0"/>
        <w:jc w:val="both"/>
        <w:rPr>
          <w:sz w:val="20"/>
          <w:lang w:val="fr-CA"/>
        </w:rPr>
      </w:pPr>
    </w:p>
    <w:p w:rsidR="00C50008" w:rsidRPr="0068677C" w:rsidRDefault="00D800B2" w:rsidP="00C50008">
      <w:pPr>
        <w:widowControl w:val="0"/>
        <w:jc w:val="both"/>
        <w:rPr>
          <w:sz w:val="20"/>
          <w:lang w:val="fr-CA"/>
        </w:rPr>
      </w:pPr>
      <w:r>
        <w:rPr>
          <w:sz w:val="20"/>
        </w:rPr>
        <w:pict>
          <v:rect id="_x0000_i1053" style="width:2in;height:1pt" o:hrpct="0" o:hralign="center" o:hrstd="t" o:hrnoshade="t" o:hr="t" fillcolor="black [3213]" stroked="f"/>
        </w:pict>
      </w:r>
    </w:p>
    <w:p w:rsidR="00C50008" w:rsidRPr="0068677C" w:rsidRDefault="00C50008" w:rsidP="00C500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50008" w:rsidRPr="0068677C" w:rsidTr="005B5AEE">
        <w:tc>
          <w:tcPr>
            <w:tcW w:w="543" w:type="pct"/>
          </w:tcPr>
          <w:p w:rsidR="00C50008" w:rsidRPr="0068677C" w:rsidRDefault="00C50008" w:rsidP="005B5AEE">
            <w:pPr>
              <w:jc w:val="both"/>
              <w:rPr>
                <w:sz w:val="20"/>
              </w:rPr>
            </w:pPr>
            <w:r w:rsidRPr="0068677C">
              <w:rPr>
                <w:rStyle w:val="SCCFileNumberChar"/>
                <w:sz w:val="20"/>
                <w:szCs w:val="20"/>
              </w:rPr>
              <w:t>39534</w:t>
            </w:r>
          </w:p>
        </w:tc>
        <w:tc>
          <w:tcPr>
            <w:tcW w:w="4457" w:type="pct"/>
          </w:tcPr>
          <w:p w:rsidR="00C50008" w:rsidRPr="0068677C" w:rsidRDefault="00C50008" w:rsidP="005B5AEE">
            <w:pPr>
              <w:pStyle w:val="SCCLsocParty"/>
              <w:jc w:val="both"/>
              <w:rPr>
                <w:b/>
                <w:sz w:val="20"/>
                <w:szCs w:val="20"/>
                <w:lang w:val="en-US"/>
              </w:rPr>
            </w:pPr>
            <w:r w:rsidRPr="0068677C">
              <w:rPr>
                <w:b/>
                <w:sz w:val="20"/>
                <w:szCs w:val="20"/>
                <w:lang w:val="en-US"/>
              </w:rPr>
              <w:t>Charles Bordeleau</w:t>
            </w:r>
            <w:r w:rsidR="006C0B15" w:rsidRPr="0068677C">
              <w:rPr>
                <w:b/>
                <w:sz w:val="20"/>
                <w:szCs w:val="20"/>
                <w:lang w:val="en-US"/>
              </w:rPr>
              <w:t xml:space="preserve"> and</w:t>
            </w:r>
            <w:r w:rsidRPr="0068677C">
              <w:rPr>
                <w:b/>
                <w:sz w:val="20"/>
                <w:szCs w:val="20"/>
                <w:lang w:val="en-US"/>
              </w:rPr>
              <w:t xml:space="preserve"> Ottawa Police Services Board v. Matthew Skof</w:t>
            </w:r>
          </w:p>
          <w:p w:rsidR="00C50008" w:rsidRPr="0068677C" w:rsidRDefault="00C50008" w:rsidP="005B5AEE">
            <w:pPr>
              <w:jc w:val="both"/>
              <w:rPr>
                <w:sz w:val="20"/>
              </w:rPr>
            </w:pPr>
            <w:r w:rsidRPr="0068677C">
              <w:rPr>
                <w:sz w:val="20"/>
              </w:rPr>
              <w:t>(Ont.) (Civil) (By Leave)</w:t>
            </w:r>
          </w:p>
        </w:tc>
      </w:tr>
      <w:tr w:rsidR="00C50008" w:rsidRPr="0068677C" w:rsidTr="005B5AEE">
        <w:tc>
          <w:tcPr>
            <w:tcW w:w="5000" w:type="pct"/>
            <w:gridSpan w:val="2"/>
          </w:tcPr>
          <w:p w:rsidR="006C0B15" w:rsidRPr="0068677C" w:rsidRDefault="006C0B15" w:rsidP="006C0B15">
            <w:pPr>
              <w:jc w:val="both"/>
              <w:rPr>
                <w:sz w:val="20"/>
                <w:szCs w:val="20"/>
              </w:rPr>
            </w:pPr>
            <w:r w:rsidRPr="0068677C">
              <w:rPr>
                <w:sz w:val="20"/>
                <w:szCs w:val="20"/>
              </w:rPr>
              <w:t>The application for leave to appeal from the judgment of the Court of Appeal for Ontario, Number C67874, 2020 ONCA 729, dated November 17, 2020, is dismissed with costs.</w:t>
            </w:r>
          </w:p>
          <w:p w:rsidR="00C50008" w:rsidRPr="0068677C" w:rsidRDefault="00C50008" w:rsidP="005B5AEE">
            <w:pPr>
              <w:jc w:val="both"/>
              <w:rPr>
                <w:sz w:val="20"/>
              </w:rPr>
            </w:pPr>
          </w:p>
        </w:tc>
      </w:tr>
      <w:tr w:rsidR="00C50008" w:rsidRPr="0068677C" w:rsidTr="005B5AEE">
        <w:tc>
          <w:tcPr>
            <w:tcW w:w="5000" w:type="pct"/>
            <w:gridSpan w:val="2"/>
          </w:tcPr>
          <w:p w:rsidR="00C50008" w:rsidRPr="0068677C" w:rsidRDefault="00C50008" w:rsidP="005B5AEE">
            <w:pPr>
              <w:jc w:val="both"/>
              <w:rPr>
                <w:sz w:val="20"/>
              </w:rPr>
            </w:pPr>
            <w:r w:rsidRPr="0068677C">
              <w:rPr>
                <w:sz w:val="20"/>
              </w:rPr>
              <w:t xml:space="preserve">Courts — Jurisdiction — Civil Procedure — In the context of police discipline and other employment matters, where the collective agreement and the applicable police legislation create a complete procedural and substantive code for matters of labour relations and discipline, does the lack of an explicit grant of jurisdiction to either statutory tribunal trigger the residual jurisdiction of the court? — Despite this Court’s clear analytical framework in </w:t>
            </w:r>
            <w:r w:rsidRPr="0068677C">
              <w:rPr>
                <w:i/>
                <w:sz w:val="20"/>
              </w:rPr>
              <w:t xml:space="preserve">Weber </w:t>
            </w:r>
            <w:r w:rsidRPr="0068677C">
              <w:rPr>
                <w:i/>
                <w:iCs/>
                <w:sz w:val="20"/>
              </w:rPr>
              <w:t>v.</w:t>
            </w:r>
            <w:r w:rsidRPr="0068677C">
              <w:rPr>
                <w:i/>
                <w:sz w:val="20"/>
              </w:rPr>
              <w:t xml:space="preserve"> Ontario Hydro</w:t>
            </w:r>
            <w:r w:rsidRPr="0068677C">
              <w:rPr>
                <w:sz w:val="20"/>
              </w:rPr>
              <w:t>, [1995] 2 S.C.R. 929, and</w:t>
            </w:r>
            <w:r w:rsidRPr="0068677C">
              <w:rPr>
                <w:i/>
                <w:iCs/>
                <w:sz w:val="20"/>
              </w:rPr>
              <w:t xml:space="preserve"> Regina Police Assn. Inc. v. Regina (City) Board of Police Commissioners</w:t>
            </w:r>
            <w:r w:rsidRPr="0068677C">
              <w:rPr>
                <w:sz w:val="20"/>
              </w:rPr>
              <w:t>, 2000 SCC 14, [2000] 1 S.C.R. 360, are there situations that warrant an exception to the strict application of that framework?</w:t>
            </w:r>
          </w:p>
          <w:p w:rsidR="00C50008" w:rsidRPr="0068677C" w:rsidRDefault="00C50008" w:rsidP="005B5AEE">
            <w:pPr>
              <w:jc w:val="both"/>
              <w:rPr>
                <w:sz w:val="20"/>
              </w:rPr>
            </w:pPr>
          </w:p>
        </w:tc>
      </w:tr>
    </w:tbl>
    <w:p w:rsidR="006D6263" w:rsidRPr="0068677C" w:rsidRDefault="006D6263">
      <w:r w:rsidRPr="0068677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68677C" w:rsidTr="005B5AEE">
        <w:tc>
          <w:tcPr>
            <w:tcW w:w="5000" w:type="pct"/>
            <w:gridSpan w:val="3"/>
          </w:tcPr>
          <w:p w:rsidR="00C50008" w:rsidRPr="0068677C" w:rsidRDefault="00C50008" w:rsidP="005B5AEE">
            <w:pPr>
              <w:jc w:val="both"/>
              <w:rPr>
                <w:sz w:val="20"/>
              </w:rPr>
            </w:pPr>
            <w:r w:rsidRPr="0068677C">
              <w:rPr>
                <w:sz w:val="20"/>
              </w:rPr>
              <w:lastRenderedPageBreak/>
              <w:t>Matthew Skof is a police officer with the Ottawa Police Service (“OPS”). He has been on full</w:t>
            </w:r>
            <w:r w:rsidRPr="0068677C">
              <w:rPr>
                <w:sz w:val="20"/>
              </w:rPr>
              <w:noBreakHyphen/>
              <w:t xml:space="preserve">time leave since 2011 in order to act as the President of the Ottawa Police Association (“OPA”). In January 2019, Mr. Skof was charged with certain offences under the </w:t>
            </w:r>
            <w:r w:rsidRPr="0068677C">
              <w:rPr>
                <w:i/>
                <w:iCs/>
                <w:sz w:val="20"/>
              </w:rPr>
              <w:t>Criminal Code</w:t>
            </w:r>
            <w:r w:rsidRPr="0068677C">
              <w:rPr>
                <w:sz w:val="20"/>
              </w:rPr>
              <w:t xml:space="preserve">. Mr. Skof was suspended by Charles Bordeleau, who was then the Chief of Police of the OPS. Mr. Skof and the OPA commenced an action in the Ontario Superior Court of Justice in March 2019 against Mr. Bordeleau and the Ottawa Police Services Board (“OPSB”). In the action, they claimed declaratory relief, injunctive relief, and damages arising from alleged breaches of Mr. Skof’s </w:t>
            </w:r>
            <w:r w:rsidRPr="0068677C">
              <w:rPr>
                <w:i/>
                <w:iCs/>
                <w:sz w:val="20"/>
              </w:rPr>
              <w:t>Charter</w:t>
            </w:r>
            <w:r w:rsidRPr="0068677C">
              <w:rPr>
                <w:sz w:val="20"/>
              </w:rPr>
              <w:t xml:space="preserve"> rights and from an alleged misfeasance in public office by Mr. Bordeleau. Mr. Bordeleau and the OPSB brought a motion under r. 21.01(3</w:t>
            </w:r>
            <w:proofErr w:type="gramStart"/>
            <w:r w:rsidRPr="0068677C">
              <w:rPr>
                <w:sz w:val="20"/>
              </w:rPr>
              <w:t>)(</w:t>
            </w:r>
            <w:proofErr w:type="gramEnd"/>
            <w:r w:rsidRPr="0068677C">
              <w:rPr>
                <w:sz w:val="20"/>
              </w:rPr>
              <w:t xml:space="preserve">a) of the </w:t>
            </w:r>
            <w:r w:rsidRPr="0068677C">
              <w:rPr>
                <w:i/>
                <w:sz w:val="20"/>
              </w:rPr>
              <w:t>Rules of Civil Procedure</w:t>
            </w:r>
            <w:r w:rsidRPr="0068677C">
              <w:rPr>
                <w:sz w:val="20"/>
              </w:rPr>
              <w:t xml:space="preserve"> for an order dismissing the action on the basis that the court does not have jurisdiction to entertain the claim.</w:t>
            </w:r>
            <w:r w:rsidRPr="0068677C">
              <w:rPr>
                <w:sz w:val="20"/>
                <w:lang w:eastAsia="en-CA"/>
              </w:rPr>
              <w:t xml:space="preserve"> </w:t>
            </w:r>
            <w:r w:rsidRPr="0068677C">
              <w:rPr>
                <w:sz w:val="20"/>
              </w:rPr>
              <w:t>The Ontario Superior Court of Justice dismissed the action, holding that there were other potential venues for the dispute and that the court did not have jurisdiction over the subject matter of the action. The Court of Appeal for Ontario allowed Mr. Skof’s appeal, set aside the order of the motion judge, and reinstated the action on the basis that it was not “clear and unequivocal” that the court’s jurisdiction had been ousted.</w:t>
            </w:r>
          </w:p>
          <w:p w:rsidR="00C50008" w:rsidRPr="0068677C" w:rsidRDefault="00C50008" w:rsidP="005B5AEE">
            <w:pPr>
              <w:jc w:val="both"/>
              <w:rPr>
                <w:sz w:val="20"/>
              </w:rPr>
            </w:pPr>
          </w:p>
        </w:tc>
      </w:tr>
      <w:tr w:rsidR="00C50008" w:rsidRPr="0068677C" w:rsidTr="005B5AEE">
        <w:tc>
          <w:tcPr>
            <w:tcW w:w="2427" w:type="pct"/>
          </w:tcPr>
          <w:p w:rsidR="00C50008" w:rsidRPr="0068677C" w:rsidRDefault="00C50008" w:rsidP="005B5AEE">
            <w:pPr>
              <w:jc w:val="both"/>
              <w:rPr>
                <w:sz w:val="20"/>
              </w:rPr>
            </w:pPr>
            <w:r w:rsidRPr="0068677C">
              <w:rPr>
                <w:sz w:val="20"/>
              </w:rPr>
              <w:t>December 20, 2019</w:t>
            </w:r>
          </w:p>
          <w:p w:rsidR="00C50008" w:rsidRPr="0068677C" w:rsidRDefault="00C50008" w:rsidP="005B5AEE">
            <w:pPr>
              <w:jc w:val="both"/>
              <w:rPr>
                <w:sz w:val="20"/>
              </w:rPr>
            </w:pPr>
            <w:r w:rsidRPr="0068677C">
              <w:rPr>
                <w:sz w:val="20"/>
              </w:rPr>
              <w:t>Ontario Superior Court of Justice</w:t>
            </w:r>
          </w:p>
          <w:p w:rsidR="00C50008" w:rsidRPr="0068677C" w:rsidRDefault="00C50008" w:rsidP="005B5AEE">
            <w:pPr>
              <w:jc w:val="both"/>
              <w:rPr>
                <w:sz w:val="20"/>
              </w:rPr>
            </w:pPr>
            <w:r w:rsidRPr="0068677C">
              <w:rPr>
                <w:sz w:val="20"/>
              </w:rPr>
              <w:t>(Labrosse J.)</w:t>
            </w:r>
          </w:p>
          <w:p w:rsidR="00C50008" w:rsidRPr="0068677C" w:rsidRDefault="00C50008" w:rsidP="005B5AEE">
            <w:pPr>
              <w:jc w:val="both"/>
              <w:rPr>
                <w:sz w:val="20"/>
              </w:rPr>
            </w:pPr>
            <w:r w:rsidRPr="0068677C">
              <w:rPr>
                <w:sz w:val="20"/>
              </w:rPr>
              <w:t>File No.: CV</w:t>
            </w:r>
            <w:r w:rsidRPr="0068677C">
              <w:rPr>
                <w:sz w:val="20"/>
              </w:rPr>
              <w:noBreakHyphen/>
              <w:t>19</w:t>
            </w:r>
            <w:r w:rsidRPr="0068677C">
              <w:rPr>
                <w:sz w:val="20"/>
              </w:rPr>
              <w:noBreakHyphen/>
              <w:t>79708</w:t>
            </w:r>
          </w:p>
          <w:p w:rsidR="00C50008" w:rsidRPr="0068677C" w:rsidRDefault="00D800B2" w:rsidP="005B5AEE">
            <w:pPr>
              <w:jc w:val="both"/>
              <w:rPr>
                <w:sz w:val="20"/>
              </w:rPr>
            </w:pPr>
            <w:hyperlink r:id="rId51" w:history="1">
              <w:r w:rsidR="00C50008" w:rsidRPr="0068677C">
                <w:rPr>
                  <w:rStyle w:val="Hyperlink"/>
                  <w:sz w:val="20"/>
                </w:rPr>
                <w:t>2019 ONSC 7418</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Matthew Skof’s action against Charles Bordeleau and the Ottawa Police Services Board is dismissed on the basis that the Ontario Superior Court of Justice does not have jurisdiction over the subject matter of the action.</w:t>
            </w:r>
          </w:p>
          <w:p w:rsidR="00C50008" w:rsidRPr="0068677C" w:rsidRDefault="00C50008" w:rsidP="005B5AEE">
            <w:pPr>
              <w:jc w:val="both"/>
              <w:rPr>
                <w:sz w:val="20"/>
              </w:rPr>
            </w:pPr>
          </w:p>
        </w:tc>
      </w:tr>
      <w:tr w:rsidR="00C50008" w:rsidRPr="0068677C" w:rsidTr="005B5AEE">
        <w:tc>
          <w:tcPr>
            <w:tcW w:w="2427" w:type="pct"/>
          </w:tcPr>
          <w:p w:rsidR="00C50008" w:rsidRPr="0068677C" w:rsidRDefault="00C50008" w:rsidP="005B5AEE">
            <w:pPr>
              <w:jc w:val="both"/>
              <w:rPr>
                <w:sz w:val="20"/>
              </w:rPr>
            </w:pPr>
            <w:r w:rsidRPr="0068677C">
              <w:rPr>
                <w:sz w:val="20"/>
              </w:rPr>
              <w:t>November 17, 2020</w:t>
            </w:r>
          </w:p>
          <w:p w:rsidR="00C50008" w:rsidRPr="0068677C" w:rsidRDefault="00C50008" w:rsidP="005B5AEE">
            <w:pPr>
              <w:jc w:val="both"/>
              <w:rPr>
                <w:sz w:val="20"/>
              </w:rPr>
            </w:pPr>
            <w:r w:rsidRPr="0068677C">
              <w:rPr>
                <w:sz w:val="20"/>
              </w:rPr>
              <w:t>Court of Appeal for Ontario</w:t>
            </w:r>
          </w:p>
          <w:p w:rsidR="00C50008" w:rsidRPr="0068677C" w:rsidRDefault="00C50008" w:rsidP="005B5AEE">
            <w:pPr>
              <w:jc w:val="both"/>
              <w:rPr>
                <w:sz w:val="20"/>
              </w:rPr>
            </w:pPr>
            <w:r w:rsidRPr="0068677C">
              <w:rPr>
                <w:sz w:val="20"/>
              </w:rPr>
              <w:t xml:space="preserve">(Huscroft, Nordheimer and Harvison Young </w:t>
            </w:r>
          </w:p>
          <w:p w:rsidR="00C50008" w:rsidRPr="0068677C" w:rsidRDefault="00C50008" w:rsidP="005B5AEE">
            <w:pPr>
              <w:jc w:val="both"/>
              <w:rPr>
                <w:sz w:val="20"/>
              </w:rPr>
            </w:pPr>
            <w:r w:rsidRPr="0068677C">
              <w:rPr>
                <w:sz w:val="20"/>
              </w:rPr>
              <w:t>JJ.A.)</w:t>
            </w:r>
          </w:p>
          <w:p w:rsidR="00C50008" w:rsidRPr="0068677C" w:rsidRDefault="00C50008" w:rsidP="005B5AEE">
            <w:pPr>
              <w:jc w:val="both"/>
              <w:rPr>
                <w:sz w:val="20"/>
              </w:rPr>
            </w:pPr>
            <w:r w:rsidRPr="0068677C">
              <w:rPr>
                <w:sz w:val="20"/>
              </w:rPr>
              <w:t>File No.: C67874</w:t>
            </w:r>
          </w:p>
          <w:p w:rsidR="00C50008" w:rsidRPr="0068677C" w:rsidRDefault="00D800B2" w:rsidP="005B5AEE">
            <w:pPr>
              <w:jc w:val="both"/>
              <w:rPr>
                <w:sz w:val="20"/>
              </w:rPr>
            </w:pPr>
            <w:hyperlink r:id="rId52" w:anchor="document" w:history="1">
              <w:r w:rsidR="00C50008" w:rsidRPr="0068677C">
                <w:rPr>
                  <w:rStyle w:val="Hyperlink"/>
                  <w:sz w:val="20"/>
                </w:rPr>
                <w:t>2020 ONCA 729</w:t>
              </w:r>
            </w:hyperlink>
          </w:p>
          <w:p w:rsidR="00C50008" w:rsidRPr="0068677C" w:rsidRDefault="00C50008" w:rsidP="005B5AEE">
            <w:pPr>
              <w:jc w:val="both"/>
              <w:rPr>
                <w:sz w:val="20"/>
              </w:rPr>
            </w:pP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Appeal against the decision of the Ontario Superior Court of Justice is allowed, the motion judge’s order dismissing the action is set aside, and the action is reinstated as it relates to Matthew Skof.</w:t>
            </w:r>
          </w:p>
          <w:p w:rsidR="00C50008" w:rsidRPr="0068677C" w:rsidRDefault="00C50008" w:rsidP="005B5AEE">
            <w:pPr>
              <w:jc w:val="both"/>
              <w:rPr>
                <w:sz w:val="20"/>
              </w:rPr>
            </w:pPr>
          </w:p>
        </w:tc>
      </w:tr>
      <w:tr w:rsidR="00C50008" w:rsidRPr="0068677C" w:rsidTr="005B5AEE">
        <w:tc>
          <w:tcPr>
            <w:tcW w:w="2427" w:type="pct"/>
          </w:tcPr>
          <w:p w:rsidR="00C50008" w:rsidRPr="0068677C" w:rsidRDefault="00C50008" w:rsidP="005B5AEE">
            <w:pPr>
              <w:jc w:val="both"/>
              <w:rPr>
                <w:sz w:val="20"/>
              </w:rPr>
            </w:pPr>
            <w:r w:rsidRPr="0068677C">
              <w:rPr>
                <w:sz w:val="20"/>
              </w:rPr>
              <w:t>January 18, 2021</w:t>
            </w:r>
          </w:p>
          <w:p w:rsidR="00C50008" w:rsidRPr="0068677C" w:rsidRDefault="00C50008" w:rsidP="005B5AEE">
            <w:pPr>
              <w:jc w:val="both"/>
              <w:rPr>
                <w:sz w:val="20"/>
              </w:rPr>
            </w:pPr>
            <w:r w:rsidRPr="0068677C">
              <w:rPr>
                <w:sz w:val="20"/>
              </w:rPr>
              <w:t>Supreme Court of Canada</w:t>
            </w:r>
          </w:p>
        </w:tc>
        <w:tc>
          <w:tcPr>
            <w:tcW w:w="243" w:type="pct"/>
          </w:tcPr>
          <w:p w:rsidR="00C50008" w:rsidRPr="0068677C" w:rsidRDefault="00C50008" w:rsidP="005B5AEE">
            <w:pPr>
              <w:jc w:val="both"/>
              <w:rPr>
                <w:sz w:val="20"/>
              </w:rPr>
            </w:pPr>
          </w:p>
        </w:tc>
        <w:tc>
          <w:tcPr>
            <w:tcW w:w="2330" w:type="pct"/>
          </w:tcPr>
          <w:p w:rsidR="00C50008" w:rsidRPr="0068677C" w:rsidRDefault="00C50008" w:rsidP="005B5AEE">
            <w:pPr>
              <w:jc w:val="both"/>
              <w:rPr>
                <w:sz w:val="20"/>
              </w:rPr>
            </w:pPr>
            <w:r w:rsidRPr="0068677C">
              <w:rPr>
                <w:sz w:val="20"/>
              </w:rPr>
              <w:t>Application for leave to appeal filed.</w:t>
            </w:r>
          </w:p>
        </w:tc>
      </w:tr>
    </w:tbl>
    <w:p w:rsidR="00C50008" w:rsidRPr="0068677C" w:rsidRDefault="00C50008" w:rsidP="00C50008">
      <w:pPr>
        <w:jc w:val="both"/>
        <w:rPr>
          <w:sz w:val="20"/>
        </w:rPr>
      </w:pPr>
    </w:p>
    <w:p w:rsidR="00C50008" w:rsidRPr="0068677C" w:rsidRDefault="00D800B2" w:rsidP="00C50008">
      <w:pPr>
        <w:jc w:val="both"/>
        <w:rPr>
          <w:sz w:val="20"/>
        </w:rPr>
      </w:pPr>
      <w:r>
        <w:rPr>
          <w:sz w:val="20"/>
        </w:rPr>
        <w:pict>
          <v:rect id="_x0000_i1054" style="width:2in;height:1pt" o:hrpct="0" o:hralign="center" o:hrstd="t" o:hrnoshade="t" o:hr="t" fillcolor="black [3213]" stroked="f"/>
        </w:pict>
      </w:r>
    </w:p>
    <w:p w:rsidR="00C50008" w:rsidRPr="0068677C" w:rsidRDefault="00C50008" w:rsidP="00C500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50008" w:rsidRPr="0068677C" w:rsidTr="005B5AEE">
        <w:tc>
          <w:tcPr>
            <w:tcW w:w="543" w:type="pct"/>
          </w:tcPr>
          <w:p w:rsidR="00C50008" w:rsidRPr="0068677C" w:rsidRDefault="00C50008" w:rsidP="005B5AEE">
            <w:pPr>
              <w:jc w:val="both"/>
              <w:rPr>
                <w:sz w:val="20"/>
                <w:lang w:val="fr-CA"/>
              </w:rPr>
            </w:pPr>
            <w:r w:rsidRPr="0068677C">
              <w:rPr>
                <w:rStyle w:val="SCCFileNumberChar"/>
                <w:sz w:val="20"/>
                <w:szCs w:val="20"/>
                <w:lang w:val="fr-CA"/>
              </w:rPr>
              <w:t>39534</w:t>
            </w:r>
          </w:p>
        </w:tc>
        <w:tc>
          <w:tcPr>
            <w:tcW w:w="4457" w:type="pct"/>
          </w:tcPr>
          <w:p w:rsidR="00C50008" w:rsidRPr="0068677C" w:rsidRDefault="00C50008" w:rsidP="005B5AEE">
            <w:pPr>
              <w:pStyle w:val="SCCLsocParty"/>
              <w:jc w:val="both"/>
              <w:rPr>
                <w:b/>
                <w:sz w:val="20"/>
                <w:szCs w:val="20"/>
              </w:rPr>
            </w:pPr>
            <w:r w:rsidRPr="0068677C">
              <w:rPr>
                <w:b/>
                <w:sz w:val="20"/>
                <w:szCs w:val="20"/>
              </w:rPr>
              <w:t>Charles Bordeleau</w:t>
            </w:r>
            <w:r w:rsidR="006C0B15" w:rsidRPr="0068677C">
              <w:rPr>
                <w:b/>
                <w:sz w:val="20"/>
                <w:szCs w:val="20"/>
              </w:rPr>
              <w:t xml:space="preserve"> et</w:t>
            </w:r>
            <w:r w:rsidRPr="0068677C">
              <w:rPr>
                <w:b/>
                <w:sz w:val="20"/>
                <w:szCs w:val="20"/>
              </w:rPr>
              <w:t xml:space="preserve"> Commission de services policiers d’Ottawa c. Matthew Skof</w:t>
            </w:r>
          </w:p>
          <w:p w:rsidR="00C50008" w:rsidRPr="0068677C" w:rsidRDefault="00C50008" w:rsidP="005B5AEE">
            <w:pPr>
              <w:jc w:val="both"/>
              <w:rPr>
                <w:sz w:val="20"/>
                <w:lang w:val="fr-CA"/>
              </w:rPr>
            </w:pPr>
            <w:r w:rsidRPr="0068677C">
              <w:rPr>
                <w:sz w:val="20"/>
                <w:lang w:val="fr-CA"/>
              </w:rPr>
              <w:t>(Ont.) (Civile) (Sur autorisation)</w:t>
            </w:r>
          </w:p>
        </w:tc>
      </w:tr>
      <w:tr w:rsidR="00C50008" w:rsidRPr="00D800B2" w:rsidTr="005B5AEE">
        <w:tc>
          <w:tcPr>
            <w:tcW w:w="5000" w:type="pct"/>
            <w:gridSpan w:val="2"/>
          </w:tcPr>
          <w:p w:rsidR="00C50008" w:rsidRPr="0068677C" w:rsidRDefault="006C0B15" w:rsidP="005B5AEE">
            <w:pPr>
              <w:jc w:val="both"/>
              <w:rPr>
                <w:sz w:val="20"/>
                <w:szCs w:val="20"/>
                <w:lang w:val="fr-CA"/>
              </w:rPr>
            </w:pPr>
            <w:r w:rsidRPr="0068677C">
              <w:rPr>
                <w:sz w:val="20"/>
                <w:szCs w:val="20"/>
                <w:lang w:val="fr-CA"/>
              </w:rPr>
              <w:t>La demande d’autorisation d’appel de l’arrêt de la Cour d’appel de l’Ontario, numéro C67874, 2020 ONCA 729, daté du 17 novembre 2020, est rejetée avec dépens.</w:t>
            </w:r>
          </w:p>
          <w:p w:rsidR="006C0B15" w:rsidRPr="0068677C" w:rsidRDefault="006C0B15" w:rsidP="005B5AEE">
            <w:pPr>
              <w:jc w:val="both"/>
              <w:rPr>
                <w:sz w:val="20"/>
                <w:lang w:val="fr-CA"/>
              </w:rPr>
            </w:pPr>
          </w:p>
        </w:tc>
      </w:tr>
      <w:tr w:rsidR="00C50008" w:rsidRPr="00D800B2" w:rsidTr="005B5AEE">
        <w:tc>
          <w:tcPr>
            <w:tcW w:w="5000" w:type="pct"/>
            <w:gridSpan w:val="2"/>
          </w:tcPr>
          <w:p w:rsidR="00C50008" w:rsidRPr="0068677C" w:rsidRDefault="00C50008" w:rsidP="005B5AEE">
            <w:pPr>
              <w:jc w:val="both"/>
              <w:rPr>
                <w:sz w:val="20"/>
                <w:lang w:val="fr-CA"/>
              </w:rPr>
            </w:pPr>
            <w:r w:rsidRPr="0068677C">
              <w:rPr>
                <w:sz w:val="20"/>
                <w:lang w:val="fr-CA"/>
              </w:rPr>
              <w:t>Tribunaux — Compétence — Procédure civile — Dans le contexte d’une instance disciplinaire de la police et d’autres affaires relatives à l’emploi, lorsque la convention collective et la législation policière applicable créent un code exhaustif procédural et de fond quant aux affaires disciplinaires et de relations de travail, l’absence d’une attribution expresse de compétence de l’un ou l’autre des tribunaux d’origine législative déclenche</w:t>
            </w:r>
            <w:r w:rsidRPr="0068677C">
              <w:rPr>
                <w:sz w:val="20"/>
                <w:lang w:val="fr-CA"/>
              </w:rPr>
              <w:noBreakHyphen/>
              <w:t>t</w:t>
            </w:r>
            <w:r w:rsidRPr="0068677C">
              <w:rPr>
                <w:sz w:val="20"/>
                <w:lang w:val="fr-CA"/>
              </w:rPr>
              <w:noBreakHyphen/>
              <w:t xml:space="preserve">elle la compétence résiduelle de la cour? — Malgré le cadre d’analyse clair établi par la Cour suprême du Canada dans l’arrêt </w:t>
            </w:r>
            <w:r w:rsidRPr="0068677C">
              <w:rPr>
                <w:i/>
                <w:sz w:val="20"/>
                <w:lang w:val="fr-CA"/>
              </w:rPr>
              <w:t xml:space="preserve">Weber </w:t>
            </w:r>
            <w:r w:rsidRPr="0068677C">
              <w:rPr>
                <w:i/>
                <w:iCs/>
                <w:sz w:val="20"/>
                <w:lang w:val="fr-CA"/>
              </w:rPr>
              <w:t>c.</w:t>
            </w:r>
            <w:r w:rsidRPr="0068677C">
              <w:rPr>
                <w:i/>
                <w:sz w:val="20"/>
                <w:lang w:val="fr-CA"/>
              </w:rPr>
              <w:t xml:space="preserve"> Ontario Hydro</w:t>
            </w:r>
            <w:r w:rsidRPr="0068677C">
              <w:rPr>
                <w:sz w:val="20"/>
                <w:lang w:val="fr-CA"/>
              </w:rPr>
              <w:t>, [1995] 2 R.C.S. 929, et dans l’arrêt</w:t>
            </w:r>
            <w:r w:rsidRPr="0068677C">
              <w:rPr>
                <w:i/>
                <w:iCs/>
                <w:sz w:val="20"/>
                <w:lang w:val="fr-CA"/>
              </w:rPr>
              <w:t xml:space="preserve"> Regina Police Assn. Inc. c. Regina (Ville) Board of Police Commissioners</w:t>
            </w:r>
            <w:r w:rsidRPr="0068677C">
              <w:rPr>
                <w:sz w:val="20"/>
                <w:lang w:val="fr-CA"/>
              </w:rPr>
              <w:t>, 2000 CSC 14, [2000] 1 R.C.S. 360, certaines situations justifient</w:t>
            </w:r>
            <w:r w:rsidRPr="0068677C">
              <w:rPr>
                <w:sz w:val="20"/>
                <w:lang w:val="fr-CA"/>
              </w:rPr>
              <w:noBreakHyphen/>
              <w:t>elles de déroger à l’application stricte de ce cadre?</w:t>
            </w:r>
          </w:p>
          <w:p w:rsidR="00C50008" w:rsidRPr="0068677C" w:rsidRDefault="00C50008" w:rsidP="005B5AEE">
            <w:pPr>
              <w:jc w:val="both"/>
              <w:rPr>
                <w:sz w:val="20"/>
                <w:lang w:val="fr-CA"/>
              </w:rPr>
            </w:pPr>
          </w:p>
        </w:tc>
      </w:tr>
    </w:tbl>
    <w:p w:rsidR="006D6263" w:rsidRPr="0068677C" w:rsidRDefault="006D6263">
      <w:pPr>
        <w:rPr>
          <w:lang w:val="fr-CA"/>
        </w:rPr>
      </w:pPr>
      <w:r w:rsidRPr="0068677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50008" w:rsidRPr="00D800B2" w:rsidTr="005B5AEE">
        <w:tc>
          <w:tcPr>
            <w:tcW w:w="5000" w:type="pct"/>
            <w:gridSpan w:val="3"/>
          </w:tcPr>
          <w:p w:rsidR="00C50008" w:rsidRPr="0068677C" w:rsidRDefault="00C50008" w:rsidP="005B5AEE">
            <w:pPr>
              <w:jc w:val="both"/>
              <w:rPr>
                <w:sz w:val="20"/>
                <w:lang w:val="fr-CA"/>
              </w:rPr>
            </w:pPr>
            <w:r w:rsidRPr="0068677C">
              <w:rPr>
                <w:sz w:val="20"/>
                <w:lang w:val="fr-CA"/>
              </w:rPr>
              <w:lastRenderedPageBreak/>
              <w:t xml:space="preserve">Matthew Skof est un policier auprès du Service de police d’Ottawa (« SPO »). Il est en congé à plein temps depuis 2011 pour pouvoir agir en tant que président de l’Association des policiers d’Ottawa (« APO »). En janvier 2019, M. Skof a été accusé de certaines infractions prévues au </w:t>
            </w:r>
            <w:r w:rsidRPr="0068677C">
              <w:rPr>
                <w:i/>
                <w:iCs/>
                <w:sz w:val="20"/>
                <w:lang w:val="fr-CA"/>
              </w:rPr>
              <w:t>Code criminel</w:t>
            </w:r>
            <w:r w:rsidRPr="0068677C">
              <w:rPr>
                <w:sz w:val="20"/>
                <w:lang w:val="fr-CA"/>
              </w:rPr>
              <w:t>. M. Skof a été suspendu par Charles Bordeleau, qui était alors chef de police du SPO. En mars 2019, M. Skof et l’APO ont intenté une action contre M. Bordeleau et la Commission de services policiers d’Ottawa (« CSPO ») devant la Cour supérieure de justice de l’Ontario. Dans le cadre de cette action, ils ont demandé un jugement déclaratoire, une injonction et des dommages</w:t>
            </w:r>
            <w:r w:rsidRPr="0068677C">
              <w:rPr>
                <w:sz w:val="20"/>
                <w:lang w:val="fr-CA"/>
              </w:rPr>
              <w:noBreakHyphen/>
              <w:t xml:space="preserve">intérêts découlant d’allégations de violation des droits qui sont garantis à M. Skof par la </w:t>
            </w:r>
            <w:r w:rsidRPr="0068677C">
              <w:rPr>
                <w:i/>
                <w:iCs/>
                <w:sz w:val="20"/>
                <w:lang w:val="fr-CA"/>
              </w:rPr>
              <w:t>Charte</w:t>
            </w:r>
            <w:r w:rsidRPr="0068677C">
              <w:rPr>
                <w:sz w:val="20"/>
                <w:lang w:val="fr-CA"/>
              </w:rPr>
              <w:t xml:space="preserve"> et d’allégations de faute commise dans l’exercice d’une charge publique par M. Bordeleau. Ce dernier et le CSPO ont présenté une motion aux termes de l’al. 21.01(3)a) des </w:t>
            </w:r>
            <w:r w:rsidRPr="0068677C">
              <w:rPr>
                <w:i/>
                <w:sz w:val="20"/>
                <w:lang w:val="fr-CA"/>
              </w:rPr>
              <w:t>Règles de procédure civile</w:t>
            </w:r>
            <w:r w:rsidRPr="0068677C">
              <w:rPr>
                <w:sz w:val="20"/>
                <w:lang w:val="fr-CA"/>
              </w:rPr>
              <w:t xml:space="preserve"> pour obtenir une ordonnance rejetant l’action au motif que la cour n’a pas compétence pour entendre l’affaire.</w:t>
            </w:r>
            <w:r w:rsidRPr="0068677C">
              <w:rPr>
                <w:sz w:val="20"/>
                <w:lang w:val="fr-CA" w:eastAsia="en-CA"/>
              </w:rPr>
              <w:t xml:space="preserve"> La </w:t>
            </w:r>
            <w:r w:rsidRPr="0068677C">
              <w:rPr>
                <w:sz w:val="20"/>
                <w:lang w:val="fr-CA"/>
              </w:rPr>
              <w:t>Cour supérieure de justice de l’Ontario a rejeté l’action, concluant qu’il était possible de s’adresser ailleurs pour régler le différend et que la cour n’avait pas compétence pour connaître de l’objet de l’action. La Cour d’appel de l’Ontario a accueilli l’appel de M. Skof, a annulé l’ordonnance du juge saisi de la motion, et a rétabli l’action au motif qu’il n’était pas [traduction</w:t>
            </w:r>
            <w:r w:rsidRPr="0068677C">
              <w:rPr>
                <w:rFonts w:asciiTheme="minorBidi" w:hAnsiTheme="minorBidi"/>
                <w:sz w:val="20"/>
                <w:lang w:val="fr-CA"/>
              </w:rPr>
              <w:t xml:space="preserve">] </w:t>
            </w:r>
            <w:r w:rsidRPr="0068677C">
              <w:rPr>
                <w:sz w:val="20"/>
                <w:lang w:val="fr-CA"/>
              </w:rPr>
              <w:t>« clair et non équivoque » que la compétence de la cour avait été écartée.</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20 décembre 2019</w:t>
            </w:r>
          </w:p>
          <w:p w:rsidR="00C50008" w:rsidRPr="0068677C" w:rsidRDefault="00C50008" w:rsidP="005B5AEE">
            <w:pPr>
              <w:jc w:val="both"/>
              <w:rPr>
                <w:sz w:val="20"/>
                <w:lang w:val="fr-CA"/>
              </w:rPr>
            </w:pPr>
            <w:r w:rsidRPr="0068677C">
              <w:rPr>
                <w:sz w:val="20"/>
                <w:lang w:val="fr-CA"/>
              </w:rPr>
              <w:t>Cour supérieure de justice de l’Ontario</w:t>
            </w:r>
          </w:p>
          <w:p w:rsidR="00C50008" w:rsidRPr="0068677C" w:rsidRDefault="00C50008" w:rsidP="005B5AEE">
            <w:pPr>
              <w:jc w:val="both"/>
              <w:rPr>
                <w:sz w:val="20"/>
                <w:lang w:val="fr-CA"/>
              </w:rPr>
            </w:pPr>
            <w:r w:rsidRPr="0068677C">
              <w:rPr>
                <w:sz w:val="20"/>
                <w:lang w:val="fr-CA"/>
              </w:rPr>
              <w:t>(juge Labrosse)</w:t>
            </w:r>
          </w:p>
          <w:p w:rsidR="00C50008" w:rsidRPr="0068677C" w:rsidRDefault="00C50008" w:rsidP="005B5AEE">
            <w:pPr>
              <w:jc w:val="both"/>
              <w:rPr>
                <w:sz w:val="20"/>
                <w:lang w:val="fr-CA"/>
              </w:rPr>
            </w:pPr>
            <w:r w:rsidRPr="0068677C">
              <w:rPr>
                <w:sz w:val="20"/>
                <w:lang w:val="fr-CA"/>
              </w:rPr>
              <w:t>N</w:t>
            </w:r>
            <w:r w:rsidRPr="0068677C">
              <w:rPr>
                <w:sz w:val="20"/>
                <w:vertAlign w:val="superscript"/>
                <w:lang w:val="fr-CA"/>
              </w:rPr>
              <w:t>o</w:t>
            </w:r>
            <w:r w:rsidRPr="0068677C">
              <w:rPr>
                <w:sz w:val="20"/>
                <w:lang w:val="fr-CA"/>
              </w:rPr>
              <w:t xml:space="preserve"> de dossier : CV</w:t>
            </w:r>
            <w:r w:rsidRPr="0068677C">
              <w:rPr>
                <w:sz w:val="20"/>
                <w:lang w:val="fr-CA"/>
              </w:rPr>
              <w:noBreakHyphen/>
              <w:t>19</w:t>
            </w:r>
            <w:r w:rsidRPr="0068677C">
              <w:rPr>
                <w:sz w:val="20"/>
                <w:lang w:val="fr-CA"/>
              </w:rPr>
              <w:noBreakHyphen/>
              <w:t>79708</w:t>
            </w:r>
          </w:p>
          <w:p w:rsidR="00C50008" w:rsidRPr="0068677C" w:rsidRDefault="00D800B2" w:rsidP="005B5AEE">
            <w:pPr>
              <w:jc w:val="both"/>
              <w:rPr>
                <w:sz w:val="20"/>
                <w:lang w:val="fr-CA"/>
              </w:rPr>
            </w:pPr>
            <w:hyperlink r:id="rId53" w:history="1">
              <w:r w:rsidR="00C50008" w:rsidRPr="0068677C">
                <w:rPr>
                  <w:rStyle w:val="Hyperlink"/>
                  <w:sz w:val="20"/>
                  <w:lang w:val="fr-CA"/>
                </w:rPr>
                <w:t>2019 ONSC 7418</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L’action intentée par Matthew Skof contre Charles Bordeleau et la Commission de services policiers d’Ottawa est rejetée au motif que la Cour supérieure de justice de l’Ontario n’a pas compétence pour connaître de l’objet de l’action.</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17 novembre 2020</w:t>
            </w:r>
          </w:p>
          <w:p w:rsidR="00C50008" w:rsidRPr="0068677C" w:rsidRDefault="00C50008" w:rsidP="005B5AEE">
            <w:pPr>
              <w:jc w:val="both"/>
              <w:rPr>
                <w:sz w:val="20"/>
                <w:lang w:val="fr-CA"/>
              </w:rPr>
            </w:pPr>
            <w:r w:rsidRPr="0068677C">
              <w:rPr>
                <w:sz w:val="20"/>
                <w:lang w:val="fr-CA"/>
              </w:rPr>
              <w:t>Cour d’appel de l’Ontario</w:t>
            </w:r>
          </w:p>
          <w:p w:rsidR="00C50008" w:rsidRPr="0068677C" w:rsidRDefault="00C50008" w:rsidP="005B5AEE">
            <w:pPr>
              <w:jc w:val="both"/>
              <w:rPr>
                <w:sz w:val="20"/>
                <w:lang w:val="fr-CA"/>
              </w:rPr>
            </w:pPr>
            <w:r w:rsidRPr="0068677C">
              <w:rPr>
                <w:sz w:val="20"/>
                <w:lang w:val="fr-CA"/>
              </w:rPr>
              <w:t>(juges Huscroft, Nordheimer et Harvison Young)</w:t>
            </w:r>
          </w:p>
          <w:p w:rsidR="00C50008" w:rsidRPr="0068677C" w:rsidRDefault="00C50008" w:rsidP="005B5AEE">
            <w:pPr>
              <w:jc w:val="both"/>
              <w:rPr>
                <w:sz w:val="20"/>
                <w:lang w:val="fr-CA"/>
              </w:rPr>
            </w:pPr>
            <w:r w:rsidRPr="0068677C">
              <w:rPr>
                <w:sz w:val="20"/>
                <w:lang w:val="fr-CA"/>
              </w:rPr>
              <w:t>N</w:t>
            </w:r>
            <w:r w:rsidRPr="0068677C">
              <w:rPr>
                <w:sz w:val="20"/>
                <w:vertAlign w:val="superscript"/>
                <w:lang w:val="fr-CA"/>
              </w:rPr>
              <w:t>o</w:t>
            </w:r>
            <w:r w:rsidRPr="0068677C">
              <w:rPr>
                <w:sz w:val="20"/>
                <w:lang w:val="fr-CA"/>
              </w:rPr>
              <w:t xml:space="preserve"> de dossier </w:t>
            </w:r>
            <w:proofErr w:type="gramStart"/>
            <w:r w:rsidRPr="0068677C">
              <w:rPr>
                <w:sz w:val="20"/>
                <w:lang w:val="fr-CA"/>
              </w:rPr>
              <w:t>:C67874</w:t>
            </w:r>
            <w:proofErr w:type="gramEnd"/>
          </w:p>
          <w:p w:rsidR="00C50008" w:rsidRPr="0068677C" w:rsidRDefault="00D800B2" w:rsidP="005B5AEE">
            <w:pPr>
              <w:jc w:val="both"/>
              <w:rPr>
                <w:sz w:val="20"/>
                <w:lang w:val="fr-CA"/>
              </w:rPr>
            </w:pPr>
            <w:hyperlink r:id="rId54" w:anchor="document" w:history="1">
              <w:r w:rsidR="00C50008" w:rsidRPr="0068677C">
                <w:rPr>
                  <w:rStyle w:val="Hyperlink"/>
                  <w:sz w:val="20"/>
                  <w:lang w:val="fr-CA"/>
                </w:rPr>
                <w:t>2020 ONCA 729</w:t>
              </w:r>
            </w:hyperlink>
          </w:p>
          <w:p w:rsidR="00C50008" w:rsidRPr="0068677C" w:rsidRDefault="00C50008" w:rsidP="005B5AEE">
            <w:pPr>
              <w:jc w:val="both"/>
              <w:rPr>
                <w:sz w:val="20"/>
                <w:lang w:val="fr-CA"/>
              </w:rPr>
            </w:pP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L’appel de la décision de la Cour supérieure de justice de l’Ontario est accueilli, l’ordonnance du juge saisi de la motion rejetant l’action est annulée, et l’action est rétablie en ce qui concerne Matthew Skof.</w:t>
            </w:r>
          </w:p>
          <w:p w:rsidR="00C50008" w:rsidRPr="0068677C" w:rsidRDefault="00C50008" w:rsidP="005B5AEE">
            <w:pPr>
              <w:jc w:val="both"/>
              <w:rPr>
                <w:sz w:val="20"/>
                <w:lang w:val="fr-CA"/>
              </w:rPr>
            </w:pPr>
          </w:p>
        </w:tc>
      </w:tr>
      <w:tr w:rsidR="00C50008" w:rsidRPr="00D800B2" w:rsidTr="005B5AEE">
        <w:tc>
          <w:tcPr>
            <w:tcW w:w="2427" w:type="pct"/>
          </w:tcPr>
          <w:p w:rsidR="00C50008" w:rsidRPr="0068677C" w:rsidRDefault="00C50008" w:rsidP="005B5AEE">
            <w:pPr>
              <w:jc w:val="both"/>
              <w:rPr>
                <w:sz w:val="20"/>
                <w:lang w:val="fr-CA"/>
              </w:rPr>
            </w:pPr>
            <w:r w:rsidRPr="0068677C">
              <w:rPr>
                <w:sz w:val="20"/>
                <w:lang w:val="fr-CA"/>
              </w:rPr>
              <w:t>18 janvier 2021</w:t>
            </w:r>
          </w:p>
          <w:p w:rsidR="00C50008" w:rsidRPr="0068677C" w:rsidRDefault="00C50008" w:rsidP="005B5AEE">
            <w:pPr>
              <w:jc w:val="both"/>
              <w:rPr>
                <w:sz w:val="20"/>
                <w:lang w:val="fr-CA"/>
              </w:rPr>
            </w:pPr>
            <w:r w:rsidRPr="0068677C">
              <w:rPr>
                <w:sz w:val="20"/>
                <w:lang w:val="fr-CA"/>
              </w:rPr>
              <w:t>Cour suprême du Canada</w:t>
            </w:r>
          </w:p>
        </w:tc>
        <w:tc>
          <w:tcPr>
            <w:tcW w:w="243" w:type="pct"/>
          </w:tcPr>
          <w:p w:rsidR="00C50008" w:rsidRPr="0068677C" w:rsidRDefault="00C50008" w:rsidP="005B5AEE">
            <w:pPr>
              <w:jc w:val="both"/>
              <w:rPr>
                <w:sz w:val="20"/>
                <w:lang w:val="fr-CA"/>
              </w:rPr>
            </w:pPr>
          </w:p>
        </w:tc>
        <w:tc>
          <w:tcPr>
            <w:tcW w:w="2330" w:type="pct"/>
          </w:tcPr>
          <w:p w:rsidR="00C50008" w:rsidRPr="0068677C" w:rsidRDefault="00C50008" w:rsidP="005B5AEE">
            <w:pPr>
              <w:jc w:val="both"/>
              <w:rPr>
                <w:sz w:val="20"/>
                <w:lang w:val="fr-CA"/>
              </w:rPr>
            </w:pPr>
            <w:r w:rsidRPr="0068677C">
              <w:rPr>
                <w:sz w:val="20"/>
                <w:lang w:val="fr-CA"/>
              </w:rPr>
              <w:t>La demande d’autorisation d’appel est présentée.</w:t>
            </w:r>
          </w:p>
        </w:tc>
      </w:tr>
    </w:tbl>
    <w:p w:rsidR="004B2E86" w:rsidRPr="0068677C" w:rsidRDefault="004B2E86" w:rsidP="004B2E86">
      <w:pPr>
        <w:jc w:val="both"/>
        <w:rPr>
          <w:sz w:val="20"/>
          <w:szCs w:val="20"/>
          <w:lang w:val="fr-CA"/>
        </w:rPr>
      </w:pPr>
    </w:p>
    <w:p w:rsidR="00102792" w:rsidRPr="0068677C" w:rsidRDefault="00D800B2" w:rsidP="004B2E86">
      <w:pPr>
        <w:jc w:val="both"/>
        <w:rPr>
          <w:sz w:val="20"/>
          <w:szCs w:val="20"/>
          <w:lang w:val="fr-CA"/>
        </w:rPr>
      </w:pPr>
      <w:r>
        <w:rPr>
          <w:sz w:val="20"/>
          <w:szCs w:val="20"/>
        </w:rPr>
        <w:pict>
          <v:rect id="_x0000_i1055" style="width:2in;height:1pt" o:hrpct="0" o:hralign="center" o:hrstd="t" o:hrnoshade="t" o:hr="t" fillcolor="black" stroked="f"/>
        </w:pict>
      </w:r>
    </w:p>
    <w:p w:rsidR="00E06F20" w:rsidRPr="0068677C" w:rsidRDefault="00E06F20" w:rsidP="00102792">
      <w:pPr>
        <w:jc w:val="both"/>
        <w:rPr>
          <w:sz w:val="20"/>
          <w:lang w:val="fr-CA"/>
        </w:rPr>
      </w:pPr>
    </w:p>
    <w:p w:rsidR="00890FEB" w:rsidRPr="0068677C" w:rsidRDefault="00890FEB" w:rsidP="008D292F">
      <w:pPr>
        <w:rPr>
          <w:sz w:val="20"/>
          <w:szCs w:val="20"/>
          <w:lang w:val="fr-CA"/>
        </w:rPr>
      </w:pPr>
    </w:p>
    <w:p w:rsidR="00890FEB" w:rsidRPr="0068677C" w:rsidRDefault="00890FEB" w:rsidP="008D292F">
      <w:pPr>
        <w:rPr>
          <w:b/>
          <w:sz w:val="20"/>
          <w:szCs w:val="20"/>
          <w:lang w:val="fr-CA"/>
        </w:rPr>
        <w:sectPr w:rsidR="00890FEB" w:rsidRPr="0068677C"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693C38" w:rsidRPr="0068677C" w:rsidRDefault="00DD0BDC" w:rsidP="00567602">
      <w:pPr>
        <w:pStyle w:val="Header1StyleE"/>
        <w:pBdr>
          <w:bottom w:val="single" w:sz="12" w:space="1" w:color="auto"/>
        </w:pBdr>
        <w:rPr>
          <w:lang w:val="fr-CA"/>
        </w:rPr>
      </w:pPr>
      <w:bookmarkStart w:id="5" w:name="_Toc72405878"/>
      <w:r w:rsidRPr="0068677C">
        <w:rPr>
          <w:lang w:val="fr-CA"/>
        </w:rPr>
        <w:lastRenderedPageBreak/>
        <w:t>Motions</w:t>
      </w:r>
      <w:r w:rsidR="00271E1E" w:rsidRPr="0068677C">
        <w:rPr>
          <w:lang w:val="fr-CA"/>
        </w:rPr>
        <w:t xml:space="preserve"> / </w:t>
      </w:r>
      <w:r w:rsidR="00693C38" w:rsidRPr="0068677C">
        <w:rPr>
          <w:lang w:val="fr-CA"/>
        </w:rPr>
        <w:br/>
      </w:r>
      <w:r w:rsidRPr="0068677C">
        <w:rPr>
          <w:lang w:val="fr-CA"/>
        </w:rPr>
        <w:t>Requêtes</w:t>
      </w:r>
      <w:bookmarkEnd w:id="5"/>
    </w:p>
    <w:p w:rsidR="00890FEB" w:rsidRPr="0068677C" w:rsidRDefault="00890FEB" w:rsidP="00890FEB">
      <w:pPr>
        <w:rPr>
          <w:sz w:val="20"/>
          <w:szCs w:val="20"/>
          <w:lang w:val="fr-CA"/>
        </w:rPr>
      </w:pPr>
    </w:p>
    <w:p w:rsidR="008859F1" w:rsidRPr="0068677C" w:rsidRDefault="00C86AED" w:rsidP="008859F1">
      <w:pPr>
        <w:rPr>
          <w:b/>
          <w:sz w:val="20"/>
          <w:szCs w:val="20"/>
          <w:lang w:val="fr-CA"/>
        </w:rPr>
      </w:pPr>
      <w:r w:rsidRPr="0068677C">
        <w:rPr>
          <w:b/>
          <w:sz w:val="20"/>
          <w:szCs w:val="20"/>
          <w:lang w:val="fr-CA"/>
        </w:rPr>
        <w:t>MAY</w:t>
      </w:r>
      <w:r w:rsidR="008859F1" w:rsidRPr="0068677C">
        <w:rPr>
          <w:b/>
          <w:sz w:val="20"/>
          <w:szCs w:val="20"/>
          <w:lang w:val="fr-CA"/>
        </w:rPr>
        <w:t xml:space="preserve"> </w:t>
      </w:r>
      <w:r w:rsidR="00691D1D" w:rsidRPr="0068677C">
        <w:rPr>
          <w:b/>
          <w:sz w:val="20"/>
          <w:szCs w:val="20"/>
          <w:lang w:val="fr-CA"/>
        </w:rPr>
        <w:t>1</w:t>
      </w:r>
      <w:r w:rsidRPr="0068677C">
        <w:rPr>
          <w:b/>
          <w:sz w:val="20"/>
          <w:szCs w:val="20"/>
          <w:lang w:val="fr-CA"/>
        </w:rPr>
        <w:t>8</w:t>
      </w:r>
      <w:r w:rsidR="008859F1" w:rsidRPr="0068677C">
        <w:rPr>
          <w:b/>
          <w:sz w:val="20"/>
          <w:szCs w:val="20"/>
          <w:lang w:val="fr-CA"/>
        </w:rPr>
        <w:t>, 20</w:t>
      </w:r>
      <w:r w:rsidR="005967EF" w:rsidRPr="0068677C">
        <w:rPr>
          <w:b/>
          <w:sz w:val="20"/>
          <w:szCs w:val="20"/>
          <w:lang w:val="fr-CA"/>
        </w:rPr>
        <w:t>2</w:t>
      </w:r>
      <w:r w:rsidR="009B36BA" w:rsidRPr="0068677C">
        <w:rPr>
          <w:b/>
          <w:sz w:val="20"/>
          <w:szCs w:val="20"/>
          <w:lang w:val="fr-CA"/>
        </w:rPr>
        <w:t>1</w:t>
      </w:r>
      <w:r w:rsidR="008859F1" w:rsidRPr="0068677C">
        <w:rPr>
          <w:b/>
          <w:sz w:val="20"/>
          <w:szCs w:val="20"/>
          <w:lang w:val="fr-CA"/>
        </w:rPr>
        <w:t xml:space="preserve"> / LE </w:t>
      </w:r>
      <w:r w:rsidR="00691D1D" w:rsidRPr="0068677C">
        <w:rPr>
          <w:b/>
          <w:sz w:val="20"/>
          <w:szCs w:val="20"/>
          <w:lang w:val="fr-CA"/>
        </w:rPr>
        <w:t>1</w:t>
      </w:r>
      <w:r w:rsidRPr="0068677C">
        <w:rPr>
          <w:b/>
          <w:sz w:val="20"/>
          <w:szCs w:val="20"/>
          <w:lang w:val="fr-CA"/>
        </w:rPr>
        <w:t>8</w:t>
      </w:r>
      <w:r w:rsidR="008859F1" w:rsidRPr="0068677C">
        <w:rPr>
          <w:b/>
          <w:sz w:val="20"/>
          <w:szCs w:val="20"/>
          <w:lang w:val="fr-CA"/>
        </w:rPr>
        <w:t xml:space="preserve"> </w:t>
      </w:r>
      <w:r w:rsidRPr="0068677C">
        <w:rPr>
          <w:b/>
          <w:sz w:val="20"/>
          <w:szCs w:val="20"/>
          <w:lang w:val="fr-CA"/>
        </w:rPr>
        <w:t>MAI</w:t>
      </w:r>
      <w:r w:rsidR="008859F1" w:rsidRPr="0068677C">
        <w:rPr>
          <w:b/>
          <w:sz w:val="20"/>
          <w:szCs w:val="20"/>
          <w:lang w:val="fr-CA"/>
        </w:rPr>
        <w:t xml:space="preserve"> 20</w:t>
      </w:r>
      <w:r w:rsidR="005967EF" w:rsidRPr="0068677C">
        <w:rPr>
          <w:b/>
          <w:sz w:val="20"/>
          <w:szCs w:val="20"/>
          <w:lang w:val="fr-CA"/>
        </w:rPr>
        <w:t>2</w:t>
      </w:r>
      <w:r w:rsidR="009B36BA" w:rsidRPr="0068677C">
        <w:rPr>
          <w:b/>
          <w:sz w:val="20"/>
          <w:szCs w:val="20"/>
          <w:lang w:val="fr-CA"/>
        </w:rPr>
        <w:t>1</w:t>
      </w:r>
    </w:p>
    <w:p w:rsidR="00102792" w:rsidRPr="0068677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800B2" w:rsidTr="00691D1D">
        <w:tc>
          <w:tcPr>
            <w:tcW w:w="4410" w:type="dxa"/>
            <w:tcBorders>
              <w:top w:val="nil"/>
              <w:left w:val="nil"/>
              <w:bottom w:val="nil"/>
              <w:right w:val="nil"/>
            </w:tcBorders>
          </w:tcPr>
          <w:p w:rsidR="00D93A6C" w:rsidRPr="0068677C" w:rsidRDefault="00D93A6C" w:rsidP="00C86AED">
            <w:pPr>
              <w:jc w:val="both"/>
              <w:rPr>
                <w:rFonts w:cs="Times New Roman"/>
                <w:b/>
                <w:bCs/>
                <w:sz w:val="20"/>
                <w:szCs w:val="20"/>
                <w:lang w:val="en-US"/>
              </w:rPr>
            </w:pPr>
            <w:r w:rsidRPr="0068677C">
              <w:rPr>
                <w:rFonts w:eastAsia="Times New Roman" w:cs="Times New Roman"/>
                <w:b/>
                <w:sz w:val="20"/>
                <w:szCs w:val="20"/>
                <w:lang w:val="en-US" w:eastAsia="en-CA"/>
              </w:rPr>
              <w:t xml:space="preserve">Motion </w:t>
            </w:r>
            <w:r w:rsidR="00C86AED" w:rsidRPr="0068677C">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68677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8677C" w:rsidRDefault="00D93A6C" w:rsidP="00691D1D">
            <w:pPr>
              <w:jc w:val="both"/>
              <w:rPr>
                <w:rFonts w:cs="Times New Roman"/>
                <w:b/>
                <w:bCs/>
                <w:sz w:val="20"/>
                <w:szCs w:val="20"/>
                <w:lang w:val="fr-CA"/>
              </w:rPr>
            </w:pPr>
            <w:r w:rsidRPr="0068677C">
              <w:rPr>
                <w:rFonts w:eastAsia="Times New Roman" w:cs="Times New Roman"/>
                <w:b/>
                <w:sz w:val="20"/>
                <w:szCs w:val="20"/>
                <w:lang w:val="fr-CA" w:eastAsia="en-CA"/>
              </w:rPr>
              <w:t xml:space="preserve">Requête </w:t>
            </w:r>
            <w:r w:rsidR="00C86AED" w:rsidRPr="0068677C">
              <w:rPr>
                <w:rFonts w:eastAsia="Times New Roman" w:cs="Times New Roman"/>
                <w:b/>
                <w:sz w:val="20"/>
                <w:szCs w:val="20"/>
                <w:lang w:val="fr-CA" w:eastAsia="en-CA"/>
              </w:rPr>
              <w:t>en prorogation de délai</w:t>
            </w:r>
          </w:p>
        </w:tc>
      </w:tr>
    </w:tbl>
    <w:p w:rsidR="00D93A6C" w:rsidRPr="0068677C" w:rsidRDefault="00D93A6C" w:rsidP="00102792">
      <w:pPr>
        <w:tabs>
          <w:tab w:val="left" w:pos="-1440"/>
          <w:tab w:val="left" w:pos="-720"/>
        </w:tabs>
        <w:jc w:val="both"/>
        <w:rPr>
          <w:rFonts w:eastAsia="Times New Roman" w:cs="Times New Roman"/>
          <w:sz w:val="20"/>
          <w:szCs w:val="20"/>
          <w:lang w:val="fr-CA" w:eastAsia="en-CA"/>
        </w:rPr>
      </w:pPr>
    </w:p>
    <w:p w:rsidR="00D93A6C" w:rsidRPr="0068677C" w:rsidRDefault="00D93A6C" w:rsidP="00102792">
      <w:pPr>
        <w:tabs>
          <w:tab w:val="left" w:pos="-1440"/>
          <w:tab w:val="left" w:pos="-720"/>
        </w:tabs>
        <w:jc w:val="both"/>
        <w:rPr>
          <w:rFonts w:eastAsia="Times New Roman" w:cs="Times New Roman"/>
          <w:sz w:val="20"/>
          <w:szCs w:val="20"/>
          <w:lang w:val="fr-CA" w:eastAsia="en-CA"/>
        </w:rPr>
      </w:pPr>
    </w:p>
    <w:p w:rsidR="00C86AED" w:rsidRPr="0068677C" w:rsidRDefault="00C86AED" w:rsidP="00C86AED">
      <w:pPr>
        <w:rPr>
          <w:rFonts w:cs="Times New Roman"/>
          <w:b/>
          <w:bCs/>
          <w:sz w:val="20"/>
          <w:szCs w:val="20"/>
        </w:rPr>
      </w:pPr>
      <w:r w:rsidRPr="0068677C">
        <w:rPr>
          <w:rFonts w:cs="Times New Roman"/>
          <w:b/>
          <w:bCs/>
          <w:caps/>
          <w:sz w:val="20"/>
          <w:szCs w:val="20"/>
        </w:rPr>
        <w:t xml:space="preserve">ALAN TECK MENG LAI </w:t>
      </w:r>
      <w:r w:rsidRPr="0068677C">
        <w:rPr>
          <w:rFonts w:cs="Times New Roman"/>
          <w:b/>
          <w:bCs/>
          <w:sz w:val="20"/>
          <w:szCs w:val="20"/>
        </w:rPr>
        <w:t xml:space="preserve">v. </w:t>
      </w:r>
      <w:r w:rsidRPr="0068677C">
        <w:rPr>
          <w:rFonts w:cs="Times New Roman"/>
          <w:b/>
          <w:bCs/>
          <w:caps/>
          <w:sz w:val="20"/>
          <w:szCs w:val="20"/>
        </w:rPr>
        <w:t>HER MAJESTY THE QUEEN</w:t>
      </w:r>
    </w:p>
    <w:p w:rsidR="00C86AED" w:rsidRPr="0068677C" w:rsidRDefault="00C86AED" w:rsidP="00C86AED">
      <w:pPr>
        <w:rPr>
          <w:rFonts w:cs="Times New Roman"/>
          <w:bCs/>
          <w:sz w:val="20"/>
          <w:szCs w:val="20"/>
        </w:rPr>
      </w:pPr>
      <w:r w:rsidRPr="0068677C">
        <w:rPr>
          <w:rFonts w:cs="Times New Roman"/>
          <w:bCs/>
          <w:sz w:val="20"/>
          <w:szCs w:val="20"/>
        </w:rPr>
        <w:t xml:space="preserve">(B.C.) (39577) </w:t>
      </w:r>
    </w:p>
    <w:p w:rsidR="00C86AED" w:rsidRPr="0068677C" w:rsidRDefault="00C86AED" w:rsidP="00C86AED">
      <w:pPr>
        <w:rPr>
          <w:rFonts w:cs="Times New Roman"/>
          <w:bCs/>
          <w:sz w:val="20"/>
          <w:szCs w:val="20"/>
        </w:rPr>
      </w:pPr>
    </w:p>
    <w:p w:rsidR="00C86AED" w:rsidRPr="0068677C" w:rsidRDefault="00C86AED" w:rsidP="00C86AED">
      <w:pPr>
        <w:rPr>
          <w:rFonts w:eastAsia="Times New Roman" w:cs="Times New Roman"/>
          <w:sz w:val="20"/>
          <w:szCs w:val="20"/>
          <w:lang w:eastAsia="en-CA"/>
        </w:rPr>
      </w:pPr>
      <w:r w:rsidRPr="0068677C">
        <w:rPr>
          <w:rFonts w:eastAsia="Times New Roman" w:cs="Times New Roman"/>
          <w:b/>
          <w:bCs/>
          <w:sz w:val="20"/>
          <w:szCs w:val="20"/>
          <w:u w:val="single"/>
          <w:lang w:eastAsia="en-CA"/>
        </w:rPr>
        <w:t>CÔTÉ J.:</w:t>
      </w:r>
    </w:p>
    <w:p w:rsidR="00C86AED" w:rsidRPr="0068677C" w:rsidRDefault="00C86AED" w:rsidP="00C86AED">
      <w:pPr>
        <w:rPr>
          <w:rFonts w:cs="Times New Roman"/>
          <w:sz w:val="20"/>
          <w:szCs w:val="20"/>
        </w:rPr>
      </w:pPr>
    </w:p>
    <w:p w:rsidR="00C86AED" w:rsidRPr="0068677C" w:rsidRDefault="00C86AED" w:rsidP="00C86AED">
      <w:pPr>
        <w:rPr>
          <w:rFonts w:eastAsia="Times New Roman" w:cs="Times New Roman"/>
          <w:i/>
          <w:sz w:val="20"/>
          <w:szCs w:val="20"/>
          <w:lang w:eastAsia="en-CA"/>
        </w:rPr>
      </w:pPr>
      <w:r w:rsidRPr="0068677C">
        <w:rPr>
          <w:rFonts w:eastAsia="Times New Roman" w:cs="Times New Roman"/>
          <w:b/>
          <w:bCs/>
          <w:sz w:val="20"/>
          <w:szCs w:val="20"/>
          <w:lang w:eastAsia="en-CA"/>
        </w:rPr>
        <w:t>UPON APPLICATION</w:t>
      </w:r>
      <w:r w:rsidRPr="0068677C">
        <w:rPr>
          <w:rFonts w:eastAsia="Times New Roman" w:cs="Times New Roman"/>
          <w:sz w:val="20"/>
          <w:szCs w:val="20"/>
          <w:lang w:eastAsia="en-CA"/>
        </w:rPr>
        <w:t xml:space="preserve"> by the appellant for an order extending the time to file his factum, record and book of authorities, if any, to July 7, 2021.</w:t>
      </w:r>
    </w:p>
    <w:p w:rsidR="00C86AED" w:rsidRPr="0068677C" w:rsidRDefault="00C86AED" w:rsidP="00C86AED">
      <w:pPr>
        <w:rPr>
          <w:rFonts w:eastAsia="Times New Roman" w:cs="Times New Roman"/>
          <w:sz w:val="20"/>
          <w:szCs w:val="20"/>
          <w:lang w:eastAsia="en-CA"/>
        </w:rPr>
      </w:pPr>
    </w:p>
    <w:p w:rsidR="00C86AED" w:rsidRPr="0068677C" w:rsidRDefault="00C86AED" w:rsidP="00C86AED">
      <w:pPr>
        <w:spacing w:line="233" w:lineRule="auto"/>
        <w:rPr>
          <w:rFonts w:cs="Times New Roman"/>
          <w:sz w:val="20"/>
          <w:szCs w:val="20"/>
        </w:rPr>
      </w:pPr>
      <w:r w:rsidRPr="0068677C">
        <w:rPr>
          <w:rFonts w:cs="Times New Roman"/>
          <w:b/>
          <w:bCs/>
          <w:sz w:val="20"/>
          <w:szCs w:val="20"/>
        </w:rPr>
        <w:t>AND THE MATERIAL FILED</w:t>
      </w:r>
      <w:r w:rsidRPr="0068677C">
        <w:rPr>
          <w:rFonts w:cs="Times New Roman"/>
          <w:sz w:val="20"/>
          <w:szCs w:val="20"/>
        </w:rPr>
        <w:t xml:space="preserve"> having been read;</w:t>
      </w:r>
    </w:p>
    <w:p w:rsidR="00C86AED" w:rsidRPr="0068677C" w:rsidRDefault="00C86AED" w:rsidP="00C86AED">
      <w:pPr>
        <w:spacing w:line="233" w:lineRule="auto"/>
        <w:rPr>
          <w:rFonts w:cs="Times New Roman"/>
          <w:sz w:val="20"/>
          <w:szCs w:val="20"/>
        </w:rPr>
      </w:pPr>
    </w:p>
    <w:p w:rsidR="00C86AED" w:rsidRPr="0068677C" w:rsidRDefault="00C86AED" w:rsidP="00C86AED">
      <w:pPr>
        <w:spacing w:line="233" w:lineRule="auto"/>
        <w:rPr>
          <w:rFonts w:cs="Times New Roman"/>
          <w:b/>
          <w:bCs/>
          <w:sz w:val="20"/>
          <w:szCs w:val="20"/>
        </w:rPr>
      </w:pPr>
      <w:r w:rsidRPr="0068677C">
        <w:rPr>
          <w:rFonts w:eastAsia="Times New Roman" w:cs="Times New Roman"/>
          <w:b/>
          <w:bCs/>
          <w:sz w:val="20"/>
          <w:szCs w:val="20"/>
          <w:lang w:eastAsia="en-CA"/>
        </w:rPr>
        <w:t>IT IS HEREBY ORDERED THAT:</w:t>
      </w:r>
    </w:p>
    <w:p w:rsidR="00C86AED" w:rsidRPr="0068677C" w:rsidRDefault="00C86AED" w:rsidP="00C86AED">
      <w:pPr>
        <w:spacing w:line="233" w:lineRule="auto"/>
        <w:rPr>
          <w:rFonts w:cs="Times New Roman"/>
          <w:sz w:val="20"/>
          <w:szCs w:val="20"/>
        </w:rPr>
      </w:pPr>
    </w:p>
    <w:p w:rsidR="00C86AED" w:rsidRPr="0068677C" w:rsidRDefault="00C86AED" w:rsidP="00C86AED">
      <w:pPr>
        <w:spacing w:line="233" w:lineRule="auto"/>
        <w:rPr>
          <w:rFonts w:cs="Times New Roman"/>
          <w:sz w:val="20"/>
          <w:szCs w:val="20"/>
        </w:rPr>
      </w:pPr>
      <w:r w:rsidRPr="0068677C">
        <w:rPr>
          <w:rFonts w:cs="Times New Roman"/>
          <w:sz w:val="20"/>
          <w:szCs w:val="20"/>
        </w:rPr>
        <w:t>The motion is granted.</w:t>
      </w:r>
    </w:p>
    <w:p w:rsidR="00C86AED" w:rsidRPr="0068677C" w:rsidRDefault="00C86AED" w:rsidP="00C86AED">
      <w:pPr>
        <w:spacing w:line="233" w:lineRule="auto"/>
        <w:rPr>
          <w:rFonts w:cs="Times New Roman"/>
          <w:sz w:val="20"/>
          <w:szCs w:val="20"/>
        </w:rPr>
      </w:pPr>
    </w:p>
    <w:p w:rsidR="00C86AED" w:rsidRPr="0068677C" w:rsidRDefault="00C86AED" w:rsidP="00C86AED">
      <w:pPr>
        <w:rPr>
          <w:rFonts w:cs="Times New Roman"/>
          <w:sz w:val="20"/>
          <w:szCs w:val="20"/>
        </w:rPr>
      </w:pPr>
      <w:r w:rsidRPr="0068677C">
        <w:rPr>
          <w:rFonts w:cs="Times New Roman"/>
          <w:sz w:val="20"/>
          <w:szCs w:val="20"/>
        </w:rPr>
        <w:t>The appellant is permitted to serve and file his factum, record and book of authorities, if any, on or before July 7, 2021.</w:t>
      </w:r>
    </w:p>
    <w:p w:rsidR="00C86AED" w:rsidRPr="0068677C" w:rsidRDefault="00C86AED" w:rsidP="00C86AED">
      <w:pPr>
        <w:rPr>
          <w:rFonts w:cs="Times New Roman"/>
          <w:sz w:val="20"/>
          <w:szCs w:val="20"/>
        </w:rPr>
      </w:pPr>
    </w:p>
    <w:p w:rsidR="00C86AED" w:rsidRPr="0068677C" w:rsidRDefault="00C86AED" w:rsidP="00C86AED">
      <w:pPr>
        <w:rPr>
          <w:rFonts w:cs="Times New Roman"/>
          <w:sz w:val="20"/>
          <w:szCs w:val="20"/>
        </w:rPr>
      </w:pPr>
      <w:r w:rsidRPr="0068677C">
        <w:rPr>
          <w:rFonts w:cs="Times New Roman"/>
          <w:sz w:val="20"/>
          <w:szCs w:val="20"/>
        </w:rPr>
        <w:t>The respondent shall serve and file their factum, record and book of authorities, if any, on or before September 7, 2021.</w:t>
      </w:r>
    </w:p>
    <w:p w:rsidR="00C86AED" w:rsidRPr="0068677C" w:rsidRDefault="00C86AED" w:rsidP="00C86AED">
      <w:pPr>
        <w:rPr>
          <w:rFonts w:cs="Times New Roman"/>
          <w:sz w:val="20"/>
          <w:szCs w:val="20"/>
        </w:rPr>
      </w:pPr>
    </w:p>
    <w:p w:rsidR="00C86AED" w:rsidRPr="0068677C" w:rsidRDefault="00C86AED" w:rsidP="00C86AED">
      <w:pPr>
        <w:rPr>
          <w:rFonts w:cs="Times New Roman"/>
          <w:sz w:val="20"/>
          <w:szCs w:val="20"/>
        </w:rPr>
      </w:pPr>
    </w:p>
    <w:p w:rsidR="00C86AED" w:rsidRPr="0068677C" w:rsidRDefault="00C86AED" w:rsidP="00C86AED">
      <w:pPr>
        <w:rPr>
          <w:rFonts w:cs="Times New Roman"/>
          <w:sz w:val="20"/>
          <w:szCs w:val="20"/>
          <w:lang w:val="fr-CA"/>
        </w:rPr>
      </w:pPr>
      <w:r w:rsidRPr="0068677C">
        <w:rPr>
          <w:rFonts w:cs="Times New Roman"/>
          <w:b/>
          <w:sz w:val="20"/>
          <w:szCs w:val="20"/>
          <w:lang w:val="fr-CA"/>
        </w:rPr>
        <w:t>À LA SUITE DE LA DEMANDE</w:t>
      </w:r>
      <w:r w:rsidRPr="0068677C">
        <w:rPr>
          <w:rFonts w:cs="Times New Roman"/>
          <w:sz w:val="20"/>
          <w:szCs w:val="20"/>
          <w:lang w:val="fr-CA"/>
        </w:rPr>
        <w:t xml:space="preserve"> de l’appelant en prorogation du délai pour déposer </w:t>
      </w:r>
      <w:proofErr w:type="gramStart"/>
      <w:r w:rsidRPr="0068677C">
        <w:rPr>
          <w:rFonts w:cs="Times New Roman"/>
          <w:sz w:val="20"/>
          <w:szCs w:val="20"/>
          <w:lang w:val="fr-CA"/>
        </w:rPr>
        <w:t>ses mémoire</w:t>
      </w:r>
      <w:proofErr w:type="gramEnd"/>
      <w:r w:rsidRPr="0068677C">
        <w:rPr>
          <w:rFonts w:cs="Times New Roman"/>
          <w:sz w:val="20"/>
          <w:szCs w:val="20"/>
          <w:lang w:val="fr-CA"/>
        </w:rPr>
        <w:t>, dossier et recueil de sources, le cas échéant, au 7 juillet 2021;</w:t>
      </w:r>
    </w:p>
    <w:p w:rsidR="00C86AED" w:rsidRPr="0068677C" w:rsidRDefault="00C86AED" w:rsidP="00C86AED">
      <w:pPr>
        <w:rPr>
          <w:rFonts w:cs="Times New Roman"/>
          <w:sz w:val="20"/>
          <w:szCs w:val="20"/>
          <w:lang w:val="fr-CA"/>
        </w:rPr>
      </w:pPr>
    </w:p>
    <w:p w:rsidR="00C86AED" w:rsidRPr="0068677C" w:rsidRDefault="00C86AED" w:rsidP="00C86AED">
      <w:pPr>
        <w:rPr>
          <w:rFonts w:cs="Times New Roman"/>
          <w:sz w:val="20"/>
          <w:szCs w:val="20"/>
          <w:lang w:val="fr-CA"/>
        </w:rPr>
      </w:pPr>
      <w:r w:rsidRPr="0068677C">
        <w:rPr>
          <w:rFonts w:cs="Times New Roman"/>
          <w:b/>
          <w:sz w:val="20"/>
          <w:szCs w:val="20"/>
          <w:lang w:val="fr-CA"/>
        </w:rPr>
        <w:t>ET APRÈS EXAMEN</w:t>
      </w:r>
      <w:r w:rsidRPr="0068677C">
        <w:rPr>
          <w:rFonts w:cs="Times New Roman"/>
          <w:sz w:val="20"/>
          <w:szCs w:val="20"/>
          <w:lang w:val="fr-CA"/>
        </w:rPr>
        <w:t xml:space="preserve"> des documents déposés;</w:t>
      </w:r>
    </w:p>
    <w:p w:rsidR="00C86AED" w:rsidRPr="0068677C" w:rsidRDefault="00C86AED" w:rsidP="00C86AED">
      <w:pPr>
        <w:rPr>
          <w:rFonts w:cs="Times New Roman"/>
          <w:sz w:val="20"/>
          <w:szCs w:val="20"/>
          <w:lang w:val="fr-CA"/>
        </w:rPr>
      </w:pPr>
    </w:p>
    <w:p w:rsidR="00C86AED" w:rsidRPr="0068677C" w:rsidRDefault="00C86AED" w:rsidP="00C86AED">
      <w:pPr>
        <w:rPr>
          <w:rFonts w:cs="Times New Roman"/>
          <w:b/>
          <w:sz w:val="20"/>
          <w:szCs w:val="20"/>
          <w:lang w:val="fr-CA"/>
        </w:rPr>
      </w:pPr>
      <w:r w:rsidRPr="0068677C">
        <w:rPr>
          <w:rFonts w:cs="Times New Roman"/>
          <w:b/>
          <w:sz w:val="20"/>
          <w:szCs w:val="20"/>
          <w:lang w:val="fr-CA"/>
        </w:rPr>
        <w:t>IL EST ORDONNÉ CE QUI SUIT :</w:t>
      </w:r>
    </w:p>
    <w:p w:rsidR="00C86AED" w:rsidRPr="0068677C" w:rsidRDefault="00C86AED" w:rsidP="00C86AED">
      <w:pPr>
        <w:rPr>
          <w:rFonts w:cs="Times New Roman"/>
          <w:sz w:val="20"/>
          <w:szCs w:val="20"/>
          <w:lang w:val="fr-CA"/>
        </w:rPr>
      </w:pPr>
    </w:p>
    <w:p w:rsidR="00C86AED" w:rsidRPr="0068677C" w:rsidRDefault="00C86AED" w:rsidP="00C86AED">
      <w:pPr>
        <w:rPr>
          <w:rFonts w:cs="Times New Roman"/>
          <w:sz w:val="20"/>
          <w:szCs w:val="20"/>
          <w:lang w:val="fr-CA"/>
        </w:rPr>
      </w:pPr>
      <w:r w:rsidRPr="0068677C">
        <w:rPr>
          <w:rFonts w:cs="Times New Roman"/>
          <w:sz w:val="20"/>
          <w:szCs w:val="20"/>
          <w:lang w:val="fr-CA"/>
        </w:rPr>
        <w:t>La requête est accueillie.</w:t>
      </w:r>
    </w:p>
    <w:p w:rsidR="00C86AED" w:rsidRPr="0068677C" w:rsidRDefault="00C86AED" w:rsidP="00C86AED">
      <w:pPr>
        <w:rPr>
          <w:rFonts w:cs="Times New Roman"/>
          <w:sz w:val="20"/>
          <w:szCs w:val="20"/>
          <w:lang w:val="fr-CA"/>
        </w:rPr>
      </w:pPr>
    </w:p>
    <w:p w:rsidR="00C86AED" w:rsidRPr="0068677C" w:rsidRDefault="00C86AED" w:rsidP="00C86AED">
      <w:pPr>
        <w:rPr>
          <w:rFonts w:cs="Times New Roman"/>
          <w:sz w:val="20"/>
          <w:szCs w:val="20"/>
          <w:lang w:val="fr-CA"/>
        </w:rPr>
      </w:pPr>
      <w:r w:rsidRPr="0068677C">
        <w:rPr>
          <w:rFonts w:cs="Times New Roman"/>
          <w:sz w:val="20"/>
          <w:szCs w:val="20"/>
          <w:lang w:val="fr-CA"/>
        </w:rPr>
        <w:t xml:space="preserve">L’appelant est autorisé à signifier et à déposer </w:t>
      </w:r>
      <w:proofErr w:type="gramStart"/>
      <w:r w:rsidRPr="0068677C">
        <w:rPr>
          <w:rFonts w:cs="Times New Roman"/>
          <w:sz w:val="20"/>
          <w:szCs w:val="20"/>
          <w:lang w:val="fr-CA"/>
        </w:rPr>
        <w:t>ses mémoire</w:t>
      </w:r>
      <w:proofErr w:type="gramEnd"/>
      <w:r w:rsidRPr="0068677C">
        <w:rPr>
          <w:rFonts w:cs="Times New Roman"/>
          <w:sz w:val="20"/>
          <w:szCs w:val="20"/>
          <w:lang w:val="fr-CA"/>
        </w:rPr>
        <w:t>, dossier et recueil de sources, le cas échéant, au plus tard le 7 juillet 2021.</w:t>
      </w:r>
    </w:p>
    <w:p w:rsidR="00C86AED" w:rsidRPr="0068677C" w:rsidRDefault="00C86AED" w:rsidP="00C86AED">
      <w:pPr>
        <w:rPr>
          <w:rFonts w:cs="Times New Roman"/>
          <w:sz w:val="20"/>
          <w:szCs w:val="20"/>
          <w:lang w:val="fr-CA"/>
        </w:rPr>
      </w:pPr>
    </w:p>
    <w:p w:rsidR="00C86AED" w:rsidRPr="0068677C" w:rsidRDefault="00C86AED" w:rsidP="00C86AED">
      <w:pPr>
        <w:rPr>
          <w:rFonts w:cs="Times New Roman"/>
          <w:sz w:val="20"/>
          <w:szCs w:val="20"/>
          <w:lang w:val="fr-CA"/>
        </w:rPr>
      </w:pPr>
      <w:r w:rsidRPr="0068677C">
        <w:rPr>
          <w:rFonts w:cs="Times New Roman"/>
          <w:sz w:val="20"/>
          <w:szCs w:val="20"/>
          <w:lang w:val="fr-CA"/>
        </w:rPr>
        <w:t xml:space="preserve">L’intimée signifiera et déposera </w:t>
      </w:r>
      <w:proofErr w:type="gramStart"/>
      <w:r w:rsidRPr="0068677C">
        <w:rPr>
          <w:rFonts w:cs="Times New Roman"/>
          <w:sz w:val="20"/>
          <w:szCs w:val="20"/>
          <w:lang w:val="fr-CA"/>
        </w:rPr>
        <w:t>ses mémoire</w:t>
      </w:r>
      <w:proofErr w:type="gramEnd"/>
      <w:r w:rsidRPr="0068677C">
        <w:rPr>
          <w:rFonts w:cs="Times New Roman"/>
          <w:sz w:val="20"/>
          <w:szCs w:val="20"/>
          <w:lang w:val="fr-CA"/>
        </w:rPr>
        <w:t>, dossier et recueil de sources, le cas échéant, au plus tard le 7 septembre 2021.</w:t>
      </w:r>
    </w:p>
    <w:p w:rsidR="00102792" w:rsidRPr="0068677C" w:rsidRDefault="00102792" w:rsidP="00102792">
      <w:pPr>
        <w:spacing w:line="232" w:lineRule="auto"/>
        <w:rPr>
          <w:rFonts w:cs="Times New Roman"/>
          <w:sz w:val="20"/>
          <w:lang w:val="fr-CA"/>
        </w:rPr>
      </w:pPr>
    </w:p>
    <w:p w:rsidR="00102792" w:rsidRPr="0068677C" w:rsidRDefault="00D800B2"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5967EF" w:rsidRPr="0068677C" w:rsidRDefault="005967EF" w:rsidP="00102792">
      <w:pPr>
        <w:rPr>
          <w:rFonts w:eastAsia="Times New Roman" w:cs="Times New Roman"/>
          <w:sz w:val="20"/>
          <w:szCs w:val="20"/>
          <w:lang w:val="fr-CA" w:eastAsia="en-CA"/>
        </w:rPr>
      </w:pPr>
    </w:p>
    <w:p w:rsidR="00CA2DEA" w:rsidRPr="0068677C" w:rsidRDefault="00CA2DEA" w:rsidP="00CA2DEA">
      <w:pPr>
        <w:widowControl w:val="0"/>
        <w:rPr>
          <w:rFonts w:eastAsia="Times New Roman" w:cs="Times New Roman"/>
          <w:sz w:val="20"/>
          <w:szCs w:val="20"/>
          <w:lang w:val="en-US" w:eastAsia="en-CA"/>
        </w:rPr>
      </w:pPr>
    </w:p>
    <w:p w:rsidR="00CA2DEA" w:rsidRPr="0068677C" w:rsidRDefault="00CA2DEA" w:rsidP="0010587F">
      <w:pPr>
        <w:tabs>
          <w:tab w:val="left" w:pos="-1440"/>
          <w:tab w:val="left" w:pos="-720"/>
        </w:tabs>
        <w:jc w:val="both"/>
        <w:rPr>
          <w:sz w:val="20"/>
          <w:szCs w:val="20"/>
          <w:lang w:val="fr-CA"/>
        </w:rPr>
      </w:pPr>
    </w:p>
    <w:p w:rsidR="00890FEB" w:rsidRPr="0068677C" w:rsidRDefault="00890FEB" w:rsidP="00831CA9">
      <w:pPr>
        <w:jc w:val="both"/>
        <w:rPr>
          <w:sz w:val="20"/>
          <w:szCs w:val="20"/>
          <w:lang w:val="fr-CA"/>
        </w:rPr>
      </w:pPr>
    </w:p>
    <w:p w:rsidR="00831CA9" w:rsidRPr="0068677C" w:rsidRDefault="00831CA9" w:rsidP="00831CA9">
      <w:pPr>
        <w:jc w:val="both"/>
        <w:rPr>
          <w:sz w:val="20"/>
          <w:szCs w:val="20"/>
          <w:lang w:val="fr-CA"/>
        </w:rPr>
        <w:sectPr w:rsidR="00831CA9" w:rsidRPr="0068677C"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567602" w:rsidRPr="0068677C" w:rsidRDefault="001434B9" w:rsidP="00567602">
      <w:pPr>
        <w:pStyle w:val="Header1StyleE"/>
        <w:pBdr>
          <w:bottom w:val="single" w:sz="12" w:space="1" w:color="auto"/>
        </w:pBdr>
        <w:rPr>
          <w:lang w:val="fr-CA"/>
        </w:rPr>
      </w:pPr>
      <w:bookmarkStart w:id="6" w:name="_Toc72405879"/>
      <w:r w:rsidRPr="0068677C">
        <w:rPr>
          <w:lang w:val="fr-CA"/>
        </w:rPr>
        <w:lastRenderedPageBreak/>
        <w:t>Appeals heard since the last issue and disposition</w:t>
      </w:r>
      <w:r w:rsidR="00271E1E" w:rsidRPr="0068677C">
        <w:rPr>
          <w:lang w:val="fr-CA"/>
        </w:rPr>
        <w:t xml:space="preserve"> / </w:t>
      </w:r>
      <w:r w:rsidR="00567602" w:rsidRPr="0068677C">
        <w:rPr>
          <w:lang w:val="fr-CA"/>
        </w:rPr>
        <w:br/>
      </w:r>
      <w:r w:rsidRPr="0068677C">
        <w:rPr>
          <w:lang w:val="fr-CA"/>
        </w:rPr>
        <w:t>Appels entendus depuis la dernière parution et résultat</w:t>
      </w:r>
      <w:bookmarkEnd w:id="6"/>
    </w:p>
    <w:p w:rsidR="00567602" w:rsidRPr="0068677C" w:rsidRDefault="00567602" w:rsidP="009B36BA">
      <w:pPr>
        <w:widowControl w:val="0"/>
        <w:jc w:val="both"/>
        <w:rPr>
          <w:sz w:val="20"/>
          <w:szCs w:val="20"/>
          <w:lang w:val="fr-CA"/>
        </w:rPr>
      </w:pPr>
    </w:p>
    <w:p w:rsidR="00717608" w:rsidRPr="0068677C" w:rsidRDefault="002349DE" w:rsidP="00717608">
      <w:pPr>
        <w:rPr>
          <w:b/>
          <w:sz w:val="20"/>
          <w:szCs w:val="20"/>
        </w:rPr>
      </w:pPr>
      <w:r w:rsidRPr="0068677C">
        <w:rPr>
          <w:b/>
          <w:sz w:val="20"/>
          <w:szCs w:val="20"/>
        </w:rPr>
        <w:t>MAY</w:t>
      </w:r>
      <w:r w:rsidR="00717608" w:rsidRPr="0068677C">
        <w:rPr>
          <w:b/>
          <w:sz w:val="20"/>
          <w:szCs w:val="20"/>
        </w:rPr>
        <w:t xml:space="preserve"> </w:t>
      </w:r>
      <w:r w:rsidR="009B36BA" w:rsidRPr="0068677C">
        <w:rPr>
          <w:b/>
          <w:sz w:val="20"/>
          <w:szCs w:val="20"/>
        </w:rPr>
        <w:t>1</w:t>
      </w:r>
      <w:r w:rsidRPr="0068677C">
        <w:rPr>
          <w:b/>
          <w:sz w:val="20"/>
          <w:szCs w:val="20"/>
        </w:rPr>
        <w:t>7</w:t>
      </w:r>
      <w:r w:rsidR="00717608" w:rsidRPr="0068677C">
        <w:rPr>
          <w:b/>
          <w:sz w:val="20"/>
          <w:szCs w:val="20"/>
        </w:rPr>
        <w:t>, 20</w:t>
      </w:r>
      <w:r w:rsidR="00172473" w:rsidRPr="0068677C">
        <w:rPr>
          <w:b/>
          <w:sz w:val="20"/>
          <w:szCs w:val="20"/>
        </w:rPr>
        <w:t>2</w:t>
      </w:r>
      <w:r w:rsidR="009B36BA" w:rsidRPr="0068677C">
        <w:rPr>
          <w:b/>
          <w:sz w:val="20"/>
          <w:szCs w:val="20"/>
        </w:rPr>
        <w:t>1</w:t>
      </w:r>
      <w:r w:rsidR="00717608" w:rsidRPr="0068677C">
        <w:rPr>
          <w:b/>
          <w:sz w:val="20"/>
          <w:szCs w:val="20"/>
        </w:rPr>
        <w:t xml:space="preserve"> / LE </w:t>
      </w:r>
      <w:r w:rsidR="009B36BA" w:rsidRPr="0068677C">
        <w:rPr>
          <w:b/>
          <w:sz w:val="20"/>
          <w:szCs w:val="20"/>
        </w:rPr>
        <w:t>1</w:t>
      </w:r>
      <w:r w:rsidRPr="0068677C">
        <w:rPr>
          <w:b/>
          <w:sz w:val="20"/>
          <w:szCs w:val="20"/>
        </w:rPr>
        <w:t>7</w:t>
      </w:r>
      <w:r w:rsidR="00717608" w:rsidRPr="0068677C">
        <w:rPr>
          <w:b/>
          <w:sz w:val="20"/>
          <w:szCs w:val="20"/>
        </w:rPr>
        <w:t xml:space="preserve"> </w:t>
      </w:r>
      <w:r w:rsidRPr="0068677C">
        <w:rPr>
          <w:b/>
          <w:sz w:val="20"/>
          <w:szCs w:val="20"/>
        </w:rPr>
        <w:t>MAI</w:t>
      </w:r>
      <w:r w:rsidR="00717608" w:rsidRPr="0068677C">
        <w:rPr>
          <w:b/>
          <w:sz w:val="20"/>
          <w:szCs w:val="20"/>
        </w:rPr>
        <w:t xml:space="preserve"> 20</w:t>
      </w:r>
      <w:r w:rsidR="00172473" w:rsidRPr="0068677C">
        <w:rPr>
          <w:b/>
          <w:sz w:val="20"/>
          <w:szCs w:val="20"/>
        </w:rPr>
        <w:t>2</w:t>
      </w:r>
      <w:r w:rsidR="009B36BA" w:rsidRPr="0068677C">
        <w:rPr>
          <w:b/>
          <w:sz w:val="20"/>
          <w:szCs w:val="20"/>
        </w:rPr>
        <w:t>1</w:t>
      </w:r>
    </w:p>
    <w:p w:rsidR="00172473" w:rsidRPr="0068677C" w:rsidRDefault="00172473" w:rsidP="00717608">
      <w:pPr>
        <w:rPr>
          <w:sz w:val="20"/>
          <w:szCs w:val="20"/>
        </w:rPr>
      </w:pPr>
    </w:p>
    <w:p w:rsidR="002349DE" w:rsidRPr="0068677C" w:rsidRDefault="002349DE" w:rsidP="002349DE">
      <w:pPr>
        <w:widowControl w:val="0"/>
        <w:rPr>
          <w:sz w:val="20"/>
          <w:szCs w:val="20"/>
        </w:rPr>
      </w:pPr>
      <w:r w:rsidRPr="0068677C">
        <w:rPr>
          <w:b/>
          <w:iCs/>
          <w:sz w:val="20"/>
          <w:szCs w:val="20"/>
        </w:rPr>
        <w:t>Trial Lawyers Association of British Columbia v. Royal Sun Alliance Insurance Company of Canada</w:t>
      </w:r>
      <w:r w:rsidRPr="0068677C">
        <w:rPr>
          <w:iCs/>
          <w:sz w:val="20"/>
          <w:szCs w:val="20"/>
        </w:rPr>
        <w:t xml:space="preserve"> (Ont.) (Civil) (By Leave)</w:t>
      </w:r>
      <w:r w:rsidRPr="0068677C">
        <w:rPr>
          <w:color w:val="333333"/>
          <w:sz w:val="20"/>
          <w:szCs w:val="20"/>
        </w:rPr>
        <w:t xml:space="preserve"> </w:t>
      </w:r>
      <w:r w:rsidRPr="0068677C">
        <w:rPr>
          <w:iCs/>
          <w:color w:val="333333"/>
          <w:sz w:val="20"/>
          <w:szCs w:val="20"/>
        </w:rPr>
        <w:t>(</w:t>
      </w:r>
      <w:hyperlink r:id="rId67" w:history="1">
        <w:r w:rsidRPr="0068677C">
          <w:rPr>
            <w:rStyle w:val="Hyperlink"/>
            <w:iCs/>
            <w:sz w:val="20"/>
            <w:szCs w:val="20"/>
          </w:rPr>
          <w:t>38949</w:t>
        </w:r>
      </w:hyperlink>
      <w:r w:rsidRPr="0068677C">
        <w:rPr>
          <w:iCs/>
          <w:color w:val="333333"/>
          <w:sz w:val="20"/>
          <w:szCs w:val="20"/>
        </w:rPr>
        <w:t>)</w:t>
      </w:r>
    </w:p>
    <w:p w:rsidR="002349DE" w:rsidRPr="0068677C" w:rsidRDefault="002349DE" w:rsidP="002349DE">
      <w:pPr>
        <w:widowControl w:val="0"/>
        <w:ind w:left="1109" w:hanging="1109"/>
        <w:rPr>
          <w:sz w:val="20"/>
          <w:szCs w:val="20"/>
        </w:rPr>
      </w:pPr>
    </w:p>
    <w:p w:rsidR="002349DE" w:rsidRPr="0068677C" w:rsidRDefault="002349DE" w:rsidP="002349DE">
      <w:pPr>
        <w:widowControl w:val="0"/>
        <w:ind w:left="1109" w:hanging="1109"/>
        <w:rPr>
          <w:sz w:val="20"/>
          <w:szCs w:val="20"/>
        </w:rPr>
      </w:pPr>
      <w:r w:rsidRPr="0068677C">
        <w:rPr>
          <w:sz w:val="20"/>
          <w:szCs w:val="20"/>
        </w:rPr>
        <w:t xml:space="preserve">Coram: </w:t>
      </w:r>
      <w:r w:rsidRPr="0068677C">
        <w:rPr>
          <w:sz w:val="20"/>
          <w:szCs w:val="20"/>
        </w:rPr>
        <w:tab/>
        <w:t>Wagner C.J. and Moldaver, Karakatsanis, Côté, Brown, Rowe and Kasirer JJ.</w:t>
      </w:r>
    </w:p>
    <w:p w:rsidR="002349DE" w:rsidRPr="0068677C" w:rsidRDefault="002349DE" w:rsidP="002349DE">
      <w:pPr>
        <w:widowControl w:val="0"/>
        <w:ind w:left="1109" w:hanging="1109"/>
        <w:rPr>
          <w:sz w:val="20"/>
          <w:szCs w:val="20"/>
        </w:rPr>
      </w:pPr>
    </w:p>
    <w:p w:rsidR="002349DE" w:rsidRPr="0068677C" w:rsidRDefault="002349DE" w:rsidP="002349DE">
      <w:pPr>
        <w:widowControl w:val="0"/>
        <w:ind w:left="1109" w:hanging="1109"/>
        <w:rPr>
          <w:sz w:val="20"/>
          <w:szCs w:val="20"/>
        </w:rPr>
      </w:pPr>
      <w:r w:rsidRPr="0068677C">
        <w:rPr>
          <w:b/>
          <w:sz w:val="20"/>
          <w:szCs w:val="20"/>
        </w:rPr>
        <w:t>RESERVED / EN DÉLIBÉRÉ</w:t>
      </w:r>
    </w:p>
    <w:p w:rsidR="00E06F20" w:rsidRPr="0068677C" w:rsidRDefault="00E06F20" w:rsidP="00102792">
      <w:pPr>
        <w:ind w:left="1109" w:hanging="1109"/>
        <w:rPr>
          <w:bCs/>
          <w:color w:val="000000"/>
          <w:sz w:val="20"/>
          <w:szCs w:val="27"/>
          <w:lang w:val="fr-CA"/>
        </w:rPr>
      </w:pPr>
    </w:p>
    <w:p w:rsidR="00E06F20" w:rsidRPr="0068677C" w:rsidRDefault="00D800B2" w:rsidP="00281DA2">
      <w:pPr>
        <w:jc w:val="center"/>
        <w:rPr>
          <w:color w:val="000000"/>
          <w:sz w:val="20"/>
          <w:szCs w:val="27"/>
        </w:rPr>
      </w:pPr>
      <w:r>
        <w:rPr>
          <w:sz w:val="20"/>
          <w:szCs w:val="20"/>
        </w:rPr>
        <w:pict>
          <v:rect id="_x0000_i1061" style="width:2in;height:1pt" o:hrpct="0" o:hralign="center" o:hrstd="t" o:hrnoshade="t" o:hr="t" fillcolor="black [3213]" stroked="f"/>
        </w:pict>
      </w:r>
    </w:p>
    <w:p w:rsidR="00102792" w:rsidRPr="0068677C" w:rsidRDefault="00102792" w:rsidP="00102792">
      <w:pPr>
        <w:widowControl w:val="0"/>
        <w:rPr>
          <w:sz w:val="20"/>
          <w:szCs w:val="20"/>
        </w:rPr>
      </w:pPr>
    </w:p>
    <w:p w:rsidR="002349DE" w:rsidRPr="0068677C" w:rsidRDefault="002349DE" w:rsidP="002349DE">
      <w:pPr>
        <w:rPr>
          <w:b/>
          <w:sz w:val="20"/>
          <w:szCs w:val="20"/>
        </w:rPr>
      </w:pPr>
      <w:r w:rsidRPr="0068677C">
        <w:rPr>
          <w:b/>
          <w:sz w:val="20"/>
          <w:szCs w:val="20"/>
        </w:rPr>
        <w:t>MAY 18, 2021 / LE 18 MAI 2021</w:t>
      </w:r>
    </w:p>
    <w:p w:rsidR="00A234E1" w:rsidRPr="0068677C" w:rsidRDefault="00A234E1" w:rsidP="00A234E1">
      <w:pPr>
        <w:widowControl w:val="0"/>
        <w:rPr>
          <w:sz w:val="20"/>
          <w:szCs w:val="20"/>
        </w:rPr>
      </w:pPr>
    </w:p>
    <w:p w:rsidR="002349DE" w:rsidRPr="0068677C" w:rsidRDefault="002349DE" w:rsidP="002349DE">
      <w:pPr>
        <w:widowControl w:val="0"/>
        <w:rPr>
          <w:sz w:val="20"/>
          <w:szCs w:val="20"/>
        </w:rPr>
      </w:pPr>
      <w:r w:rsidRPr="0068677C">
        <w:rPr>
          <w:b/>
          <w:iCs/>
          <w:sz w:val="20"/>
          <w:szCs w:val="20"/>
        </w:rPr>
        <w:t>Cameron O’Lynn Parranto also known as Cameron O’Lynn Rocky Parranto, et al. v. Her Majesty the Queen, et al.</w:t>
      </w:r>
      <w:r w:rsidRPr="0068677C">
        <w:rPr>
          <w:iCs/>
          <w:sz w:val="20"/>
          <w:szCs w:val="20"/>
        </w:rPr>
        <w:t xml:space="preserve"> (Alta.) (Criminal) (By Leave)</w:t>
      </w:r>
      <w:r w:rsidRPr="0068677C">
        <w:rPr>
          <w:color w:val="333333"/>
          <w:sz w:val="20"/>
          <w:szCs w:val="20"/>
        </w:rPr>
        <w:t xml:space="preserve"> </w:t>
      </w:r>
      <w:r w:rsidRPr="0068677C">
        <w:rPr>
          <w:color w:val="333333"/>
          <w:sz w:val="20"/>
          <w:szCs w:val="20"/>
          <w:lang w:val="en-US"/>
        </w:rPr>
        <w:t>(</w:t>
      </w:r>
      <w:hyperlink r:id="rId68" w:history="1">
        <w:r w:rsidRPr="0068677C">
          <w:rPr>
            <w:rStyle w:val="Hyperlink"/>
            <w:sz w:val="20"/>
            <w:szCs w:val="20"/>
            <w:lang w:val="en-US"/>
          </w:rPr>
          <w:t>39227</w:t>
        </w:r>
      </w:hyperlink>
      <w:r w:rsidRPr="0068677C">
        <w:rPr>
          <w:color w:val="333333"/>
          <w:sz w:val="20"/>
          <w:szCs w:val="20"/>
          <w:lang w:val="en-US"/>
        </w:rPr>
        <w:t>)</w:t>
      </w:r>
    </w:p>
    <w:p w:rsidR="002349DE" w:rsidRPr="0068677C" w:rsidRDefault="002349DE" w:rsidP="002349DE">
      <w:pPr>
        <w:widowControl w:val="0"/>
        <w:ind w:left="1109" w:hanging="1109"/>
        <w:rPr>
          <w:sz w:val="20"/>
          <w:szCs w:val="20"/>
        </w:rPr>
      </w:pPr>
    </w:p>
    <w:p w:rsidR="002349DE" w:rsidRPr="0068677C" w:rsidRDefault="002349DE" w:rsidP="002349DE">
      <w:pPr>
        <w:widowControl w:val="0"/>
        <w:ind w:left="1109" w:hanging="1109"/>
        <w:rPr>
          <w:sz w:val="20"/>
          <w:szCs w:val="20"/>
        </w:rPr>
      </w:pPr>
      <w:r w:rsidRPr="0068677C">
        <w:rPr>
          <w:sz w:val="20"/>
          <w:szCs w:val="20"/>
        </w:rPr>
        <w:t xml:space="preserve">Coram: </w:t>
      </w:r>
      <w:r w:rsidRPr="0068677C">
        <w:rPr>
          <w:sz w:val="20"/>
          <w:szCs w:val="20"/>
        </w:rPr>
        <w:tab/>
        <w:t>Wagner C.J. and Abella, Moldaver, Karakatsanis, Côté, Brown, Rowe, Martin and Kasirer JJ.</w:t>
      </w:r>
    </w:p>
    <w:p w:rsidR="002349DE" w:rsidRPr="0068677C" w:rsidRDefault="002349DE" w:rsidP="002349DE">
      <w:pPr>
        <w:widowControl w:val="0"/>
        <w:ind w:left="1109" w:hanging="1109"/>
        <w:rPr>
          <w:sz w:val="20"/>
          <w:szCs w:val="20"/>
        </w:rPr>
      </w:pPr>
    </w:p>
    <w:p w:rsidR="002349DE" w:rsidRPr="0068677C" w:rsidRDefault="002349DE" w:rsidP="002349DE">
      <w:pPr>
        <w:widowControl w:val="0"/>
        <w:ind w:left="1109" w:hanging="1109"/>
        <w:rPr>
          <w:sz w:val="20"/>
          <w:szCs w:val="20"/>
        </w:rPr>
      </w:pPr>
      <w:r w:rsidRPr="0068677C">
        <w:rPr>
          <w:b/>
          <w:sz w:val="20"/>
          <w:szCs w:val="20"/>
        </w:rPr>
        <w:t>RESERVED / EN DÉLIBÉRÉ</w:t>
      </w:r>
    </w:p>
    <w:p w:rsidR="00E06F20" w:rsidRPr="0068677C" w:rsidRDefault="00E06F20" w:rsidP="00A234E1">
      <w:pPr>
        <w:jc w:val="both"/>
        <w:rPr>
          <w:sz w:val="20"/>
          <w:lang w:val="fr-CA"/>
        </w:rPr>
      </w:pPr>
    </w:p>
    <w:p w:rsidR="00D004FC" w:rsidRPr="0068677C" w:rsidRDefault="00D800B2" w:rsidP="00102792">
      <w:pPr>
        <w:rPr>
          <w:sz w:val="20"/>
          <w:szCs w:val="20"/>
          <w:lang w:val="fr-CA"/>
        </w:rPr>
      </w:pPr>
      <w:r>
        <w:rPr>
          <w:sz w:val="20"/>
          <w:szCs w:val="20"/>
        </w:rPr>
        <w:pict>
          <v:rect id="_x0000_i1062" style="width:2in;height:1pt" o:hrpct="0" o:hralign="center" o:hrstd="t" o:hrnoshade="t" o:hr="t" fillcolor="black [3213]" stroked="f"/>
        </w:pict>
      </w:r>
    </w:p>
    <w:p w:rsidR="0056248C" w:rsidRPr="0068677C" w:rsidRDefault="0056248C" w:rsidP="00732DB7">
      <w:pPr>
        <w:widowControl w:val="0"/>
        <w:rPr>
          <w:sz w:val="20"/>
          <w:szCs w:val="20"/>
          <w:lang w:val="fr-CA"/>
        </w:rPr>
      </w:pPr>
    </w:p>
    <w:p w:rsidR="002349DE" w:rsidRPr="0068677C" w:rsidRDefault="002349DE" w:rsidP="002349DE">
      <w:pPr>
        <w:rPr>
          <w:b/>
          <w:sz w:val="20"/>
          <w:szCs w:val="20"/>
        </w:rPr>
      </w:pPr>
      <w:r w:rsidRPr="0068677C">
        <w:rPr>
          <w:b/>
          <w:sz w:val="20"/>
          <w:szCs w:val="20"/>
        </w:rPr>
        <w:t>MAY 19, 2021 / LE 19 MAI 2021</w:t>
      </w:r>
    </w:p>
    <w:p w:rsidR="002349DE" w:rsidRPr="0068677C" w:rsidRDefault="002349DE" w:rsidP="00732DB7">
      <w:pPr>
        <w:widowControl w:val="0"/>
        <w:rPr>
          <w:sz w:val="20"/>
          <w:szCs w:val="20"/>
          <w:lang w:val="en-US"/>
        </w:rPr>
      </w:pPr>
    </w:p>
    <w:p w:rsidR="002349DE" w:rsidRPr="0068677C" w:rsidRDefault="002349DE" w:rsidP="002349DE">
      <w:pPr>
        <w:widowControl w:val="0"/>
        <w:rPr>
          <w:sz w:val="20"/>
          <w:szCs w:val="20"/>
        </w:rPr>
      </w:pPr>
      <w:r w:rsidRPr="0068677C">
        <w:rPr>
          <w:b/>
          <w:iCs/>
          <w:sz w:val="20"/>
          <w:szCs w:val="20"/>
        </w:rPr>
        <w:t xml:space="preserve">Tanner Jay Morrow v. Her Majesty the Queen </w:t>
      </w:r>
      <w:r w:rsidRPr="0068677C">
        <w:rPr>
          <w:iCs/>
          <w:sz w:val="20"/>
          <w:szCs w:val="20"/>
        </w:rPr>
        <w:t xml:space="preserve">(Alta.) (Criminal) (As of Right) </w:t>
      </w:r>
      <w:r w:rsidRPr="0068677C">
        <w:rPr>
          <w:color w:val="333333"/>
          <w:sz w:val="20"/>
          <w:szCs w:val="20"/>
        </w:rPr>
        <w:t>(</w:t>
      </w:r>
      <w:hyperlink r:id="rId69" w:history="1">
        <w:r w:rsidRPr="0068677C">
          <w:rPr>
            <w:rStyle w:val="Hyperlink"/>
            <w:sz w:val="20"/>
            <w:szCs w:val="20"/>
          </w:rPr>
          <w:t>39456</w:t>
        </w:r>
      </w:hyperlink>
      <w:r w:rsidRPr="0068677C">
        <w:rPr>
          <w:color w:val="333333"/>
          <w:sz w:val="20"/>
          <w:szCs w:val="20"/>
        </w:rPr>
        <w:t>)</w:t>
      </w:r>
    </w:p>
    <w:p w:rsidR="002349DE" w:rsidRPr="0068677C" w:rsidRDefault="002349DE" w:rsidP="002349DE">
      <w:pPr>
        <w:widowControl w:val="0"/>
        <w:ind w:left="1109" w:hanging="1109"/>
        <w:rPr>
          <w:sz w:val="20"/>
          <w:szCs w:val="20"/>
        </w:rPr>
      </w:pPr>
      <w:r w:rsidRPr="0068677C">
        <w:rPr>
          <w:b/>
          <w:sz w:val="20"/>
          <w:szCs w:val="20"/>
        </w:rPr>
        <w:t xml:space="preserve">2021 SCC </w:t>
      </w:r>
      <w:r w:rsidR="00FC39DE" w:rsidRPr="0068677C">
        <w:rPr>
          <w:b/>
          <w:sz w:val="20"/>
          <w:szCs w:val="20"/>
        </w:rPr>
        <w:t>2</w:t>
      </w:r>
      <w:r w:rsidRPr="0068677C">
        <w:rPr>
          <w:b/>
          <w:sz w:val="20"/>
          <w:szCs w:val="20"/>
        </w:rPr>
        <w:t xml:space="preserve">1 / 2021 CSC </w:t>
      </w:r>
      <w:r w:rsidR="00FC39DE" w:rsidRPr="0068677C">
        <w:rPr>
          <w:b/>
          <w:sz w:val="20"/>
          <w:szCs w:val="20"/>
        </w:rPr>
        <w:t>2</w:t>
      </w:r>
      <w:r w:rsidRPr="0068677C">
        <w:rPr>
          <w:b/>
          <w:sz w:val="20"/>
          <w:szCs w:val="20"/>
        </w:rPr>
        <w:t>1</w:t>
      </w:r>
    </w:p>
    <w:p w:rsidR="002349DE" w:rsidRPr="0068677C" w:rsidRDefault="002349DE" w:rsidP="002349DE">
      <w:pPr>
        <w:widowControl w:val="0"/>
        <w:ind w:left="1109" w:hanging="1109"/>
        <w:rPr>
          <w:sz w:val="20"/>
          <w:szCs w:val="20"/>
        </w:rPr>
      </w:pPr>
    </w:p>
    <w:p w:rsidR="002349DE" w:rsidRDefault="002349DE" w:rsidP="002349DE">
      <w:pPr>
        <w:widowControl w:val="0"/>
        <w:ind w:left="1109" w:hanging="1109"/>
        <w:rPr>
          <w:sz w:val="20"/>
          <w:szCs w:val="20"/>
        </w:rPr>
      </w:pPr>
      <w:r w:rsidRPr="0068677C">
        <w:rPr>
          <w:sz w:val="20"/>
          <w:szCs w:val="20"/>
        </w:rPr>
        <w:t xml:space="preserve">Coram: </w:t>
      </w:r>
      <w:r w:rsidRPr="0068677C">
        <w:rPr>
          <w:sz w:val="20"/>
          <w:szCs w:val="20"/>
        </w:rPr>
        <w:tab/>
        <w:t>Moldaver, Karakatsanis, Côté, Rowe and Kasirer JJ.</w:t>
      </w:r>
    </w:p>
    <w:p w:rsidR="00D800B2" w:rsidRPr="00D800B2" w:rsidRDefault="00D800B2" w:rsidP="002349DE">
      <w:pPr>
        <w:widowControl w:val="0"/>
        <w:ind w:left="1109" w:hanging="1109"/>
        <w:rPr>
          <w:sz w:val="20"/>
          <w:szCs w:val="20"/>
        </w:rPr>
      </w:pPr>
    </w:p>
    <w:p w:rsidR="00D800B2" w:rsidRPr="00D800B2" w:rsidRDefault="00D800B2" w:rsidP="00D800B2">
      <w:pPr>
        <w:jc w:val="both"/>
        <w:rPr>
          <w:sz w:val="20"/>
          <w:szCs w:val="20"/>
        </w:rPr>
      </w:pPr>
      <w:r w:rsidRPr="00D800B2">
        <w:rPr>
          <w:sz w:val="20"/>
          <w:szCs w:val="20"/>
        </w:rPr>
        <w:t xml:space="preserve">The appeal from the judgment of the Court of Appeal for Alberta (Calgary), Number 1901-0174-A, 2020 ABCA 407, dated November 19, 2020, was heard on May 19, 2021, and the Court on that day delivered the following judgment orally: </w:t>
      </w:r>
    </w:p>
    <w:p w:rsidR="00D800B2" w:rsidRPr="00D800B2" w:rsidRDefault="00D800B2" w:rsidP="00D800B2">
      <w:pPr>
        <w:jc w:val="both"/>
        <w:rPr>
          <w:sz w:val="20"/>
          <w:szCs w:val="20"/>
        </w:rPr>
      </w:pPr>
    </w:p>
    <w:p w:rsidR="00D800B2" w:rsidRPr="00D800B2" w:rsidRDefault="00D800B2" w:rsidP="00D800B2">
      <w:pPr>
        <w:jc w:val="both"/>
        <w:rPr>
          <w:sz w:val="20"/>
          <w:szCs w:val="20"/>
        </w:rPr>
      </w:pPr>
      <w:r w:rsidRPr="00D800B2">
        <w:rPr>
          <w:smallCaps/>
          <w:sz w:val="20"/>
          <w:szCs w:val="20"/>
        </w:rPr>
        <w:t>Moldaver</w:t>
      </w:r>
      <w:r w:rsidRPr="00D800B2">
        <w:rPr>
          <w:sz w:val="20"/>
          <w:szCs w:val="20"/>
        </w:rPr>
        <w:t xml:space="preserve"> J. (Karakatsanis, Rowe and Kasirer JJ. concurring) — A majority of the Court is of the view that the appeal should be dismissed, substantially for the reasons of the majority of the Court of Appeal at paras. 16 and 17 of its judgment. As the majority observed, the record clearly supports the inference drawn by the trial judge that Mr. Morrow’s conduct represented an attempt to dissuade the complainant, by corrupt means, from giving evidence. Mr. Morrow knew he had recently been charged with criminal harassment and that he was bound not to contact the complainant. Despite this, he attended her home uninvited and engaged her in a prolonged and distressing discussion about the process for withdrawing the charges and her reasons for bringing them. The complainant testified that the exchange made her feel “[p]ressured to please” Mr. Morrow and to get him out of the house (A.R., vol. II, at p. 30). Shortly thereafter, Mr. Morrow sexually assaulted her, which served to exacerbate her concerns. On the basis of this evidence, it was open for the trial judge to find that Mr. Morrow’s intention was to apply pressure on the complainant and ultimately to manipulate her into dropping the charges against him. The fact that Mr. Morrow may have also been motivated by a desire to rekindle his relationship with the complainant did not undermine the availability of this finding. </w:t>
      </w:r>
    </w:p>
    <w:p w:rsidR="00D800B2" w:rsidRPr="00D800B2" w:rsidRDefault="00D800B2" w:rsidP="00D800B2">
      <w:pPr>
        <w:jc w:val="both"/>
        <w:rPr>
          <w:sz w:val="20"/>
          <w:szCs w:val="20"/>
        </w:rPr>
      </w:pPr>
    </w:p>
    <w:p w:rsidR="00D800B2" w:rsidRPr="00D800B2" w:rsidRDefault="00D800B2" w:rsidP="00D800B2">
      <w:pPr>
        <w:jc w:val="both"/>
        <w:rPr>
          <w:sz w:val="20"/>
          <w:szCs w:val="20"/>
        </w:rPr>
      </w:pPr>
      <w:r w:rsidRPr="00D800B2">
        <w:rPr>
          <w:sz w:val="20"/>
          <w:szCs w:val="20"/>
        </w:rPr>
        <w:t xml:space="preserve">There was also evidence that contradicted Mr. Morrow’s position that he was simply responding to a request for information. The complainant made no such request to Mr. Morrow and she did not expect, nor was she interested in, the information he provided. </w:t>
      </w:r>
    </w:p>
    <w:p w:rsidR="00D800B2" w:rsidRPr="00D800B2" w:rsidRDefault="00D800B2" w:rsidP="00D800B2">
      <w:pPr>
        <w:jc w:val="both"/>
        <w:rPr>
          <w:sz w:val="20"/>
          <w:szCs w:val="20"/>
        </w:rPr>
      </w:pPr>
    </w:p>
    <w:p w:rsidR="00D800B2" w:rsidRPr="00D800B2" w:rsidRDefault="00D800B2" w:rsidP="00D800B2">
      <w:pPr>
        <w:jc w:val="both"/>
        <w:rPr>
          <w:sz w:val="20"/>
          <w:szCs w:val="20"/>
        </w:rPr>
      </w:pPr>
      <w:r w:rsidRPr="00D800B2">
        <w:rPr>
          <w:sz w:val="20"/>
          <w:szCs w:val="20"/>
        </w:rPr>
        <w:t xml:space="preserve">In these circumstances, and having regard to the fact that survivors of domestic abuse are particularly vulnerable to acts of intimidation and manipulation, the trial judge’s verdict was reasonable. There is no basis for appellate intervention. </w:t>
      </w:r>
    </w:p>
    <w:p w:rsidR="00D800B2" w:rsidRPr="00D800B2" w:rsidRDefault="00D800B2" w:rsidP="00D800B2">
      <w:pPr>
        <w:jc w:val="both"/>
        <w:rPr>
          <w:sz w:val="20"/>
          <w:szCs w:val="20"/>
        </w:rPr>
      </w:pPr>
    </w:p>
    <w:p w:rsidR="00D800B2" w:rsidRPr="00D800B2" w:rsidRDefault="00D800B2" w:rsidP="00D800B2">
      <w:pPr>
        <w:jc w:val="both"/>
        <w:rPr>
          <w:sz w:val="20"/>
          <w:szCs w:val="20"/>
        </w:rPr>
      </w:pPr>
      <w:r w:rsidRPr="00D800B2">
        <w:rPr>
          <w:smallCaps/>
          <w:sz w:val="20"/>
          <w:szCs w:val="20"/>
        </w:rPr>
        <w:lastRenderedPageBreak/>
        <w:t>Côté </w:t>
      </w:r>
      <w:r w:rsidRPr="00D800B2">
        <w:rPr>
          <w:sz w:val="20"/>
          <w:szCs w:val="20"/>
        </w:rPr>
        <w:t xml:space="preserve">J. — </w:t>
      </w:r>
      <w:proofErr w:type="gramStart"/>
      <w:r w:rsidRPr="00D800B2">
        <w:rPr>
          <w:sz w:val="20"/>
          <w:szCs w:val="20"/>
        </w:rPr>
        <w:t>The</w:t>
      </w:r>
      <w:proofErr w:type="gramEnd"/>
      <w:r w:rsidRPr="00D800B2">
        <w:rPr>
          <w:sz w:val="20"/>
          <w:szCs w:val="20"/>
        </w:rPr>
        <w:t xml:space="preserve"> wording of the charge required evidence that the appellant attempted to dissuade the complainant “by threats, bribes or other corrupt means from giving evidence” (A.R., vol. I, at p. 2). There is no such evidence here. The appellant’s behaviour cannot, in this case, be characterized as a “corrupt means” within the meaning of s. 139(3) of the </w:t>
      </w:r>
      <w:r w:rsidRPr="00D800B2">
        <w:rPr>
          <w:i/>
          <w:sz w:val="20"/>
          <w:szCs w:val="20"/>
        </w:rPr>
        <w:t>Criminal Code</w:t>
      </w:r>
      <w:r w:rsidRPr="00D800B2">
        <w:rPr>
          <w:sz w:val="20"/>
          <w:szCs w:val="20"/>
        </w:rPr>
        <w:t xml:space="preserve">, R.S.C. 1985, </w:t>
      </w:r>
      <w:proofErr w:type="gramStart"/>
      <w:r w:rsidRPr="00D800B2">
        <w:rPr>
          <w:sz w:val="20"/>
          <w:szCs w:val="20"/>
        </w:rPr>
        <w:t>c</w:t>
      </w:r>
      <w:proofErr w:type="gramEnd"/>
      <w:r w:rsidRPr="00D800B2">
        <w:rPr>
          <w:sz w:val="20"/>
          <w:szCs w:val="20"/>
        </w:rPr>
        <w:t xml:space="preserve">. C-46. Appealing to or preying on affection are means of persuasion just like appealing to or preying on reason. Nothing in the circumstances of this case makes these means of persuasion “corrupt”. The trial judge erred in finding otherwise. His reliance on </w:t>
      </w:r>
      <w:r w:rsidRPr="00D800B2">
        <w:rPr>
          <w:i/>
          <w:sz w:val="20"/>
          <w:szCs w:val="20"/>
        </w:rPr>
        <w:t>R. v. Crazyboy</w:t>
      </w:r>
      <w:r w:rsidRPr="00D800B2">
        <w:rPr>
          <w:sz w:val="20"/>
          <w:szCs w:val="20"/>
        </w:rPr>
        <w:t>, 2011 ABPC 369, was inapposite for two reasons. First, no finding of “corrupt means” was made in that case, as the wording of the charge did not require any. Second, Mr. Crazyboy attempted to manipulate the complainant and incited her to adopt an illegal behaviour by fleeing from her home so that she would not be brought before the court to give evidence. Here, the appellant merely provided information as to the process for withdrawing charges. Like Slatter J.A., I am of the view that the conviction for attempting to obstruct justice is not made out on this record, and that the conviction is unreasonable. I would therefore allow the appeal and enter a verdict of acquittal.</w:t>
      </w:r>
    </w:p>
    <w:p w:rsidR="00611077" w:rsidRPr="00D800B2" w:rsidRDefault="00611077" w:rsidP="00611077">
      <w:pPr>
        <w:rPr>
          <w:sz w:val="20"/>
          <w:szCs w:val="20"/>
        </w:rPr>
      </w:pPr>
    </w:p>
    <w:p w:rsidR="002349DE" w:rsidRPr="00D800B2" w:rsidRDefault="002349DE" w:rsidP="00732DB7">
      <w:pPr>
        <w:widowControl w:val="0"/>
        <w:rPr>
          <w:sz w:val="20"/>
          <w:szCs w:val="20"/>
          <w:lang w:val="en-US"/>
        </w:rPr>
      </w:pPr>
    </w:p>
    <w:p w:rsidR="00D800B2" w:rsidRPr="00D800B2" w:rsidRDefault="00D800B2" w:rsidP="00D800B2">
      <w:pPr>
        <w:jc w:val="both"/>
        <w:rPr>
          <w:sz w:val="20"/>
          <w:szCs w:val="20"/>
          <w:lang w:val="fr-CA"/>
        </w:rPr>
      </w:pPr>
      <w:r w:rsidRPr="00D800B2">
        <w:rPr>
          <w:sz w:val="20"/>
          <w:szCs w:val="20"/>
          <w:lang w:val="fr-CA"/>
        </w:rPr>
        <w:t>L’appel interjeté contre l’arrêt de la Cour d’appel de l’Alberta (Calgary), numéro 1901-0174-A, 2020 ABCA 407, daté du 19 novembre 2020, a été entendu le 19 mai 2021 et la Cour a prononcé oralement le même jour le jugement suivant :</w:t>
      </w:r>
    </w:p>
    <w:p w:rsidR="00D800B2" w:rsidRPr="00D800B2" w:rsidRDefault="00D800B2" w:rsidP="00D800B2">
      <w:pPr>
        <w:jc w:val="both"/>
        <w:rPr>
          <w:sz w:val="20"/>
          <w:szCs w:val="20"/>
          <w:lang w:val="fr-CA"/>
        </w:rPr>
      </w:pPr>
    </w:p>
    <w:p w:rsidR="00D800B2" w:rsidRPr="00D800B2" w:rsidRDefault="00D800B2" w:rsidP="00D800B2">
      <w:pPr>
        <w:jc w:val="both"/>
        <w:rPr>
          <w:sz w:val="20"/>
          <w:szCs w:val="20"/>
          <w:lang w:val="fr-CA"/>
        </w:rPr>
      </w:pPr>
      <w:r w:rsidRPr="00D800B2">
        <w:rPr>
          <w:smallCaps/>
          <w:sz w:val="20"/>
          <w:szCs w:val="20"/>
          <w:lang w:val="fr-CA"/>
        </w:rPr>
        <w:t>Le juge Moldaver</w:t>
      </w:r>
      <w:r w:rsidRPr="00D800B2">
        <w:rPr>
          <w:sz w:val="20"/>
          <w:szCs w:val="20"/>
          <w:lang w:val="fr-CA"/>
        </w:rPr>
        <w:t xml:space="preserve"> (avec l’accord des juges Karakatsanis, Rowe et Kasirer) — La Cour, à la majorité, est d’avis de rejeter l’appel, essentiellement pour les motifs exposés par les juges majoritaires de la Cour d’appel, aux par. 16 et 17 de l’arrêt de la cour. Comme l’ont fait remarquer les juges majoritaires, le dossier étaye clairement l’inférence tirée par le juge du procès selon laquelle M. Morrow a tenté, par des moyens de corruption, de dissuader la plaignante de témoigner. Monsieur Morrow savait que des accusations de harcèlement criminel avaient  récemment été portées contre lui et qu’il lui était interdit de communiquer avec la plaignante. Malgré cela, il s’est présenté au domicile de cette dernière sans y être invité et a engagé avec elle une longue et pénible discussion au sujet de la procédure à suivre pour retirer les accusations ainsi que des raisons pour lesquelles elle avait porté ces accusations. La plaignante a témoigné que, du fait de cet échange, elle s’était sentie [</w:t>
      </w:r>
      <w:r w:rsidRPr="00D800B2">
        <w:rPr>
          <w:smallCaps/>
          <w:sz w:val="20"/>
          <w:szCs w:val="20"/>
          <w:lang w:val="fr-CA"/>
        </w:rPr>
        <w:t>traduction</w:t>
      </w:r>
      <w:r w:rsidRPr="00D800B2">
        <w:rPr>
          <w:sz w:val="20"/>
          <w:szCs w:val="20"/>
          <w:lang w:val="fr-CA"/>
        </w:rPr>
        <w:t>] « [c]ontrainte de se montrer accommodante » envers M. Morrow afin de l’amener à quitter la maison (</w:t>
      </w:r>
      <w:proofErr w:type="gramStart"/>
      <w:r w:rsidRPr="00D800B2">
        <w:rPr>
          <w:sz w:val="20"/>
          <w:szCs w:val="20"/>
          <w:lang w:val="fr-CA"/>
        </w:rPr>
        <w:t>d.a.,</w:t>
      </w:r>
      <w:proofErr w:type="gramEnd"/>
      <w:r w:rsidRPr="00D800B2">
        <w:rPr>
          <w:sz w:val="20"/>
          <w:szCs w:val="20"/>
          <w:lang w:val="fr-CA"/>
        </w:rPr>
        <w:t xml:space="preserve"> vol. II, p. 30). Peu de temps après, M. Morrow l’a agressée sexuellement, ce qui a exacerbé ses craintes. Sur la base de ce témoignage, il était loisible au juge du procès de conclure que M. Morrow avait l’intention d’exercer de la pression sur la plaignante et, ultimement, de la manipuler pour qu’elle laisse tomber les accusations portées contre lui. Le fait que M. Morrow ait pu également être motivé par le désir de renouer avec la plaignante ne faisait pas obstacle à cette conclusion. </w:t>
      </w:r>
    </w:p>
    <w:p w:rsidR="00D800B2" w:rsidRPr="00D800B2" w:rsidRDefault="00D800B2" w:rsidP="00D800B2">
      <w:pPr>
        <w:jc w:val="both"/>
        <w:rPr>
          <w:sz w:val="20"/>
          <w:szCs w:val="20"/>
          <w:lang w:val="fr-CA"/>
        </w:rPr>
      </w:pPr>
    </w:p>
    <w:p w:rsidR="00D800B2" w:rsidRPr="00D800B2" w:rsidRDefault="00D800B2" w:rsidP="00D800B2">
      <w:pPr>
        <w:jc w:val="both"/>
        <w:rPr>
          <w:sz w:val="20"/>
          <w:szCs w:val="20"/>
          <w:lang w:val="fr-CA"/>
        </w:rPr>
      </w:pPr>
      <w:r w:rsidRPr="00D800B2">
        <w:rPr>
          <w:sz w:val="20"/>
          <w:szCs w:val="20"/>
          <w:lang w:val="fr-CA"/>
        </w:rPr>
        <w:t xml:space="preserve">Il y avait en outre des éléments de preuve contredisant la position de M. Morrow selon laquelle il ne faisait que répondre à une demande de renseignements. La plaignante n’a présenté aucune demande de la sorte à M. Morrow, et elle ne comptait pas sur l’information qu’il a fournie, et n’était pas non plus intéressée à l’obtenir.  </w:t>
      </w:r>
    </w:p>
    <w:p w:rsidR="00D800B2" w:rsidRPr="00D800B2" w:rsidRDefault="00D800B2" w:rsidP="00D800B2">
      <w:pPr>
        <w:jc w:val="both"/>
        <w:rPr>
          <w:sz w:val="20"/>
          <w:szCs w:val="20"/>
          <w:lang w:val="fr-CA"/>
        </w:rPr>
      </w:pPr>
    </w:p>
    <w:p w:rsidR="00D800B2" w:rsidRPr="00D800B2" w:rsidRDefault="00D800B2" w:rsidP="00D800B2">
      <w:pPr>
        <w:jc w:val="both"/>
        <w:rPr>
          <w:sz w:val="20"/>
          <w:szCs w:val="20"/>
          <w:lang w:val="fr-CA"/>
        </w:rPr>
      </w:pPr>
      <w:r w:rsidRPr="00D800B2">
        <w:rPr>
          <w:sz w:val="20"/>
          <w:szCs w:val="20"/>
          <w:lang w:val="fr-CA"/>
        </w:rPr>
        <w:t>Compte tenu de ces circonstances, et eu égard au fait que les survivants de violence familiale sont particulièrement vulnérables aux actes d’intimidation et de manipulation, le verdict du juge du procès était raisonnable. Il n’y a pas matière à intervention en appel.</w:t>
      </w:r>
    </w:p>
    <w:p w:rsidR="00D800B2" w:rsidRPr="00D800B2" w:rsidRDefault="00D800B2" w:rsidP="00D800B2">
      <w:pPr>
        <w:jc w:val="both"/>
        <w:rPr>
          <w:sz w:val="20"/>
          <w:szCs w:val="20"/>
          <w:lang w:val="fr-CA"/>
        </w:rPr>
      </w:pPr>
    </w:p>
    <w:p w:rsidR="00D800B2" w:rsidRDefault="00D800B2">
      <w:pPr>
        <w:rPr>
          <w:smallCaps/>
          <w:sz w:val="20"/>
          <w:szCs w:val="20"/>
          <w:lang w:val="fr-CA"/>
        </w:rPr>
      </w:pPr>
      <w:r>
        <w:rPr>
          <w:smallCaps/>
          <w:sz w:val="20"/>
          <w:szCs w:val="20"/>
          <w:lang w:val="fr-CA"/>
        </w:rPr>
        <w:br w:type="page"/>
      </w:r>
    </w:p>
    <w:p w:rsidR="00D800B2" w:rsidRPr="00D800B2" w:rsidRDefault="00D800B2" w:rsidP="00D800B2">
      <w:pPr>
        <w:jc w:val="both"/>
        <w:rPr>
          <w:sz w:val="20"/>
          <w:szCs w:val="20"/>
          <w:lang w:val="fr-CA"/>
        </w:rPr>
      </w:pPr>
      <w:r w:rsidRPr="00D800B2">
        <w:rPr>
          <w:smallCaps/>
          <w:sz w:val="20"/>
          <w:szCs w:val="20"/>
          <w:lang w:val="fr-CA"/>
        </w:rPr>
        <w:lastRenderedPageBreak/>
        <w:t>La juge Côté</w:t>
      </w:r>
      <w:r w:rsidRPr="00D800B2">
        <w:rPr>
          <w:sz w:val="20"/>
          <w:szCs w:val="20"/>
          <w:lang w:val="fr-CA"/>
        </w:rPr>
        <w:t xml:space="preserve"> — Le texte de l’accusation exigeait la preuve que l’appelant avait tenté de dissuader la plaignante, « par des menaces, des pots-de-vin ou d’autres moyens de corruption, de témoigner » (</w:t>
      </w:r>
      <w:proofErr w:type="gramStart"/>
      <w:r w:rsidRPr="00D800B2">
        <w:rPr>
          <w:sz w:val="20"/>
          <w:szCs w:val="20"/>
          <w:lang w:val="fr-CA"/>
        </w:rPr>
        <w:t>d.a.,</w:t>
      </w:r>
      <w:proofErr w:type="gramEnd"/>
      <w:r w:rsidRPr="00D800B2">
        <w:rPr>
          <w:sz w:val="20"/>
          <w:szCs w:val="20"/>
          <w:lang w:val="fr-CA"/>
        </w:rPr>
        <w:t xml:space="preserve"> vol. I, p. 2). Il n’existe aucune preuve en ce sens dans la présente affaire. La conduite de l’appelant ne saurait, en l’espèce, être qualifiée de « moyens de corruption » au sens du par. 139(3) du </w:t>
      </w:r>
      <w:r w:rsidRPr="00D800B2">
        <w:rPr>
          <w:i/>
          <w:sz w:val="20"/>
          <w:szCs w:val="20"/>
          <w:lang w:val="fr-CA"/>
        </w:rPr>
        <w:t>Code criminel</w:t>
      </w:r>
      <w:r w:rsidRPr="00D800B2">
        <w:rPr>
          <w:sz w:val="20"/>
          <w:szCs w:val="20"/>
          <w:lang w:val="fr-CA"/>
        </w:rPr>
        <w:t xml:space="preserve">, L.R.C. 1985, c. C-46. En appeler à l’affection d’une personne ou chercher à exploiter ce sentiment chez elle sont des moyens de persuasion au même titre que le fait d’en appeler à la raison d’une personne ou de chercher à exploiter cette faculté chez cette personne. Rien dans les circonstances de la présente affaire ne transforme ces moyens de persuasion en moyens de « corruption ». Le juge du procès a fait erreur en concluant différemment. Il a eu tort de s’appuyer sur l’arrêt </w:t>
      </w:r>
      <w:r w:rsidRPr="00D800B2">
        <w:rPr>
          <w:i/>
          <w:sz w:val="20"/>
          <w:szCs w:val="20"/>
          <w:lang w:val="fr-CA"/>
        </w:rPr>
        <w:t>R. c. Crazyboy</w:t>
      </w:r>
      <w:r w:rsidRPr="00D800B2">
        <w:rPr>
          <w:sz w:val="20"/>
          <w:szCs w:val="20"/>
          <w:lang w:val="fr-CA"/>
        </w:rPr>
        <w:t>, 2011 ABPC 369, et ce, pour deux raisons. Premièrement, aucune conclusion n’a été tirée quant à l’existence de « moyens de corruption » dans cette affaire, car le texte de l’accusation n’exigeait pas la présence de tels moyens. Deuxièmement, M. Crazyboy a tenté de manipuler la plaignante et il l’a incitée à adopter un comportement illégal et à fuir son domicile afin qu’elle ne puisse être emmenée devant le tribunal pour y témoigner. En l’espèce, l’appelant a simplement fourni de l’information sur la procédure à suivre pour retirer des accusations. À l’instar du juge d’appel Slatter, j’estime que la déclaration de culpabilité pour tentative d’entrave à la justice n’est pas fondée au vu du présent dossier, et qu’elle est déraisonnable. Par conséquent, je ferais droit à l’appel et j’inscrirais un verdict d’acquittement.</w:t>
      </w:r>
    </w:p>
    <w:p w:rsidR="00D800B2" w:rsidRPr="00D800B2" w:rsidRDefault="00D800B2" w:rsidP="00732DB7">
      <w:pPr>
        <w:widowControl w:val="0"/>
        <w:rPr>
          <w:sz w:val="20"/>
          <w:szCs w:val="20"/>
          <w:lang w:val="fr-CA"/>
        </w:rPr>
      </w:pPr>
    </w:p>
    <w:p w:rsidR="002349DE" w:rsidRPr="0068677C" w:rsidRDefault="00D800B2" w:rsidP="00732DB7">
      <w:pPr>
        <w:widowControl w:val="0"/>
        <w:rPr>
          <w:sz w:val="20"/>
          <w:szCs w:val="20"/>
          <w:lang w:val="fr-CA"/>
        </w:rPr>
      </w:pPr>
      <w:r>
        <w:rPr>
          <w:sz w:val="20"/>
          <w:szCs w:val="20"/>
        </w:rPr>
        <w:pict>
          <v:rect id="_x0000_i1063" style="width:2in;height:1pt" o:hrpct="0" o:hralign="center" o:hrstd="t" o:hrnoshade="t" o:hr="t" fillcolor="black [3213]" stroked="f"/>
        </w:pict>
      </w:r>
    </w:p>
    <w:p w:rsidR="002349DE" w:rsidRPr="0068677C" w:rsidRDefault="002349DE" w:rsidP="00732DB7">
      <w:pPr>
        <w:widowControl w:val="0"/>
        <w:rPr>
          <w:sz w:val="20"/>
          <w:szCs w:val="20"/>
          <w:lang w:val="fr-CA"/>
        </w:rPr>
      </w:pPr>
    </w:p>
    <w:p w:rsidR="002349DE" w:rsidRPr="0068677C" w:rsidRDefault="002349DE" w:rsidP="002349DE">
      <w:pPr>
        <w:rPr>
          <w:b/>
          <w:sz w:val="20"/>
          <w:szCs w:val="20"/>
          <w:lang w:val="fr-CA"/>
        </w:rPr>
      </w:pPr>
      <w:r w:rsidRPr="0068677C">
        <w:rPr>
          <w:b/>
          <w:sz w:val="20"/>
          <w:szCs w:val="20"/>
          <w:lang w:val="fr-CA"/>
        </w:rPr>
        <w:t>MAY 20, 2021 / LE 20 MAI 2021</w:t>
      </w:r>
    </w:p>
    <w:p w:rsidR="002349DE" w:rsidRPr="0068677C" w:rsidRDefault="002349DE" w:rsidP="00732DB7">
      <w:pPr>
        <w:widowControl w:val="0"/>
        <w:rPr>
          <w:sz w:val="20"/>
          <w:szCs w:val="20"/>
          <w:lang w:val="fr-CA"/>
        </w:rPr>
      </w:pPr>
    </w:p>
    <w:p w:rsidR="002349DE" w:rsidRPr="0068677C" w:rsidRDefault="002349DE" w:rsidP="002349DE">
      <w:pPr>
        <w:widowControl w:val="0"/>
        <w:rPr>
          <w:sz w:val="20"/>
          <w:szCs w:val="20"/>
          <w:lang w:val="fr-CA"/>
        </w:rPr>
      </w:pPr>
      <w:r w:rsidRPr="0068677C">
        <w:rPr>
          <w:b/>
          <w:iCs/>
          <w:sz w:val="20"/>
          <w:szCs w:val="20"/>
          <w:lang w:val="fr-CA"/>
        </w:rPr>
        <w:t xml:space="preserve">Ville de Montréal c. Restructuration Deloitte inc. </w:t>
      </w:r>
      <w:r w:rsidRPr="0068677C">
        <w:rPr>
          <w:iCs/>
          <w:sz w:val="20"/>
          <w:szCs w:val="20"/>
          <w:lang w:val="fr-CA"/>
        </w:rPr>
        <w:t>(Qc) (Civile) (Autorisation)</w:t>
      </w:r>
      <w:r w:rsidRPr="0068677C">
        <w:rPr>
          <w:color w:val="333333"/>
          <w:sz w:val="20"/>
          <w:szCs w:val="20"/>
          <w:lang w:val="fr-CA"/>
        </w:rPr>
        <w:t xml:space="preserve"> (</w:t>
      </w:r>
      <w:hyperlink r:id="rId70" w:history="1">
        <w:r w:rsidRPr="0068677C">
          <w:rPr>
            <w:rStyle w:val="Hyperlink"/>
            <w:sz w:val="20"/>
            <w:szCs w:val="20"/>
            <w:lang w:val="fr-CA"/>
          </w:rPr>
          <w:t>39186</w:t>
        </w:r>
      </w:hyperlink>
      <w:r w:rsidRPr="0068677C">
        <w:rPr>
          <w:color w:val="333333"/>
          <w:sz w:val="20"/>
          <w:szCs w:val="20"/>
          <w:lang w:val="fr-CA"/>
        </w:rPr>
        <w:t>)</w:t>
      </w:r>
    </w:p>
    <w:p w:rsidR="002349DE" w:rsidRPr="0068677C" w:rsidRDefault="002349DE" w:rsidP="002349DE">
      <w:pPr>
        <w:widowControl w:val="0"/>
        <w:ind w:left="1109" w:hanging="1109"/>
        <w:rPr>
          <w:sz w:val="20"/>
          <w:szCs w:val="20"/>
          <w:lang w:val="fr-CA"/>
        </w:rPr>
      </w:pPr>
    </w:p>
    <w:p w:rsidR="002349DE" w:rsidRPr="0068677C" w:rsidRDefault="002349DE" w:rsidP="002349DE">
      <w:pPr>
        <w:widowControl w:val="0"/>
        <w:ind w:left="1109" w:hanging="1109"/>
        <w:rPr>
          <w:sz w:val="20"/>
          <w:szCs w:val="20"/>
          <w:lang w:val="fr-CA"/>
        </w:rPr>
      </w:pPr>
      <w:r w:rsidRPr="0068677C">
        <w:rPr>
          <w:sz w:val="20"/>
          <w:szCs w:val="20"/>
          <w:lang w:val="fr-CA"/>
        </w:rPr>
        <w:t xml:space="preserve">Coram: </w:t>
      </w:r>
      <w:r w:rsidRPr="0068677C">
        <w:rPr>
          <w:sz w:val="20"/>
          <w:szCs w:val="20"/>
          <w:lang w:val="fr-CA"/>
        </w:rPr>
        <w:tab/>
        <w:t>Le juge en chef Wagner et les juges Moldaver, Karakatsanis, Côté, Brown, Rowe et Martin</w:t>
      </w:r>
    </w:p>
    <w:p w:rsidR="002349DE" w:rsidRPr="0068677C" w:rsidRDefault="002349DE" w:rsidP="002349DE">
      <w:pPr>
        <w:widowControl w:val="0"/>
        <w:ind w:left="1109" w:hanging="1109"/>
        <w:rPr>
          <w:sz w:val="20"/>
          <w:szCs w:val="20"/>
          <w:lang w:val="fr-CA"/>
        </w:rPr>
      </w:pPr>
    </w:p>
    <w:p w:rsidR="002349DE" w:rsidRPr="0068677C" w:rsidRDefault="002349DE" w:rsidP="002349DE">
      <w:pPr>
        <w:widowControl w:val="0"/>
        <w:ind w:left="1109" w:hanging="1109"/>
        <w:rPr>
          <w:sz w:val="20"/>
          <w:szCs w:val="20"/>
        </w:rPr>
      </w:pPr>
      <w:r w:rsidRPr="0068677C">
        <w:rPr>
          <w:b/>
          <w:sz w:val="20"/>
          <w:szCs w:val="20"/>
        </w:rPr>
        <w:t>RESERVED / EN DÉLIBÉRÉ</w:t>
      </w:r>
    </w:p>
    <w:p w:rsidR="002349DE" w:rsidRPr="0068677C" w:rsidRDefault="002349DE" w:rsidP="00732DB7">
      <w:pPr>
        <w:widowControl w:val="0"/>
        <w:rPr>
          <w:sz w:val="20"/>
          <w:szCs w:val="20"/>
          <w:lang w:val="fr-CA"/>
        </w:rPr>
      </w:pPr>
    </w:p>
    <w:p w:rsidR="002349DE" w:rsidRPr="0068677C" w:rsidRDefault="00D800B2" w:rsidP="00732DB7">
      <w:pPr>
        <w:widowControl w:val="0"/>
        <w:rPr>
          <w:sz w:val="20"/>
          <w:szCs w:val="20"/>
          <w:lang w:val="fr-CA"/>
        </w:rPr>
      </w:pPr>
      <w:r>
        <w:rPr>
          <w:sz w:val="20"/>
          <w:szCs w:val="20"/>
        </w:rPr>
        <w:pict>
          <v:rect id="_x0000_i1064" style="width:2in;height:1pt" o:hrpct="0" o:hralign="center" o:hrstd="t" o:hrnoshade="t" o:hr="t" fillcolor="black [3213]" stroked="f"/>
        </w:pict>
      </w:r>
    </w:p>
    <w:p w:rsidR="002349DE" w:rsidRPr="0068677C" w:rsidRDefault="002349DE" w:rsidP="00732DB7">
      <w:pPr>
        <w:widowControl w:val="0"/>
        <w:rPr>
          <w:sz w:val="20"/>
          <w:szCs w:val="20"/>
          <w:lang w:val="fr-CA"/>
        </w:rPr>
      </w:pPr>
    </w:p>
    <w:p w:rsidR="002349DE" w:rsidRPr="0068677C" w:rsidRDefault="002349DE" w:rsidP="002349DE">
      <w:pPr>
        <w:rPr>
          <w:b/>
          <w:sz w:val="20"/>
          <w:szCs w:val="20"/>
        </w:rPr>
      </w:pPr>
      <w:r w:rsidRPr="0068677C">
        <w:rPr>
          <w:b/>
          <w:sz w:val="20"/>
          <w:szCs w:val="20"/>
        </w:rPr>
        <w:t>MAY 21, 2021 / LE 21 MAI 2021</w:t>
      </w:r>
    </w:p>
    <w:p w:rsidR="002349DE" w:rsidRPr="0068677C" w:rsidRDefault="002349DE" w:rsidP="00732DB7">
      <w:pPr>
        <w:widowControl w:val="0"/>
        <w:rPr>
          <w:sz w:val="20"/>
          <w:szCs w:val="20"/>
          <w:lang w:val="en-US"/>
        </w:rPr>
      </w:pPr>
    </w:p>
    <w:p w:rsidR="002349DE" w:rsidRPr="0068677C" w:rsidRDefault="002349DE" w:rsidP="002349DE">
      <w:pPr>
        <w:widowControl w:val="0"/>
        <w:rPr>
          <w:sz w:val="20"/>
          <w:szCs w:val="20"/>
        </w:rPr>
      </w:pPr>
      <w:r w:rsidRPr="0068677C">
        <w:rPr>
          <w:b/>
          <w:iCs/>
          <w:sz w:val="20"/>
          <w:szCs w:val="20"/>
        </w:rPr>
        <w:t xml:space="preserve">York University, et al. v. Canadian Copyright Licensing Agency ("Access Copyright"), et al. </w:t>
      </w:r>
      <w:r w:rsidRPr="0068677C">
        <w:rPr>
          <w:iCs/>
          <w:sz w:val="20"/>
          <w:szCs w:val="20"/>
        </w:rPr>
        <w:t xml:space="preserve">(F.C.) (Civil) (By Leave) </w:t>
      </w:r>
      <w:r w:rsidRPr="0068677C">
        <w:rPr>
          <w:color w:val="333333"/>
          <w:sz w:val="20"/>
          <w:szCs w:val="20"/>
        </w:rPr>
        <w:t>(</w:t>
      </w:r>
      <w:hyperlink r:id="rId71" w:history="1">
        <w:r w:rsidRPr="0068677C">
          <w:rPr>
            <w:rStyle w:val="Hyperlink"/>
            <w:sz w:val="20"/>
            <w:szCs w:val="20"/>
          </w:rPr>
          <w:t>39222</w:t>
        </w:r>
      </w:hyperlink>
      <w:r w:rsidRPr="0068677C">
        <w:rPr>
          <w:color w:val="333333"/>
          <w:sz w:val="20"/>
          <w:szCs w:val="20"/>
        </w:rPr>
        <w:t>)</w:t>
      </w:r>
    </w:p>
    <w:p w:rsidR="002349DE" w:rsidRPr="0068677C" w:rsidRDefault="002349DE" w:rsidP="002349DE">
      <w:pPr>
        <w:widowControl w:val="0"/>
        <w:ind w:left="1109" w:hanging="1109"/>
        <w:rPr>
          <w:sz w:val="20"/>
          <w:szCs w:val="20"/>
        </w:rPr>
      </w:pPr>
    </w:p>
    <w:p w:rsidR="002349DE" w:rsidRPr="0068677C" w:rsidRDefault="002349DE" w:rsidP="002349DE">
      <w:pPr>
        <w:widowControl w:val="0"/>
        <w:ind w:left="1109" w:hanging="1109"/>
        <w:rPr>
          <w:sz w:val="20"/>
          <w:szCs w:val="20"/>
        </w:rPr>
      </w:pPr>
      <w:r w:rsidRPr="0068677C">
        <w:rPr>
          <w:sz w:val="20"/>
          <w:szCs w:val="20"/>
        </w:rPr>
        <w:t xml:space="preserve">Coram: </w:t>
      </w:r>
      <w:r w:rsidRPr="0068677C">
        <w:rPr>
          <w:sz w:val="20"/>
          <w:szCs w:val="20"/>
        </w:rPr>
        <w:tab/>
        <w:t>Wagner C.J. and Abella, Moldaver, Karakatsanis, Côté, Brown, Rowe, Martin and Kasirer JJ.</w:t>
      </w:r>
    </w:p>
    <w:p w:rsidR="002349DE" w:rsidRPr="0068677C" w:rsidRDefault="002349DE" w:rsidP="002349DE">
      <w:pPr>
        <w:widowControl w:val="0"/>
        <w:ind w:left="1109" w:hanging="1109"/>
        <w:rPr>
          <w:sz w:val="20"/>
          <w:szCs w:val="20"/>
        </w:rPr>
      </w:pPr>
    </w:p>
    <w:p w:rsidR="002349DE" w:rsidRPr="0068677C" w:rsidRDefault="002349DE" w:rsidP="002349DE">
      <w:pPr>
        <w:widowControl w:val="0"/>
        <w:ind w:left="1109" w:hanging="1109"/>
        <w:rPr>
          <w:sz w:val="20"/>
          <w:szCs w:val="20"/>
        </w:rPr>
      </w:pPr>
      <w:r w:rsidRPr="0068677C">
        <w:rPr>
          <w:b/>
          <w:sz w:val="20"/>
          <w:szCs w:val="20"/>
        </w:rPr>
        <w:t>RESERVED / EN DÉLIBÉRÉ</w:t>
      </w:r>
    </w:p>
    <w:p w:rsidR="002349DE" w:rsidRPr="0068677C" w:rsidRDefault="002349DE" w:rsidP="00732DB7">
      <w:pPr>
        <w:widowControl w:val="0"/>
        <w:rPr>
          <w:sz w:val="20"/>
          <w:szCs w:val="20"/>
          <w:lang w:val="fr-CA"/>
        </w:rPr>
      </w:pPr>
    </w:p>
    <w:p w:rsidR="002349DE" w:rsidRPr="0068677C" w:rsidRDefault="00D800B2" w:rsidP="00732DB7">
      <w:pPr>
        <w:widowControl w:val="0"/>
        <w:rPr>
          <w:sz w:val="20"/>
          <w:szCs w:val="20"/>
          <w:lang w:val="fr-CA"/>
        </w:rPr>
      </w:pPr>
      <w:r>
        <w:rPr>
          <w:sz w:val="20"/>
          <w:szCs w:val="20"/>
        </w:rPr>
        <w:pict>
          <v:rect id="_x0000_i1065" style="width:2in;height:1pt" o:hrpct="0" o:hralign="center" o:hrstd="t" o:hrnoshade="t" o:hr="t" fillcolor="black [3213]" stroked="f"/>
        </w:pict>
      </w:r>
    </w:p>
    <w:p w:rsidR="00172473" w:rsidRPr="0068677C" w:rsidRDefault="00172473" w:rsidP="00732DB7">
      <w:pPr>
        <w:widowControl w:val="0"/>
        <w:rPr>
          <w:sz w:val="20"/>
          <w:szCs w:val="20"/>
          <w:lang w:val="fr-CA"/>
        </w:rPr>
      </w:pPr>
    </w:p>
    <w:p w:rsidR="00732DB7" w:rsidRPr="0068677C" w:rsidRDefault="00732DB7" w:rsidP="00732DB7">
      <w:pPr>
        <w:widowControl w:val="0"/>
        <w:rPr>
          <w:sz w:val="20"/>
          <w:szCs w:val="20"/>
          <w:lang w:val="fr-CA"/>
        </w:rPr>
      </w:pPr>
    </w:p>
    <w:p w:rsidR="00732DB7" w:rsidRPr="0068677C" w:rsidRDefault="00732DB7" w:rsidP="00732DB7">
      <w:pPr>
        <w:widowControl w:val="0"/>
        <w:rPr>
          <w:sz w:val="20"/>
          <w:szCs w:val="20"/>
          <w:lang w:val="fr-CA"/>
        </w:rPr>
        <w:sectPr w:rsidR="00732DB7" w:rsidRPr="0068677C" w:rsidSect="00732DB7">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0" w:gutter="0"/>
          <w:cols w:space="720"/>
          <w:titlePg/>
          <w:docGrid w:linePitch="326"/>
        </w:sectPr>
      </w:pPr>
    </w:p>
    <w:p w:rsidR="00567602" w:rsidRPr="0068677C" w:rsidRDefault="001434B9" w:rsidP="00567602">
      <w:pPr>
        <w:pStyle w:val="Header1StyleE"/>
        <w:pBdr>
          <w:bottom w:val="single" w:sz="12" w:space="1" w:color="auto"/>
        </w:pBdr>
        <w:rPr>
          <w:lang w:val="fr-CA"/>
        </w:rPr>
      </w:pPr>
      <w:bookmarkStart w:id="7" w:name="_Toc72405880"/>
      <w:r w:rsidRPr="0068677C">
        <w:rPr>
          <w:lang w:val="fr-CA"/>
        </w:rPr>
        <w:lastRenderedPageBreak/>
        <w:t>Pronouncements of reserved</w:t>
      </w:r>
      <w:r w:rsidR="00271E1E" w:rsidRPr="0068677C">
        <w:rPr>
          <w:lang w:val="fr-CA"/>
        </w:rPr>
        <w:t xml:space="preserve"> appeals / </w:t>
      </w:r>
      <w:r w:rsidR="00567602" w:rsidRPr="0068677C">
        <w:rPr>
          <w:lang w:val="fr-CA"/>
        </w:rPr>
        <w:br/>
      </w:r>
      <w:r w:rsidRPr="0068677C">
        <w:rPr>
          <w:lang w:val="fr-CA"/>
        </w:rPr>
        <w:t>Jugements rendus sur les appels en délibéré</w:t>
      </w:r>
      <w:bookmarkEnd w:id="7"/>
    </w:p>
    <w:p w:rsidR="00FF6EEC" w:rsidRPr="0068677C" w:rsidRDefault="00FF6EEC" w:rsidP="00FF6EEC">
      <w:pPr>
        <w:rPr>
          <w:sz w:val="20"/>
          <w:szCs w:val="20"/>
          <w:lang w:val="fr-CA"/>
        </w:rPr>
      </w:pPr>
    </w:p>
    <w:p w:rsidR="00102792" w:rsidRPr="0068677C" w:rsidRDefault="002349DE" w:rsidP="00102792">
      <w:pPr>
        <w:rPr>
          <w:b/>
          <w:sz w:val="20"/>
          <w:szCs w:val="20"/>
          <w:lang w:val="en-US"/>
        </w:rPr>
      </w:pPr>
      <w:r w:rsidRPr="0068677C">
        <w:rPr>
          <w:b/>
          <w:sz w:val="20"/>
          <w:szCs w:val="20"/>
          <w:lang w:val="en-US"/>
        </w:rPr>
        <w:t>MAY</w:t>
      </w:r>
      <w:r w:rsidR="00102792" w:rsidRPr="0068677C">
        <w:rPr>
          <w:b/>
          <w:sz w:val="20"/>
          <w:szCs w:val="20"/>
          <w:lang w:val="en-US"/>
        </w:rPr>
        <w:t xml:space="preserve"> </w:t>
      </w:r>
      <w:r w:rsidR="00172473" w:rsidRPr="0068677C">
        <w:rPr>
          <w:b/>
          <w:sz w:val="20"/>
          <w:szCs w:val="20"/>
          <w:lang w:val="en-US"/>
        </w:rPr>
        <w:t>2</w:t>
      </w:r>
      <w:r w:rsidRPr="0068677C">
        <w:rPr>
          <w:b/>
          <w:sz w:val="20"/>
          <w:szCs w:val="20"/>
          <w:lang w:val="en-US"/>
        </w:rPr>
        <w:t>1</w:t>
      </w:r>
      <w:r w:rsidR="00102792" w:rsidRPr="0068677C">
        <w:rPr>
          <w:b/>
          <w:sz w:val="20"/>
          <w:szCs w:val="20"/>
          <w:lang w:val="en-US"/>
        </w:rPr>
        <w:t xml:space="preserve">, </w:t>
      </w:r>
      <w:r w:rsidR="0034657E" w:rsidRPr="0068677C">
        <w:rPr>
          <w:b/>
          <w:sz w:val="20"/>
          <w:szCs w:val="20"/>
          <w:lang w:val="en-US"/>
        </w:rPr>
        <w:t>20</w:t>
      </w:r>
      <w:r w:rsidR="00172473" w:rsidRPr="0068677C">
        <w:rPr>
          <w:b/>
          <w:sz w:val="20"/>
          <w:szCs w:val="20"/>
          <w:lang w:val="en-US"/>
        </w:rPr>
        <w:t>2</w:t>
      </w:r>
      <w:r w:rsidR="009B36BA" w:rsidRPr="0068677C">
        <w:rPr>
          <w:b/>
          <w:sz w:val="20"/>
          <w:szCs w:val="20"/>
          <w:lang w:val="en-US"/>
        </w:rPr>
        <w:t>1</w:t>
      </w:r>
      <w:r w:rsidR="00102792" w:rsidRPr="0068677C">
        <w:rPr>
          <w:b/>
          <w:sz w:val="20"/>
          <w:szCs w:val="20"/>
          <w:lang w:val="en-US"/>
        </w:rPr>
        <w:t xml:space="preserve"> / LE </w:t>
      </w:r>
      <w:r w:rsidR="00172473" w:rsidRPr="0068677C">
        <w:rPr>
          <w:b/>
          <w:sz w:val="20"/>
          <w:szCs w:val="20"/>
          <w:lang w:val="en-US"/>
        </w:rPr>
        <w:t>2</w:t>
      </w:r>
      <w:r w:rsidRPr="0068677C">
        <w:rPr>
          <w:b/>
          <w:sz w:val="20"/>
          <w:szCs w:val="20"/>
          <w:lang w:val="en-US"/>
        </w:rPr>
        <w:t>1</w:t>
      </w:r>
      <w:r w:rsidR="00102792" w:rsidRPr="0068677C">
        <w:rPr>
          <w:b/>
          <w:sz w:val="20"/>
          <w:szCs w:val="20"/>
          <w:lang w:val="en-US"/>
        </w:rPr>
        <w:t xml:space="preserve"> </w:t>
      </w:r>
      <w:r w:rsidRPr="0068677C">
        <w:rPr>
          <w:b/>
          <w:sz w:val="20"/>
          <w:szCs w:val="20"/>
          <w:lang w:val="en-US"/>
        </w:rPr>
        <w:t>MAI</w:t>
      </w:r>
      <w:r w:rsidR="00102792" w:rsidRPr="0068677C">
        <w:rPr>
          <w:b/>
          <w:sz w:val="20"/>
          <w:szCs w:val="20"/>
          <w:lang w:val="en-US"/>
        </w:rPr>
        <w:t xml:space="preserve"> </w:t>
      </w:r>
      <w:r w:rsidR="0034657E" w:rsidRPr="0068677C">
        <w:rPr>
          <w:b/>
          <w:sz w:val="20"/>
          <w:szCs w:val="20"/>
          <w:lang w:val="en-US"/>
        </w:rPr>
        <w:t>20</w:t>
      </w:r>
      <w:r w:rsidR="00172473" w:rsidRPr="0068677C">
        <w:rPr>
          <w:b/>
          <w:sz w:val="20"/>
          <w:szCs w:val="20"/>
          <w:lang w:val="en-US"/>
        </w:rPr>
        <w:t>2</w:t>
      </w:r>
      <w:r w:rsidR="009B36BA" w:rsidRPr="0068677C">
        <w:rPr>
          <w:b/>
          <w:sz w:val="20"/>
          <w:szCs w:val="20"/>
          <w:lang w:val="en-US"/>
        </w:rPr>
        <w:t>1</w:t>
      </w:r>
    </w:p>
    <w:p w:rsidR="00102792" w:rsidRPr="0068677C" w:rsidRDefault="00102792" w:rsidP="00102792">
      <w:pPr>
        <w:rPr>
          <w:sz w:val="20"/>
          <w:szCs w:val="20"/>
          <w:lang w:val="en-US"/>
        </w:rPr>
      </w:pPr>
    </w:p>
    <w:p w:rsidR="00FC39DE" w:rsidRPr="0068677C" w:rsidRDefault="00102792" w:rsidP="00FC39DE">
      <w:pPr>
        <w:ind w:left="1440" w:hanging="1440"/>
        <w:jc w:val="both"/>
        <w:rPr>
          <w:sz w:val="20"/>
        </w:rPr>
      </w:pPr>
      <w:r w:rsidRPr="0068677C">
        <w:rPr>
          <w:rFonts w:eastAsia="Times New Roman" w:cs="Times New Roman"/>
          <w:b/>
          <w:bCs/>
          <w:color w:val="000000"/>
          <w:sz w:val="20"/>
          <w:szCs w:val="20"/>
          <w:lang w:val="en-US"/>
        </w:rPr>
        <w:t>3</w:t>
      </w:r>
      <w:r w:rsidR="00B22DEA" w:rsidRPr="0068677C">
        <w:rPr>
          <w:rFonts w:eastAsia="Times New Roman" w:cs="Times New Roman"/>
          <w:b/>
          <w:bCs/>
          <w:color w:val="000000"/>
          <w:sz w:val="20"/>
          <w:szCs w:val="20"/>
          <w:lang w:val="en-US"/>
        </w:rPr>
        <w:t>9094</w:t>
      </w:r>
      <w:r w:rsidR="00172473" w:rsidRPr="0068677C">
        <w:rPr>
          <w:rFonts w:eastAsia="Times New Roman" w:cs="Times New Roman"/>
          <w:b/>
          <w:bCs/>
          <w:color w:val="000000"/>
          <w:sz w:val="20"/>
          <w:szCs w:val="20"/>
          <w:lang w:val="en-US"/>
        </w:rPr>
        <w:tab/>
      </w:r>
      <w:r w:rsidR="00FC39DE" w:rsidRPr="0068677C">
        <w:rPr>
          <w:b/>
          <w:bCs/>
          <w:color w:val="000000"/>
          <w:sz w:val="20"/>
        </w:rPr>
        <w:t>Ethiopian Orthodox Tewahedo Church of Canada St. Mary Cathedral, Messale Engeda, Abune Dimetros and Hiwot Bekele v. Teshome Aga, Yoseph Beyene, Dereje Goshu, Tseduke Gezaw and Belay Hebest - and - Canadian Muslim Lawyers Association, Association for Reformed Political Action (ARPA) Canada, Canadian Civil Liberties Association, Evangelical Fellowship of Canada, Catholic Civil Rights League, Watch Tower Bible and Tract Society of Canada, British Columbia Humanist Association, Seventh-day Adventist Church in Canada, Christian Legal Fellowship, National Council of Canadian Muslims, Egale Canada Human Rights Trust and Canadian Centre for Christian Charities</w:t>
      </w:r>
      <w:r w:rsidR="00FC39DE" w:rsidRPr="0068677C">
        <w:rPr>
          <w:b/>
          <w:sz w:val="20"/>
        </w:rPr>
        <w:t xml:space="preserve"> </w:t>
      </w:r>
      <w:r w:rsidR="00FC39DE" w:rsidRPr="0068677C">
        <w:rPr>
          <w:iCs/>
          <w:sz w:val="20"/>
        </w:rPr>
        <w:t>(Ont.)</w:t>
      </w:r>
    </w:p>
    <w:p w:rsidR="00102792" w:rsidRPr="0068677C" w:rsidRDefault="00102792" w:rsidP="00102792">
      <w:pPr>
        <w:ind w:left="1440"/>
        <w:jc w:val="both"/>
        <w:rPr>
          <w:rFonts w:eastAsia="Times New Roman" w:cs="Times New Roman"/>
          <w:color w:val="000000"/>
          <w:sz w:val="20"/>
          <w:szCs w:val="20"/>
          <w:lang w:val="en-US"/>
        </w:rPr>
      </w:pPr>
      <w:r w:rsidRPr="0068677C">
        <w:rPr>
          <w:rFonts w:eastAsia="Times New Roman" w:cs="Times New Roman"/>
          <w:b/>
          <w:bCs/>
          <w:color w:val="000000"/>
          <w:sz w:val="20"/>
          <w:szCs w:val="20"/>
          <w:lang w:val="en-US"/>
        </w:rPr>
        <w:t>20</w:t>
      </w:r>
      <w:r w:rsidR="00172473" w:rsidRPr="0068677C">
        <w:rPr>
          <w:rFonts w:eastAsia="Times New Roman" w:cs="Times New Roman"/>
          <w:b/>
          <w:bCs/>
          <w:color w:val="000000"/>
          <w:sz w:val="20"/>
          <w:szCs w:val="20"/>
          <w:lang w:val="en-US"/>
        </w:rPr>
        <w:t>2</w:t>
      </w:r>
      <w:r w:rsidR="009B36BA" w:rsidRPr="0068677C">
        <w:rPr>
          <w:rFonts w:eastAsia="Times New Roman" w:cs="Times New Roman"/>
          <w:b/>
          <w:bCs/>
          <w:color w:val="000000"/>
          <w:sz w:val="20"/>
          <w:szCs w:val="20"/>
          <w:lang w:val="en-US"/>
        </w:rPr>
        <w:t>1</w:t>
      </w:r>
      <w:r w:rsidRPr="0068677C">
        <w:rPr>
          <w:rFonts w:eastAsia="Times New Roman" w:cs="Times New Roman"/>
          <w:b/>
          <w:bCs/>
          <w:color w:val="000000"/>
          <w:sz w:val="20"/>
          <w:szCs w:val="20"/>
          <w:lang w:val="en-US"/>
        </w:rPr>
        <w:t xml:space="preserve"> SCC </w:t>
      </w:r>
      <w:r w:rsidR="00B22DEA" w:rsidRPr="0068677C">
        <w:rPr>
          <w:rFonts w:eastAsia="Times New Roman" w:cs="Times New Roman"/>
          <w:b/>
          <w:bCs/>
          <w:color w:val="000000"/>
          <w:sz w:val="20"/>
          <w:szCs w:val="20"/>
          <w:lang w:val="en-US"/>
        </w:rPr>
        <w:t>2</w:t>
      </w:r>
      <w:r w:rsidR="00FF440A" w:rsidRPr="0068677C">
        <w:rPr>
          <w:rFonts w:eastAsia="Times New Roman" w:cs="Times New Roman"/>
          <w:b/>
          <w:bCs/>
          <w:color w:val="000000"/>
          <w:sz w:val="20"/>
          <w:szCs w:val="20"/>
          <w:lang w:val="en-US"/>
        </w:rPr>
        <w:t>2</w:t>
      </w:r>
      <w:r w:rsidRPr="0068677C">
        <w:rPr>
          <w:rFonts w:eastAsia="Times New Roman" w:cs="Times New Roman"/>
          <w:b/>
          <w:bCs/>
          <w:color w:val="000000"/>
          <w:sz w:val="20"/>
          <w:szCs w:val="20"/>
          <w:lang w:val="en-US"/>
        </w:rPr>
        <w:t xml:space="preserve"> / 20</w:t>
      </w:r>
      <w:r w:rsidR="00172473" w:rsidRPr="0068677C">
        <w:rPr>
          <w:rFonts w:eastAsia="Times New Roman" w:cs="Times New Roman"/>
          <w:b/>
          <w:bCs/>
          <w:color w:val="000000"/>
          <w:sz w:val="20"/>
          <w:szCs w:val="20"/>
          <w:lang w:val="en-US"/>
        </w:rPr>
        <w:t>2</w:t>
      </w:r>
      <w:r w:rsidR="009B36BA" w:rsidRPr="0068677C">
        <w:rPr>
          <w:rFonts w:eastAsia="Times New Roman" w:cs="Times New Roman"/>
          <w:b/>
          <w:bCs/>
          <w:color w:val="000000"/>
          <w:sz w:val="20"/>
          <w:szCs w:val="20"/>
          <w:lang w:val="en-US"/>
        </w:rPr>
        <w:t>1</w:t>
      </w:r>
      <w:r w:rsidRPr="0068677C">
        <w:rPr>
          <w:rFonts w:eastAsia="Times New Roman" w:cs="Times New Roman"/>
          <w:b/>
          <w:bCs/>
          <w:color w:val="000000"/>
          <w:sz w:val="20"/>
          <w:szCs w:val="20"/>
          <w:lang w:val="en-US"/>
        </w:rPr>
        <w:t xml:space="preserve"> CSC </w:t>
      </w:r>
      <w:r w:rsidR="00B22DEA" w:rsidRPr="0068677C">
        <w:rPr>
          <w:rFonts w:eastAsia="Times New Roman" w:cs="Times New Roman"/>
          <w:b/>
          <w:bCs/>
          <w:color w:val="000000"/>
          <w:sz w:val="20"/>
          <w:szCs w:val="20"/>
          <w:lang w:val="en-US"/>
        </w:rPr>
        <w:t>2</w:t>
      </w:r>
      <w:r w:rsidR="00FF440A" w:rsidRPr="0068677C">
        <w:rPr>
          <w:rFonts w:eastAsia="Times New Roman" w:cs="Times New Roman"/>
          <w:b/>
          <w:bCs/>
          <w:color w:val="000000"/>
          <w:sz w:val="20"/>
          <w:szCs w:val="20"/>
          <w:lang w:val="en-US"/>
        </w:rPr>
        <w:t>2</w:t>
      </w:r>
    </w:p>
    <w:p w:rsidR="00102792" w:rsidRPr="0068677C" w:rsidRDefault="00102792" w:rsidP="00102792">
      <w:pPr>
        <w:jc w:val="both"/>
        <w:rPr>
          <w:rFonts w:eastAsia="Times New Roman" w:cs="Times New Roman"/>
          <w:color w:val="000000"/>
          <w:sz w:val="20"/>
          <w:szCs w:val="20"/>
          <w:lang w:val="en-US"/>
        </w:rPr>
      </w:pPr>
    </w:p>
    <w:p w:rsidR="00102792" w:rsidRPr="0068677C" w:rsidRDefault="00172473" w:rsidP="00102792">
      <w:pPr>
        <w:ind w:left="1440" w:hanging="1440"/>
        <w:rPr>
          <w:rFonts w:eastAsia="Times New Roman" w:cs="Times New Roman"/>
          <w:color w:val="000000"/>
          <w:sz w:val="20"/>
          <w:szCs w:val="20"/>
          <w:lang w:val="en-US"/>
        </w:rPr>
      </w:pPr>
      <w:r w:rsidRPr="0068677C">
        <w:rPr>
          <w:rFonts w:eastAsia="Times New Roman" w:cs="Times New Roman"/>
          <w:color w:val="000000"/>
          <w:sz w:val="20"/>
          <w:szCs w:val="20"/>
          <w:lang w:val="en-US"/>
        </w:rPr>
        <w:t>Coram:</w:t>
      </w:r>
      <w:r w:rsidRPr="0068677C">
        <w:rPr>
          <w:rFonts w:eastAsia="Times New Roman" w:cs="Times New Roman"/>
          <w:color w:val="000000"/>
          <w:sz w:val="20"/>
          <w:szCs w:val="20"/>
          <w:lang w:val="en-US"/>
        </w:rPr>
        <w:tab/>
      </w:r>
      <w:r w:rsidR="00102792" w:rsidRPr="0068677C">
        <w:rPr>
          <w:rFonts w:eastAsia="Times New Roman" w:cs="Times New Roman"/>
          <w:color w:val="000000"/>
          <w:sz w:val="20"/>
          <w:szCs w:val="20"/>
          <w:lang w:val="en-US"/>
        </w:rPr>
        <w:t>Wagner C.J. and Abella, Moldaver, Karakatsanis, Côté, Brown, Rowe</w:t>
      </w:r>
      <w:r w:rsidRPr="0068677C">
        <w:rPr>
          <w:rFonts w:eastAsia="Times New Roman" w:cs="Times New Roman"/>
          <w:color w:val="000000"/>
          <w:sz w:val="20"/>
          <w:szCs w:val="20"/>
          <w:lang w:val="en-US"/>
        </w:rPr>
        <w:t xml:space="preserve">, </w:t>
      </w:r>
      <w:r w:rsidR="00102792" w:rsidRPr="0068677C">
        <w:rPr>
          <w:rFonts w:eastAsia="Times New Roman" w:cs="Times New Roman"/>
          <w:color w:val="000000"/>
          <w:sz w:val="20"/>
          <w:szCs w:val="20"/>
          <w:lang w:val="en-US"/>
        </w:rPr>
        <w:t>Martin</w:t>
      </w:r>
      <w:r w:rsidRPr="0068677C">
        <w:rPr>
          <w:rFonts w:eastAsia="Times New Roman" w:cs="Times New Roman"/>
          <w:color w:val="000000"/>
          <w:sz w:val="20"/>
          <w:szCs w:val="20"/>
          <w:lang w:val="en-US"/>
        </w:rPr>
        <w:t xml:space="preserve"> and Kasirer</w:t>
      </w:r>
      <w:r w:rsidR="00102792" w:rsidRPr="0068677C">
        <w:rPr>
          <w:rFonts w:eastAsia="Times New Roman" w:cs="Times New Roman"/>
          <w:color w:val="000000"/>
          <w:sz w:val="20"/>
          <w:szCs w:val="20"/>
          <w:lang w:val="en-US"/>
        </w:rPr>
        <w:t xml:space="preserve"> JJ.</w:t>
      </w:r>
    </w:p>
    <w:p w:rsidR="00102792" w:rsidRPr="0068677C" w:rsidRDefault="00102792" w:rsidP="00102792">
      <w:pPr>
        <w:ind w:left="1440" w:hanging="1440"/>
        <w:rPr>
          <w:rFonts w:eastAsia="Times New Roman" w:cs="Times New Roman"/>
          <w:color w:val="000000"/>
          <w:sz w:val="20"/>
          <w:szCs w:val="20"/>
          <w:lang w:val="en-US"/>
        </w:rPr>
      </w:pPr>
    </w:p>
    <w:p w:rsidR="00FC39DE" w:rsidRPr="0068677C" w:rsidRDefault="00FC39DE" w:rsidP="00FC39DE">
      <w:pPr>
        <w:jc w:val="both"/>
        <w:rPr>
          <w:sz w:val="20"/>
          <w:szCs w:val="20"/>
          <w:lang w:val="en-US"/>
        </w:rPr>
      </w:pPr>
      <w:r w:rsidRPr="0068677C">
        <w:rPr>
          <w:sz w:val="20"/>
          <w:szCs w:val="20"/>
        </w:rPr>
        <w:t xml:space="preserve">The motion to admit fresh evidence is dismissed without costs. The appeal from the judgment of the Court of Appeal for Ontario, Number C66733, 2020 ONCA 10, dated January 8, 2020, heard on December 9, 2020, </w:t>
      </w:r>
      <w:r w:rsidRPr="0068677C">
        <w:rPr>
          <w:rFonts w:cs="Times New Roman"/>
          <w:sz w:val="20"/>
          <w:szCs w:val="20"/>
        </w:rPr>
        <w:t>is allowed with costs throughout. The order of the Court of Appeal is set aside and the order of the motion judge granting summary judgment and dismissing the action is restored.</w:t>
      </w:r>
    </w:p>
    <w:p w:rsidR="00102792" w:rsidRPr="0068677C" w:rsidRDefault="00102792" w:rsidP="00102792">
      <w:pPr>
        <w:tabs>
          <w:tab w:val="left" w:pos="1440"/>
        </w:tabs>
        <w:jc w:val="both"/>
        <w:rPr>
          <w:rFonts w:eastAsia="Times New Roman" w:cs="Times New Roman"/>
          <w:color w:val="000000"/>
          <w:sz w:val="20"/>
          <w:szCs w:val="20"/>
          <w:lang w:val="en-US"/>
        </w:rPr>
      </w:pPr>
    </w:p>
    <w:p w:rsidR="00FC39DE" w:rsidRPr="0068677C" w:rsidRDefault="00FC39DE" w:rsidP="00FC39DE">
      <w:pPr>
        <w:jc w:val="both"/>
        <w:rPr>
          <w:sz w:val="20"/>
          <w:szCs w:val="20"/>
          <w:lang w:val="fr-CA"/>
        </w:rPr>
      </w:pPr>
      <w:r w:rsidRPr="0068677C">
        <w:rPr>
          <w:rFonts w:cs="Times New Roman"/>
          <w:sz w:val="20"/>
          <w:szCs w:val="20"/>
          <w:lang w:val="fr-FR"/>
        </w:rPr>
        <w:t xml:space="preserve">La requête sollicitant l’autorisation de présenter un nouvel élément de preuve est rejetée sans dépens. </w:t>
      </w:r>
      <w:r w:rsidRPr="0068677C">
        <w:rPr>
          <w:sz w:val="20"/>
          <w:szCs w:val="20"/>
          <w:lang w:val="fr-CA"/>
        </w:rPr>
        <w:t>L’appel interjeté contre l’arrêt de la Cour d’appel de l’Ontario, numéro C66733, 2020 ONCA 10, daté du 8 janvier 2020, entendu le 9 décembre 2020, est accueilli avec dépens devant toutes les cours. L’ordonnance de la Cour d’appel est annulée et l’ordonnance de la juge des motions accordant un jugement sommaire et rejetant l’action est rétablie.</w:t>
      </w:r>
    </w:p>
    <w:p w:rsidR="00102792" w:rsidRPr="0068677C" w:rsidRDefault="00102792" w:rsidP="00102792">
      <w:pPr>
        <w:rPr>
          <w:sz w:val="20"/>
          <w:szCs w:val="20"/>
          <w:lang w:val="fr-CA"/>
        </w:rPr>
      </w:pPr>
    </w:p>
    <w:p w:rsidR="00102792" w:rsidRPr="0068677C" w:rsidRDefault="00D800B2" w:rsidP="00102792">
      <w:pPr>
        <w:rPr>
          <w:sz w:val="20"/>
          <w:szCs w:val="20"/>
          <w:lang w:val="fr-CA"/>
        </w:rPr>
      </w:pPr>
      <w:hyperlink r:id="rId78" w:history="1">
        <w:r w:rsidR="00506BE1" w:rsidRPr="0068677C">
          <w:rPr>
            <w:rStyle w:val="Hyperlink"/>
            <w:sz w:val="20"/>
            <w:szCs w:val="20"/>
            <w:lang w:val="fr-CA"/>
          </w:rPr>
          <w:t xml:space="preserve">LINK TO </w:t>
        </w:r>
        <w:r w:rsidR="00D82BFF" w:rsidRPr="0068677C">
          <w:rPr>
            <w:rStyle w:val="Hyperlink"/>
            <w:sz w:val="20"/>
            <w:szCs w:val="20"/>
            <w:lang w:val="fr-CA"/>
          </w:rPr>
          <w:t>REASONS</w:t>
        </w:r>
      </w:hyperlink>
      <w:r w:rsidR="00102792" w:rsidRPr="0068677C">
        <w:rPr>
          <w:sz w:val="20"/>
          <w:szCs w:val="20"/>
          <w:lang w:val="fr-CA"/>
        </w:rPr>
        <w:t xml:space="preserve"> / </w:t>
      </w:r>
      <w:hyperlink r:id="rId79" w:history="1">
        <w:r w:rsidR="00D82BFF" w:rsidRPr="0068677C">
          <w:rPr>
            <w:rStyle w:val="Hyperlink"/>
            <w:sz w:val="20"/>
            <w:szCs w:val="20"/>
            <w:lang w:val="fr-CA"/>
          </w:rPr>
          <w:t>LIEN VERS LES MOTIFS</w:t>
        </w:r>
      </w:hyperlink>
    </w:p>
    <w:p w:rsidR="00102792" w:rsidRPr="0068677C" w:rsidRDefault="00102792" w:rsidP="00102792">
      <w:pPr>
        <w:rPr>
          <w:sz w:val="20"/>
          <w:szCs w:val="20"/>
          <w:lang w:val="fr-CA"/>
        </w:rPr>
      </w:pPr>
    </w:p>
    <w:p w:rsidR="00D004FC" w:rsidRPr="0068677C" w:rsidRDefault="00D800B2" w:rsidP="00102792">
      <w:pPr>
        <w:jc w:val="both"/>
        <w:rPr>
          <w:rFonts w:cs="Times New Roman"/>
          <w:b/>
          <w:sz w:val="20"/>
          <w:szCs w:val="20"/>
        </w:rPr>
      </w:pPr>
      <w:r>
        <w:rPr>
          <w:b/>
          <w:sz w:val="20"/>
          <w:szCs w:val="20"/>
        </w:rPr>
        <w:pict>
          <v:rect id="_x0000_i1068" style="width:144.3pt;height:1pt" o:hrpct="300" o:hralign="center" o:hrstd="t" o:hrnoshade="t" o:hr="t" fillcolor="black [3213]" stroked="f"/>
        </w:pict>
      </w:r>
    </w:p>
    <w:p w:rsidR="00D004FC" w:rsidRPr="0068677C" w:rsidRDefault="00D004FC" w:rsidP="00D004FC">
      <w:pPr>
        <w:jc w:val="both"/>
        <w:rPr>
          <w:rFonts w:cs="Times New Roman"/>
          <w:sz w:val="20"/>
          <w:szCs w:val="20"/>
        </w:rPr>
      </w:pPr>
    </w:p>
    <w:p w:rsidR="00281DA2" w:rsidRPr="0068677C" w:rsidRDefault="00281DA2" w:rsidP="00D004FC">
      <w:pPr>
        <w:jc w:val="both"/>
        <w:rPr>
          <w:rFonts w:cs="Times New Roman"/>
          <w:sz w:val="20"/>
          <w:szCs w:val="20"/>
        </w:rPr>
      </w:pPr>
    </w:p>
    <w:p w:rsidR="0056248C" w:rsidRPr="0068677C" w:rsidRDefault="0056248C" w:rsidP="00091BA6">
      <w:pPr>
        <w:rPr>
          <w:sz w:val="20"/>
          <w:szCs w:val="20"/>
          <w:lang w:val="fr-CA"/>
        </w:rPr>
      </w:pPr>
    </w:p>
    <w:p w:rsidR="00102926" w:rsidRPr="0068677C" w:rsidRDefault="00102926" w:rsidP="00782AE4">
      <w:pPr>
        <w:jc w:val="both"/>
        <w:rPr>
          <w:sz w:val="20"/>
          <w:szCs w:val="20"/>
        </w:rPr>
        <w:sectPr w:rsidR="00102926" w:rsidRPr="0068677C" w:rsidSect="00782AE4">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576" w:footer="960" w:gutter="0"/>
          <w:cols w:space="720"/>
          <w:titlePg/>
          <w:docGrid w:linePitch="272"/>
        </w:sectPr>
      </w:pPr>
    </w:p>
    <w:p w:rsidR="00113336" w:rsidRPr="0068677C"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68677C">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68677C"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DECEMBER – DÉCEMBRE</w:t>
            </w:r>
          </w:p>
        </w:tc>
      </w:tr>
      <w:tr w:rsidR="00113336" w:rsidRPr="0068677C"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4"/>
                <w:szCs w:val="14"/>
                <w:lang w:val="fr-FR"/>
              </w:rPr>
            </w:pPr>
            <w:r w:rsidRPr="0068677C">
              <w:rPr>
                <w:rFonts w:ascii="Arial" w:hAnsi="Arial" w:cs="Arial"/>
                <w:b/>
                <w:sz w:val="14"/>
                <w:szCs w:val="14"/>
                <w:lang w:val="fr-FR"/>
              </w:rPr>
              <w:t>S</w:t>
            </w:r>
          </w:p>
          <w:p w:rsidR="00113336" w:rsidRPr="0068677C" w:rsidRDefault="00113336" w:rsidP="009B36BA">
            <w:pPr>
              <w:tabs>
                <w:tab w:val="center" w:pos="5220"/>
                <w:tab w:val="right" w:pos="10440"/>
              </w:tabs>
              <w:jc w:val="center"/>
              <w:rPr>
                <w:rFonts w:ascii="Arial" w:hAnsi="Arial" w:cs="Arial"/>
                <w:b/>
                <w:sz w:val="14"/>
                <w:szCs w:val="14"/>
                <w:lang w:val="fr-FR"/>
              </w:rPr>
            </w:pPr>
            <w:r w:rsidRPr="0068677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M</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T</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W</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T</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F</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S</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S</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M</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T</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W</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T</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F</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S</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S</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M</w:t>
            </w:r>
          </w:p>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lang w:val="fr-FR"/>
              </w:rPr>
            </w:pPr>
            <w:r w:rsidRPr="0068677C">
              <w:rPr>
                <w:rFonts w:ascii="Arial" w:hAnsi="Arial" w:cs="Arial"/>
                <w:b/>
                <w:sz w:val="13"/>
                <w:szCs w:val="13"/>
                <w:lang w:val="fr-FR"/>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r>
      <w:tr w:rsidR="00113336" w:rsidRPr="0068677C"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b/>
                <w:sz w:val="13"/>
                <w:szCs w:val="13"/>
              </w:rPr>
              <w:t>CC</w:t>
            </w:r>
            <w:r w:rsidRPr="0068677C">
              <w:rPr>
                <w:rFonts w:ascii="Arial" w:hAnsi="Arial" w:cs="Arial"/>
                <w:sz w:val="13"/>
                <w:szCs w:val="13"/>
              </w:rPr>
              <w:t xml:space="preserve"> </w:t>
            </w:r>
          </w:p>
          <w:p w:rsidR="00113336" w:rsidRPr="0068677C" w:rsidRDefault="00113336" w:rsidP="009B36BA">
            <w:pPr>
              <w:jc w:val="center"/>
              <w:rPr>
                <w:rFonts w:ascii="Arial" w:hAnsi="Arial" w:cs="Arial"/>
                <w:sz w:val="13"/>
                <w:szCs w:val="13"/>
              </w:rPr>
            </w:pPr>
            <w:r w:rsidRPr="0068677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5</w:t>
            </w:r>
          </w:p>
        </w:tc>
      </w:tr>
      <w:tr w:rsidR="00113336" w:rsidRPr="0068677C"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68677C" w:rsidRDefault="00113336" w:rsidP="009B36BA">
            <w:pPr>
              <w:jc w:val="center"/>
              <w:rPr>
                <w:rFonts w:ascii="Arial" w:hAnsi="Arial" w:cs="Arial"/>
                <w:b/>
                <w:sz w:val="13"/>
                <w:szCs w:val="13"/>
              </w:rPr>
            </w:pPr>
            <w:r w:rsidRPr="0068677C">
              <w:rPr>
                <w:rFonts w:ascii="Arial" w:hAnsi="Arial" w:cs="Arial"/>
                <w:b/>
                <w:sz w:val="13"/>
                <w:szCs w:val="13"/>
              </w:rPr>
              <w:t>CC</w:t>
            </w:r>
          </w:p>
          <w:p w:rsidR="00113336" w:rsidRPr="0068677C" w:rsidRDefault="00113336" w:rsidP="00113336">
            <w:pPr>
              <w:jc w:val="center"/>
              <w:rPr>
                <w:rFonts w:ascii="Arial" w:hAnsi="Arial" w:cs="Arial"/>
                <w:sz w:val="13"/>
                <w:szCs w:val="13"/>
              </w:rPr>
            </w:pPr>
            <w:r w:rsidRPr="0068677C">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68677C" w:rsidRDefault="005B2EA9" w:rsidP="009B36BA">
            <w:pPr>
              <w:jc w:val="center"/>
              <w:rPr>
                <w:rFonts w:ascii="Arial" w:hAnsi="Arial" w:cs="Arial"/>
                <w:b/>
                <w:sz w:val="13"/>
                <w:szCs w:val="13"/>
              </w:rPr>
            </w:pPr>
            <w:r w:rsidRPr="0068677C">
              <w:rPr>
                <w:rFonts w:ascii="Arial" w:hAnsi="Arial" w:cs="Arial"/>
                <w:b/>
                <w:sz w:val="13"/>
                <w:szCs w:val="13"/>
              </w:rPr>
              <w:t>H</w:t>
            </w:r>
          </w:p>
          <w:p w:rsidR="00113336" w:rsidRPr="0068677C" w:rsidRDefault="00113336" w:rsidP="009B36BA">
            <w:pPr>
              <w:jc w:val="center"/>
              <w:rPr>
                <w:rFonts w:ascii="Arial" w:hAnsi="Arial" w:cs="Arial"/>
                <w:sz w:val="13"/>
                <w:szCs w:val="13"/>
              </w:rPr>
            </w:pPr>
            <w:r w:rsidRPr="0068677C">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113336">
            <w:pPr>
              <w:jc w:val="center"/>
              <w:rPr>
                <w:rFonts w:ascii="Arial" w:hAnsi="Arial" w:cs="Arial"/>
                <w:sz w:val="13"/>
                <w:szCs w:val="13"/>
              </w:rPr>
            </w:pPr>
            <w:r w:rsidRPr="0068677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12</w:t>
            </w:r>
          </w:p>
        </w:tc>
      </w:tr>
      <w:tr w:rsidR="00B4618C" w:rsidRPr="0068677C"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68677C" w:rsidRDefault="00113336" w:rsidP="009B36BA">
            <w:pPr>
              <w:jc w:val="center"/>
              <w:rPr>
                <w:rFonts w:ascii="Arial" w:hAnsi="Arial" w:cs="Arial"/>
                <w:b/>
                <w:sz w:val="13"/>
                <w:szCs w:val="13"/>
              </w:rPr>
            </w:pPr>
            <w:r w:rsidRPr="0068677C">
              <w:rPr>
                <w:rFonts w:ascii="Arial" w:hAnsi="Arial" w:cs="Arial"/>
                <w:b/>
                <w:sz w:val="13"/>
                <w:szCs w:val="13"/>
              </w:rPr>
              <w:t>H</w:t>
            </w:r>
          </w:p>
          <w:p w:rsidR="00113336" w:rsidRPr="0068677C" w:rsidRDefault="00113336" w:rsidP="00113336">
            <w:pPr>
              <w:jc w:val="center"/>
              <w:rPr>
                <w:rFonts w:ascii="Arial" w:hAnsi="Arial" w:cs="Arial"/>
                <w:sz w:val="13"/>
                <w:szCs w:val="13"/>
              </w:rPr>
            </w:pPr>
            <w:r w:rsidRPr="0068677C">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19</w:t>
            </w:r>
          </w:p>
        </w:tc>
      </w:tr>
      <w:tr w:rsidR="00113336" w:rsidRPr="0068677C"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677C" w:rsidRDefault="00113336" w:rsidP="009B36BA">
            <w:pPr>
              <w:jc w:val="center"/>
              <w:rPr>
                <w:rFonts w:ascii="Arial" w:hAnsi="Arial" w:cs="Arial"/>
                <w:sz w:val="13"/>
                <w:szCs w:val="13"/>
              </w:rPr>
            </w:pPr>
            <w:r w:rsidRPr="0068677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8677C" w:rsidRDefault="005B2EA9" w:rsidP="009B36BA">
            <w:pPr>
              <w:jc w:val="center"/>
              <w:rPr>
                <w:rFonts w:ascii="Arial" w:hAnsi="Arial" w:cs="Arial"/>
                <w:b/>
                <w:sz w:val="13"/>
                <w:szCs w:val="13"/>
              </w:rPr>
            </w:pPr>
            <w:r w:rsidRPr="0068677C">
              <w:rPr>
                <w:rFonts w:ascii="Arial" w:hAnsi="Arial" w:cs="Arial"/>
                <w:b/>
                <w:sz w:val="13"/>
                <w:szCs w:val="13"/>
              </w:rPr>
              <w:t>H</w:t>
            </w:r>
          </w:p>
          <w:p w:rsidR="00113336" w:rsidRPr="0068677C" w:rsidRDefault="005B2EA9" w:rsidP="009B36BA">
            <w:pPr>
              <w:jc w:val="center"/>
              <w:rPr>
                <w:rFonts w:ascii="Arial" w:hAnsi="Arial" w:cs="Arial"/>
                <w:sz w:val="13"/>
                <w:szCs w:val="13"/>
              </w:rPr>
            </w:pPr>
            <w:r w:rsidRPr="0068677C">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26</w:t>
            </w:r>
          </w:p>
        </w:tc>
      </w:tr>
      <w:tr w:rsidR="00113336" w:rsidRPr="0068677C"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8677C" w:rsidRDefault="00113336" w:rsidP="00113336">
            <w:pPr>
              <w:jc w:val="center"/>
              <w:rPr>
                <w:rFonts w:ascii="Arial" w:hAnsi="Arial" w:cs="Arial"/>
                <w:sz w:val="13"/>
                <w:szCs w:val="13"/>
              </w:rPr>
            </w:pPr>
            <w:r w:rsidRPr="0068677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r w:rsidRPr="0068677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8677C" w:rsidRDefault="005B2EA9" w:rsidP="009B36BA">
            <w:pPr>
              <w:jc w:val="center"/>
              <w:rPr>
                <w:rFonts w:ascii="Arial" w:hAnsi="Arial" w:cs="Arial"/>
                <w:sz w:val="13"/>
                <w:szCs w:val="13"/>
              </w:rPr>
            </w:pPr>
            <w:r w:rsidRPr="0068677C">
              <w:rPr>
                <w:rFonts w:ascii="Arial" w:hAnsi="Arial" w:cs="Arial"/>
                <w:b/>
                <w:sz w:val="13"/>
                <w:szCs w:val="13"/>
              </w:rPr>
              <w:t>CC</w:t>
            </w:r>
          </w:p>
          <w:p w:rsidR="00113336" w:rsidRPr="0068677C" w:rsidRDefault="00113336" w:rsidP="009B36BA">
            <w:pPr>
              <w:jc w:val="center"/>
              <w:rPr>
                <w:rFonts w:ascii="Arial" w:hAnsi="Arial" w:cs="Arial"/>
                <w:sz w:val="13"/>
                <w:szCs w:val="13"/>
              </w:rPr>
            </w:pPr>
            <w:r w:rsidRPr="0068677C">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8677C" w:rsidRDefault="005B2EA9" w:rsidP="009B36BA">
            <w:pPr>
              <w:jc w:val="center"/>
              <w:rPr>
                <w:rFonts w:ascii="Arial" w:hAnsi="Arial" w:cs="Arial"/>
                <w:b/>
                <w:sz w:val="13"/>
                <w:szCs w:val="13"/>
              </w:rPr>
            </w:pPr>
            <w:r w:rsidRPr="0068677C">
              <w:rPr>
                <w:rFonts w:ascii="Arial" w:hAnsi="Arial" w:cs="Arial"/>
                <w:b/>
                <w:sz w:val="13"/>
                <w:szCs w:val="13"/>
              </w:rPr>
              <w:t>H</w:t>
            </w:r>
          </w:p>
          <w:p w:rsidR="00113336" w:rsidRPr="0068677C" w:rsidRDefault="005B2EA9" w:rsidP="009B36BA">
            <w:pPr>
              <w:jc w:val="center"/>
              <w:rPr>
                <w:rFonts w:ascii="Arial" w:hAnsi="Arial" w:cs="Arial"/>
                <w:sz w:val="13"/>
                <w:szCs w:val="13"/>
              </w:rPr>
            </w:pPr>
            <w:r w:rsidRPr="0068677C">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r>
    </w:tbl>
    <w:p w:rsidR="00113336" w:rsidRPr="0068677C" w:rsidRDefault="00113336" w:rsidP="00113336">
      <w:pPr>
        <w:tabs>
          <w:tab w:val="center" w:pos="5220"/>
          <w:tab w:val="right" w:pos="10440"/>
        </w:tabs>
        <w:jc w:val="center"/>
        <w:rPr>
          <w:rFonts w:ascii="Arial" w:hAnsi="Arial" w:cs="Arial"/>
          <w:sz w:val="22"/>
        </w:rPr>
      </w:pPr>
      <w:r w:rsidRPr="0068677C">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68677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MARCH – MARS</w:t>
            </w:r>
          </w:p>
        </w:tc>
      </w:tr>
      <w:tr w:rsidR="00113336" w:rsidRPr="0068677C"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r>
      <w:tr w:rsidR="00113336" w:rsidRPr="0068677C"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68677C" w:rsidRDefault="005B2EA9" w:rsidP="009B36BA">
            <w:pPr>
              <w:jc w:val="center"/>
              <w:rPr>
                <w:rFonts w:ascii="Arial" w:hAnsi="Arial" w:cs="Arial"/>
                <w:b/>
                <w:sz w:val="13"/>
                <w:szCs w:val="13"/>
              </w:rPr>
            </w:pPr>
            <w:r w:rsidRPr="0068677C">
              <w:rPr>
                <w:rFonts w:ascii="Arial" w:hAnsi="Arial" w:cs="Arial"/>
                <w:b/>
                <w:sz w:val="13"/>
                <w:szCs w:val="13"/>
              </w:rPr>
              <w:t>H</w:t>
            </w:r>
          </w:p>
          <w:p w:rsidR="00113336" w:rsidRPr="0068677C" w:rsidRDefault="005B2EA9" w:rsidP="009B36BA">
            <w:pPr>
              <w:jc w:val="center"/>
              <w:rPr>
                <w:rFonts w:ascii="Arial" w:hAnsi="Arial" w:cs="Arial"/>
                <w:sz w:val="13"/>
                <w:szCs w:val="13"/>
              </w:rPr>
            </w:pPr>
            <w:r w:rsidRPr="0068677C">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6</w:t>
            </w:r>
          </w:p>
        </w:tc>
      </w:tr>
      <w:tr w:rsidR="00113336" w:rsidRPr="0068677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68677C" w:rsidRDefault="005B2EA9" w:rsidP="009B36BA">
            <w:pPr>
              <w:jc w:val="center"/>
              <w:rPr>
                <w:rFonts w:ascii="Arial" w:hAnsi="Arial" w:cs="Arial"/>
                <w:b/>
                <w:sz w:val="13"/>
                <w:szCs w:val="13"/>
              </w:rPr>
            </w:pPr>
            <w:r w:rsidRPr="0068677C">
              <w:rPr>
                <w:rFonts w:ascii="Arial" w:hAnsi="Arial" w:cs="Arial"/>
                <w:b/>
                <w:sz w:val="13"/>
                <w:szCs w:val="13"/>
              </w:rPr>
              <w:t>CC</w:t>
            </w:r>
          </w:p>
          <w:p w:rsidR="00113336" w:rsidRPr="0068677C" w:rsidRDefault="005B2EA9" w:rsidP="009B36BA">
            <w:pPr>
              <w:jc w:val="center"/>
              <w:rPr>
                <w:rFonts w:ascii="Arial" w:hAnsi="Arial" w:cs="Arial"/>
                <w:sz w:val="13"/>
                <w:szCs w:val="13"/>
              </w:rPr>
            </w:pPr>
            <w:r w:rsidRPr="0068677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13</w:t>
            </w:r>
          </w:p>
        </w:tc>
      </w:tr>
      <w:tr w:rsidR="00113336" w:rsidRPr="0068677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8677C" w:rsidRDefault="005B2EA9" w:rsidP="009B36BA">
            <w:pPr>
              <w:jc w:val="center"/>
              <w:rPr>
                <w:rFonts w:ascii="Arial" w:hAnsi="Arial" w:cs="Arial"/>
                <w:b/>
                <w:sz w:val="13"/>
                <w:szCs w:val="13"/>
              </w:rPr>
            </w:pPr>
            <w:r w:rsidRPr="0068677C">
              <w:rPr>
                <w:rFonts w:ascii="Arial" w:hAnsi="Arial" w:cs="Arial"/>
                <w:b/>
                <w:sz w:val="13"/>
                <w:szCs w:val="13"/>
              </w:rPr>
              <w:t>CC</w:t>
            </w:r>
          </w:p>
          <w:p w:rsidR="00113336" w:rsidRPr="0068677C" w:rsidRDefault="005B2EA9" w:rsidP="009B36BA">
            <w:pPr>
              <w:jc w:val="center"/>
              <w:rPr>
                <w:rFonts w:ascii="Arial" w:hAnsi="Arial" w:cs="Arial"/>
                <w:sz w:val="13"/>
                <w:szCs w:val="13"/>
              </w:rPr>
            </w:pPr>
            <w:r w:rsidRPr="0068677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8677C" w:rsidRDefault="00D04577" w:rsidP="009B36BA">
            <w:pPr>
              <w:jc w:val="center"/>
              <w:rPr>
                <w:rFonts w:ascii="Arial" w:hAnsi="Arial" w:cs="Arial"/>
                <w:b/>
                <w:sz w:val="13"/>
                <w:szCs w:val="13"/>
              </w:rPr>
            </w:pPr>
            <w:r w:rsidRPr="0068677C">
              <w:rPr>
                <w:rFonts w:ascii="Arial" w:hAnsi="Arial" w:cs="Arial"/>
                <w:b/>
                <w:sz w:val="13"/>
                <w:szCs w:val="13"/>
              </w:rPr>
              <w:t>CC</w:t>
            </w:r>
          </w:p>
          <w:p w:rsidR="00113336" w:rsidRPr="0068677C" w:rsidRDefault="00D04577" w:rsidP="009B36BA">
            <w:pPr>
              <w:jc w:val="center"/>
              <w:rPr>
                <w:rFonts w:ascii="Arial" w:hAnsi="Arial" w:cs="Arial"/>
                <w:sz w:val="13"/>
                <w:szCs w:val="13"/>
              </w:rPr>
            </w:pPr>
            <w:r w:rsidRPr="0068677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20</w:t>
            </w:r>
          </w:p>
        </w:tc>
      </w:tr>
      <w:tr w:rsidR="00113336" w:rsidRPr="0068677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27</w:t>
            </w:r>
          </w:p>
        </w:tc>
      </w:tr>
      <w:tr w:rsidR="00113336" w:rsidRPr="0068677C"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68677C" w:rsidRDefault="005B2EA9" w:rsidP="005B2EA9">
            <w:pPr>
              <w:rPr>
                <w:rFonts w:ascii="Arial" w:hAnsi="Arial" w:cs="Arial"/>
                <w:sz w:val="13"/>
                <w:szCs w:val="13"/>
              </w:rPr>
            </w:pPr>
            <w:r w:rsidRPr="0068677C">
              <w:rPr>
                <w:rFonts w:ascii="Arial" w:hAnsi="Arial" w:cs="Arial"/>
                <w:sz w:val="13"/>
                <w:szCs w:val="13"/>
              </w:rPr>
              <w:t xml:space="preserve">24 </w:t>
            </w:r>
            <w:r w:rsidRPr="0068677C">
              <w:rPr>
                <w:rFonts w:ascii="Arial" w:hAnsi="Arial" w:cs="Arial"/>
                <w:sz w:val="13"/>
                <w:szCs w:val="13"/>
                <w:lang w:val="en-US"/>
              </w:rPr>
              <w:t>/</w:t>
            </w:r>
          </w:p>
          <w:p w:rsidR="00113336" w:rsidRPr="0068677C" w:rsidRDefault="005B2EA9" w:rsidP="005B2EA9">
            <w:pPr>
              <w:jc w:val="center"/>
              <w:rPr>
                <w:rFonts w:ascii="Arial" w:hAnsi="Arial" w:cs="Arial"/>
                <w:sz w:val="13"/>
                <w:szCs w:val="13"/>
              </w:rPr>
            </w:pPr>
            <w:r w:rsidRPr="0068677C">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677C" w:rsidRDefault="005B2EA9" w:rsidP="009B36BA">
            <w:pPr>
              <w:jc w:val="center"/>
              <w:rPr>
                <w:rFonts w:ascii="Arial" w:hAnsi="Arial" w:cs="Arial"/>
                <w:sz w:val="13"/>
                <w:szCs w:val="13"/>
              </w:rPr>
            </w:pPr>
            <w:r w:rsidRPr="0068677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r>
      <w:tr w:rsidR="00113336" w:rsidRPr="0068677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JUNE – JUIN</w:t>
            </w:r>
          </w:p>
        </w:tc>
      </w:tr>
      <w:tr w:rsidR="00113336" w:rsidRPr="0068677C"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r>
      <w:tr w:rsidR="00113336" w:rsidRPr="0068677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8677C" w:rsidRDefault="00D04577" w:rsidP="009B36BA">
            <w:pPr>
              <w:jc w:val="center"/>
              <w:rPr>
                <w:rFonts w:ascii="Arial" w:hAnsi="Arial" w:cs="Arial"/>
                <w:b/>
                <w:sz w:val="13"/>
                <w:szCs w:val="13"/>
              </w:rPr>
            </w:pPr>
            <w:r w:rsidRPr="0068677C">
              <w:rPr>
                <w:rFonts w:ascii="Arial" w:hAnsi="Arial" w:cs="Arial"/>
                <w:b/>
                <w:sz w:val="13"/>
                <w:szCs w:val="13"/>
              </w:rPr>
              <w:t>H</w:t>
            </w:r>
          </w:p>
          <w:p w:rsidR="00113336" w:rsidRPr="0068677C" w:rsidRDefault="00D04577" w:rsidP="009B36BA">
            <w:pPr>
              <w:jc w:val="center"/>
              <w:rPr>
                <w:rFonts w:ascii="Arial" w:hAnsi="Arial" w:cs="Arial"/>
                <w:sz w:val="13"/>
                <w:szCs w:val="13"/>
              </w:rPr>
            </w:pPr>
            <w:r w:rsidRPr="0068677C">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5</w:t>
            </w:r>
          </w:p>
        </w:tc>
      </w:tr>
      <w:tr w:rsidR="00113336" w:rsidRPr="0068677C"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8677C" w:rsidRDefault="00D04577" w:rsidP="009B36BA">
            <w:pPr>
              <w:jc w:val="center"/>
              <w:rPr>
                <w:rFonts w:ascii="Arial" w:hAnsi="Arial" w:cs="Arial"/>
                <w:b/>
                <w:sz w:val="13"/>
                <w:szCs w:val="13"/>
              </w:rPr>
            </w:pPr>
            <w:r w:rsidRPr="0068677C">
              <w:rPr>
                <w:rFonts w:ascii="Arial" w:hAnsi="Arial" w:cs="Arial"/>
                <w:b/>
                <w:sz w:val="13"/>
                <w:szCs w:val="13"/>
              </w:rPr>
              <w:t>H</w:t>
            </w:r>
          </w:p>
          <w:p w:rsidR="00113336" w:rsidRPr="0068677C" w:rsidRDefault="00D04577" w:rsidP="009B36BA">
            <w:pPr>
              <w:jc w:val="center"/>
              <w:rPr>
                <w:rFonts w:ascii="Arial" w:hAnsi="Arial" w:cs="Arial"/>
                <w:sz w:val="13"/>
                <w:szCs w:val="13"/>
              </w:rPr>
            </w:pPr>
            <w:r w:rsidRPr="0068677C">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8677C" w:rsidRDefault="00D04577" w:rsidP="009B36BA">
            <w:pPr>
              <w:jc w:val="center"/>
              <w:rPr>
                <w:rFonts w:ascii="Arial" w:hAnsi="Arial" w:cs="Arial"/>
                <w:b/>
                <w:sz w:val="13"/>
                <w:szCs w:val="13"/>
              </w:rPr>
            </w:pPr>
            <w:r w:rsidRPr="0068677C">
              <w:rPr>
                <w:rFonts w:ascii="Arial" w:hAnsi="Arial" w:cs="Arial"/>
                <w:b/>
                <w:sz w:val="13"/>
                <w:szCs w:val="13"/>
              </w:rPr>
              <w:t>CC</w:t>
            </w:r>
          </w:p>
          <w:p w:rsidR="00113336" w:rsidRPr="0068677C" w:rsidRDefault="00D04577" w:rsidP="009B36BA">
            <w:pPr>
              <w:jc w:val="center"/>
              <w:rPr>
                <w:rFonts w:ascii="Arial" w:hAnsi="Arial" w:cs="Arial"/>
                <w:sz w:val="13"/>
                <w:szCs w:val="13"/>
              </w:rPr>
            </w:pPr>
            <w:r w:rsidRPr="0068677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12</w:t>
            </w:r>
          </w:p>
        </w:tc>
      </w:tr>
      <w:tr w:rsidR="00113336" w:rsidRPr="0068677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8677C" w:rsidRDefault="00D04577" w:rsidP="009B36BA">
            <w:pPr>
              <w:jc w:val="center"/>
              <w:rPr>
                <w:rFonts w:ascii="Arial" w:hAnsi="Arial" w:cs="Arial"/>
                <w:b/>
                <w:sz w:val="13"/>
                <w:szCs w:val="13"/>
              </w:rPr>
            </w:pPr>
            <w:r w:rsidRPr="0068677C">
              <w:rPr>
                <w:rFonts w:ascii="Arial" w:hAnsi="Arial" w:cs="Arial"/>
                <w:b/>
                <w:sz w:val="13"/>
                <w:szCs w:val="13"/>
              </w:rPr>
              <w:t>CC</w:t>
            </w:r>
          </w:p>
          <w:p w:rsidR="00113336" w:rsidRPr="0068677C" w:rsidRDefault="00D04577" w:rsidP="009B36BA">
            <w:pPr>
              <w:jc w:val="center"/>
              <w:rPr>
                <w:rFonts w:ascii="Arial" w:hAnsi="Arial" w:cs="Arial"/>
                <w:sz w:val="13"/>
                <w:szCs w:val="13"/>
              </w:rPr>
            </w:pPr>
            <w:r w:rsidRPr="0068677C">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68677C" w:rsidRDefault="00D04577" w:rsidP="009B36BA">
            <w:pPr>
              <w:jc w:val="center"/>
              <w:rPr>
                <w:rFonts w:ascii="Arial" w:hAnsi="Arial" w:cs="Arial"/>
                <w:b/>
                <w:sz w:val="13"/>
                <w:szCs w:val="13"/>
              </w:rPr>
            </w:pPr>
            <w:r w:rsidRPr="0068677C">
              <w:rPr>
                <w:rFonts w:ascii="Arial" w:hAnsi="Arial" w:cs="Arial"/>
                <w:b/>
                <w:sz w:val="13"/>
                <w:szCs w:val="13"/>
              </w:rPr>
              <w:t>CC</w:t>
            </w:r>
          </w:p>
          <w:p w:rsidR="00113336" w:rsidRPr="0068677C" w:rsidRDefault="00D04577" w:rsidP="009B36BA">
            <w:pPr>
              <w:jc w:val="center"/>
              <w:rPr>
                <w:rFonts w:ascii="Arial" w:hAnsi="Arial" w:cs="Arial"/>
                <w:sz w:val="13"/>
                <w:szCs w:val="13"/>
              </w:rPr>
            </w:pPr>
            <w:r w:rsidRPr="0068677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19</w:t>
            </w:r>
          </w:p>
        </w:tc>
      </w:tr>
      <w:tr w:rsidR="00113336" w:rsidRPr="0068677C"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26</w:t>
            </w:r>
          </w:p>
        </w:tc>
      </w:tr>
      <w:tr w:rsidR="00113336" w:rsidRPr="0068677C"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b/>
                <w:sz w:val="13"/>
                <w:szCs w:val="13"/>
              </w:rPr>
            </w:pPr>
            <w:r w:rsidRPr="0068677C">
              <w:rPr>
                <w:rFonts w:ascii="Arial" w:hAnsi="Arial" w:cs="Arial"/>
                <w:b/>
                <w:sz w:val="13"/>
                <w:szCs w:val="13"/>
              </w:rPr>
              <w:t>H</w:t>
            </w:r>
          </w:p>
          <w:p w:rsidR="00113336" w:rsidRPr="0068677C" w:rsidRDefault="00D04577" w:rsidP="00D04577">
            <w:pPr>
              <w:jc w:val="center"/>
              <w:rPr>
                <w:rFonts w:ascii="Arial" w:hAnsi="Arial" w:cs="Arial"/>
                <w:sz w:val="13"/>
                <w:szCs w:val="13"/>
              </w:rPr>
            </w:pPr>
            <w:r w:rsidRPr="0068677C">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8677C" w:rsidRDefault="00D04577" w:rsidP="00D04577">
            <w:pPr>
              <w:jc w:val="center"/>
              <w:rPr>
                <w:rFonts w:ascii="Arial" w:hAnsi="Arial" w:cs="Arial"/>
                <w:sz w:val="13"/>
                <w:szCs w:val="13"/>
              </w:rPr>
            </w:pPr>
            <w:r w:rsidRPr="0068677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D04577" w:rsidP="009B36BA">
            <w:pPr>
              <w:jc w:val="center"/>
              <w:rPr>
                <w:rFonts w:ascii="Arial" w:hAnsi="Arial" w:cs="Arial"/>
                <w:sz w:val="13"/>
                <w:szCs w:val="13"/>
              </w:rPr>
            </w:pPr>
            <w:r w:rsidRPr="0068677C">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r>
      <w:tr w:rsidR="00D04577" w:rsidRPr="0068677C"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8677C"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r w:rsidRPr="0068677C">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r w:rsidRPr="0068677C">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8677C"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8677C"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8677C" w:rsidRDefault="00D04577" w:rsidP="009B36BA">
            <w:pPr>
              <w:jc w:val="center"/>
              <w:rPr>
                <w:rFonts w:ascii="Arial" w:hAnsi="Arial" w:cs="Arial"/>
                <w:sz w:val="13"/>
                <w:szCs w:val="13"/>
              </w:rPr>
            </w:pPr>
          </w:p>
        </w:tc>
      </w:tr>
      <w:tr w:rsidR="00113336" w:rsidRPr="0068677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SEPTEMBER – SEPTEMBRE</w:t>
            </w:r>
          </w:p>
        </w:tc>
      </w:tr>
      <w:tr w:rsidR="00113336" w:rsidRPr="0068677C"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6"/>
                <w:szCs w:val="16"/>
              </w:rPr>
            </w:pPr>
            <w:r w:rsidRPr="0068677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8677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W</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T</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F</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p w:rsidR="00113336" w:rsidRPr="0068677C" w:rsidRDefault="00113336" w:rsidP="009B36BA">
            <w:pPr>
              <w:tabs>
                <w:tab w:val="center" w:pos="5220"/>
                <w:tab w:val="right" w:pos="10440"/>
              </w:tabs>
              <w:jc w:val="center"/>
              <w:rPr>
                <w:rFonts w:ascii="Arial" w:hAnsi="Arial" w:cs="Arial"/>
                <w:b/>
                <w:sz w:val="13"/>
                <w:szCs w:val="13"/>
              </w:rPr>
            </w:pPr>
            <w:r w:rsidRPr="0068677C">
              <w:rPr>
                <w:rFonts w:ascii="Arial" w:hAnsi="Arial" w:cs="Arial"/>
                <w:b/>
                <w:sz w:val="13"/>
                <w:szCs w:val="13"/>
              </w:rPr>
              <w:t>S</w:t>
            </w:r>
          </w:p>
        </w:tc>
      </w:tr>
      <w:tr w:rsidR="00113336" w:rsidRPr="0068677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677C" w:rsidRDefault="00A067B5" w:rsidP="009B36BA">
            <w:pPr>
              <w:jc w:val="center"/>
              <w:rPr>
                <w:rFonts w:ascii="Arial" w:hAnsi="Arial" w:cs="Arial"/>
                <w:b/>
                <w:sz w:val="13"/>
                <w:szCs w:val="13"/>
              </w:rPr>
            </w:pPr>
            <w:r w:rsidRPr="0068677C">
              <w:rPr>
                <w:rFonts w:ascii="Arial" w:hAnsi="Arial" w:cs="Arial"/>
                <w:b/>
                <w:sz w:val="13"/>
                <w:szCs w:val="13"/>
              </w:rPr>
              <w:t>H</w:t>
            </w:r>
          </w:p>
          <w:p w:rsidR="00113336" w:rsidRPr="0068677C" w:rsidRDefault="00A067B5" w:rsidP="009B36BA">
            <w:pPr>
              <w:jc w:val="center"/>
              <w:rPr>
                <w:rFonts w:ascii="Arial" w:hAnsi="Arial" w:cs="Arial"/>
                <w:sz w:val="13"/>
                <w:szCs w:val="13"/>
              </w:rPr>
            </w:pPr>
            <w:r w:rsidRPr="0068677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677C" w:rsidRDefault="00A067B5" w:rsidP="009B36BA">
            <w:pPr>
              <w:jc w:val="center"/>
              <w:rPr>
                <w:rFonts w:ascii="Arial" w:hAnsi="Arial" w:cs="Arial"/>
                <w:b/>
                <w:sz w:val="13"/>
                <w:szCs w:val="13"/>
              </w:rPr>
            </w:pPr>
            <w:r w:rsidRPr="0068677C">
              <w:rPr>
                <w:rFonts w:ascii="Arial" w:hAnsi="Arial" w:cs="Arial"/>
                <w:b/>
                <w:sz w:val="13"/>
                <w:szCs w:val="13"/>
              </w:rPr>
              <w:t>H</w:t>
            </w:r>
          </w:p>
          <w:p w:rsidR="00113336" w:rsidRPr="0068677C" w:rsidRDefault="00A067B5" w:rsidP="009B36BA">
            <w:pPr>
              <w:jc w:val="center"/>
              <w:rPr>
                <w:rFonts w:ascii="Arial" w:hAnsi="Arial" w:cs="Arial"/>
                <w:sz w:val="13"/>
                <w:szCs w:val="13"/>
              </w:rPr>
            </w:pPr>
            <w:r w:rsidRPr="0068677C">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4</w:t>
            </w:r>
          </w:p>
        </w:tc>
      </w:tr>
      <w:tr w:rsidR="00113336" w:rsidRPr="0068677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68677C" w:rsidRDefault="00A067B5" w:rsidP="009B36BA">
            <w:pPr>
              <w:jc w:val="center"/>
              <w:rPr>
                <w:rFonts w:ascii="Arial" w:hAnsi="Arial" w:cs="Arial"/>
                <w:b/>
                <w:sz w:val="13"/>
                <w:szCs w:val="13"/>
              </w:rPr>
            </w:pPr>
            <w:r w:rsidRPr="0068677C">
              <w:rPr>
                <w:rFonts w:ascii="Arial" w:hAnsi="Arial" w:cs="Arial"/>
                <w:b/>
                <w:sz w:val="13"/>
                <w:szCs w:val="13"/>
              </w:rPr>
              <w:t>H</w:t>
            </w:r>
          </w:p>
          <w:p w:rsidR="00113336" w:rsidRPr="0068677C" w:rsidRDefault="00A067B5" w:rsidP="009B36BA">
            <w:pPr>
              <w:jc w:val="center"/>
              <w:rPr>
                <w:rFonts w:ascii="Arial" w:hAnsi="Arial" w:cs="Arial"/>
                <w:sz w:val="13"/>
                <w:szCs w:val="13"/>
              </w:rPr>
            </w:pPr>
            <w:r w:rsidRPr="0068677C">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677C" w:rsidRDefault="00A067B5" w:rsidP="009B36BA">
            <w:pPr>
              <w:jc w:val="center"/>
              <w:rPr>
                <w:rFonts w:ascii="Arial" w:hAnsi="Arial" w:cs="Arial"/>
                <w:b/>
                <w:sz w:val="13"/>
                <w:szCs w:val="13"/>
              </w:rPr>
            </w:pPr>
            <w:r w:rsidRPr="0068677C">
              <w:rPr>
                <w:rFonts w:ascii="Arial" w:hAnsi="Arial" w:cs="Arial"/>
                <w:b/>
                <w:sz w:val="13"/>
                <w:szCs w:val="13"/>
              </w:rPr>
              <w:t>RH</w:t>
            </w:r>
          </w:p>
          <w:p w:rsidR="00113336" w:rsidRPr="0068677C" w:rsidRDefault="00A067B5" w:rsidP="009B36BA">
            <w:pPr>
              <w:jc w:val="center"/>
              <w:rPr>
                <w:rFonts w:ascii="Arial" w:hAnsi="Arial" w:cs="Arial"/>
                <w:sz w:val="13"/>
                <w:szCs w:val="13"/>
              </w:rPr>
            </w:pPr>
            <w:r w:rsidRPr="0068677C">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677C" w:rsidRDefault="00A067B5" w:rsidP="009B36BA">
            <w:pPr>
              <w:jc w:val="center"/>
              <w:rPr>
                <w:rFonts w:ascii="Arial" w:hAnsi="Arial" w:cs="Arial"/>
                <w:b/>
                <w:sz w:val="13"/>
                <w:szCs w:val="13"/>
              </w:rPr>
            </w:pPr>
            <w:r w:rsidRPr="0068677C">
              <w:rPr>
                <w:rFonts w:ascii="Arial" w:hAnsi="Arial" w:cs="Arial"/>
                <w:b/>
                <w:sz w:val="13"/>
                <w:szCs w:val="13"/>
              </w:rPr>
              <w:t>RH</w:t>
            </w:r>
          </w:p>
          <w:p w:rsidR="00113336" w:rsidRPr="0068677C" w:rsidRDefault="00A067B5" w:rsidP="009B36BA">
            <w:pPr>
              <w:jc w:val="center"/>
              <w:rPr>
                <w:rFonts w:ascii="Arial" w:hAnsi="Arial" w:cs="Arial"/>
                <w:sz w:val="13"/>
                <w:szCs w:val="13"/>
              </w:rPr>
            </w:pPr>
            <w:r w:rsidRPr="0068677C">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11</w:t>
            </w:r>
          </w:p>
        </w:tc>
      </w:tr>
      <w:tr w:rsidR="00113336" w:rsidRPr="0068677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8677C" w:rsidRDefault="00A067B5" w:rsidP="009B36BA">
            <w:pPr>
              <w:jc w:val="center"/>
              <w:rPr>
                <w:rFonts w:ascii="Arial" w:hAnsi="Arial" w:cs="Arial"/>
                <w:b/>
                <w:sz w:val="13"/>
                <w:szCs w:val="13"/>
              </w:rPr>
            </w:pPr>
            <w:r w:rsidRPr="0068677C">
              <w:rPr>
                <w:rFonts w:ascii="Arial" w:hAnsi="Arial" w:cs="Arial"/>
                <w:b/>
                <w:sz w:val="13"/>
                <w:szCs w:val="13"/>
              </w:rPr>
              <w:t>YK</w:t>
            </w:r>
          </w:p>
          <w:p w:rsidR="00113336" w:rsidRPr="0068677C" w:rsidRDefault="00A067B5" w:rsidP="009B36BA">
            <w:pPr>
              <w:jc w:val="center"/>
              <w:rPr>
                <w:rFonts w:ascii="Arial" w:hAnsi="Arial" w:cs="Arial"/>
                <w:sz w:val="13"/>
                <w:szCs w:val="13"/>
              </w:rPr>
            </w:pPr>
            <w:r w:rsidRPr="0068677C">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18</w:t>
            </w:r>
          </w:p>
        </w:tc>
      </w:tr>
      <w:tr w:rsidR="00113336" w:rsidRPr="0068677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25</w:t>
            </w:r>
          </w:p>
        </w:tc>
      </w:tr>
      <w:tr w:rsidR="00113336" w:rsidRPr="0068677C"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677C" w:rsidRDefault="00A067B5" w:rsidP="00A067B5">
            <w:pPr>
              <w:jc w:val="center"/>
              <w:rPr>
                <w:rFonts w:ascii="Arial" w:hAnsi="Arial" w:cs="Arial"/>
                <w:sz w:val="13"/>
                <w:szCs w:val="13"/>
              </w:rPr>
            </w:pPr>
            <w:r w:rsidRPr="0068677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A067B5">
            <w:pPr>
              <w:jc w:val="center"/>
              <w:rPr>
                <w:rFonts w:ascii="Arial" w:hAnsi="Arial" w:cs="Arial"/>
                <w:sz w:val="13"/>
                <w:szCs w:val="13"/>
              </w:rPr>
            </w:pPr>
            <w:r w:rsidRPr="0068677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A067B5">
            <w:pPr>
              <w:jc w:val="center"/>
              <w:rPr>
                <w:rFonts w:ascii="Arial" w:hAnsi="Arial" w:cs="Arial"/>
                <w:sz w:val="13"/>
                <w:szCs w:val="13"/>
              </w:rPr>
            </w:pPr>
            <w:r w:rsidRPr="0068677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677C"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8677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A067B5" w:rsidP="009B36BA">
            <w:pPr>
              <w:jc w:val="center"/>
              <w:rPr>
                <w:rFonts w:ascii="Arial" w:hAnsi="Arial" w:cs="Arial"/>
                <w:sz w:val="13"/>
                <w:szCs w:val="13"/>
              </w:rPr>
            </w:pPr>
            <w:r w:rsidRPr="0068677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8677C" w:rsidRDefault="00113336" w:rsidP="009B36BA">
            <w:pPr>
              <w:jc w:val="center"/>
              <w:rPr>
                <w:rFonts w:ascii="Arial" w:hAnsi="Arial" w:cs="Arial"/>
                <w:sz w:val="13"/>
                <w:szCs w:val="13"/>
              </w:rPr>
            </w:pPr>
          </w:p>
        </w:tc>
      </w:tr>
    </w:tbl>
    <w:p w:rsidR="00113336" w:rsidRPr="0068677C"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68677C" w:rsidTr="00B4618C">
        <w:trPr>
          <w:trHeight w:val="445"/>
        </w:trPr>
        <w:tc>
          <w:tcPr>
            <w:tcW w:w="1890" w:type="dxa"/>
            <w:tcBorders>
              <w:top w:val="nil"/>
              <w:left w:val="nil"/>
              <w:bottom w:val="nil"/>
              <w:right w:val="single" w:sz="4" w:space="0" w:color="000000" w:themeColor="text1"/>
            </w:tcBorders>
            <w:vAlign w:val="center"/>
            <w:hideMark/>
          </w:tcPr>
          <w:p w:rsidR="00113336" w:rsidRPr="0068677C" w:rsidRDefault="00113336" w:rsidP="009B36BA">
            <w:pPr>
              <w:rPr>
                <w:rFonts w:ascii="Arial" w:hAnsi="Arial" w:cs="Arial"/>
                <w:b/>
                <w:sz w:val="13"/>
                <w:szCs w:val="13"/>
              </w:rPr>
            </w:pPr>
            <w:r w:rsidRPr="0068677C">
              <w:rPr>
                <w:rFonts w:ascii="Arial" w:hAnsi="Arial" w:cs="Arial"/>
                <w:b/>
                <w:sz w:val="13"/>
                <w:szCs w:val="13"/>
              </w:rPr>
              <w:t>Sitting of the Court /</w:t>
            </w:r>
          </w:p>
          <w:p w:rsidR="00113336" w:rsidRPr="0068677C" w:rsidRDefault="00113336" w:rsidP="009B36BA">
            <w:pPr>
              <w:rPr>
                <w:rFonts w:ascii="Arial" w:hAnsi="Arial" w:cs="Arial"/>
                <w:b/>
                <w:sz w:val="13"/>
                <w:szCs w:val="13"/>
              </w:rPr>
            </w:pPr>
            <w:r w:rsidRPr="0068677C">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68677C"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68677C" w:rsidRDefault="00113336" w:rsidP="009B36BA">
            <w:pPr>
              <w:tabs>
                <w:tab w:val="left" w:pos="203"/>
              </w:tabs>
              <w:spacing w:after="120"/>
              <w:rPr>
                <w:rFonts w:ascii="Arial" w:hAnsi="Arial" w:cs="Arial"/>
                <w:b/>
                <w:sz w:val="13"/>
                <w:szCs w:val="13"/>
                <w:lang w:val="fr-CA"/>
              </w:rPr>
            </w:pPr>
            <w:r w:rsidRPr="0068677C">
              <w:rPr>
                <w:rFonts w:ascii="Arial" w:hAnsi="Arial" w:cs="Arial"/>
                <w:b/>
                <w:sz w:val="13"/>
                <w:szCs w:val="13"/>
                <w:lang w:val="fr-CA"/>
              </w:rPr>
              <w:t>18</w:t>
            </w:r>
            <w:r w:rsidRPr="0068677C">
              <w:rPr>
                <w:rFonts w:ascii="Arial" w:hAnsi="Arial" w:cs="Arial"/>
                <w:b/>
                <w:sz w:val="13"/>
                <w:szCs w:val="13"/>
                <w:lang w:val="fr-CA"/>
              </w:rPr>
              <w:tab/>
              <w:t xml:space="preserve"> sitting weeks / semaines séances de la Cour</w:t>
            </w:r>
          </w:p>
          <w:p w:rsidR="00113336" w:rsidRPr="0068677C" w:rsidRDefault="00113336" w:rsidP="00B4618C">
            <w:pPr>
              <w:tabs>
                <w:tab w:val="left" w:pos="203"/>
              </w:tabs>
              <w:rPr>
                <w:rFonts w:ascii="Arial" w:hAnsi="Arial" w:cs="Arial"/>
                <w:b/>
                <w:sz w:val="13"/>
                <w:szCs w:val="13"/>
                <w:lang w:val="fr-CA"/>
              </w:rPr>
            </w:pPr>
            <w:r w:rsidRPr="0068677C">
              <w:rPr>
                <w:rFonts w:ascii="Arial" w:hAnsi="Arial" w:cs="Arial"/>
                <w:b/>
                <w:sz w:val="13"/>
                <w:szCs w:val="13"/>
                <w:lang w:val="fr-CA"/>
              </w:rPr>
              <w:t>8</w:t>
            </w:r>
            <w:r w:rsidR="00B4618C" w:rsidRPr="0068677C">
              <w:rPr>
                <w:rFonts w:ascii="Arial" w:hAnsi="Arial" w:cs="Arial"/>
                <w:b/>
                <w:sz w:val="13"/>
                <w:szCs w:val="13"/>
                <w:lang w:val="fr-CA"/>
              </w:rPr>
              <w:t>8</w:t>
            </w:r>
            <w:r w:rsidRPr="0068677C">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68677C" w:rsidRDefault="00113336" w:rsidP="009B36BA">
            <w:pPr>
              <w:spacing w:after="120"/>
              <w:rPr>
                <w:rFonts w:ascii="Arial" w:hAnsi="Arial" w:cs="Arial"/>
                <w:b/>
                <w:sz w:val="13"/>
                <w:szCs w:val="13"/>
                <w:lang w:val="fr-FR"/>
              </w:rPr>
            </w:pPr>
            <w:r w:rsidRPr="0068677C">
              <w:rPr>
                <w:rFonts w:ascii="Arial" w:hAnsi="Arial" w:cs="Arial"/>
                <w:b/>
                <w:sz w:val="13"/>
                <w:szCs w:val="13"/>
                <w:lang w:val="fr-FR"/>
              </w:rPr>
              <w:t>Rosh Hashanah / Nouvel An juif</w:t>
            </w:r>
          </w:p>
          <w:p w:rsidR="00113336" w:rsidRPr="0068677C" w:rsidRDefault="00113336" w:rsidP="00B4618C">
            <w:pPr>
              <w:rPr>
                <w:rFonts w:ascii="Arial" w:hAnsi="Arial" w:cs="Arial"/>
                <w:b/>
                <w:sz w:val="13"/>
                <w:szCs w:val="13"/>
                <w:lang w:val="fr-CA"/>
              </w:rPr>
            </w:pPr>
            <w:r w:rsidRPr="0068677C">
              <w:rPr>
                <w:rFonts w:ascii="Arial" w:hAnsi="Arial" w:cs="Arial"/>
                <w:b/>
                <w:sz w:val="13"/>
                <w:szCs w:val="13"/>
                <w:lang w:val="fr-FR"/>
              </w:rPr>
              <w:t>Yom Kippur / Yom Kippour</w:t>
            </w:r>
          </w:p>
        </w:tc>
        <w:tc>
          <w:tcPr>
            <w:tcW w:w="567" w:type="dxa"/>
            <w:hideMark/>
          </w:tcPr>
          <w:p w:rsidR="00113336" w:rsidRPr="0068677C" w:rsidRDefault="00113336" w:rsidP="009B36BA">
            <w:pPr>
              <w:spacing w:after="120"/>
              <w:jc w:val="center"/>
              <w:rPr>
                <w:rFonts w:ascii="Arial" w:hAnsi="Arial" w:cs="Arial"/>
                <w:b/>
                <w:sz w:val="13"/>
                <w:szCs w:val="13"/>
                <w:lang w:val="fr-CA"/>
              </w:rPr>
            </w:pPr>
            <w:r w:rsidRPr="0068677C">
              <w:rPr>
                <w:rFonts w:ascii="Arial" w:hAnsi="Arial" w:cs="Arial"/>
                <w:b/>
                <w:sz w:val="13"/>
                <w:szCs w:val="13"/>
                <w:lang w:val="fr-CA"/>
              </w:rPr>
              <w:t>RH</w:t>
            </w:r>
          </w:p>
          <w:p w:rsidR="00113336" w:rsidRPr="0068677C" w:rsidRDefault="00113336" w:rsidP="009B36BA">
            <w:pPr>
              <w:jc w:val="center"/>
              <w:rPr>
                <w:rFonts w:ascii="Arial" w:hAnsi="Arial" w:cs="Arial"/>
                <w:b/>
                <w:sz w:val="13"/>
                <w:szCs w:val="13"/>
                <w:lang w:val="fr-CA"/>
              </w:rPr>
            </w:pPr>
            <w:r w:rsidRPr="0068677C">
              <w:rPr>
                <w:rFonts w:ascii="Arial" w:hAnsi="Arial" w:cs="Arial"/>
                <w:b/>
                <w:sz w:val="13"/>
                <w:szCs w:val="13"/>
                <w:lang w:val="fr-CA"/>
              </w:rPr>
              <w:t>YK</w:t>
            </w:r>
          </w:p>
        </w:tc>
      </w:tr>
      <w:tr w:rsidR="00113336" w:rsidRPr="00D800B2" w:rsidTr="00B4618C">
        <w:trPr>
          <w:trHeight w:val="390"/>
        </w:trPr>
        <w:tc>
          <w:tcPr>
            <w:tcW w:w="1890" w:type="dxa"/>
            <w:tcBorders>
              <w:top w:val="nil"/>
              <w:left w:val="nil"/>
              <w:bottom w:val="nil"/>
              <w:right w:val="double" w:sz="4" w:space="0" w:color="auto"/>
            </w:tcBorders>
            <w:vAlign w:val="center"/>
            <w:hideMark/>
          </w:tcPr>
          <w:p w:rsidR="00113336" w:rsidRPr="0068677C" w:rsidRDefault="00113336" w:rsidP="009B36BA">
            <w:pPr>
              <w:spacing w:before="60"/>
              <w:rPr>
                <w:rFonts w:ascii="Arial" w:hAnsi="Arial" w:cs="Arial"/>
                <w:b/>
                <w:sz w:val="13"/>
                <w:szCs w:val="13"/>
                <w:lang w:val="fr-CA"/>
              </w:rPr>
            </w:pPr>
            <w:r w:rsidRPr="0068677C">
              <w:rPr>
                <w:rFonts w:ascii="Arial" w:hAnsi="Arial" w:cs="Arial"/>
                <w:b/>
                <w:sz w:val="13"/>
                <w:szCs w:val="13"/>
                <w:lang w:val="fr-CA"/>
              </w:rPr>
              <w:t>Court conference /</w:t>
            </w:r>
          </w:p>
          <w:p w:rsidR="00113336" w:rsidRPr="0068677C" w:rsidRDefault="00113336" w:rsidP="009B36BA">
            <w:pPr>
              <w:rPr>
                <w:rFonts w:ascii="Arial" w:hAnsi="Arial" w:cs="Arial"/>
                <w:b/>
                <w:sz w:val="13"/>
                <w:szCs w:val="13"/>
                <w:lang w:val="fr-CA"/>
              </w:rPr>
            </w:pPr>
            <w:r w:rsidRPr="0068677C">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68677C" w:rsidRDefault="00113336" w:rsidP="009B36BA">
            <w:pPr>
              <w:jc w:val="center"/>
              <w:rPr>
                <w:rFonts w:ascii="Arial" w:hAnsi="Arial" w:cs="Arial"/>
                <w:b/>
                <w:sz w:val="13"/>
                <w:szCs w:val="13"/>
                <w:lang w:val="fr-FR"/>
              </w:rPr>
            </w:pPr>
            <w:r w:rsidRPr="0068677C">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68677C" w:rsidRDefault="00113336" w:rsidP="009B36BA">
            <w:pPr>
              <w:tabs>
                <w:tab w:val="left" w:pos="203"/>
              </w:tabs>
              <w:spacing w:before="120"/>
              <w:rPr>
                <w:rFonts w:ascii="Arial" w:hAnsi="Arial" w:cs="Arial"/>
                <w:b/>
                <w:sz w:val="13"/>
                <w:szCs w:val="13"/>
                <w:lang w:val="fr-CA"/>
              </w:rPr>
            </w:pPr>
            <w:r w:rsidRPr="0068677C">
              <w:rPr>
                <w:rFonts w:ascii="Arial" w:hAnsi="Arial" w:cs="Arial"/>
                <w:b/>
                <w:sz w:val="13"/>
                <w:szCs w:val="13"/>
                <w:lang w:val="fr-CA"/>
              </w:rPr>
              <w:t>9</w:t>
            </w:r>
            <w:r w:rsidRPr="0068677C">
              <w:rPr>
                <w:rFonts w:ascii="Arial" w:hAnsi="Arial" w:cs="Arial"/>
                <w:b/>
                <w:sz w:val="13"/>
                <w:szCs w:val="13"/>
                <w:lang w:val="fr-CA"/>
              </w:rPr>
              <w:tab/>
              <w:t>Court conference days /</w:t>
            </w:r>
          </w:p>
          <w:p w:rsidR="00113336" w:rsidRPr="0068677C" w:rsidRDefault="00113336" w:rsidP="00B4618C">
            <w:pPr>
              <w:tabs>
                <w:tab w:val="left" w:pos="203"/>
              </w:tabs>
              <w:rPr>
                <w:rFonts w:ascii="Arial" w:hAnsi="Arial" w:cs="Arial"/>
                <w:b/>
                <w:sz w:val="13"/>
                <w:szCs w:val="13"/>
                <w:lang w:val="fr-CA"/>
              </w:rPr>
            </w:pPr>
            <w:r w:rsidRPr="0068677C">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68677C" w:rsidRDefault="00113336" w:rsidP="009B36BA">
            <w:pPr>
              <w:rPr>
                <w:rFonts w:ascii="Arial" w:hAnsi="Arial" w:cs="Arial"/>
                <w:b/>
                <w:sz w:val="13"/>
                <w:szCs w:val="13"/>
                <w:lang w:val="fr-CA"/>
              </w:rPr>
            </w:pPr>
          </w:p>
        </w:tc>
        <w:tc>
          <w:tcPr>
            <w:tcW w:w="567" w:type="dxa"/>
          </w:tcPr>
          <w:p w:rsidR="00113336" w:rsidRPr="0068677C" w:rsidRDefault="00113336" w:rsidP="009B36BA">
            <w:pPr>
              <w:jc w:val="center"/>
              <w:rPr>
                <w:rFonts w:ascii="Arial" w:hAnsi="Arial" w:cs="Arial"/>
                <w:b/>
                <w:sz w:val="13"/>
                <w:szCs w:val="13"/>
                <w:lang w:val="fr-CA"/>
              </w:rPr>
            </w:pPr>
          </w:p>
        </w:tc>
      </w:tr>
      <w:tr w:rsidR="00113336" w:rsidRPr="0068677C" w:rsidTr="00B4618C">
        <w:trPr>
          <w:trHeight w:val="35"/>
        </w:trPr>
        <w:tc>
          <w:tcPr>
            <w:tcW w:w="1890" w:type="dxa"/>
            <w:tcBorders>
              <w:top w:val="nil"/>
              <w:left w:val="nil"/>
              <w:bottom w:val="nil"/>
              <w:right w:val="double" w:sz="4" w:space="0" w:color="auto"/>
            </w:tcBorders>
            <w:vAlign w:val="center"/>
            <w:hideMark/>
          </w:tcPr>
          <w:p w:rsidR="00113336" w:rsidRPr="0068677C" w:rsidRDefault="00113336" w:rsidP="009B36BA">
            <w:pPr>
              <w:rPr>
                <w:rFonts w:ascii="Arial" w:hAnsi="Arial" w:cs="Arial"/>
                <w:b/>
                <w:sz w:val="13"/>
                <w:szCs w:val="13"/>
              </w:rPr>
            </w:pPr>
            <w:r w:rsidRPr="0068677C">
              <w:rPr>
                <w:rFonts w:ascii="Arial" w:hAnsi="Arial" w:cs="Arial"/>
                <w:b/>
                <w:sz w:val="13"/>
                <w:szCs w:val="13"/>
              </w:rPr>
              <w:t xml:space="preserve">Holiday / </w:t>
            </w:r>
            <w:r w:rsidRPr="0068677C">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68677C" w:rsidRDefault="00113336" w:rsidP="009B36BA">
            <w:pPr>
              <w:jc w:val="center"/>
              <w:rPr>
                <w:rFonts w:ascii="Arial" w:hAnsi="Arial" w:cs="Arial"/>
                <w:b/>
                <w:sz w:val="13"/>
                <w:szCs w:val="13"/>
              </w:rPr>
            </w:pPr>
            <w:r w:rsidRPr="0068677C">
              <w:rPr>
                <w:rFonts w:ascii="Arial" w:hAnsi="Arial" w:cs="Arial"/>
                <w:b/>
                <w:sz w:val="13"/>
                <w:szCs w:val="13"/>
              </w:rPr>
              <w:t>H</w:t>
            </w:r>
          </w:p>
        </w:tc>
        <w:tc>
          <w:tcPr>
            <w:tcW w:w="3524" w:type="dxa"/>
            <w:tcBorders>
              <w:top w:val="nil"/>
              <w:left w:val="double" w:sz="4" w:space="0" w:color="auto"/>
              <w:bottom w:val="nil"/>
              <w:right w:val="nil"/>
            </w:tcBorders>
            <w:hideMark/>
          </w:tcPr>
          <w:p w:rsidR="00113336" w:rsidRPr="0068677C" w:rsidRDefault="00B4618C" w:rsidP="009B36BA">
            <w:pPr>
              <w:tabs>
                <w:tab w:val="left" w:pos="203"/>
              </w:tabs>
              <w:spacing w:before="120"/>
              <w:rPr>
                <w:rFonts w:ascii="Arial" w:hAnsi="Arial" w:cs="Arial"/>
                <w:b/>
                <w:sz w:val="13"/>
                <w:szCs w:val="13"/>
              </w:rPr>
            </w:pPr>
            <w:r w:rsidRPr="0068677C">
              <w:rPr>
                <w:rFonts w:ascii="Arial" w:hAnsi="Arial" w:cs="Arial"/>
                <w:b/>
                <w:sz w:val="13"/>
                <w:szCs w:val="13"/>
              </w:rPr>
              <w:t>2</w:t>
            </w:r>
            <w:r w:rsidR="00113336" w:rsidRPr="0068677C">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68677C">
              <w:rPr>
                <w:rFonts w:ascii="Arial" w:hAnsi="Arial" w:cs="Arial"/>
                <w:b/>
                <w:sz w:val="13"/>
                <w:szCs w:val="13"/>
              </w:rPr>
              <w:tab/>
            </w:r>
            <w:r w:rsidRPr="0068677C">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6"/>
      <w:footerReference w:type="default" r:id="rId8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EE" w:rsidRDefault="005B5AEE" w:rsidP="00A87207">
      <w:r>
        <w:separator/>
      </w:r>
    </w:p>
  </w:endnote>
  <w:endnote w:type="continuationSeparator" w:id="0">
    <w:p w:rsidR="005B5AEE" w:rsidRDefault="005B5AE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rsidP="00A87207">
    <w:pPr>
      <w:pStyle w:val="Footer"/>
    </w:pPr>
    <w:r>
      <w:pict>
        <v:rect id="_x0000_i1034" style="width:480.95pt;height:1pt" o:hralign="center" o:hrstd="t" o:hrnoshade="t" o:hr="t" fillcolor="black [3213]" stroked="f"/>
      </w:pict>
    </w:r>
  </w:p>
  <w:p w:rsidR="005B5AEE" w:rsidRPr="00B7374B" w:rsidRDefault="005B5AE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800B2">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rsidP="00732DB7">
    <w:r>
      <w:pict>
        <v:rect id="_x0000_i1066" style="width:480.95pt;height:1pt" o:hralign="center" o:hrstd="t" o:hrnoshade="t" o:hr="t" fillcolor="black" stroked="f"/>
      </w:pict>
    </w:r>
  </w:p>
  <w:p w:rsidR="005B5AEE" w:rsidRDefault="005B5AEE">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pPr>
      <w:pStyle w:val="Footer"/>
    </w:pPr>
    <w:r>
      <w:pict>
        <v:rect id="_x0000_i1067" style="width:480.95pt;height:1pt" o:hralign="center" o:hrstd="t" o:hrnoshade="t" o:hr="t" fillcolor="black" stroked="f"/>
      </w:pict>
    </w:r>
  </w:p>
  <w:p w:rsidR="005B5AEE" w:rsidRPr="00283C52" w:rsidRDefault="005B5AEE">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5AEE" w:rsidRDefault="005B5AEE">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5AEE" w:rsidRDefault="00D8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5B5AEE" w:rsidRDefault="005B5AE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rsidP="00782AE4">
    <w:pPr>
      <w:tabs>
        <w:tab w:val="center" w:pos="4680"/>
      </w:tabs>
    </w:pPr>
    <w:r>
      <w:pict>
        <v:rect id="_x0000_i1070" style="width:480.95pt;height:1pt" o:hralign="center" o:hrstd="t" o:hrnoshade="t" o:hr="t" fillcolor="black [3213]" stroked="f"/>
      </w:pict>
    </w:r>
  </w:p>
  <w:p w:rsidR="005B5AEE" w:rsidRDefault="005B5AE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800B2">
      <w:rPr>
        <w:noProof/>
        <w:szCs w:val="24"/>
      </w:rPr>
      <w:t>26</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Pr="00924065" w:rsidRDefault="005B5AE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rsidP="00755F22">
    <w:pPr>
      <w:tabs>
        <w:tab w:val="left" w:pos="-1440"/>
        <w:tab w:val="left" w:pos="-720"/>
      </w:tabs>
    </w:pPr>
    <w:r>
      <w:pict>
        <v:rect id="_x0000_i1035" style="width:480.95pt;height:1pt" o:hralign="center" o:hrstd="t" o:hrnoshade="t" o:hr="t" fillcolor="black [3213]" stroked="f"/>
      </w:pict>
    </w:r>
  </w:p>
  <w:p w:rsidR="005B5AEE" w:rsidRPr="00954D22" w:rsidRDefault="005B5AE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800B2">
      <w:rPr>
        <w:noProof/>
        <w:szCs w:val="24"/>
      </w:rPr>
      <w:t>1</w:t>
    </w:r>
    <w:r>
      <w:rPr>
        <w:szCs w:val="24"/>
      </w:rPr>
      <w:fldChar w:fldCharType="end"/>
    </w:r>
    <w:r w:rsidRPr="00954D22">
      <w:rPr>
        <w:szCs w:val="24"/>
      </w:rPr>
      <w:t xml:space="preserve"> -</w:t>
    </w:r>
  </w:p>
  <w:p w:rsidR="005B5AEE" w:rsidRDefault="005B5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5AEE" w:rsidRDefault="005B5AE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5B5AEE" w:rsidRPr="0009648D" w:rsidRDefault="005B5AEE" w:rsidP="00ED7E83">
    <w:pPr>
      <w:tabs>
        <w:tab w:val="center" w:pos="4680"/>
      </w:tabs>
    </w:pPr>
    <w:r>
      <w:tab/>
    </w:r>
    <w:r w:rsidRPr="0009648D">
      <w:t xml:space="preserve">- </w:t>
    </w:r>
    <w:r>
      <w:fldChar w:fldCharType="begin"/>
    </w:r>
    <w:r>
      <w:instrText xml:space="preserve"> PAGE   \* MERGEFORMAT </w:instrText>
    </w:r>
    <w:r>
      <w:fldChar w:fldCharType="separate"/>
    </w:r>
    <w:r w:rsidR="00D800B2">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pPr>
      <w:pStyle w:val="Footer"/>
      <w:rPr>
        <w:lang w:val="fr-CA"/>
      </w:rPr>
    </w:pPr>
    <w:r>
      <w:rPr>
        <w:lang w:val="fr-CA"/>
      </w:rPr>
      <w:pict>
        <v:rect id="_x0000_i1057" style="width:480.95pt;height:1pt" o:hralign="center" o:hrstd="t" o:hrnoshade="t" o:hr="t" fillcolor="black [3213]" stroked="f"/>
      </w:pict>
    </w:r>
  </w:p>
  <w:p w:rsidR="005B5AEE" w:rsidRDefault="005B5AEE" w:rsidP="00245129">
    <w:pPr>
      <w:tabs>
        <w:tab w:val="center" w:pos="4680"/>
      </w:tabs>
    </w:pPr>
    <w:r>
      <w:tab/>
    </w:r>
    <w:r w:rsidRPr="0009648D">
      <w:t xml:space="preserve">- </w:t>
    </w:r>
    <w:r>
      <w:fldChar w:fldCharType="begin"/>
    </w:r>
    <w:r>
      <w:instrText xml:space="preserve"> PAGE   \* MERGEFORMAT </w:instrText>
    </w:r>
    <w:r>
      <w:fldChar w:fldCharType="separate"/>
    </w:r>
    <w:r w:rsidR="00D800B2">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5AEE" w:rsidRDefault="005B5AE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rsidP="00755F22">
    <w:pPr>
      <w:tabs>
        <w:tab w:val="left" w:pos="-1440"/>
        <w:tab w:val="left" w:pos="-720"/>
      </w:tabs>
    </w:pPr>
    <w:r>
      <w:pict>
        <v:rect id="_x0000_i1059" style="width:480.95pt;height:1pt" o:hralign="center" o:hrstd="t" o:hrnoshade="t" o:hr="t" fillcolor="black [3213]" stroked="f"/>
      </w:pict>
    </w:r>
  </w:p>
  <w:p w:rsidR="005B5AEE" w:rsidRDefault="005B5AEE" w:rsidP="00EB2B90">
    <w:pPr>
      <w:tabs>
        <w:tab w:val="center" w:pos="4680"/>
      </w:tabs>
    </w:pPr>
    <w:r>
      <w:tab/>
      <w:t xml:space="preserve">- </w:t>
    </w:r>
    <w:r>
      <w:fldChar w:fldCharType="begin"/>
    </w:r>
    <w:r>
      <w:instrText xml:space="preserve"> PAGE   \* MERGEFORMAT </w:instrText>
    </w:r>
    <w:r>
      <w:fldChar w:fldCharType="separate"/>
    </w:r>
    <w:r w:rsidR="00C86AED">
      <w:rPr>
        <w:noProof/>
      </w:rPr>
      <w:t>23</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D800B2" w:rsidP="00EB2B90">
    <w:pPr>
      <w:tabs>
        <w:tab w:val="center" w:pos="4680"/>
      </w:tabs>
    </w:pPr>
    <w:r>
      <w:pict>
        <v:rect id="_x0000_i1060" style="width:480.95pt;height:1pt" o:hralign="center" o:hrstd="t" o:hrnoshade="t" o:hr="t" fillcolor="black [3213]" stroked="f"/>
      </w:pict>
    </w:r>
  </w:p>
  <w:p w:rsidR="005B5AEE" w:rsidRPr="0031432F" w:rsidRDefault="005B5AEE" w:rsidP="00EB2B90">
    <w:pPr>
      <w:tabs>
        <w:tab w:val="center" w:pos="4680"/>
      </w:tabs>
    </w:pPr>
    <w:r>
      <w:tab/>
      <w:t xml:space="preserve">- </w:t>
    </w:r>
    <w:r>
      <w:fldChar w:fldCharType="begin"/>
    </w:r>
    <w:r>
      <w:instrText xml:space="preserve"> PAGE   \* MERGEFORMAT </w:instrText>
    </w:r>
    <w:r>
      <w:fldChar w:fldCharType="separate"/>
    </w:r>
    <w:r w:rsidR="00D800B2">
      <w:rPr>
        <w:noProof/>
      </w:rPr>
      <w:t>22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5AEE" w:rsidRDefault="005B5AE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EE" w:rsidRDefault="005B5AEE" w:rsidP="00A87207">
      <w:r>
        <w:separator/>
      </w:r>
    </w:p>
  </w:footnote>
  <w:footnote w:type="continuationSeparator" w:id="0">
    <w:p w:rsidR="005B5AEE" w:rsidRDefault="005B5AE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B5AEE" w:rsidRPr="0044776A" w:rsidTr="00245129">
      <w:tc>
        <w:tcPr>
          <w:tcW w:w="4290" w:type="dxa"/>
          <w:tcMar>
            <w:left w:w="0" w:type="dxa"/>
            <w:right w:w="0" w:type="dxa"/>
          </w:tcMar>
        </w:tcPr>
        <w:p w:rsidR="005B5AEE" w:rsidRPr="00D31809" w:rsidRDefault="005B5AEE" w:rsidP="00D31809">
          <w:pPr>
            <w:keepNext/>
            <w:keepLines/>
            <w:rPr>
              <w:sz w:val="20"/>
              <w:szCs w:val="20"/>
              <w:lang w:val="en-US"/>
            </w:rPr>
          </w:pPr>
          <w:r w:rsidRPr="00D31809">
            <w:rPr>
              <w:sz w:val="20"/>
              <w:szCs w:val="20"/>
              <w:lang w:val="en-US"/>
            </w:rPr>
            <w:t>Applications for leave to appeal filed</w:t>
          </w:r>
        </w:p>
        <w:p w:rsidR="005B5AEE" w:rsidRPr="00D31809" w:rsidRDefault="005B5AEE" w:rsidP="00D31809">
          <w:pPr>
            <w:keepNext/>
            <w:keepLines/>
            <w:rPr>
              <w:sz w:val="20"/>
              <w:szCs w:val="20"/>
            </w:rPr>
          </w:pPr>
        </w:p>
      </w:tc>
      <w:tc>
        <w:tcPr>
          <w:tcW w:w="1200" w:type="dxa"/>
          <w:tcMar>
            <w:left w:w="0" w:type="dxa"/>
            <w:right w:w="0" w:type="dxa"/>
          </w:tcMar>
        </w:tcPr>
        <w:p w:rsidR="005B5AEE" w:rsidRPr="00D31809" w:rsidRDefault="005B5AEE" w:rsidP="002E2327">
          <w:pPr>
            <w:keepNext/>
            <w:keepLines/>
            <w:tabs>
              <w:tab w:val="left" w:pos="-1440"/>
              <w:tab w:val="left" w:pos="-720"/>
            </w:tabs>
            <w:jc w:val="center"/>
            <w:rPr>
              <w:sz w:val="20"/>
              <w:szCs w:val="20"/>
            </w:rPr>
          </w:pPr>
        </w:p>
      </w:tc>
      <w:tc>
        <w:tcPr>
          <w:tcW w:w="4320" w:type="dxa"/>
          <w:tcMar>
            <w:left w:w="0" w:type="dxa"/>
            <w:right w:w="0" w:type="dxa"/>
          </w:tcMar>
        </w:tcPr>
        <w:p w:rsidR="005B5AEE" w:rsidRPr="00D31809" w:rsidRDefault="005B5AEE" w:rsidP="002E2327">
          <w:pPr>
            <w:keepLines/>
            <w:rPr>
              <w:sz w:val="20"/>
              <w:szCs w:val="20"/>
              <w:lang w:val="fr-CA"/>
            </w:rPr>
          </w:pPr>
          <w:r w:rsidRPr="00D31809">
            <w:rPr>
              <w:sz w:val="20"/>
              <w:szCs w:val="20"/>
              <w:lang w:val="fr-CA"/>
            </w:rPr>
            <w:t>Demandes d’autorisation d’appel déposées</w:t>
          </w:r>
        </w:p>
      </w:tc>
    </w:tr>
  </w:tbl>
  <w:p w:rsidR="005B5AEE" w:rsidRDefault="005B5A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5AEE" w:rsidRPr="00D800B2" w:rsidTr="00245129">
      <w:tc>
        <w:tcPr>
          <w:tcW w:w="4200" w:type="dxa"/>
          <w:tcMar>
            <w:left w:w="0" w:type="dxa"/>
            <w:right w:w="0" w:type="dxa"/>
          </w:tcMar>
        </w:tcPr>
        <w:p w:rsidR="005B5AEE" w:rsidRPr="00732DB7" w:rsidRDefault="005B5AEE"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B5AEE" w:rsidRPr="00732DB7" w:rsidRDefault="005B5AEE" w:rsidP="00732DB7">
          <w:pPr>
            <w:keepNext/>
            <w:keepLines/>
            <w:tabs>
              <w:tab w:val="left" w:pos="-1440"/>
              <w:tab w:val="left" w:pos="-720"/>
            </w:tabs>
            <w:jc w:val="center"/>
            <w:rPr>
              <w:sz w:val="20"/>
              <w:szCs w:val="20"/>
            </w:rPr>
          </w:pPr>
        </w:p>
        <w:p w:rsidR="005B5AEE" w:rsidRPr="00732DB7" w:rsidRDefault="005B5AEE" w:rsidP="00732DB7">
          <w:pPr>
            <w:keepNext/>
            <w:keepLines/>
            <w:tabs>
              <w:tab w:val="left" w:pos="-1440"/>
              <w:tab w:val="left" w:pos="-720"/>
            </w:tabs>
            <w:jc w:val="center"/>
            <w:rPr>
              <w:sz w:val="20"/>
              <w:szCs w:val="20"/>
            </w:rPr>
          </w:pPr>
        </w:p>
        <w:p w:rsidR="005B5AEE" w:rsidRPr="00732DB7" w:rsidRDefault="005B5AEE" w:rsidP="00732DB7">
          <w:pPr>
            <w:keepNext/>
            <w:keepLines/>
            <w:tabs>
              <w:tab w:val="left" w:pos="-1440"/>
              <w:tab w:val="left" w:pos="-720"/>
            </w:tabs>
            <w:jc w:val="center"/>
            <w:rPr>
              <w:sz w:val="20"/>
              <w:szCs w:val="20"/>
            </w:rPr>
          </w:pPr>
        </w:p>
      </w:tc>
      <w:tc>
        <w:tcPr>
          <w:tcW w:w="4080" w:type="dxa"/>
          <w:tcMar>
            <w:left w:w="0" w:type="dxa"/>
            <w:right w:w="0" w:type="dxa"/>
          </w:tcMar>
        </w:tcPr>
        <w:p w:rsidR="005B5AEE" w:rsidRPr="00732DB7" w:rsidRDefault="005B5AE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B5AEE" w:rsidRPr="00283C52" w:rsidRDefault="005B5AE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B5AEE">
      <w:tc>
        <w:tcPr>
          <w:tcW w:w="4230" w:type="dxa"/>
          <w:tcMar>
            <w:left w:w="0" w:type="dxa"/>
            <w:right w:w="0" w:type="dxa"/>
          </w:tcMar>
        </w:tcPr>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B5AEE" w:rsidRDefault="005B5A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B5AEE" w:rsidRPr="00782AE4" w:rsidTr="00245129">
      <w:tc>
        <w:tcPr>
          <w:tcW w:w="4230" w:type="dxa"/>
          <w:tcMar>
            <w:left w:w="0" w:type="dxa"/>
            <w:right w:w="0" w:type="dxa"/>
          </w:tcMar>
        </w:tcPr>
        <w:p w:rsidR="005B5AEE" w:rsidRPr="00782AE4" w:rsidRDefault="005B5AEE" w:rsidP="00102926">
          <w:pPr>
            <w:keepNext/>
            <w:keepLines/>
            <w:tabs>
              <w:tab w:val="left" w:pos="-1440"/>
              <w:tab w:val="left" w:pos="-720"/>
            </w:tabs>
            <w:rPr>
              <w:sz w:val="20"/>
              <w:szCs w:val="20"/>
            </w:rPr>
          </w:pPr>
          <w:r w:rsidRPr="00782AE4">
            <w:rPr>
              <w:sz w:val="20"/>
              <w:szCs w:val="20"/>
            </w:rPr>
            <w:t xml:space="preserve">HEADNOTES OF RECENT </w:t>
          </w:r>
        </w:p>
        <w:p w:rsidR="005B5AEE" w:rsidRPr="00782AE4"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B5AEE" w:rsidRDefault="005B5AEE" w:rsidP="00102926">
          <w:pPr>
            <w:keepNext/>
            <w:keepLines/>
            <w:tabs>
              <w:tab w:val="left" w:pos="-1440"/>
              <w:tab w:val="left" w:pos="-720"/>
            </w:tabs>
            <w:jc w:val="center"/>
            <w:rPr>
              <w:sz w:val="20"/>
              <w:szCs w:val="20"/>
            </w:rPr>
          </w:pPr>
        </w:p>
        <w:p w:rsidR="005B5AEE" w:rsidRDefault="005B5AEE" w:rsidP="00102926">
          <w:pPr>
            <w:keepNext/>
            <w:keepLines/>
            <w:tabs>
              <w:tab w:val="left" w:pos="-1440"/>
              <w:tab w:val="left" w:pos="-720"/>
            </w:tabs>
            <w:jc w:val="center"/>
            <w:rPr>
              <w:sz w:val="20"/>
              <w:szCs w:val="20"/>
            </w:rPr>
          </w:pPr>
        </w:p>
        <w:p w:rsidR="005B5AEE" w:rsidRPr="00782AE4" w:rsidRDefault="005B5AEE" w:rsidP="00102926">
          <w:pPr>
            <w:keepNext/>
            <w:keepLines/>
            <w:tabs>
              <w:tab w:val="left" w:pos="-1440"/>
              <w:tab w:val="left" w:pos="-720"/>
            </w:tabs>
            <w:jc w:val="center"/>
            <w:rPr>
              <w:sz w:val="20"/>
              <w:szCs w:val="20"/>
            </w:rPr>
          </w:pPr>
        </w:p>
      </w:tc>
      <w:tc>
        <w:tcPr>
          <w:tcW w:w="4080" w:type="dxa"/>
          <w:tcMar>
            <w:left w:w="0" w:type="dxa"/>
            <w:right w:w="0" w:type="dxa"/>
          </w:tcMar>
        </w:tcPr>
        <w:p w:rsidR="005B5AEE" w:rsidRPr="00102926"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B5AEE" w:rsidRPr="00782AE4" w:rsidRDefault="005B5AEE" w:rsidP="00102926">
          <w:pPr>
            <w:keepLines/>
            <w:tabs>
              <w:tab w:val="left" w:pos="-1440"/>
              <w:tab w:val="left" w:pos="-720"/>
            </w:tabs>
            <w:rPr>
              <w:sz w:val="20"/>
              <w:szCs w:val="20"/>
            </w:rPr>
          </w:pPr>
          <w:r w:rsidRPr="00102926">
            <w:rPr>
              <w:sz w:val="20"/>
              <w:szCs w:val="20"/>
              <w:lang w:val="fr-CA"/>
            </w:rPr>
            <w:t>RÉCENTS</w:t>
          </w:r>
        </w:p>
      </w:tc>
    </w:tr>
  </w:tbl>
  <w:p w:rsidR="005B5AEE" w:rsidRDefault="005B5AE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5AEE" w:rsidRPr="00D800B2">
      <w:tc>
        <w:tcPr>
          <w:tcW w:w="4200" w:type="dxa"/>
          <w:tcMar>
            <w:left w:w="0" w:type="dxa"/>
            <w:right w:w="0" w:type="dxa"/>
          </w:tcMar>
        </w:tcPr>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B5AEE" w:rsidRDefault="005B5A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5AEE" w:rsidRPr="00FF6BA5" w:rsidRDefault="005B5A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B5AEE" w:rsidRPr="00FF6BA5"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B5AEE" w:rsidRPr="00FF6BA5"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B5AEE" w:rsidRPr="00FF6BA5"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5AEE" w:rsidRPr="00D800B2" w:rsidTr="00245129">
      <w:tc>
        <w:tcPr>
          <w:tcW w:w="4200" w:type="dxa"/>
          <w:tcMar>
            <w:left w:w="0" w:type="dxa"/>
            <w:right w:w="0" w:type="dxa"/>
          </w:tcMar>
        </w:tcPr>
        <w:p w:rsidR="005B5AEE" w:rsidRPr="00634F42" w:rsidRDefault="005B5AE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B5AEE" w:rsidRPr="00755F22" w:rsidRDefault="005B5AE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B5AEE" w:rsidRPr="00755F22" w:rsidRDefault="005B5AE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B5AEE" w:rsidRPr="00755F22" w:rsidRDefault="005B5A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B5AEE" w:rsidRPr="00FF6BA5" w:rsidRDefault="005B5AE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B5AEE">
      <w:tc>
        <w:tcPr>
          <w:tcW w:w="4230" w:type="dxa"/>
          <w:tcMar>
            <w:left w:w="0" w:type="dxa"/>
            <w:right w:w="0" w:type="dxa"/>
          </w:tcMar>
        </w:tcPr>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B5AEE" w:rsidRDefault="005B5A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5AEE" w:rsidRDefault="005B5A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B5AEE">
      <w:trPr>
        <w:gridAfter w:val="2"/>
        <w:wAfter w:w="5250" w:type="dxa"/>
      </w:trPr>
      <w:tc>
        <w:tcPr>
          <w:tcW w:w="4230" w:type="dxa"/>
          <w:tcMar>
            <w:left w:w="0" w:type="dxa"/>
            <w:right w:w="0" w:type="dxa"/>
          </w:tcMar>
        </w:tcPr>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B5AEE"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B5AEE" w:rsidRPr="00755F22" w:rsidTr="00245129">
      <w:tc>
        <w:tcPr>
          <w:tcW w:w="4230" w:type="dxa"/>
          <w:tcMar>
            <w:left w:w="0" w:type="dxa"/>
            <w:right w:w="0" w:type="dxa"/>
          </w:tcMar>
        </w:tcPr>
        <w:p w:rsidR="005B5AEE" w:rsidRPr="00755F22" w:rsidRDefault="005B5AEE" w:rsidP="00831CA9">
          <w:pPr>
            <w:keepNext/>
            <w:keepLines/>
            <w:rPr>
              <w:sz w:val="20"/>
              <w:szCs w:val="20"/>
            </w:rPr>
          </w:pPr>
          <w:r w:rsidRPr="00755F22">
            <w:rPr>
              <w:sz w:val="20"/>
              <w:szCs w:val="20"/>
            </w:rPr>
            <w:t>Motions</w:t>
          </w:r>
        </w:p>
      </w:tc>
      <w:tc>
        <w:tcPr>
          <w:tcW w:w="1170" w:type="dxa"/>
          <w:tcMar>
            <w:left w:w="0" w:type="dxa"/>
            <w:right w:w="0" w:type="dxa"/>
          </w:tcMar>
        </w:tcPr>
        <w:p w:rsidR="005B5AEE" w:rsidRPr="00755F22" w:rsidRDefault="005B5AEE" w:rsidP="00831CA9">
          <w:pPr>
            <w:keepLines/>
            <w:jc w:val="center"/>
            <w:rPr>
              <w:sz w:val="20"/>
              <w:szCs w:val="20"/>
            </w:rPr>
          </w:pPr>
        </w:p>
        <w:p w:rsidR="005B5AEE" w:rsidRPr="00755F22" w:rsidRDefault="005B5AEE" w:rsidP="00831CA9">
          <w:pPr>
            <w:keepLines/>
            <w:tabs>
              <w:tab w:val="left" w:pos="-1440"/>
              <w:tab w:val="left" w:pos="-720"/>
            </w:tabs>
            <w:jc w:val="center"/>
            <w:rPr>
              <w:sz w:val="20"/>
              <w:szCs w:val="20"/>
            </w:rPr>
          </w:pPr>
        </w:p>
      </w:tc>
      <w:tc>
        <w:tcPr>
          <w:tcW w:w="4080" w:type="dxa"/>
          <w:tcMar>
            <w:left w:w="0" w:type="dxa"/>
            <w:right w:w="0" w:type="dxa"/>
          </w:tcMar>
        </w:tcPr>
        <w:p w:rsidR="005B5AEE" w:rsidRPr="00BA6468" w:rsidRDefault="005B5AEE" w:rsidP="00BA6468">
          <w:pPr>
            <w:keepLines/>
            <w:rPr>
              <w:sz w:val="20"/>
              <w:szCs w:val="20"/>
              <w:lang w:val="fr-CA"/>
            </w:rPr>
          </w:pPr>
          <w:r w:rsidRPr="00BA6468">
            <w:rPr>
              <w:sz w:val="20"/>
              <w:szCs w:val="20"/>
              <w:lang w:val="fr-CA"/>
            </w:rPr>
            <w:t>Requêtes</w:t>
          </w:r>
        </w:p>
      </w:tc>
    </w:tr>
  </w:tbl>
  <w:p w:rsidR="005B5AEE" w:rsidRDefault="005B5AE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EE" w:rsidRDefault="005B5A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5AEE" w:rsidRPr="00D800B2">
      <w:tc>
        <w:tcPr>
          <w:tcW w:w="4200" w:type="dxa"/>
          <w:tcMar>
            <w:left w:w="0" w:type="dxa"/>
            <w:right w:w="0" w:type="dxa"/>
          </w:tcMar>
        </w:tcPr>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B5AEE" w:rsidRDefault="005B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5AEE" w:rsidRPr="00283C52" w:rsidRDefault="005B5AE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B5AEE" w:rsidRPr="00283C52"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B5AEE" w:rsidRPr="00283C52" w:rsidRDefault="005B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5"/>
  </w:num>
  <w:num w:numId="9">
    <w:abstractNumId w:val="9"/>
  </w:num>
  <w:num w:numId="10">
    <w:abstractNumId w:val="6"/>
  </w:num>
  <w:num w:numId="11">
    <w:abstractNumId w:val="18"/>
  </w:num>
  <w:num w:numId="12">
    <w:abstractNumId w:val="27"/>
  </w:num>
  <w:num w:numId="13">
    <w:abstractNumId w:val="17"/>
  </w:num>
  <w:num w:numId="14">
    <w:abstractNumId w:val="21"/>
  </w:num>
  <w:num w:numId="15">
    <w:abstractNumId w:val="11"/>
  </w:num>
  <w:num w:numId="16">
    <w:abstractNumId w:val="1"/>
  </w:num>
  <w:num w:numId="17">
    <w:abstractNumId w:val="24"/>
  </w:num>
  <w:num w:numId="18">
    <w:abstractNumId w:val="14"/>
  </w:num>
  <w:num w:numId="19">
    <w:abstractNumId w:val="13"/>
  </w:num>
  <w:num w:numId="20">
    <w:abstractNumId w:val="12"/>
  </w:num>
  <w:num w:numId="21">
    <w:abstractNumId w:val="28"/>
  </w:num>
  <w:num w:numId="22">
    <w:abstractNumId w:val="20"/>
  </w:num>
  <w:num w:numId="23">
    <w:abstractNumId w:val="2"/>
  </w:num>
  <w:num w:numId="24">
    <w:abstractNumId w:val="4"/>
  </w:num>
  <w:num w:numId="25">
    <w:abstractNumId w:val="23"/>
  </w:num>
  <w:num w:numId="26">
    <w:abstractNumId w:val="26"/>
  </w:num>
  <w:num w:numId="27">
    <w:abstractNumId w:val="22"/>
  </w:num>
  <w:num w:numId="28">
    <w:abstractNumId w:val="8"/>
  </w:num>
  <w:num w:numId="29">
    <w:abstractNumId w:val="10"/>
  </w:num>
  <w:num w:numId="30">
    <w:abstractNumId w:val="15"/>
  </w:num>
  <w:num w:numId="31">
    <w:abstractNumId w:val="0"/>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15"/>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49DE"/>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66C63"/>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9771F"/>
    <w:rsid w:val="005B076D"/>
    <w:rsid w:val="005B2EA9"/>
    <w:rsid w:val="005B5AEE"/>
    <w:rsid w:val="005B6826"/>
    <w:rsid w:val="005C6840"/>
    <w:rsid w:val="005F1ED8"/>
    <w:rsid w:val="005F263E"/>
    <w:rsid w:val="00600252"/>
    <w:rsid w:val="00611077"/>
    <w:rsid w:val="00612A40"/>
    <w:rsid w:val="0062714A"/>
    <w:rsid w:val="00634F42"/>
    <w:rsid w:val="00645947"/>
    <w:rsid w:val="006615F4"/>
    <w:rsid w:val="00675479"/>
    <w:rsid w:val="00680709"/>
    <w:rsid w:val="00681F61"/>
    <w:rsid w:val="00684F23"/>
    <w:rsid w:val="0068677C"/>
    <w:rsid w:val="00691D1D"/>
    <w:rsid w:val="00693C38"/>
    <w:rsid w:val="00696BF9"/>
    <w:rsid w:val="00697C62"/>
    <w:rsid w:val="006A329B"/>
    <w:rsid w:val="006A7EB8"/>
    <w:rsid w:val="006B6926"/>
    <w:rsid w:val="006C0B15"/>
    <w:rsid w:val="006C3F47"/>
    <w:rsid w:val="006C5F7A"/>
    <w:rsid w:val="006D6263"/>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2A2D"/>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2815"/>
    <w:rsid w:val="00955827"/>
    <w:rsid w:val="00957556"/>
    <w:rsid w:val="00961C83"/>
    <w:rsid w:val="00970CD3"/>
    <w:rsid w:val="009723FA"/>
    <w:rsid w:val="0098052F"/>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C4E1D"/>
    <w:rsid w:val="00AD1D34"/>
    <w:rsid w:val="00AD3259"/>
    <w:rsid w:val="00AE043C"/>
    <w:rsid w:val="00AF1715"/>
    <w:rsid w:val="00AF3904"/>
    <w:rsid w:val="00B00A0B"/>
    <w:rsid w:val="00B010C0"/>
    <w:rsid w:val="00B15CBE"/>
    <w:rsid w:val="00B22DEA"/>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008"/>
    <w:rsid w:val="00C50A5C"/>
    <w:rsid w:val="00C50FDF"/>
    <w:rsid w:val="00C63381"/>
    <w:rsid w:val="00C73D06"/>
    <w:rsid w:val="00C73D76"/>
    <w:rsid w:val="00C73E1B"/>
    <w:rsid w:val="00C73EE8"/>
    <w:rsid w:val="00C7556C"/>
    <w:rsid w:val="00C759B4"/>
    <w:rsid w:val="00C77713"/>
    <w:rsid w:val="00C82B80"/>
    <w:rsid w:val="00C8528C"/>
    <w:rsid w:val="00C85BB7"/>
    <w:rsid w:val="00C86AED"/>
    <w:rsid w:val="00C86E0F"/>
    <w:rsid w:val="00CA2DEA"/>
    <w:rsid w:val="00CB3520"/>
    <w:rsid w:val="00CB43D5"/>
    <w:rsid w:val="00CC40A4"/>
    <w:rsid w:val="00CC4D84"/>
    <w:rsid w:val="00CD5D39"/>
    <w:rsid w:val="00CE198A"/>
    <w:rsid w:val="00CF08C8"/>
    <w:rsid w:val="00D004FC"/>
    <w:rsid w:val="00D04577"/>
    <w:rsid w:val="00D22BC0"/>
    <w:rsid w:val="00D31809"/>
    <w:rsid w:val="00D6331A"/>
    <w:rsid w:val="00D64901"/>
    <w:rsid w:val="00D76BDF"/>
    <w:rsid w:val="00D800B2"/>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C7B0B"/>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C39DE"/>
    <w:rsid w:val="00FD053D"/>
    <w:rsid w:val="00FE0B49"/>
    <w:rsid w:val="00FF22BA"/>
    <w:rsid w:val="00FF440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C50008"/>
    <w:pPr>
      <w:jc w:val="both"/>
    </w:pPr>
    <w:rPr>
      <w:rFonts w:eastAsia="Calibri" w:cs="Times New Roman"/>
      <w:smallCaps/>
    </w:rPr>
  </w:style>
  <w:style w:type="character" w:customStyle="1" w:styleId="SCCBanSummaryChar">
    <w:name w:val="SCC.BanSummary Char"/>
    <w:basedOn w:val="DefaultParagraphFont"/>
    <w:link w:val="SCCBanSummary0"/>
    <w:rsid w:val="00C50008"/>
    <w:rPr>
      <w:rFonts w:eastAsia="Calibri" w:cs="Times New Roman"/>
      <w:smallCaps/>
      <w:lang w:val="en-CA"/>
    </w:rPr>
  </w:style>
  <w:style w:type="paragraph" w:styleId="NoSpacing">
    <w:name w:val="No Spacing"/>
    <w:uiPriority w:val="1"/>
    <w:qFormat/>
    <w:rsid w:val="00C50008"/>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C5000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50008"/>
    <w:rPr>
      <w:rFonts w:ascii="Tahoma" w:eastAsia="Times New Roman" w:hAnsi="Tahoma" w:cs="Tahoma"/>
      <w:sz w:val="16"/>
      <w:szCs w:val="16"/>
    </w:rPr>
  </w:style>
  <w:style w:type="paragraph" w:customStyle="1" w:styleId="Style268435469">
    <w:name w:val="Style268435469"/>
    <w:rsid w:val="00C50008"/>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C5000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C5000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50008"/>
    <w:rPr>
      <w:sz w:val="16"/>
      <w:szCs w:val="16"/>
    </w:rPr>
  </w:style>
  <w:style w:type="paragraph" w:styleId="CommentText">
    <w:name w:val="annotation text"/>
    <w:basedOn w:val="Normal"/>
    <w:link w:val="CommentTextChar"/>
    <w:uiPriority w:val="99"/>
    <w:semiHidden/>
    <w:unhideWhenUsed/>
    <w:rsid w:val="00C5000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5000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008"/>
    <w:rPr>
      <w:b/>
      <w:bCs/>
    </w:rPr>
  </w:style>
  <w:style w:type="character" w:customStyle="1" w:styleId="CommentSubjectChar">
    <w:name w:val="Comment Subject Char"/>
    <w:basedOn w:val="CommentTextChar"/>
    <w:link w:val="CommentSubject"/>
    <w:uiPriority w:val="99"/>
    <w:semiHidden/>
    <w:rsid w:val="00C50008"/>
    <w:rPr>
      <w:rFonts w:eastAsia="Times New Roman" w:cs="Times New Roman"/>
      <w:b/>
      <w:bCs/>
      <w:sz w:val="20"/>
      <w:szCs w:val="20"/>
    </w:rPr>
  </w:style>
  <w:style w:type="paragraph" w:customStyle="1" w:styleId="mainparagraph1">
    <w:name w:val="mainparagraph1"/>
    <w:basedOn w:val="Normal"/>
    <w:rsid w:val="00C50008"/>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C50008"/>
    <w:pPr>
      <w:spacing w:before="120" w:after="120"/>
      <w:jc w:val="both"/>
    </w:pPr>
    <w:rPr>
      <w:rFonts w:ascii="Arial" w:eastAsia="Times New Roman" w:hAnsi="Arial" w:cs="Arial"/>
      <w:sz w:val="26"/>
      <w:szCs w:val="26"/>
      <w:lang w:val="en-US"/>
    </w:rPr>
  </w:style>
  <w:style w:type="paragraph" w:customStyle="1" w:styleId="number1">
    <w:name w:val="number1"/>
    <w:basedOn w:val="Normal"/>
    <w:rsid w:val="00C50008"/>
    <w:pPr>
      <w:jc w:val="both"/>
    </w:pPr>
    <w:rPr>
      <w:rFonts w:ascii="Tahoma" w:eastAsia="Times New Roman" w:hAnsi="Tahoma" w:cs="Tahoma"/>
      <w:szCs w:val="24"/>
      <w:lang w:val="en-US"/>
    </w:rPr>
  </w:style>
  <w:style w:type="character" w:customStyle="1" w:styleId="reflex3-block">
    <w:name w:val="reflex3-block"/>
    <w:basedOn w:val="DefaultParagraphFont"/>
    <w:rsid w:val="00C50008"/>
  </w:style>
  <w:style w:type="character" w:customStyle="1" w:styleId="reflex3-alt">
    <w:name w:val="reflex3-alt"/>
    <w:basedOn w:val="DefaultParagraphFont"/>
    <w:rsid w:val="00C50008"/>
  </w:style>
  <w:style w:type="paragraph" w:customStyle="1" w:styleId="scjnumber1">
    <w:name w:val="scjnumber1"/>
    <w:basedOn w:val="Normal"/>
    <w:rsid w:val="00C50008"/>
    <w:pPr>
      <w:spacing w:after="240"/>
    </w:pPr>
    <w:rPr>
      <w:rFonts w:ascii="Arial" w:eastAsia="Times New Roman" w:hAnsi="Arial" w:cs="Arial"/>
      <w:szCs w:val="24"/>
      <w:lang w:val="en-US"/>
    </w:rPr>
  </w:style>
  <w:style w:type="character" w:customStyle="1" w:styleId="reflex">
    <w:name w:val="reflex"/>
    <w:basedOn w:val="DefaultParagraphFont"/>
    <w:rsid w:val="00C50008"/>
  </w:style>
  <w:style w:type="paragraph" w:customStyle="1" w:styleId="paragraphe">
    <w:name w:val="paragraphe"/>
    <w:basedOn w:val="Normal"/>
    <w:rsid w:val="00C50008"/>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C50008"/>
  </w:style>
  <w:style w:type="paragraph" w:customStyle="1" w:styleId="SCCLsocSubfileSeparator0">
    <w:name w:val="SCC.Lsoc.SubfileSeparator"/>
    <w:basedOn w:val="Normal"/>
    <w:next w:val="Normal"/>
    <w:link w:val="SCCLsocSubfileSeparatorChar"/>
    <w:rsid w:val="00C50008"/>
    <w:pPr>
      <w:jc w:val="both"/>
    </w:pPr>
    <w:rPr>
      <w:rFonts w:cs="Times New Roman"/>
      <w:b/>
      <w:szCs w:val="24"/>
    </w:rPr>
  </w:style>
  <w:style w:type="character" w:customStyle="1" w:styleId="SCCLsocSubfileSeparatorChar">
    <w:name w:val="SCC.Lsoc.SubfileSeparator Char"/>
    <w:basedOn w:val="DefaultParagraphFont"/>
    <w:link w:val="SCCLsocSubfileSeparator0"/>
    <w:rsid w:val="00C50008"/>
    <w:rPr>
      <w:rFonts w:cs="Times New Roman"/>
      <w:b/>
      <w:szCs w:val="24"/>
      <w:lang w:val="en-CA"/>
    </w:rPr>
  </w:style>
  <w:style w:type="paragraph" w:customStyle="1" w:styleId="s3">
    <w:name w:val="s3"/>
    <w:basedOn w:val="Normal"/>
    <w:rsid w:val="00C50008"/>
    <w:pPr>
      <w:spacing w:before="100" w:beforeAutospacing="1" w:after="100" w:afterAutospacing="1"/>
    </w:pPr>
    <w:rPr>
      <w:rFonts w:cs="Times New Roman"/>
      <w:szCs w:val="24"/>
      <w:lang w:val="en-US"/>
    </w:rPr>
  </w:style>
  <w:style w:type="character" w:customStyle="1" w:styleId="s4">
    <w:name w:val="s4"/>
    <w:basedOn w:val="DefaultParagraphFont"/>
    <w:rsid w:val="00C50008"/>
  </w:style>
  <w:style w:type="character" w:customStyle="1" w:styleId="s5">
    <w:name w:val="s5"/>
    <w:basedOn w:val="DefaultParagraphFont"/>
    <w:rsid w:val="00C50008"/>
  </w:style>
  <w:style w:type="paragraph" w:customStyle="1" w:styleId="paragraphenumrot">
    <w:name w:val="paragraphenumrot"/>
    <w:basedOn w:val="Normal"/>
    <w:rsid w:val="00C50008"/>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C50008"/>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C50008"/>
  </w:style>
  <w:style w:type="paragraph" w:customStyle="1" w:styleId="aparanumbering">
    <w:name w:val="aparanumbering"/>
    <w:basedOn w:val="Normal"/>
    <w:rsid w:val="00C50008"/>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C50008"/>
  </w:style>
  <w:style w:type="paragraph" w:customStyle="1" w:styleId="scjnumber">
    <w:name w:val="scjnumber"/>
    <w:basedOn w:val="Normal"/>
    <w:rsid w:val="00C50008"/>
    <w:pPr>
      <w:spacing w:before="100" w:beforeAutospacing="1" w:after="100" w:afterAutospacing="1"/>
    </w:pPr>
    <w:rPr>
      <w:rFonts w:eastAsia="Times New Roman" w:cs="Times New Roman"/>
      <w:szCs w:val="24"/>
      <w:lang w:val="en-US"/>
    </w:rPr>
  </w:style>
  <w:style w:type="paragraph" w:customStyle="1" w:styleId="body">
    <w:name w:val="body"/>
    <w:basedOn w:val="Normal"/>
    <w:rsid w:val="00C50008"/>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C50008"/>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C50008"/>
  </w:style>
  <w:style w:type="paragraph" w:customStyle="1" w:styleId="mainparagraph">
    <w:name w:val="mainparagraph"/>
    <w:basedOn w:val="Normal"/>
    <w:rsid w:val="00C50008"/>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71248350">
      <w:bodyDiv w:val="1"/>
      <w:marLeft w:val="0"/>
      <w:marRight w:val="0"/>
      <w:marTop w:val="0"/>
      <w:marBottom w:val="0"/>
      <w:divBdr>
        <w:top w:val="none" w:sz="0" w:space="0" w:color="auto"/>
        <w:left w:val="none" w:sz="0" w:space="0" w:color="auto"/>
        <w:bottom w:val="none" w:sz="0" w:space="0" w:color="auto"/>
        <w:right w:val="none" w:sz="0" w:space="0" w:color="auto"/>
      </w:divBdr>
    </w:div>
    <w:div w:id="1314020113">
      <w:bodyDiv w:val="1"/>
      <w:marLeft w:val="0"/>
      <w:marRight w:val="0"/>
      <w:marTop w:val="0"/>
      <w:marBottom w:val="0"/>
      <w:divBdr>
        <w:top w:val="none" w:sz="0" w:space="0" w:color="auto"/>
        <w:left w:val="none" w:sz="0" w:space="0" w:color="auto"/>
        <w:bottom w:val="none" w:sz="0" w:space="0" w:color="auto"/>
        <w:right w:val="none" w:sz="0" w:space="0" w:color="auto"/>
      </w:divBdr>
      <w:divsChild>
        <w:div w:id="1292130779">
          <w:marLeft w:val="0"/>
          <w:marRight w:val="0"/>
          <w:marTop w:val="0"/>
          <w:marBottom w:val="0"/>
          <w:divBdr>
            <w:top w:val="none" w:sz="0" w:space="0" w:color="auto"/>
            <w:left w:val="none" w:sz="0" w:space="0" w:color="auto"/>
            <w:bottom w:val="none" w:sz="0" w:space="0" w:color="auto"/>
            <w:right w:val="none" w:sz="0" w:space="0" w:color="auto"/>
          </w:divBdr>
          <w:divsChild>
            <w:div w:id="107939289">
              <w:marLeft w:val="-225"/>
              <w:marRight w:val="-225"/>
              <w:marTop w:val="0"/>
              <w:marBottom w:val="0"/>
              <w:divBdr>
                <w:top w:val="none" w:sz="0" w:space="0" w:color="auto"/>
                <w:left w:val="none" w:sz="0" w:space="0" w:color="auto"/>
                <w:bottom w:val="none" w:sz="0" w:space="0" w:color="auto"/>
                <w:right w:val="none" w:sz="0" w:space="0" w:color="auto"/>
              </w:divBdr>
              <w:divsChild>
                <w:div w:id="843393868">
                  <w:marLeft w:val="0"/>
                  <w:marRight w:val="0"/>
                  <w:marTop w:val="0"/>
                  <w:marBottom w:val="0"/>
                  <w:divBdr>
                    <w:top w:val="none" w:sz="0" w:space="0" w:color="auto"/>
                    <w:left w:val="none" w:sz="0" w:space="0" w:color="auto"/>
                    <w:bottom w:val="none" w:sz="0" w:space="0" w:color="auto"/>
                    <w:right w:val="none" w:sz="0" w:space="0" w:color="auto"/>
                  </w:divBdr>
                  <w:divsChild>
                    <w:div w:id="2002154896">
                      <w:marLeft w:val="0"/>
                      <w:marRight w:val="0"/>
                      <w:marTop w:val="0"/>
                      <w:marBottom w:val="0"/>
                      <w:divBdr>
                        <w:top w:val="none" w:sz="0" w:space="0" w:color="auto"/>
                        <w:left w:val="none" w:sz="0" w:space="0" w:color="auto"/>
                        <w:bottom w:val="none" w:sz="0" w:space="0" w:color="auto"/>
                        <w:right w:val="none" w:sz="0" w:space="0" w:color="auto"/>
                      </w:divBdr>
                      <w:divsChild>
                        <w:div w:id="1105462799">
                          <w:marLeft w:val="0"/>
                          <w:marRight w:val="0"/>
                          <w:marTop w:val="0"/>
                          <w:marBottom w:val="0"/>
                          <w:divBdr>
                            <w:top w:val="none" w:sz="0" w:space="0" w:color="auto"/>
                            <w:left w:val="none" w:sz="0" w:space="0" w:color="auto"/>
                            <w:bottom w:val="none" w:sz="0" w:space="0" w:color="auto"/>
                            <w:right w:val="none" w:sz="0" w:space="0" w:color="auto"/>
                          </w:divBdr>
                          <w:divsChild>
                            <w:div w:id="253051934">
                              <w:marLeft w:val="0"/>
                              <w:marRight w:val="0"/>
                              <w:marTop w:val="0"/>
                              <w:marBottom w:val="0"/>
                              <w:divBdr>
                                <w:top w:val="none" w:sz="0" w:space="0" w:color="auto"/>
                                <w:left w:val="none" w:sz="0" w:space="0" w:color="auto"/>
                                <w:bottom w:val="none" w:sz="0" w:space="0" w:color="auto"/>
                                <w:right w:val="none" w:sz="0" w:space="0" w:color="auto"/>
                              </w:divBdr>
                              <w:divsChild>
                                <w:div w:id="1636444780">
                                  <w:marLeft w:val="0"/>
                                  <w:marRight w:val="0"/>
                                  <w:marTop w:val="0"/>
                                  <w:marBottom w:val="0"/>
                                  <w:divBdr>
                                    <w:top w:val="none" w:sz="0" w:space="0" w:color="auto"/>
                                    <w:left w:val="none" w:sz="0" w:space="0" w:color="auto"/>
                                    <w:bottom w:val="none" w:sz="0" w:space="0" w:color="auto"/>
                                    <w:right w:val="none" w:sz="0" w:space="0" w:color="auto"/>
                                  </w:divBdr>
                                  <w:divsChild>
                                    <w:div w:id="1554661263">
                                      <w:marLeft w:val="0"/>
                                      <w:marRight w:val="0"/>
                                      <w:marTop w:val="0"/>
                                      <w:marBottom w:val="0"/>
                                      <w:divBdr>
                                        <w:top w:val="none" w:sz="0" w:space="0" w:color="auto"/>
                                        <w:left w:val="none" w:sz="0" w:space="0" w:color="auto"/>
                                        <w:bottom w:val="none" w:sz="0" w:space="0" w:color="auto"/>
                                        <w:right w:val="none" w:sz="0" w:space="0" w:color="auto"/>
                                      </w:divBdr>
                                      <w:divsChild>
                                        <w:div w:id="1336420511">
                                          <w:marLeft w:val="225"/>
                                          <w:marRight w:val="0"/>
                                          <w:marTop w:val="0"/>
                                          <w:marBottom w:val="0"/>
                                          <w:divBdr>
                                            <w:top w:val="none" w:sz="0" w:space="0" w:color="auto"/>
                                            <w:left w:val="none" w:sz="0" w:space="0" w:color="auto"/>
                                            <w:bottom w:val="none" w:sz="0" w:space="0" w:color="auto"/>
                                            <w:right w:val="none" w:sz="0" w:space="0" w:color="auto"/>
                                          </w:divBdr>
                                          <w:divsChild>
                                            <w:div w:id="642151427">
                                              <w:marLeft w:val="0"/>
                                              <w:marRight w:val="0"/>
                                              <w:marTop w:val="60"/>
                                              <w:marBottom w:val="60"/>
                                              <w:divBdr>
                                                <w:top w:val="none" w:sz="0" w:space="0" w:color="auto"/>
                                                <w:left w:val="none" w:sz="0" w:space="0" w:color="auto"/>
                                                <w:bottom w:val="none" w:sz="0" w:space="0" w:color="auto"/>
                                                <w:right w:val="none" w:sz="0" w:space="0" w:color="auto"/>
                                              </w:divBdr>
                                              <w:divsChild>
                                                <w:div w:id="1460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9gj8" TargetMode="External"/><Relationship Id="rId26" Type="http://schemas.openxmlformats.org/officeDocument/2006/relationships/hyperlink" Target="https://www.canlii.org/en/ab/abca/doc/2020/2020abca424/2020abca424.html" TargetMode="External"/><Relationship Id="rId39" Type="http://schemas.openxmlformats.org/officeDocument/2006/relationships/hyperlink" Target="https://canlii.ca/t/hxs59" TargetMode="External"/><Relationship Id="rId21" Type="http://schemas.openxmlformats.org/officeDocument/2006/relationships/hyperlink" Target="https://canlii.ca/t/j9hc6" TargetMode="External"/><Relationship Id="rId34" Type="http://schemas.openxmlformats.org/officeDocument/2006/relationships/hyperlink" Target="https://www.canlii.org/fr/qc/qcca/doc/2020/2020qcca1589/2020qcca1589.html?searchUrlHash=AAAAAQARIk1pY2hlbCBMYWJvbnTDqSIAAAAAAQ&amp;resultIndex=1" TargetMode="External"/><Relationship Id="rId42" Type="http://schemas.openxmlformats.org/officeDocument/2006/relationships/hyperlink" Target="https://canlii.ca/t/j7shl" TargetMode="External"/><Relationship Id="rId47" Type="http://schemas.openxmlformats.org/officeDocument/2006/relationships/hyperlink" Target="https://www.canlii.org/en/on/onsc/doc/2019/2019onsc3404/2019onsc3404.html?resultIndex=1" TargetMode="External"/><Relationship Id="rId50" Type="http://schemas.openxmlformats.org/officeDocument/2006/relationships/hyperlink" Target="https://www.canlii.org/en/on/onca/doc/2020/2020onca682/2020onca682.html?resultIndex=1" TargetMode="External"/><Relationship Id="rId55" Type="http://schemas.openxmlformats.org/officeDocument/2006/relationships/header" Target="header3.xml"/><Relationship Id="rId63" Type="http://schemas.openxmlformats.org/officeDocument/2006/relationships/footer" Target="footer6.xml"/><Relationship Id="rId68" Type="http://schemas.openxmlformats.org/officeDocument/2006/relationships/hyperlink" Target="https://www.scc-csc.ca/case-dossier/info/sum-som-eng.aspx?cas=39227" TargetMode="External"/><Relationship Id="rId76" Type="http://schemas.openxmlformats.org/officeDocument/2006/relationships/header" Target="header11.xml"/><Relationship Id="rId84" Type="http://schemas.openxmlformats.org/officeDocument/2006/relationships/header" Target="header1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cc-csc.ca/case-dossier/info/sum-som-eng.aspx?cas=39222" TargetMode="External"/><Relationship Id="rId2" Type="http://schemas.openxmlformats.org/officeDocument/2006/relationships/numbering" Target="numbering.xml"/><Relationship Id="rId16" Type="http://schemas.openxmlformats.org/officeDocument/2006/relationships/hyperlink" Target="https://canlii.ca/t/j9gj8" TargetMode="External"/><Relationship Id="rId29" Type="http://schemas.openxmlformats.org/officeDocument/2006/relationships/hyperlink" Target="http://c-doc.domain.scc-csc.gc.ca/L25/01/05/%3chttps:/canlii.ca/t/h3l1p%3e," TargetMode="External"/><Relationship Id="rId11" Type="http://schemas.openxmlformats.org/officeDocument/2006/relationships/header" Target="header1.xml"/><Relationship Id="rId24" Type="http://schemas.openxmlformats.org/officeDocument/2006/relationships/hyperlink" Target="https://canlii.ca/t/j9hc6" TargetMode="External"/><Relationship Id="rId32" Type="http://schemas.openxmlformats.org/officeDocument/2006/relationships/hyperlink" Target="https://canlii.ca/t/j9p4m" TargetMode="External"/><Relationship Id="rId37" Type="http://schemas.openxmlformats.org/officeDocument/2006/relationships/hyperlink" Target="https://canlii.ca/t/jbtpl" TargetMode="External"/><Relationship Id="rId40" Type="http://schemas.openxmlformats.org/officeDocument/2006/relationships/hyperlink" Target="https://canlii.ca/t/j7shl" TargetMode="External"/><Relationship Id="rId45" Type="http://schemas.openxmlformats.org/officeDocument/2006/relationships/hyperlink" Target="https://canlii.ca/t/hxs59" TargetMode="External"/><Relationship Id="rId53" Type="http://schemas.openxmlformats.org/officeDocument/2006/relationships/hyperlink" Target="https://www.canlii.org/en/on/onsc/doc/2019/2019onsc7418/2019onsc7418.html?autocompleteStr=2019%20onsc%207418&amp;autocompletePos=1" TargetMode="External"/><Relationship Id="rId58" Type="http://schemas.openxmlformats.org/officeDocument/2006/relationships/footer" Target="footer4.xml"/><Relationship Id="rId66" Type="http://schemas.openxmlformats.org/officeDocument/2006/relationships/footer" Target="footer8.xml"/><Relationship Id="rId74" Type="http://schemas.openxmlformats.org/officeDocument/2006/relationships/footer" Target="footer9.xml"/><Relationship Id="rId79" Type="http://schemas.openxmlformats.org/officeDocument/2006/relationships/hyperlink" Target="https://decisions.scc-csc.ca/scc-csc/scc-csc/fr/item/18895/index.do" TargetMode="External"/><Relationship Id="rId87"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eader" Target="header6.xml"/><Relationship Id="rId82" Type="http://schemas.openxmlformats.org/officeDocument/2006/relationships/footer" Target="footer12.xml"/><Relationship Id="rId19" Type="http://schemas.openxmlformats.org/officeDocument/2006/relationships/hyperlink" Target="https://canlii.ca/t/gv923"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gv923" TargetMode="External"/><Relationship Id="rId27" Type="http://schemas.openxmlformats.org/officeDocument/2006/relationships/hyperlink" Target="https://www.canlii.org/en/ab/abqb/doc/2019/2019abqb686/2019abqb686.html" TargetMode="External"/><Relationship Id="rId30" Type="http://schemas.openxmlformats.org/officeDocument/2006/relationships/hyperlink" Target="https://canlii.ca/t/j9p4m" TargetMode="External"/><Relationship Id="rId35" Type="http://schemas.openxmlformats.org/officeDocument/2006/relationships/hyperlink" Target="https://www.canlii.org/fr/qc/qccs/doc/2019/2019qccs222/2019qccs222.html" TargetMode="External"/><Relationship Id="rId43" Type="http://schemas.openxmlformats.org/officeDocument/2006/relationships/hyperlink" Target="https://canlii.ca/t/hxs59" TargetMode="External"/><Relationship Id="rId48" Type="http://schemas.openxmlformats.org/officeDocument/2006/relationships/hyperlink" Target="https://www.canlii.org/en/on/onca/doc/2020/2020onca682/2020onca682.html?resultIndex=1" TargetMode="External"/><Relationship Id="rId56" Type="http://schemas.openxmlformats.org/officeDocument/2006/relationships/header" Target="header4.xml"/><Relationship Id="rId64" Type="http://schemas.openxmlformats.org/officeDocument/2006/relationships/footer" Target="footer7.xml"/><Relationship Id="rId69" Type="http://schemas.openxmlformats.org/officeDocument/2006/relationships/hyperlink" Target="https://www.scc-csc.ca/case-dossier/info/sum-som-eng.aspx?cas=39456" TargetMode="External"/><Relationship Id="rId77"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s://www.canlii.org/en/on/onsc/doc/2019/2019onsc7418/2019onsc7418.html?autocompleteStr=2019%20onsc%207418&amp;autocompletePos=1" TargetMode="External"/><Relationship Id="rId72" Type="http://schemas.openxmlformats.org/officeDocument/2006/relationships/header" Target="header9.xml"/><Relationship Id="rId80" Type="http://schemas.openxmlformats.org/officeDocument/2006/relationships/header" Target="header12.xml"/><Relationship Id="rId85"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hpr37" TargetMode="External"/><Relationship Id="rId25" Type="http://schemas.openxmlformats.org/officeDocument/2006/relationships/hyperlink" Target="https://www.canlii.org/en/ab/abqb/doc/2019/2019abqb686/2019abqb686.html" TargetMode="External"/><Relationship Id="rId33" Type="http://schemas.openxmlformats.org/officeDocument/2006/relationships/hyperlink" Target="https://www.canlii.org/fr/qc/qccs/doc/2019/2019qccs222/2019qccs222.html" TargetMode="External"/><Relationship Id="rId38" Type="http://schemas.openxmlformats.org/officeDocument/2006/relationships/hyperlink" Target="https://canlii.ca/t/jbtpl" TargetMode="External"/><Relationship Id="rId46" Type="http://schemas.openxmlformats.org/officeDocument/2006/relationships/hyperlink" Target="https://canlii.ca/t/j7shl" TargetMode="External"/><Relationship Id="rId59" Type="http://schemas.openxmlformats.org/officeDocument/2006/relationships/header" Target="header5.xml"/><Relationship Id="rId67" Type="http://schemas.openxmlformats.org/officeDocument/2006/relationships/hyperlink" Target="https://www.scc-csc.ca/case-dossier/info/sum-som-eng.aspx?cas=38949" TargetMode="External"/><Relationship Id="rId20" Type="http://schemas.openxmlformats.org/officeDocument/2006/relationships/hyperlink" Target="https://canlii.ca/t/hrcz9" TargetMode="External"/><Relationship Id="rId41" Type="http://schemas.openxmlformats.org/officeDocument/2006/relationships/hyperlink" Target="https://canlii.ca/t/hxs59" TargetMode="External"/><Relationship Id="rId54" Type="http://schemas.openxmlformats.org/officeDocument/2006/relationships/hyperlink" Target="https://www.canlii.org/en/on/onca/doc/2020/2020onca729/2020onca729.html?autocompleteStr=2020%20onca%20729&amp;autocompletePos=1" TargetMode="External"/><Relationship Id="rId62" Type="http://schemas.openxmlformats.org/officeDocument/2006/relationships/header" Target="header7.xml"/><Relationship Id="rId70" Type="http://schemas.openxmlformats.org/officeDocument/2006/relationships/hyperlink" Target="https://www.scc-csc.ca/case-dossier/info/sum-som-fra.aspx?cas=39186" TargetMode="External"/><Relationship Id="rId75" Type="http://schemas.openxmlformats.org/officeDocument/2006/relationships/footer" Target="footer10.xml"/><Relationship Id="rId83" Type="http://schemas.openxmlformats.org/officeDocument/2006/relationships/footer" Target="footer1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hpr37" TargetMode="External"/><Relationship Id="rId23" Type="http://schemas.openxmlformats.org/officeDocument/2006/relationships/hyperlink" Target="https://canlii.ca/t/hrcz9" TargetMode="External"/><Relationship Id="rId28" Type="http://schemas.openxmlformats.org/officeDocument/2006/relationships/hyperlink" Target="https://www.canlii.org/en/ab/abca/doc/2020/2020abca424/2020abca424.html" TargetMode="External"/><Relationship Id="rId36" Type="http://schemas.openxmlformats.org/officeDocument/2006/relationships/hyperlink" Target="https://www.canlii.org/fr/qc/qcca/doc/2020/2020qcca1589/2020qcca1589.html?searchUrlHash=AAAAAQARIk1pY2hlbCBMYWJvbnTDqSIAAAAAAQ&amp;resultIndex=1" TargetMode="External"/><Relationship Id="rId49" Type="http://schemas.openxmlformats.org/officeDocument/2006/relationships/hyperlink" Target="https://www.canlii.org/en/on/onsc/doc/2019/2019onsc3404/2019onsc3404.html?resultIndex=1" TargetMode="External"/><Relationship Id="rId57" Type="http://schemas.openxmlformats.org/officeDocument/2006/relationships/footer" Target="footer3.xml"/><Relationship Id="rId10" Type="http://schemas.openxmlformats.org/officeDocument/2006/relationships/hyperlink" Target="https://www.scc-csc.ca" TargetMode="External"/><Relationship Id="rId31" Type="http://schemas.openxmlformats.org/officeDocument/2006/relationships/hyperlink" Target="https://www.canlii.org/fr/ca/cfpi/doc/2017/2017cf350/2017cf350.html" TargetMode="External"/><Relationship Id="rId44" Type="http://schemas.openxmlformats.org/officeDocument/2006/relationships/hyperlink" Target="https://canlii.ca/t/j7shl" TargetMode="External"/><Relationship Id="rId52" Type="http://schemas.openxmlformats.org/officeDocument/2006/relationships/hyperlink" Target="https://www.canlii.org/en/on/onca/doc/2020/2020onca729/2020onca729.html?autocompleteStr=2020%20onca%20729&amp;autocompletePos=1" TargetMode="External"/><Relationship Id="rId60" Type="http://schemas.openxmlformats.org/officeDocument/2006/relationships/footer" Target="footer5.xml"/><Relationship Id="rId65" Type="http://schemas.openxmlformats.org/officeDocument/2006/relationships/header" Target="header8.xml"/><Relationship Id="rId73" Type="http://schemas.openxmlformats.org/officeDocument/2006/relationships/header" Target="header10.xml"/><Relationship Id="rId78" Type="http://schemas.openxmlformats.org/officeDocument/2006/relationships/hyperlink" Target="https://decisions.scc-csc.ca/scc-csc/scc-csc/en/item/18895/index.do" TargetMode="External"/><Relationship Id="rId81" Type="http://schemas.openxmlformats.org/officeDocument/2006/relationships/header" Target="header13.xml"/><Relationship Id="rId86"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A93D-FF0A-4585-BD72-1C4D9C8B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29</Pages>
  <Words>12202</Words>
  <Characters>69554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2021-05-12T18:00:00Z</dcterms:created>
  <dcterms:modified xsi:type="dcterms:W3CDTF">2021-05-27T16:48:00Z</dcterms:modified>
</cp:coreProperties>
</file>