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956FA1" w:rsidTr="00F138C1">
        <w:tc>
          <w:tcPr>
            <w:tcW w:w="9648" w:type="dxa"/>
            <w:gridSpan w:val="3"/>
          </w:tcPr>
          <w:p w:rsidR="008C2D9E" w:rsidRPr="00956FA1" w:rsidRDefault="008C2D9E" w:rsidP="00F138C1">
            <w:pPr>
              <w:tabs>
                <w:tab w:val="left" w:pos="6075"/>
              </w:tabs>
              <w:jc w:val="center"/>
              <w:rPr>
                <w:b/>
                <w:sz w:val="32"/>
                <w:szCs w:val="32"/>
                <w:lang w:val="fr-CA"/>
              </w:rPr>
            </w:pPr>
            <w:r w:rsidRPr="00956FA1">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956FA1" w:rsidRDefault="008C2D9E" w:rsidP="00F138C1">
            <w:pPr>
              <w:tabs>
                <w:tab w:val="left" w:pos="6075"/>
              </w:tabs>
              <w:jc w:val="center"/>
              <w:rPr>
                <w:b/>
                <w:sz w:val="32"/>
                <w:szCs w:val="32"/>
                <w:lang w:val="fr-CA"/>
              </w:rPr>
            </w:pPr>
          </w:p>
        </w:tc>
      </w:tr>
      <w:tr w:rsidR="00F138C1" w:rsidRPr="00956FA1" w:rsidTr="00F138C1">
        <w:tc>
          <w:tcPr>
            <w:tcW w:w="4599" w:type="dxa"/>
            <w:tcMar>
              <w:top w:w="284" w:type="dxa"/>
            </w:tcMar>
          </w:tcPr>
          <w:p w:rsidR="00F138C1" w:rsidRPr="00956FA1" w:rsidRDefault="00F138C1" w:rsidP="00F138C1">
            <w:pPr>
              <w:tabs>
                <w:tab w:val="left" w:pos="6075"/>
              </w:tabs>
              <w:jc w:val="center"/>
              <w:rPr>
                <w:b/>
                <w:sz w:val="32"/>
                <w:szCs w:val="32"/>
              </w:rPr>
            </w:pPr>
            <w:r w:rsidRPr="00956FA1">
              <w:rPr>
                <w:b/>
                <w:sz w:val="32"/>
                <w:szCs w:val="32"/>
              </w:rPr>
              <w:t>SUPREME COURT OF CANADA</w:t>
            </w:r>
          </w:p>
        </w:tc>
        <w:tc>
          <w:tcPr>
            <w:tcW w:w="483" w:type="dxa"/>
          </w:tcPr>
          <w:p w:rsidR="00F138C1" w:rsidRPr="00956FA1" w:rsidRDefault="00F138C1" w:rsidP="00F138C1">
            <w:pPr>
              <w:tabs>
                <w:tab w:val="left" w:pos="6075"/>
              </w:tabs>
              <w:jc w:val="center"/>
              <w:rPr>
                <w:sz w:val="32"/>
                <w:szCs w:val="32"/>
              </w:rPr>
            </w:pPr>
          </w:p>
        </w:tc>
        <w:tc>
          <w:tcPr>
            <w:tcW w:w="4566" w:type="dxa"/>
            <w:tcMar>
              <w:top w:w="284" w:type="dxa"/>
            </w:tcMar>
          </w:tcPr>
          <w:p w:rsidR="00F138C1" w:rsidRPr="00956FA1" w:rsidRDefault="00F138C1" w:rsidP="00F138C1">
            <w:pPr>
              <w:tabs>
                <w:tab w:val="left" w:pos="6075"/>
              </w:tabs>
              <w:jc w:val="center"/>
              <w:rPr>
                <w:b/>
                <w:sz w:val="32"/>
                <w:szCs w:val="32"/>
                <w:lang w:val="fr-CA"/>
              </w:rPr>
            </w:pPr>
            <w:r w:rsidRPr="00956FA1">
              <w:rPr>
                <w:b/>
                <w:sz w:val="32"/>
                <w:szCs w:val="32"/>
                <w:lang w:val="fr-CA"/>
              </w:rPr>
              <w:t>COUR SUPRÊME DU CANADA</w:t>
            </w:r>
          </w:p>
        </w:tc>
      </w:tr>
      <w:tr w:rsidR="00F138C1" w:rsidRPr="00956FA1" w:rsidTr="00F138C1">
        <w:tc>
          <w:tcPr>
            <w:tcW w:w="4599" w:type="dxa"/>
            <w:tcMar>
              <w:top w:w="567" w:type="dxa"/>
            </w:tcMar>
          </w:tcPr>
          <w:p w:rsidR="00F138C1" w:rsidRPr="00956FA1" w:rsidRDefault="00F138C1" w:rsidP="00F138C1">
            <w:pPr>
              <w:tabs>
                <w:tab w:val="left" w:pos="6075"/>
              </w:tabs>
              <w:jc w:val="center"/>
              <w:rPr>
                <w:sz w:val="28"/>
                <w:szCs w:val="28"/>
              </w:rPr>
            </w:pPr>
            <w:r w:rsidRPr="00956FA1">
              <w:rPr>
                <w:sz w:val="28"/>
                <w:szCs w:val="28"/>
              </w:rPr>
              <w:t>BULLETIN OF</w:t>
            </w:r>
            <w:r w:rsidRPr="00956FA1">
              <w:rPr>
                <w:sz w:val="28"/>
                <w:szCs w:val="28"/>
              </w:rPr>
              <w:br/>
              <w:t xml:space="preserve"> PROCEEDINGS</w:t>
            </w:r>
          </w:p>
        </w:tc>
        <w:tc>
          <w:tcPr>
            <w:tcW w:w="483" w:type="dxa"/>
          </w:tcPr>
          <w:p w:rsidR="00F138C1" w:rsidRPr="00956FA1" w:rsidRDefault="00F138C1" w:rsidP="00F138C1">
            <w:pPr>
              <w:tabs>
                <w:tab w:val="left" w:pos="6075"/>
              </w:tabs>
            </w:pPr>
          </w:p>
        </w:tc>
        <w:tc>
          <w:tcPr>
            <w:tcW w:w="4566" w:type="dxa"/>
            <w:tcMar>
              <w:top w:w="567" w:type="dxa"/>
            </w:tcMar>
          </w:tcPr>
          <w:p w:rsidR="00F138C1" w:rsidRPr="00956FA1" w:rsidRDefault="00F138C1" w:rsidP="00F138C1">
            <w:pPr>
              <w:tabs>
                <w:tab w:val="left" w:pos="6075"/>
              </w:tabs>
              <w:jc w:val="center"/>
              <w:rPr>
                <w:sz w:val="28"/>
                <w:szCs w:val="28"/>
                <w:lang w:val="fr-CA"/>
              </w:rPr>
            </w:pPr>
            <w:r w:rsidRPr="00956FA1">
              <w:rPr>
                <w:sz w:val="28"/>
                <w:szCs w:val="28"/>
                <w:lang w:val="fr-CA"/>
              </w:rPr>
              <w:t>BULLETIN DES</w:t>
            </w:r>
            <w:r w:rsidRPr="00956FA1">
              <w:rPr>
                <w:sz w:val="28"/>
                <w:szCs w:val="28"/>
                <w:lang w:val="fr-CA"/>
              </w:rPr>
              <w:br/>
              <w:t xml:space="preserve"> PROCÉDURES</w:t>
            </w:r>
          </w:p>
        </w:tc>
      </w:tr>
      <w:tr w:rsidR="00F138C1" w:rsidRPr="00956FA1" w:rsidTr="00F138C1">
        <w:tc>
          <w:tcPr>
            <w:tcW w:w="4599" w:type="dxa"/>
            <w:tcMar>
              <w:top w:w="567" w:type="dxa"/>
            </w:tcMar>
          </w:tcPr>
          <w:p w:rsidR="00F138C1" w:rsidRPr="00956FA1" w:rsidRDefault="00F138C1" w:rsidP="00F138C1">
            <w:pPr>
              <w:tabs>
                <w:tab w:val="left" w:pos="6075"/>
              </w:tabs>
              <w:jc w:val="both"/>
              <w:rPr>
                <w:rFonts w:ascii="Arial" w:hAnsi="Arial" w:cs="Arial"/>
                <w:i/>
                <w:sz w:val="20"/>
                <w:szCs w:val="20"/>
              </w:rPr>
            </w:pPr>
            <w:r w:rsidRPr="00956FA1">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956FA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56FA1" w:rsidRDefault="00F138C1" w:rsidP="00F138C1">
            <w:pPr>
              <w:tabs>
                <w:tab w:val="left" w:pos="6075"/>
              </w:tabs>
              <w:jc w:val="both"/>
              <w:rPr>
                <w:rFonts w:ascii="Arial" w:hAnsi="Arial" w:cs="Arial"/>
                <w:i/>
                <w:sz w:val="20"/>
                <w:szCs w:val="20"/>
                <w:lang w:val="fr-CA"/>
              </w:rPr>
            </w:pPr>
            <w:r w:rsidRPr="00956FA1">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956FA1" w:rsidTr="00F138C1">
        <w:tc>
          <w:tcPr>
            <w:tcW w:w="4599" w:type="dxa"/>
            <w:tcMar>
              <w:top w:w="567" w:type="dxa"/>
            </w:tcMar>
          </w:tcPr>
          <w:p w:rsidR="00F138C1" w:rsidRPr="00956FA1" w:rsidRDefault="00F138C1" w:rsidP="00F138C1">
            <w:pPr>
              <w:tabs>
                <w:tab w:val="left" w:pos="6075"/>
              </w:tabs>
              <w:jc w:val="both"/>
              <w:rPr>
                <w:rFonts w:ascii="Arial" w:hAnsi="Arial" w:cs="Arial"/>
                <w:i/>
                <w:sz w:val="20"/>
                <w:szCs w:val="20"/>
              </w:rPr>
            </w:pPr>
            <w:r w:rsidRPr="00956FA1">
              <w:rPr>
                <w:rFonts w:ascii="Arial" w:hAnsi="Arial" w:cs="Arial"/>
                <w:i/>
                <w:sz w:val="20"/>
                <w:szCs w:val="20"/>
              </w:rPr>
              <w:t>During Court sessions, the Bulletin is usually issued weekly.</w:t>
            </w:r>
          </w:p>
        </w:tc>
        <w:tc>
          <w:tcPr>
            <w:tcW w:w="483" w:type="dxa"/>
          </w:tcPr>
          <w:p w:rsidR="00F138C1" w:rsidRPr="00956FA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56FA1" w:rsidRDefault="00F138C1" w:rsidP="00F138C1">
            <w:pPr>
              <w:tabs>
                <w:tab w:val="left" w:pos="6075"/>
              </w:tabs>
              <w:jc w:val="both"/>
              <w:rPr>
                <w:rFonts w:ascii="Arial" w:hAnsi="Arial" w:cs="Arial"/>
                <w:i/>
                <w:sz w:val="20"/>
                <w:szCs w:val="20"/>
                <w:lang w:val="fr-CA"/>
              </w:rPr>
            </w:pPr>
            <w:r w:rsidRPr="00956FA1">
              <w:rPr>
                <w:rFonts w:ascii="Arial" w:hAnsi="Arial" w:cs="Arial"/>
                <w:i/>
                <w:sz w:val="20"/>
                <w:szCs w:val="20"/>
                <w:lang w:val="fr-CA"/>
              </w:rPr>
              <w:t>Le Bulletin paraît en principe toutes les semaines pendant les sessions de la Cour.</w:t>
            </w:r>
          </w:p>
        </w:tc>
      </w:tr>
      <w:tr w:rsidR="00F138C1" w:rsidRPr="00956FA1" w:rsidTr="00F138C1">
        <w:tc>
          <w:tcPr>
            <w:tcW w:w="4599" w:type="dxa"/>
            <w:tcMar>
              <w:top w:w="567" w:type="dxa"/>
            </w:tcMar>
          </w:tcPr>
          <w:p w:rsidR="00F138C1" w:rsidRPr="00956FA1" w:rsidRDefault="00F138C1" w:rsidP="00F138C1">
            <w:pPr>
              <w:tabs>
                <w:tab w:val="left" w:pos="6075"/>
              </w:tabs>
              <w:jc w:val="both"/>
              <w:rPr>
                <w:rFonts w:ascii="Arial" w:hAnsi="Arial" w:cs="Arial"/>
                <w:i/>
                <w:sz w:val="20"/>
                <w:szCs w:val="20"/>
              </w:rPr>
            </w:pPr>
            <w:r w:rsidRPr="00956FA1">
              <w:rPr>
                <w:rFonts w:ascii="Arial" w:hAnsi="Arial" w:cs="Arial"/>
                <w:i/>
                <w:sz w:val="20"/>
                <w:szCs w:val="20"/>
              </w:rPr>
              <w:fldChar w:fldCharType="begin"/>
            </w:r>
            <w:r w:rsidRPr="00956FA1">
              <w:rPr>
                <w:rFonts w:ascii="Arial" w:hAnsi="Arial" w:cs="Arial"/>
                <w:i/>
                <w:sz w:val="20"/>
                <w:szCs w:val="20"/>
              </w:rPr>
              <w:instrText xml:space="preserve"> SEQ CHAPTER \h \r 1</w:instrText>
            </w:r>
            <w:r w:rsidRPr="00956FA1">
              <w:rPr>
                <w:rFonts w:ascii="Arial" w:hAnsi="Arial" w:cs="Arial"/>
                <w:i/>
                <w:sz w:val="20"/>
                <w:szCs w:val="20"/>
              </w:rPr>
              <w:fldChar w:fldCharType="end"/>
            </w:r>
            <w:r w:rsidRPr="00956FA1">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956FA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56FA1" w:rsidRDefault="00F138C1" w:rsidP="00F138C1">
            <w:pPr>
              <w:tabs>
                <w:tab w:val="left" w:pos="6075"/>
              </w:tabs>
              <w:jc w:val="both"/>
              <w:rPr>
                <w:rFonts w:ascii="Arial" w:hAnsi="Arial" w:cs="Arial"/>
                <w:i/>
                <w:sz w:val="20"/>
                <w:szCs w:val="20"/>
                <w:lang w:val="fr-CA"/>
              </w:rPr>
            </w:pPr>
            <w:r w:rsidRPr="00956FA1">
              <w:rPr>
                <w:rFonts w:ascii="Arial" w:hAnsi="Arial" w:cs="Arial"/>
                <w:i/>
                <w:sz w:val="20"/>
                <w:szCs w:val="20"/>
                <w:lang w:val="fr-CA"/>
              </w:rPr>
              <w:fldChar w:fldCharType="begin"/>
            </w:r>
            <w:r w:rsidRPr="00956FA1">
              <w:rPr>
                <w:rFonts w:ascii="Arial" w:hAnsi="Arial" w:cs="Arial"/>
                <w:i/>
                <w:sz w:val="20"/>
                <w:szCs w:val="20"/>
                <w:lang w:val="fr-CA"/>
              </w:rPr>
              <w:instrText xml:space="preserve"> SEQ CHAPTER \h \r 1</w:instrText>
            </w:r>
            <w:r w:rsidRPr="00956FA1">
              <w:rPr>
                <w:rFonts w:ascii="Arial" w:hAnsi="Arial" w:cs="Arial"/>
                <w:i/>
                <w:sz w:val="20"/>
                <w:szCs w:val="20"/>
                <w:lang w:val="fr-CA"/>
              </w:rPr>
              <w:fldChar w:fldCharType="end"/>
            </w:r>
            <w:r w:rsidRPr="00956FA1">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956FA1" w:rsidTr="00F138C1">
        <w:tc>
          <w:tcPr>
            <w:tcW w:w="4599" w:type="dxa"/>
            <w:tcMar>
              <w:top w:w="567" w:type="dxa"/>
            </w:tcMar>
          </w:tcPr>
          <w:p w:rsidR="00F138C1" w:rsidRPr="00956FA1" w:rsidRDefault="00F138C1" w:rsidP="00F138C1">
            <w:pPr>
              <w:tabs>
                <w:tab w:val="left" w:pos="6075"/>
              </w:tabs>
              <w:jc w:val="both"/>
              <w:rPr>
                <w:rFonts w:ascii="Arial" w:hAnsi="Arial" w:cs="Arial"/>
                <w:i/>
                <w:sz w:val="20"/>
                <w:szCs w:val="20"/>
              </w:rPr>
            </w:pPr>
            <w:r w:rsidRPr="00956FA1">
              <w:rPr>
                <w:rFonts w:ascii="Arial" w:hAnsi="Arial" w:cs="Arial"/>
                <w:i/>
                <w:sz w:val="20"/>
                <w:szCs w:val="20"/>
                <w:lang w:val="en-US"/>
              </w:rPr>
              <w:t>Please c</w:t>
            </w:r>
            <w:r w:rsidRPr="00956FA1">
              <w:rPr>
                <w:rFonts w:ascii="Arial" w:hAnsi="Arial" w:cs="Arial"/>
                <w:i/>
                <w:sz w:val="20"/>
                <w:szCs w:val="20"/>
              </w:rPr>
              <w:t xml:space="preserve">onsult the Supreme Court of Canada website at </w:t>
            </w:r>
            <w:hyperlink r:id="rId9" w:history="1">
              <w:r w:rsidRPr="00956FA1">
                <w:rPr>
                  <w:rStyle w:val="Hyperlink"/>
                  <w:rFonts w:ascii="Arial" w:hAnsi="Arial" w:cs="Arial"/>
                  <w:i/>
                  <w:sz w:val="20"/>
                  <w:szCs w:val="20"/>
                </w:rPr>
                <w:t>www.scc-csc.ca</w:t>
              </w:r>
            </w:hyperlink>
            <w:r w:rsidRPr="00956FA1">
              <w:rPr>
                <w:rFonts w:ascii="Arial" w:hAnsi="Arial" w:cs="Arial"/>
                <w:i/>
                <w:sz w:val="20"/>
                <w:szCs w:val="20"/>
              </w:rPr>
              <w:t xml:space="preserve"> for more information.</w:t>
            </w:r>
          </w:p>
        </w:tc>
        <w:tc>
          <w:tcPr>
            <w:tcW w:w="483" w:type="dxa"/>
          </w:tcPr>
          <w:p w:rsidR="00F138C1" w:rsidRPr="00956FA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56FA1" w:rsidRDefault="00F138C1" w:rsidP="00F138C1">
            <w:pPr>
              <w:tabs>
                <w:tab w:val="left" w:pos="6075"/>
              </w:tabs>
              <w:jc w:val="both"/>
              <w:rPr>
                <w:rFonts w:ascii="Arial" w:hAnsi="Arial" w:cs="Arial"/>
                <w:i/>
                <w:sz w:val="20"/>
                <w:szCs w:val="20"/>
                <w:lang w:val="fr-CA"/>
              </w:rPr>
            </w:pPr>
            <w:r w:rsidRPr="00956FA1">
              <w:rPr>
                <w:rFonts w:ascii="Arial" w:hAnsi="Arial" w:cs="Arial"/>
                <w:i/>
                <w:sz w:val="20"/>
                <w:szCs w:val="20"/>
                <w:lang w:val="fr-CA"/>
              </w:rPr>
              <w:t xml:space="preserve">Pour de plus amples informations, veuillez consulter le site Web de la Cour suprême du Canada à l’adresse suivante : </w:t>
            </w:r>
            <w:hyperlink r:id="rId10" w:history="1">
              <w:r w:rsidRPr="00956FA1">
                <w:rPr>
                  <w:rStyle w:val="Hyperlink"/>
                  <w:rFonts w:ascii="Arial" w:hAnsi="Arial" w:cs="Arial"/>
                  <w:i/>
                  <w:sz w:val="20"/>
                  <w:szCs w:val="20"/>
                  <w:lang w:val="fr-CA"/>
                </w:rPr>
                <w:t>www.scc-csc.ca</w:t>
              </w:r>
            </w:hyperlink>
            <w:r w:rsidRPr="00956FA1">
              <w:rPr>
                <w:rFonts w:ascii="Arial" w:hAnsi="Arial" w:cs="Arial"/>
                <w:i/>
                <w:sz w:val="20"/>
                <w:szCs w:val="20"/>
                <w:lang w:val="fr-CA"/>
              </w:rPr>
              <w:t xml:space="preserve"> </w:t>
            </w:r>
          </w:p>
        </w:tc>
      </w:tr>
    </w:tbl>
    <w:p w:rsidR="00F138C1" w:rsidRPr="00956FA1"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956FA1" w:rsidTr="00F138C1">
        <w:tc>
          <w:tcPr>
            <w:tcW w:w="2250" w:type="pct"/>
            <w:tcBorders>
              <w:top w:val="single" w:sz="4" w:space="0" w:color="auto"/>
            </w:tcBorders>
            <w:tcMar>
              <w:top w:w="284" w:type="dxa"/>
              <w:bottom w:w="284" w:type="dxa"/>
            </w:tcMar>
          </w:tcPr>
          <w:p w:rsidR="00F138C1" w:rsidRPr="00956FA1" w:rsidRDefault="009B36BA" w:rsidP="001A0EF1">
            <w:pPr>
              <w:tabs>
                <w:tab w:val="left" w:pos="6075"/>
              </w:tabs>
              <w:rPr>
                <w:rFonts w:ascii="Arial" w:hAnsi="Arial" w:cs="Arial"/>
                <w:i/>
                <w:sz w:val="20"/>
                <w:szCs w:val="20"/>
              </w:rPr>
            </w:pPr>
            <w:r w:rsidRPr="00956FA1">
              <w:rPr>
                <w:lang w:val="fr-CA"/>
              </w:rPr>
              <w:t>J</w:t>
            </w:r>
            <w:r w:rsidR="001A0EF1" w:rsidRPr="00956FA1">
              <w:rPr>
                <w:lang w:val="fr-CA"/>
              </w:rPr>
              <w:t>uly</w:t>
            </w:r>
            <w:r w:rsidR="00F138C1" w:rsidRPr="00956FA1">
              <w:rPr>
                <w:lang w:val="fr-CA"/>
              </w:rPr>
              <w:t xml:space="preserve"> </w:t>
            </w:r>
            <w:r w:rsidR="001A0EF1" w:rsidRPr="00956FA1">
              <w:rPr>
                <w:lang w:val="fr-CA"/>
              </w:rPr>
              <w:t>16</w:t>
            </w:r>
            <w:r w:rsidR="00F138C1" w:rsidRPr="00956FA1">
              <w:rPr>
                <w:lang w:val="fr-CA"/>
              </w:rPr>
              <w:t>, 20</w:t>
            </w:r>
            <w:r w:rsidRPr="00956FA1">
              <w:rPr>
                <w:lang w:val="fr-CA"/>
              </w:rPr>
              <w:t>21</w:t>
            </w:r>
          </w:p>
        </w:tc>
        <w:tc>
          <w:tcPr>
            <w:tcW w:w="500" w:type="pct"/>
            <w:tcBorders>
              <w:top w:val="single" w:sz="4" w:space="0" w:color="auto"/>
            </w:tcBorders>
            <w:tcMar>
              <w:top w:w="284" w:type="dxa"/>
              <w:bottom w:w="284" w:type="dxa"/>
            </w:tcMar>
          </w:tcPr>
          <w:p w:rsidR="00F138C1" w:rsidRPr="00956FA1" w:rsidRDefault="00F138C1" w:rsidP="00660D57">
            <w:pPr>
              <w:tabs>
                <w:tab w:val="left" w:pos="6075"/>
              </w:tabs>
              <w:jc w:val="center"/>
              <w:rPr>
                <w:rFonts w:ascii="Arial" w:hAnsi="Arial" w:cs="Arial"/>
                <w:i/>
                <w:sz w:val="20"/>
                <w:szCs w:val="20"/>
              </w:rPr>
            </w:pPr>
            <w:r w:rsidRPr="00956FA1">
              <w:rPr>
                <w:lang w:val="fr-CA"/>
              </w:rPr>
              <w:t xml:space="preserve">1 - </w:t>
            </w:r>
            <w:r w:rsidR="00D50BE2" w:rsidRPr="00956FA1">
              <w:rPr>
                <w:lang w:val="fr-CA"/>
              </w:rPr>
              <w:t>2</w:t>
            </w:r>
            <w:r w:rsidR="00660D57" w:rsidRPr="00956FA1">
              <w:rPr>
                <w:lang w:val="fr-CA"/>
              </w:rPr>
              <w:t>5</w:t>
            </w:r>
          </w:p>
        </w:tc>
        <w:tc>
          <w:tcPr>
            <w:tcW w:w="2250" w:type="pct"/>
            <w:tcBorders>
              <w:top w:val="single" w:sz="4" w:space="0" w:color="auto"/>
            </w:tcBorders>
            <w:tcMar>
              <w:top w:w="284" w:type="dxa"/>
              <w:bottom w:w="284" w:type="dxa"/>
            </w:tcMar>
          </w:tcPr>
          <w:p w:rsidR="00F138C1" w:rsidRPr="00956FA1" w:rsidRDefault="00F138C1" w:rsidP="001A0EF1">
            <w:pPr>
              <w:tabs>
                <w:tab w:val="left" w:pos="6075"/>
              </w:tabs>
              <w:jc w:val="right"/>
              <w:rPr>
                <w:rFonts w:ascii="Arial" w:hAnsi="Arial" w:cs="Arial"/>
                <w:i/>
                <w:sz w:val="20"/>
                <w:szCs w:val="20"/>
                <w:lang w:val="fr-CA"/>
              </w:rPr>
            </w:pPr>
            <w:r w:rsidRPr="00956FA1">
              <w:rPr>
                <w:lang w:val="fr-CA"/>
              </w:rPr>
              <w:t xml:space="preserve">Le </w:t>
            </w:r>
            <w:r w:rsidR="001A0EF1" w:rsidRPr="00956FA1">
              <w:rPr>
                <w:lang w:val="fr-CA"/>
              </w:rPr>
              <w:t>16</w:t>
            </w:r>
            <w:r w:rsidRPr="00956FA1">
              <w:rPr>
                <w:lang w:val="fr-CA"/>
              </w:rPr>
              <w:t xml:space="preserve"> </w:t>
            </w:r>
            <w:r w:rsidR="001A0EF1" w:rsidRPr="00956FA1">
              <w:rPr>
                <w:lang w:val="fr-CA"/>
              </w:rPr>
              <w:t>juillet</w:t>
            </w:r>
            <w:r w:rsidRPr="00956FA1">
              <w:rPr>
                <w:lang w:val="fr-CA"/>
              </w:rPr>
              <w:t xml:space="preserve"> 202</w:t>
            </w:r>
            <w:r w:rsidR="009B36BA" w:rsidRPr="00956FA1">
              <w:rPr>
                <w:lang w:val="fr-CA"/>
              </w:rPr>
              <w:t>1</w:t>
            </w:r>
          </w:p>
        </w:tc>
      </w:tr>
      <w:tr w:rsidR="00F138C1" w:rsidRPr="00956FA1" w:rsidTr="00F138C1">
        <w:tc>
          <w:tcPr>
            <w:tcW w:w="2250" w:type="pct"/>
            <w:tcBorders>
              <w:bottom w:val="single" w:sz="4" w:space="0" w:color="auto"/>
            </w:tcBorders>
            <w:tcMar>
              <w:top w:w="284" w:type="dxa"/>
              <w:bottom w:w="284" w:type="dxa"/>
            </w:tcMar>
          </w:tcPr>
          <w:p w:rsidR="00F138C1" w:rsidRPr="00956FA1" w:rsidRDefault="00F138C1" w:rsidP="009B36BA">
            <w:pPr>
              <w:tabs>
                <w:tab w:val="left" w:pos="6075"/>
              </w:tabs>
              <w:rPr>
                <w:rFonts w:ascii="Arial" w:hAnsi="Arial" w:cs="Arial"/>
                <w:i/>
                <w:sz w:val="20"/>
                <w:szCs w:val="20"/>
              </w:rPr>
            </w:pPr>
            <w:r w:rsidRPr="00956FA1">
              <w:rPr>
                <w:sz w:val="18"/>
                <w:szCs w:val="18"/>
                <w:lang w:val="en-US"/>
              </w:rPr>
              <w:t>© Supreme Court of Canada (202</w:t>
            </w:r>
            <w:r w:rsidR="009B36BA" w:rsidRPr="00956FA1">
              <w:rPr>
                <w:sz w:val="18"/>
                <w:szCs w:val="18"/>
                <w:lang w:val="en-US"/>
              </w:rPr>
              <w:t>1</w:t>
            </w:r>
            <w:r w:rsidRPr="00956FA1">
              <w:rPr>
                <w:sz w:val="18"/>
                <w:szCs w:val="18"/>
                <w:lang w:val="en-US"/>
              </w:rPr>
              <w:t>)</w:t>
            </w:r>
            <w:r w:rsidRPr="00956FA1">
              <w:rPr>
                <w:sz w:val="18"/>
                <w:szCs w:val="18"/>
                <w:lang w:val="en-US"/>
              </w:rPr>
              <w:br/>
              <w:t>ISSN 1918-8358 (Online)</w:t>
            </w:r>
          </w:p>
        </w:tc>
        <w:tc>
          <w:tcPr>
            <w:tcW w:w="500" w:type="pct"/>
            <w:tcBorders>
              <w:bottom w:val="single" w:sz="4" w:space="0" w:color="auto"/>
            </w:tcBorders>
            <w:tcMar>
              <w:top w:w="284" w:type="dxa"/>
              <w:bottom w:w="284" w:type="dxa"/>
            </w:tcMar>
          </w:tcPr>
          <w:p w:rsidR="00F138C1" w:rsidRPr="00956FA1"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956FA1" w:rsidRDefault="00F138C1" w:rsidP="009B36BA">
            <w:pPr>
              <w:tabs>
                <w:tab w:val="left" w:pos="6075"/>
              </w:tabs>
              <w:jc w:val="right"/>
              <w:rPr>
                <w:rFonts w:ascii="Arial" w:hAnsi="Arial" w:cs="Arial"/>
                <w:i/>
                <w:sz w:val="20"/>
                <w:szCs w:val="20"/>
                <w:lang w:val="fr-CA"/>
              </w:rPr>
            </w:pPr>
            <w:r w:rsidRPr="00956FA1">
              <w:rPr>
                <w:sz w:val="18"/>
                <w:szCs w:val="18"/>
                <w:lang w:val="fr-CA"/>
              </w:rPr>
              <w:t>© Cour suprême du Canada (202</w:t>
            </w:r>
            <w:r w:rsidR="009B36BA" w:rsidRPr="00956FA1">
              <w:rPr>
                <w:sz w:val="18"/>
                <w:szCs w:val="18"/>
                <w:lang w:val="fr-CA"/>
              </w:rPr>
              <w:t>1</w:t>
            </w:r>
            <w:proofErr w:type="gramStart"/>
            <w:r w:rsidRPr="00956FA1">
              <w:rPr>
                <w:sz w:val="18"/>
                <w:szCs w:val="18"/>
                <w:lang w:val="fr-CA"/>
              </w:rPr>
              <w:t>)</w:t>
            </w:r>
            <w:proofErr w:type="gramEnd"/>
            <w:r w:rsidRPr="00956FA1">
              <w:rPr>
                <w:sz w:val="18"/>
                <w:szCs w:val="18"/>
                <w:lang w:val="fr-CA"/>
              </w:rPr>
              <w:br/>
              <w:t>ISSN 1918-8358 (En ligne)</w:t>
            </w:r>
          </w:p>
        </w:tc>
      </w:tr>
    </w:tbl>
    <w:p w:rsidR="0030050B" w:rsidRPr="00956FA1" w:rsidRDefault="0030050B" w:rsidP="00F138C1">
      <w:pPr>
        <w:tabs>
          <w:tab w:val="left" w:pos="6075"/>
        </w:tabs>
        <w:rPr>
          <w:lang w:val="fr-CA"/>
        </w:rPr>
      </w:pPr>
    </w:p>
    <w:p w:rsidR="00560DF1" w:rsidRPr="00956FA1" w:rsidRDefault="00560DF1" w:rsidP="0095096B">
      <w:pPr>
        <w:tabs>
          <w:tab w:val="right" w:pos="9360"/>
        </w:tabs>
        <w:rPr>
          <w:lang w:val="fr-CA"/>
        </w:rPr>
      </w:pPr>
    </w:p>
    <w:p w:rsidR="00F138C1" w:rsidRPr="00956FA1"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956FA1" w:rsidRDefault="00DC6B2E" w:rsidP="00693C38">
          <w:pPr>
            <w:pStyle w:val="Title"/>
            <w:jc w:val="center"/>
            <w:rPr>
              <w:rFonts w:ascii="Times New Roman" w:hAnsi="Times New Roman" w:cs="Times New Roman"/>
              <w:b/>
              <w:sz w:val="24"/>
              <w:szCs w:val="28"/>
              <w:lang w:val="fr-CA"/>
            </w:rPr>
          </w:pPr>
          <w:r w:rsidRPr="00956FA1">
            <w:rPr>
              <w:rFonts w:ascii="Times New Roman" w:hAnsi="Times New Roman" w:cs="Times New Roman"/>
              <w:b/>
              <w:sz w:val="24"/>
              <w:szCs w:val="28"/>
              <w:lang w:val="fr-CA"/>
            </w:rPr>
            <w:t>Contents</w:t>
          </w:r>
        </w:p>
        <w:p w:rsidR="00693C38" w:rsidRPr="00956FA1" w:rsidRDefault="00DC6B2E" w:rsidP="00693C38">
          <w:pPr>
            <w:jc w:val="center"/>
            <w:rPr>
              <w:b/>
              <w:szCs w:val="28"/>
              <w:lang w:val="fr-CA"/>
            </w:rPr>
          </w:pPr>
          <w:r w:rsidRPr="00956FA1">
            <w:rPr>
              <w:b/>
              <w:szCs w:val="28"/>
              <w:lang w:val="fr-CA"/>
            </w:rPr>
            <w:t>Table des matières</w:t>
          </w:r>
        </w:p>
        <w:p w:rsidR="00693C38" w:rsidRPr="00956FA1" w:rsidRDefault="00693C38" w:rsidP="00693C38">
          <w:pPr>
            <w:rPr>
              <w:lang w:val="fr-CA"/>
            </w:rPr>
          </w:pPr>
        </w:p>
        <w:p w:rsidR="00660D57" w:rsidRPr="00956FA1" w:rsidRDefault="00DC6B2E">
          <w:pPr>
            <w:pStyle w:val="TOC1"/>
            <w:tabs>
              <w:tab w:val="right" w:leader="dot" w:pos="9638"/>
            </w:tabs>
            <w:rPr>
              <w:rFonts w:asciiTheme="minorHAnsi" w:eastAsiaTheme="minorEastAsia" w:hAnsiTheme="minorHAnsi"/>
              <w:noProof/>
              <w:sz w:val="22"/>
              <w:lang w:val="en-US"/>
            </w:rPr>
          </w:pPr>
          <w:r w:rsidRPr="00956FA1">
            <w:rPr>
              <w:b/>
              <w:bCs/>
              <w:noProof/>
            </w:rPr>
            <w:fldChar w:fldCharType="begin"/>
          </w:r>
          <w:r w:rsidRPr="00956FA1">
            <w:rPr>
              <w:b/>
              <w:bCs/>
              <w:noProof/>
            </w:rPr>
            <w:instrText xml:space="preserve"> TOC \o "1-3" \h \z \u </w:instrText>
          </w:r>
          <w:r w:rsidRPr="00956FA1">
            <w:rPr>
              <w:b/>
              <w:bCs/>
              <w:noProof/>
            </w:rPr>
            <w:fldChar w:fldCharType="separate"/>
          </w:r>
          <w:hyperlink w:anchor="_Toc77172331" w:history="1">
            <w:r w:rsidR="00660D57" w:rsidRPr="00956FA1">
              <w:rPr>
                <w:rStyle w:val="Hyperlink"/>
                <w:noProof/>
                <w:lang w:val="fr-CA"/>
              </w:rPr>
              <w:t>Applications for leave to appeal filed /  Demandes d’autorisation d’appel déposées</w:t>
            </w:r>
            <w:r w:rsidR="00660D57" w:rsidRPr="00956FA1">
              <w:rPr>
                <w:noProof/>
                <w:webHidden/>
              </w:rPr>
              <w:tab/>
            </w:r>
            <w:r w:rsidR="00660D57" w:rsidRPr="00956FA1">
              <w:rPr>
                <w:noProof/>
                <w:webHidden/>
              </w:rPr>
              <w:fldChar w:fldCharType="begin"/>
            </w:r>
            <w:r w:rsidR="00660D57" w:rsidRPr="00956FA1">
              <w:rPr>
                <w:noProof/>
                <w:webHidden/>
              </w:rPr>
              <w:instrText xml:space="preserve"> PAGEREF _Toc77172331 \h </w:instrText>
            </w:r>
            <w:r w:rsidR="00660D57" w:rsidRPr="00956FA1">
              <w:rPr>
                <w:noProof/>
                <w:webHidden/>
              </w:rPr>
            </w:r>
            <w:r w:rsidR="00660D57" w:rsidRPr="00956FA1">
              <w:rPr>
                <w:noProof/>
                <w:webHidden/>
              </w:rPr>
              <w:fldChar w:fldCharType="separate"/>
            </w:r>
            <w:r w:rsidR="00660D57" w:rsidRPr="00956FA1">
              <w:rPr>
                <w:noProof/>
                <w:webHidden/>
              </w:rPr>
              <w:t>1</w:t>
            </w:r>
            <w:r w:rsidR="00660D57" w:rsidRPr="00956FA1">
              <w:rPr>
                <w:noProof/>
                <w:webHidden/>
              </w:rPr>
              <w:fldChar w:fldCharType="end"/>
            </w:r>
          </w:hyperlink>
        </w:p>
        <w:p w:rsidR="00660D57" w:rsidRPr="00956FA1" w:rsidRDefault="00956FA1">
          <w:pPr>
            <w:pStyle w:val="TOC1"/>
            <w:tabs>
              <w:tab w:val="right" w:leader="dot" w:pos="9638"/>
            </w:tabs>
            <w:rPr>
              <w:rFonts w:asciiTheme="minorHAnsi" w:eastAsiaTheme="minorEastAsia" w:hAnsiTheme="minorHAnsi"/>
              <w:noProof/>
              <w:sz w:val="22"/>
              <w:lang w:val="en-US"/>
            </w:rPr>
          </w:pPr>
          <w:hyperlink w:anchor="_Toc77172332" w:history="1">
            <w:r w:rsidR="00660D57" w:rsidRPr="00956FA1">
              <w:rPr>
                <w:rStyle w:val="Hyperlink"/>
                <w:noProof/>
                <w:lang w:val="fr-CA"/>
              </w:rPr>
              <w:t>Judgments on applications for leave /  Jugements rendus sur les demandes d’autorisation</w:t>
            </w:r>
            <w:r w:rsidR="00660D57" w:rsidRPr="00956FA1">
              <w:rPr>
                <w:noProof/>
                <w:webHidden/>
              </w:rPr>
              <w:tab/>
            </w:r>
            <w:r w:rsidR="00660D57" w:rsidRPr="00956FA1">
              <w:rPr>
                <w:noProof/>
                <w:webHidden/>
              </w:rPr>
              <w:fldChar w:fldCharType="begin"/>
            </w:r>
            <w:r w:rsidR="00660D57" w:rsidRPr="00956FA1">
              <w:rPr>
                <w:noProof/>
                <w:webHidden/>
              </w:rPr>
              <w:instrText xml:space="preserve"> PAGEREF _Toc77172332 \h </w:instrText>
            </w:r>
            <w:r w:rsidR="00660D57" w:rsidRPr="00956FA1">
              <w:rPr>
                <w:noProof/>
                <w:webHidden/>
              </w:rPr>
            </w:r>
            <w:r w:rsidR="00660D57" w:rsidRPr="00956FA1">
              <w:rPr>
                <w:noProof/>
                <w:webHidden/>
              </w:rPr>
              <w:fldChar w:fldCharType="separate"/>
            </w:r>
            <w:r w:rsidR="00660D57" w:rsidRPr="00956FA1">
              <w:rPr>
                <w:noProof/>
                <w:webHidden/>
              </w:rPr>
              <w:t>2</w:t>
            </w:r>
            <w:r w:rsidR="00660D57" w:rsidRPr="00956FA1">
              <w:rPr>
                <w:noProof/>
                <w:webHidden/>
              </w:rPr>
              <w:fldChar w:fldCharType="end"/>
            </w:r>
          </w:hyperlink>
        </w:p>
        <w:p w:rsidR="00660D57" w:rsidRPr="00956FA1" w:rsidRDefault="00956FA1">
          <w:pPr>
            <w:pStyle w:val="TOC1"/>
            <w:tabs>
              <w:tab w:val="right" w:leader="dot" w:pos="9638"/>
            </w:tabs>
            <w:rPr>
              <w:rFonts w:asciiTheme="minorHAnsi" w:eastAsiaTheme="minorEastAsia" w:hAnsiTheme="minorHAnsi"/>
              <w:noProof/>
              <w:sz w:val="22"/>
              <w:lang w:val="en-US"/>
            </w:rPr>
          </w:pPr>
          <w:hyperlink w:anchor="_Toc77172333" w:history="1">
            <w:r w:rsidR="00660D57" w:rsidRPr="00956FA1">
              <w:rPr>
                <w:rStyle w:val="Hyperlink"/>
                <w:noProof/>
                <w:lang w:val="fr-CA"/>
              </w:rPr>
              <w:t>Motions /  Requêtes</w:t>
            </w:r>
            <w:r w:rsidR="00660D57" w:rsidRPr="00956FA1">
              <w:rPr>
                <w:noProof/>
                <w:webHidden/>
              </w:rPr>
              <w:tab/>
            </w:r>
            <w:r w:rsidR="00660D57" w:rsidRPr="00956FA1">
              <w:rPr>
                <w:noProof/>
                <w:webHidden/>
              </w:rPr>
              <w:fldChar w:fldCharType="begin"/>
            </w:r>
            <w:r w:rsidR="00660D57" w:rsidRPr="00956FA1">
              <w:rPr>
                <w:noProof/>
                <w:webHidden/>
              </w:rPr>
              <w:instrText xml:space="preserve"> PAGEREF _Toc77172333 \h </w:instrText>
            </w:r>
            <w:r w:rsidR="00660D57" w:rsidRPr="00956FA1">
              <w:rPr>
                <w:noProof/>
                <w:webHidden/>
              </w:rPr>
            </w:r>
            <w:r w:rsidR="00660D57" w:rsidRPr="00956FA1">
              <w:rPr>
                <w:noProof/>
                <w:webHidden/>
              </w:rPr>
              <w:fldChar w:fldCharType="separate"/>
            </w:r>
            <w:r w:rsidR="00660D57" w:rsidRPr="00956FA1">
              <w:rPr>
                <w:noProof/>
                <w:webHidden/>
              </w:rPr>
              <w:t>23</w:t>
            </w:r>
            <w:r w:rsidR="00660D57" w:rsidRPr="00956FA1">
              <w:rPr>
                <w:noProof/>
                <w:webHidden/>
              </w:rPr>
              <w:fldChar w:fldCharType="end"/>
            </w:r>
          </w:hyperlink>
        </w:p>
        <w:p w:rsidR="00660D57" w:rsidRPr="00956FA1" w:rsidRDefault="00956FA1">
          <w:pPr>
            <w:pStyle w:val="TOC1"/>
            <w:tabs>
              <w:tab w:val="right" w:leader="dot" w:pos="9638"/>
            </w:tabs>
            <w:rPr>
              <w:rFonts w:asciiTheme="minorHAnsi" w:eastAsiaTheme="minorEastAsia" w:hAnsiTheme="minorHAnsi"/>
              <w:noProof/>
              <w:sz w:val="22"/>
              <w:lang w:val="en-US"/>
            </w:rPr>
          </w:pPr>
          <w:hyperlink w:anchor="_Toc77172334" w:history="1">
            <w:r w:rsidR="00660D57" w:rsidRPr="00956FA1">
              <w:rPr>
                <w:rStyle w:val="Hyperlink"/>
                <w:noProof/>
              </w:rPr>
              <w:t xml:space="preserve">Notices of appeal filed since the last issue /  </w:t>
            </w:r>
            <w:r w:rsidR="00660D57" w:rsidRPr="00956FA1">
              <w:rPr>
                <w:rStyle w:val="Hyperlink"/>
                <w:noProof/>
                <w:lang w:val="fr-CA"/>
              </w:rPr>
              <w:t>Avis d’appel déposés depuis la dernière parution</w:t>
            </w:r>
            <w:r w:rsidR="00660D57" w:rsidRPr="00956FA1">
              <w:rPr>
                <w:noProof/>
                <w:webHidden/>
              </w:rPr>
              <w:tab/>
            </w:r>
            <w:r w:rsidR="00660D57" w:rsidRPr="00956FA1">
              <w:rPr>
                <w:noProof/>
                <w:webHidden/>
              </w:rPr>
              <w:fldChar w:fldCharType="begin"/>
            </w:r>
            <w:r w:rsidR="00660D57" w:rsidRPr="00956FA1">
              <w:rPr>
                <w:noProof/>
                <w:webHidden/>
              </w:rPr>
              <w:instrText xml:space="preserve"> PAGEREF _Toc77172334 \h </w:instrText>
            </w:r>
            <w:r w:rsidR="00660D57" w:rsidRPr="00956FA1">
              <w:rPr>
                <w:noProof/>
                <w:webHidden/>
              </w:rPr>
            </w:r>
            <w:r w:rsidR="00660D57" w:rsidRPr="00956FA1">
              <w:rPr>
                <w:noProof/>
                <w:webHidden/>
              </w:rPr>
              <w:fldChar w:fldCharType="separate"/>
            </w:r>
            <w:r w:rsidR="00660D57" w:rsidRPr="00956FA1">
              <w:rPr>
                <w:noProof/>
                <w:webHidden/>
              </w:rPr>
              <w:t>24</w:t>
            </w:r>
            <w:r w:rsidR="00660D57" w:rsidRPr="00956FA1">
              <w:rPr>
                <w:noProof/>
                <w:webHidden/>
              </w:rPr>
              <w:fldChar w:fldCharType="end"/>
            </w:r>
          </w:hyperlink>
        </w:p>
        <w:p w:rsidR="00660D57" w:rsidRPr="00956FA1" w:rsidRDefault="00956FA1">
          <w:pPr>
            <w:pStyle w:val="TOC1"/>
            <w:tabs>
              <w:tab w:val="right" w:leader="dot" w:pos="9638"/>
            </w:tabs>
            <w:rPr>
              <w:rFonts w:asciiTheme="minorHAnsi" w:eastAsiaTheme="minorEastAsia" w:hAnsiTheme="minorHAnsi"/>
              <w:noProof/>
              <w:sz w:val="22"/>
              <w:lang w:val="en-US"/>
            </w:rPr>
          </w:pPr>
          <w:hyperlink w:anchor="_Toc77172335" w:history="1">
            <w:r w:rsidR="00660D57" w:rsidRPr="00956FA1">
              <w:rPr>
                <w:rStyle w:val="Hyperlink"/>
                <w:noProof/>
                <w:lang w:val="fr-CA"/>
              </w:rPr>
              <w:t>Pronouncements of reserved appeals /  Jugements rendus sur les appels en délibéré</w:t>
            </w:r>
            <w:r w:rsidR="00660D57" w:rsidRPr="00956FA1">
              <w:rPr>
                <w:noProof/>
                <w:webHidden/>
              </w:rPr>
              <w:tab/>
            </w:r>
            <w:r w:rsidR="00660D57" w:rsidRPr="00956FA1">
              <w:rPr>
                <w:noProof/>
                <w:webHidden/>
              </w:rPr>
              <w:fldChar w:fldCharType="begin"/>
            </w:r>
            <w:r w:rsidR="00660D57" w:rsidRPr="00956FA1">
              <w:rPr>
                <w:noProof/>
                <w:webHidden/>
              </w:rPr>
              <w:instrText xml:space="preserve"> PAGEREF _Toc77172335 \h </w:instrText>
            </w:r>
            <w:r w:rsidR="00660D57" w:rsidRPr="00956FA1">
              <w:rPr>
                <w:noProof/>
                <w:webHidden/>
              </w:rPr>
            </w:r>
            <w:r w:rsidR="00660D57" w:rsidRPr="00956FA1">
              <w:rPr>
                <w:noProof/>
                <w:webHidden/>
              </w:rPr>
              <w:fldChar w:fldCharType="separate"/>
            </w:r>
            <w:r w:rsidR="00660D57" w:rsidRPr="00956FA1">
              <w:rPr>
                <w:noProof/>
                <w:webHidden/>
              </w:rPr>
              <w:t>25</w:t>
            </w:r>
            <w:r w:rsidR="00660D57" w:rsidRPr="00956FA1">
              <w:rPr>
                <w:noProof/>
                <w:webHidden/>
              </w:rPr>
              <w:fldChar w:fldCharType="end"/>
            </w:r>
          </w:hyperlink>
        </w:p>
        <w:p w:rsidR="00560DF1" w:rsidRPr="00956FA1" w:rsidRDefault="00DC6B2E">
          <w:r w:rsidRPr="00956FA1">
            <w:rPr>
              <w:b/>
              <w:bCs/>
              <w:noProof/>
              <w:sz w:val="20"/>
            </w:rPr>
            <w:fldChar w:fldCharType="end"/>
          </w:r>
        </w:p>
      </w:sdtContent>
    </w:sdt>
    <w:p w:rsidR="00560DF1" w:rsidRPr="00956FA1"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956FA1" w:rsidTr="00F138C1">
        <w:trPr>
          <w:jc w:val="center"/>
        </w:trPr>
        <w:tc>
          <w:tcPr>
            <w:tcW w:w="9638" w:type="dxa"/>
          </w:tcPr>
          <w:p w:rsidR="00F138C1" w:rsidRPr="00956FA1" w:rsidRDefault="00F138C1" w:rsidP="00F138C1">
            <w:pPr>
              <w:keepNext/>
              <w:tabs>
                <w:tab w:val="right" w:pos="9360"/>
              </w:tabs>
              <w:spacing w:after="120"/>
              <w:jc w:val="center"/>
              <w:rPr>
                <w:szCs w:val="24"/>
              </w:rPr>
            </w:pPr>
            <w:r w:rsidRPr="00956FA1">
              <w:rPr>
                <w:szCs w:val="24"/>
              </w:rPr>
              <w:t>NOTICE</w:t>
            </w:r>
          </w:p>
          <w:p w:rsidR="00F138C1" w:rsidRPr="00956FA1" w:rsidRDefault="00F138C1" w:rsidP="00F138C1">
            <w:pPr>
              <w:keepNext/>
              <w:tabs>
                <w:tab w:val="right" w:pos="9360"/>
              </w:tabs>
              <w:spacing w:after="120"/>
              <w:jc w:val="both"/>
              <w:rPr>
                <w:szCs w:val="24"/>
              </w:rPr>
            </w:pPr>
            <w:r w:rsidRPr="00956FA1">
              <w:rPr>
                <w:szCs w:val="24"/>
              </w:rPr>
              <w:t>Case summaries included in the Bulletin are prepared by the Office of the Registrar of the Supreme Court of Canada (Law Branch) for information purposes only.</w:t>
            </w:r>
          </w:p>
          <w:p w:rsidR="00F138C1" w:rsidRPr="00956FA1" w:rsidRDefault="00F138C1" w:rsidP="00F138C1">
            <w:pPr>
              <w:keepNext/>
              <w:tabs>
                <w:tab w:val="right" w:pos="9360"/>
              </w:tabs>
              <w:spacing w:after="120"/>
              <w:jc w:val="center"/>
              <w:rPr>
                <w:szCs w:val="24"/>
                <w:lang w:val="fr-CA"/>
              </w:rPr>
            </w:pPr>
            <w:r w:rsidRPr="00956FA1">
              <w:rPr>
                <w:szCs w:val="24"/>
                <w:lang w:val="fr-CA"/>
              </w:rPr>
              <w:t>AVIS</w:t>
            </w:r>
          </w:p>
          <w:p w:rsidR="00F138C1" w:rsidRPr="00956FA1" w:rsidRDefault="00F138C1" w:rsidP="00F138C1">
            <w:pPr>
              <w:keepNext/>
              <w:tabs>
                <w:tab w:val="right" w:pos="9360"/>
              </w:tabs>
              <w:spacing w:after="120"/>
              <w:jc w:val="both"/>
              <w:rPr>
                <w:sz w:val="20"/>
                <w:szCs w:val="20"/>
                <w:lang w:val="fr-CA"/>
              </w:rPr>
            </w:pPr>
            <w:r w:rsidRPr="00956FA1">
              <w:rPr>
                <w:szCs w:val="24"/>
                <w:lang w:val="fr-CA"/>
              </w:rPr>
              <w:t>Les résumés des causes publiés dans le bulletin sont préparés par le Bureau du registraire (Direction générale du droit) uniquement à titre d’information.</w:t>
            </w:r>
          </w:p>
        </w:tc>
      </w:tr>
    </w:tbl>
    <w:p w:rsidR="00F138C1" w:rsidRPr="00956FA1" w:rsidRDefault="00F138C1" w:rsidP="00F138C1">
      <w:pPr>
        <w:tabs>
          <w:tab w:val="right" w:pos="9360"/>
        </w:tabs>
        <w:rPr>
          <w:lang w:val="fr-CA"/>
        </w:rPr>
      </w:pPr>
    </w:p>
    <w:p w:rsidR="00F138C1" w:rsidRPr="00956FA1" w:rsidRDefault="00F138C1" w:rsidP="00F138C1">
      <w:pPr>
        <w:tabs>
          <w:tab w:val="right" w:pos="9360"/>
        </w:tabs>
        <w:rPr>
          <w:lang w:val="fr-CA"/>
        </w:rPr>
      </w:pPr>
    </w:p>
    <w:p w:rsidR="00C01FCB" w:rsidRPr="00956FA1" w:rsidRDefault="00C01FCB" w:rsidP="0095096B">
      <w:pPr>
        <w:tabs>
          <w:tab w:val="right" w:pos="9360"/>
        </w:tabs>
        <w:rPr>
          <w:lang w:val="fr-CA"/>
        </w:rPr>
      </w:pPr>
    </w:p>
    <w:p w:rsidR="00A87207" w:rsidRPr="00956FA1" w:rsidRDefault="00A87207" w:rsidP="0095096B">
      <w:pPr>
        <w:tabs>
          <w:tab w:val="right" w:pos="9360"/>
        </w:tabs>
        <w:rPr>
          <w:lang w:val="fr-CA"/>
        </w:rPr>
        <w:sectPr w:rsidR="00A87207" w:rsidRPr="00956FA1" w:rsidSect="0044776A">
          <w:pgSz w:w="12240" w:h="15840"/>
          <w:pgMar w:top="720" w:right="1152" w:bottom="1080" w:left="1440" w:header="706" w:footer="706" w:gutter="0"/>
          <w:cols w:space="708"/>
          <w:titlePg/>
          <w:docGrid w:linePitch="360"/>
        </w:sectPr>
      </w:pPr>
    </w:p>
    <w:p w:rsidR="00560DF1" w:rsidRPr="00956FA1" w:rsidRDefault="00DD0BDC" w:rsidP="00567602">
      <w:pPr>
        <w:pStyle w:val="Header1StyleE"/>
        <w:pBdr>
          <w:bottom w:val="single" w:sz="12" w:space="1" w:color="auto"/>
        </w:pBdr>
        <w:rPr>
          <w:lang w:val="fr-CA"/>
        </w:rPr>
      </w:pPr>
      <w:bookmarkStart w:id="0" w:name="_Toc77172331"/>
      <w:r w:rsidRPr="00956FA1">
        <w:rPr>
          <w:lang w:val="fr-CA"/>
        </w:rPr>
        <w:lastRenderedPageBreak/>
        <w:t>Applications for leave to appeal filed</w:t>
      </w:r>
      <w:r w:rsidR="00271E1E" w:rsidRPr="00956FA1">
        <w:rPr>
          <w:lang w:val="fr-CA"/>
        </w:rPr>
        <w:t xml:space="preserve"> / </w:t>
      </w:r>
      <w:r w:rsidR="00727571" w:rsidRPr="00956FA1">
        <w:rPr>
          <w:lang w:val="fr-CA"/>
        </w:rPr>
        <w:br/>
      </w:r>
      <w:r w:rsidRPr="00956FA1">
        <w:rPr>
          <w:lang w:val="fr-CA"/>
        </w:rPr>
        <w:t>Demandes d’autorisation d’appel déposées</w:t>
      </w:r>
      <w:bookmarkEnd w:id="0"/>
    </w:p>
    <w:p w:rsidR="00F138C1" w:rsidRPr="00956FA1"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956FA1" w:rsidTr="00F138C1">
        <w:tc>
          <w:tcPr>
            <w:tcW w:w="4239" w:type="dxa"/>
            <w:shd w:val="clear" w:color="auto" w:fill="auto"/>
          </w:tcPr>
          <w:p w:rsidR="00F138C1" w:rsidRPr="00956FA1" w:rsidRDefault="00991AFF" w:rsidP="00F138C1">
            <w:pPr>
              <w:rPr>
                <w:sz w:val="20"/>
                <w:szCs w:val="20"/>
                <w:lang w:val="en-US"/>
              </w:rPr>
            </w:pPr>
            <w:r w:rsidRPr="00956FA1">
              <w:rPr>
                <w:b/>
                <w:sz w:val="20"/>
                <w:szCs w:val="20"/>
                <w:lang w:val="en-US"/>
              </w:rPr>
              <w:t>Mount Allison University</w:t>
            </w:r>
          </w:p>
          <w:p w:rsidR="00F138C1" w:rsidRPr="00956FA1" w:rsidRDefault="00F138C1" w:rsidP="00F138C1">
            <w:pPr>
              <w:tabs>
                <w:tab w:val="left" w:pos="-1440"/>
                <w:tab w:val="left" w:pos="-720"/>
              </w:tabs>
              <w:rPr>
                <w:sz w:val="20"/>
                <w:szCs w:val="20"/>
                <w:lang w:val="en-US"/>
              </w:rPr>
            </w:pPr>
            <w:r w:rsidRPr="00956FA1">
              <w:rPr>
                <w:sz w:val="20"/>
                <w:szCs w:val="20"/>
                <w:lang w:val="en-US"/>
              </w:rPr>
              <w:tab/>
            </w:r>
            <w:r w:rsidR="00991AFF" w:rsidRPr="00956FA1">
              <w:rPr>
                <w:sz w:val="20"/>
                <w:szCs w:val="20"/>
                <w:lang w:val="en-US"/>
              </w:rPr>
              <w:t>Bennett, Clarence L.</w:t>
            </w:r>
          </w:p>
          <w:p w:rsidR="00F138C1" w:rsidRPr="00956FA1" w:rsidRDefault="00EC6816" w:rsidP="00F138C1">
            <w:pPr>
              <w:tabs>
                <w:tab w:val="left" w:pos="-1440"/>
                <w:tab w:val="left" w:pos="-720"/>
              </w:tabs>
              <w:rPr>
                <w:sz w:val="20"/>
                <w:szCs w:val="20"/>
                <w:lang w:val="en-US"/>
              </w:rPr>
            </w:pPr>
            <w:r w:rsidRPr="00956FA1">
              <w:rPr>
                <w:sz w:val="20"/>
                <w:szCs w:val="20"/>
                <w:lang w:val="en-US"/>
              </w:rPr>
              <w:tab/>
            </w:r>
            <w:r w:rsidR="00991AFF" w:rsidRPr="00956FA1">
              <w:rPr>
                <w:sz w:val="20"/>
                <w:szCs w:val="20"/>
                <w:lang w:val="en-US"/>
              </w:rPr>
              <w:t>Stewart McKelvey</w:t>
            </w:r>
          </w:p>
          <w:p w:rsidR="00EC6816" w:rsidRPr="00956FA1" w:rsidRDefault="00EC6816" w:rsidP="00F138C1">
            <w:pPr>
              <w:tabs>
                <w:tab w:val="left" w:pos="-1440"/>
                <w:tab w:val="left" w:pos="-720"/>
              </w:tabs>
              <w:rPr>
                <w:sz w:val="20"/>
                <w:szCs w:val="20"/>
                <w:lang w:val="en-US"/>
              </w:rPr>
            </w:pPr>
          </w:p>
          <w:p w:rsidR="00F138C1" w:rsidRPr="00956FA1" w:rsidRDefault="00F138C1" w:rsidP="00F138C1">
            <w:pPr>
              <w:tabs>
                <w:tab w:val="left" w:pos="-1440"/>
                <w:tab w:val="left" w:pos="-720"/>
              </w:tabs>
              <w:rPr>
                <w:sz w:val="20"/>
                <w:szCs w:val="20"/>
                <w:lang w:val="en-US"/>
              </w:rPr>
            </w:pPr>
            <w:r w:rsidRPr="00956FA1">
              <w:rPr>
                <w:sz w:val="20"/>
                <w:szCs w:val="20"/>
                <w:lang w:val="en-US"/>
              </w:rPr>
              <w:tab/>
              <w:t>v. (39</w:t>
            </w:r>
            <w:r w:rsidR="00991AFF" w:rsidRPr="00956FA1">
              <w:rPr>
                <w:sz w:val="20"/>
                <w:szCs w:val="20"/>
                <w:lang w:val="en-US"/>
              </w:rPr>
              <w:t>711</w:t>
            </w:r>
            <w:r w:rsidRPr="00956FA1">
              <w:rPr>
                <w:sz w:val="20"/>
                <w:szCs w:val="20"/>
                <w:lang w:val="en-US"/>
              </w:rPr>
              <w:t>)</w:t>
            </w:r>
          </w:p>
          <w:p w:rsidR="00F138C1" w:rsidRPr="00956FA1" w:rsidRDefault="00F138C1" w:rsidP="00F138C1">
            <w:pPr>
              <w:tabs>
                <w:tab w:val="left" w:pos="-1440"/>
                <w:tab w:val="left" w:pos="-720"/>
              </w:tabs>
              <w:rPr>
                <w:sz w:val="20"/>
                <w:szCs w:val="20"/>
                <w:lang w:val="en-US"/>
              </w:rPr>
            </w:pPr>
          </w:p>
          <w:p w:rsidR="00F138C1" w:rsidRPr="00956FA1" w:rsidRDefault="00991AFF" w:rsidP="00F138C1">
            <w:pPr>
              <w:tabs>
                <w:tab w:val="left" w:pos="-1440"/>
                <w:tab w:val="left" w:pos="-720"/>
              </w:tabs>
              <w:rPr>
                <w:b/>
                <w:sz w:val="20"/>
                <w:szCs w:val="20"/>
                <w:lang w:val="en-US"/>
              </w:rPr>
            </w:pPr>
            <w:r w:rsidRPr="00956FA1">
              <w:rPr>
                <w:b/>
                <w:sz w:val="20"/>
                <w:szCs w:val="20"/>
                <w:lang w:val="en-US"/>
              </w:rPr>
              <w:t xml:space="preserve">Steven Salterio, et al. </w:t>
            </w:r>
            <w:r w:rsidR="00F138C1" w:rsidRPr="00956FA1">
              <w:rPr>
                <w:b/>
                <w:sz w:val="20"/>
                <w:szCs w:val="20"/>
                <w:lang w:val="en-US"/>
              </w:rPr>
              <w:t>(</w:t>
            </w:r>
            <w:r w:rsidRPr="00956FA1">
              <w:rPr>
                <w:b/>
                <w:sz w:val="20"/>
                <w:szCs w:val="20"/>
                <w:lang w:val="en-US"/>
              </w:rPr>
              <w:t>N.B</w:t>
            </w:r>
            <w:r w:rsidR="00F138C1" w:rsidRPr="00956FA1">
              <w:rPr>
                <w:b/>
                <w:sz w:val="20"/>
                <w:szCs w:val="20"/>
                <w:lang w:val="en-US"/>
              </w:rPr>
              <w:t>.)</w:t>
            </w:r>
          </w:p>
          <w:p w:rsidR="00F138C1" w:rsidRPr="00956FA1" w:rsidRDefault="00F138C1" w:rsidP="00F138C1">
            <w:pPr>
              <w:tabs>
                <w:tab w:val="left" w:pos="-1440"/>
                <w:tab w:val="left" w:pos="-720"/>
              </w:tabs>
              <w:rPr>
                <w:sz w:val="20"/>
                <w:szCs w:val="20"/>
                <w:lang w:val="en-US"/>
              </w:rPr>
            </w:pPr>
            <w:r w:rsidRPr="00956FA1">
              <w:rPr>
                <w:sz w:val="20"/>
                <w:szCs w:val="20"/>
                <w:lang w:val="en-US"/>
              </w:rPr>
              <w:tab/>
            </w:r>
            <w:r w:rsidR="00991AFF" w:rsidRPr="00956FA1">
              <w:rPr>
                <w:sz w:val="20"/>
                <w:szCs w:val="20"/>
                <w:lang w:val="en-US"/>
              </w:rPr>
              <w:t>Ehrhart, Q.C., Edwin</w:t>
            </w:r>
          </w:p>
          <w:p w:rsidR="00F138C1" w:rsidRPr="00956FA1" w:rsidRDefault="00F138C1" w:rsidP="00F138C1">
            <w:pPr>
              <w:tabs>
                <w:tab w:val="left" w:pos="-1440"/>
                <w:tab w:val="left" w:pos="-720"/>
              </w:tabs>
              <w:rPr>
                <w:sz w:val="20"/>
                <w:szCs w:val="20"/>
              </w:rPr>
            </w:pPr>
            <w:r w:rsidRPr="00956FA1">
              <w:rPr>
                <w:sz w:val="20"/>
                <w:szCs w:val="20"/>
                <w:lang w:val="en-US"/>
              </w:rPr>
              <w:tab/>
            </w:r>
            <w:r w:rsidR="00991AFF" w:rsidRPr="00956FA1">
              <w:rPr>
                <w:sz w:val="20"/>
                <w:szCs w:val="20"/>
              </w:rPr>
              <w:t>Bingham Law</w:t>
            </w:r>
          </w:p>
          <w:p w:rsidR="00F138C1" w:rsidRPr="00956FA1" w:rsidRDefault="00F138C1" w:rsidP="00F138C1">
            <w:pPr>
              <w:tabs>
                <w:tab w:val="left" w:pos="-1440"/>
                <w:tab w:val="left" w:pos="-720"/>
              </w:tabs>
              <w:rPr>
                <w:sz w:val="20"/>
                <w:szCs w:val="20"/>
              </w:rPr>
            </w:pPr>
          </w:p>
          <w:p w:rsidR="00F138C1" w:rsidRPr="00956FA1" w:rsidRDefault="00F138C1" w:rsidP="00F138C1">
            <w:pPr>
              <w:rPr>
                <w:sz w:val="20"/>
                <w:szCs w:val="20"/>
              </w:rPr>
            </w:pPr>
            <w:r w:rsidRPr="00956FA1">
              <w:rPr>
                <w:sz w:val="20"/>
                <w:szCs w:val="20"/>
              </w:rPr>
              <w:t xml:space="preserve">FILING DATE: </w:t>
            </w:r>
            <w:r w:rsidR="00DA1D48" w:rsidRPr="00956FA1">
              <w:rPr>
                <w:sz w:val="20"/>
                <w:szCs w:val="20"/>
              </w:rPr>
              <w:t>J</w:t>
            </w:r>
            <w:r w:rsidR="00991AFF" w:rsidRPr="00956FA1">
              <w:rPr>
                <w:sz w:val="20"/>
                <w:szCs w:val="20"/>
              </w:rPr>
              <w:t>uly</w:t>
            </w:r>
            <w:r w:rsidRPr="00956FA1">
              <w:rPr>
                <w:sz w:val="20"/>
                <w:szCs w:val="20"/>
              </w:rPr>
              <w:t xml:space="preserve"> </w:t>
            </w:r>
            <w:r w:rsidR="00991AFF" w:rsidRPr="00956FA1">
              <w:rPr>
                <w:sz w:val="20"/>
                <w:szCs w:val="20"/>
              </w:rPr>
              <w:t>2</w:t>
            </w:r>
            <w:r w:rsidRPr="00956FA1">
              <w:rPr>
                <w:sz w:val="20"/>
                <w:szCs w:val="20"/>
              </w:rPr>
              <w:t>, 20</w:t>
            </w:r>
            <w:r w:rsidR="00DA1D48" w:rsidRPr="00956FA1">
              <w:rPr>
                <w:sz w:val="20"/>
                <w:szCs w:val="20"/>
              </w:rPr>
              <w:t>2</w:t>
            </w:r>
            <w:r w:rsidR="00EC6816" w:rsidRPr="00956FA1">
              <w:rPr>
                <w:sz w:val="20"/>
                <w:szCs w:val="20"/>
              </w:rPr>
              <w:t>1</w:t>
            </w:r>
          </w:p>
          <w:p w:rsidR="004B2E86" w:rsidRPr="00956FA1" w:rsidRDefault="004B2E86" w:rsidP="00F138C1">
            <w:pPr>
              <w:rPr>
                <w:sz w:val="20"/>
                <w:szCs w:val="20"/>
              </w:rPr>
            </w:pPr>
          </w:p>
          <w:p w:rsidR="00F138C1" w:rsidRPr="00956FA1" w:rsidRDefault="00956FA1" w:rsidP="00F138C1">
            <w:pPr>
              <w:rPr>
                <w:sz w:val="20"/>
                <w:szCs w:val="20"/>
              </w:rPr>
            </w:pPr>
            <w:r w:rsidRPr="00956FA1">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956FA1" w:rsidRDefault="00F138C1" w:rsidP="00F138C1">
            <w:pPr>
              <w:jc w:val="center"/>
              <w:rPr>
                <w:sz w:val="20"/>
                <w:szCs w:val="20"/>
              </w:rPr>
            </w:pPr>
          </w:p>
          <w:p w:rsidR="00F138C1" w:rsidRPr="00956FA1" w:rsidRDefault="00F138C1" w:rsidP="00F138C1">
            <w:pPr>
              <w:jc w:val="center"/>
              <w:rPr>
                <w:sz w:val="20"/>
                <w:szCs w:val="20"/>
              </w:rPr>
            </w:pPr>
          </w:p>
          <w:p w:rsidR="00F138C1" w:rsidRPr="00956FA1" w:rsidRDefault="00F138C1" w:rsidP="00F138C1">
            <w:pPr>
              <w:jc w:val="center"/>
              <w:rPr>
                <w:sz w:val="20"/>
                <w:szCs w:val="20"/>
              </w:rPr>
            </w:pPr>
          </w:p>
          <w:p w:rsidR="00F138C1" w:rsidRPr="00956FA1" w:rsidRDefault="00F138C1" w:rsidP="00F138C1">
            <w:pPr>
              <w:jc w:val="center"/>
              <w:rPr>
                <w:sz w:val="20"/>
                <w:szCs w:val="20"/>
              </w:rPr>
            </w:pPr>
          </w:p>
          <w:p w:rsidR="00F138C1" w:rsidRPr="00956FA1" w:rsidRDefault="00F138C1" w:rsidP="00F138C1">
            <w:pPr>
              <w:jc w:val="center"/>
              <w:rPr>
                <w:sz w:val="20"/>
                <w:szCs w:val="20"/>
              </w:rPr>
            </w:pPr>
          </w:p>
          <w:p w:rsidR="00F138C1" w:rsidRPr="00956FA1" w:rsidRDefault="00F138C1" w:rsidP="00F138C1">
            <w:pPr>
              <w:jc w:val="center"/>
              <w:rPr>
                <w:sz w:val="20"/>
                <w:szCs w:val="20"/>
              </w:rPr>
            </w:pPr>
          </w:p>
          <w:p w:rsidR="00F138C1" w:rsidRPr="00956FA1" w:rsidRDefault="00F138C1" w:rsidP="00F138C1">
            <w:pPr>
              <w:jc w:val="center"/>
              <w:rPr>
                <w:sz w:val="20"/>
                <w:szCs w:val="20"/>
              </w:rPr>
            </w:pPr>
          </w:p>
          <w:p w:rsidR="00F138C1" w:rsidRPr="00956FA1" w:rsidRDefault="00F138C1" w:rsidP="00F138C1">
            <w:pPr>
              <w:jc w:val="center"/>
              <w:rPr>
                <w:sz w:val="20"/>
                <w:szCs w:val="20"/>
              </w:rPr>
            </w:pPr>
          </w:p>
          <w:p w:rsidR="00F138C1" w:rsidRPr="00956FA1" w:rsidRDefault="00F138C1" w:rsidP="00F138C1">
            <w:pPr>
              <w:jc w:val="center"/>
              <w:rPr>
                <w:sz w:val="20"/>
                <w:szCs w:val="20"/>
              </w:rPr>
            </w:pPr>
          </w:p>
          <w:p w:rsidR="00F138C1" w:rsidRPr="00956FA1" w:rsidRDefault="00F138C1" w:rsidP="00F138C1">
            <w:pPr>
              <w:jc w:val="center"/>
              <w:rPr>
                <w:sz w:val="20"/>
                <w:szCs w:val="20"/>
              </w:rPr>
            </w:pPr>
          </w:p>
          <w:p w:rsidR="00F138C1" w:rsidRPr="00956FA1" w:rsidRDefault="00F138C1" w:rsidP="00F138C1">
            <w:pPr>
              <w:jc w:val="center"/>
              <w:rPr>
                <w:sz w:val="20"/>
                <w:szCs w:val="20"/>
              </w:rPr>
            </w:pPr>
          </w:p>
          <w:p w:rsidR="00F138C1" w:rsidRPr="00956FA1" w:rsidRDefault="00F138C1" w:rsidP="00F138C1">
            <w:pPr>
              <w:jc w:val="center"/>
              <w:rPr>
                <w:sz w:val="20"/>
                <w:szCs w:val="20"/>
              </w:rPr>
            </w:pPr>
          </w:p>
          <w:p w:rsidR="004B2E86" w:rsidRPr="00956FA1" w:rsidRDefault="004B2E86" w:rsidP="00F138C1">
            <w:pPr>
              <w:jc w:val="center"/>
              <w:rPr>
                <w:sz w:val="20"/>
                <w:szCs w:val="20"/>
              </w:rPr>
            </w:pPr>
          </w:p>
          <w:p w:rsidR="00F138C1" w:rsidRPr="00956FA1" w:rsidRDefault="00F138C1" w:rsidP="00F138C1">
            <w:pPr>
              <w:jc w:val="center"/>
              <w:rPr>
                <w:sz w:val="20"/>
                <w:szCs w:val="20"/>
              </w:rPr>
            </w:pPr>
          </w:p>
        </w:tc>
        <w:tc>
          <w:tcPr>
            <w:tcW w:w="4239" w:type="dxa"/>
            <w:shd w:val="clear" w:color="auto" w:fill="auto"/>
          </w:tcPr>
          <w:p w:rsidR="00F138C1" w:rsidRPr="00956FA1" w:rsidRDefault="00991AFF" w:rsidP="00F138C1">
            <w:pPr>
              <w:rPr>
                <w:b/>
                <w:sz w:val="20"/>
                <w:szCs w:val="20"/>
                <w:lang w:val="en-US"/>
              </w:rPr>
            </w:pPr>
            <w:r w:rsidRPr="00956FA1">
              <w:rPr>
                <w:b/>
                <w:sz w:val="20"/>
                <w:szCs w:val="20"/>
                <w:lang w:val="en-US"/>
              </w:rPr>
              <w:t>Robert Geurts</w:t>
            </w:r>
          </w:p>
          <w:p w:rsidR="00F138C1" w:rsidRPr="00956FA1" w:rsidRDefault="00F138C1" w:rsidP="00F138C1">
            <w:pPr>
              <w:tabs>
                <w:tab w:val="left" w:pos="-1440"/>
                <w:tab w:val="left" w:pos="-720"/>
              </w:tabs>
              <w:rPr>
                <w:sz w:val="20"/>
                <w:szCs w:val="20"/>
                <w:lang w:val="en-US"/>
              </w:rPr>
            </w:pPr>
            <w:r w:rsidRPr="00956FA1">
              <w:rPr>
                <w:sz w:val="20"/>
                <w:szCs w:val="20"/>
                <w:lang w:val="en-US"/>
              </w:rPr>
              <w:tab/>
            </w:r>
            <w:r w:rsidR="004A1D9D" w:rsidRPr="00956FA1">
              <w:rPr>
                <w:sz w:val="20"/>
                <w:szCs w:val="20"/>
                <w:lang w:val="en-US"/>
              </w:rPr>
              <w:t>Geurts, Keith L.</w:t>
            </w:r>
          </w:p>
          <w:p w:rsidR="00F138C1" w:rsidRPr="00956FA1" w:rsidRDefault="00F138C1" w:rsidP="00F138C1">
            <w:pPr>
              <w:tabs>
                <w:tab w:val="left" w:pos="-1440"/>
                <w:tab w:val="left" w:pos="-720"/>
              </w:tabs>
              <w:rPr>
                <w:sz w:val="20"/>
                <w:szCs w:val="20"/>
                <w:lang w:val="en-US"/>
              </w:rPr>
            </w:pPr>
            <w:r w:rsidRPr="00956FA1">
              <w:rPr>
                <w:sz w:val="20"/>
                <w:szCs w:val="20"/>
                <w:lang w:val="en-US"/>
              </w:rPr>
              <w:tab/>
            </w:r>
            <w:r w:rsidR="004A1D9D" w:rsidRPr="00956FA1">
              <w:rPr>
                <w:sz w:val="20"/>
                <w:szCs w:val="20"/>
                <w:lang w:val="en-US"/>
              </w:rPr>
              <w:t>Clyde &amp; Company Canada LLP</w:t>
            </w:r>
          </w:p>
          <w:p w:rsidR="00F138C1" w:rsidRPr="00956FA1" w:rsidRDefault="00F138C1" w:rsidP="00F138C1">
            <w:pPr>
              <w:tabs>
                <w:tab w:val="left" w:pos="-1440"/>
                <w:tab w:val="left" w:pos="-720"/>
              </w:tabs>
              <w:rPr>
                <w:sz w:val="20"/>
                <w:szCs w:val="20"/>
                <w:lang w:val="en-US"/>
              </w:rPr>
            </w:pPr>
          </w:p>
          <w:p w:rsidR="00F138C1" w:rsidRPr="00956FA1" w:rsidRDefault="00F138C1" w:rsidP="00F138C1">
            <w:pPr>
              <w:tabs>
                <w:tab w:val="left" w:pos="-1440"/>
                <w:tab w:val="left" w:pos="-720"/>
              </w:tabs>
              <w:rPr>
                <w:sz w:val="20"/>
                <w:szCs w:val="20"/>
                <w:lang w:val="en-US"/>
              </w:rPr>
            </w:pPr>
            <w:r w:rsidRPr="00956FA1">
              <w:rPr>
                <w:sz w:val="20"/>
                <w:szCs w:val="20"/>
                <w:lang w:val="en-US"/>
              </w:rPr>
              <w:tab/>
            </w:r>
            <w:r w:rsidR="00991AFF" w:rsidRPr="00956FA1">
              <w:rPr>
                <w:sz w:val="20"/>
                <w:szCs w:val="20"/>
                <w:lang w:val="en-US"/>
              </w:rPr>
              <w:t>v</w:t>
            </w:r>
            <w:r w:rsidRPr="00956FA1">
              <w:rPr>
                <w:sz w:val="20"/>
                <w:szCs w:val="20"/>
                <w:lang w:val="en-US"/>
              </w:rPr>
              <w:t>. (39</w:t>
            </w:r>
            <w:r w:rsidR="00991AFF" w:rsidRPr="00956FA1">
              <w:rPr>
                <w:sz w:val="20"/>
                <w:szCs w:val="20"/>
                <w:lang w:val="en-US"/>
              </w:rPr>
              <w:t>712</w:t>
            </w:r>
            <w:r w:rsidRPr="00956FA1">
              <w:rPr>
                <w:sz w:val="20"/>
                <w:szCs w:val="20"/>
                <w:lang w:val="en-US"/>
              </w:rPr>
              <w:t>)</w:t>
            </w:r>
          </w:p>
          <w:p w:rsidR="00F138C1" w:rsidRPr="00956FA1" w:rsidRDefault="00F138C1" w:rsidP="00F138C1">
            <w:pPr>
              <w:tabs>
                <w:tab w:val="left" w:pos="-1440"/>
                <w:tab w:val="left" w:pos="-720"/>
              </w:tabs>
              <w:rPr>
                <w:sz w:val="20"/>
                <w:szCs w:val="20"/>
                <w:lang w:val="en-US"/>
              </w:rPr>
            </w:pPr>
          </w:p>
          <w:p w:rsidR="00F138C1" w:rsidRPr="00956FA1" w:rsidRDefault="00991AFF" w:rsidP="00F138C1">
            <w:pPr>
              <w:tabs>
                <w:tab w:val="left" w:pos="-1440"/>
                <w:tab w:val="left" w:pos="-720"/>
              </w:tabs>
              <w:rPr>
                <w:b/>
                <w:sz w:val="20"/>
                <w:szCs w:val="20"/>
                <w:lang w:val="en-US"/>
              </w:rPr>
            </w:pPr>
            <w:r w:rsidRPr="00956FA1">
              <w:rPr>
                <w:b/>
                <w:sz w:val="20"/>
                <w:szCs w:val="20"/>
                <w:lang w:val="en-US"/>
              </w:rPr>
              <w:t>Her Majesty the Queen</w:t>
            </w:r>
            <w:r w:rsidR="00F138C1" w:rsidRPr="00956FA1">
              <w:rPr>
                <w:sz w:val="20"/>
                <w:szCs w:val="20"/>
                <w:lang w:val="en-US"/>
              </w:rPr>
              <w:t xml:space="preserve"> </w:t>
            </w:r>
            <w:r w:rsidR="00F138C1" w:rsidRPr="00956FA1">
              <w:rPr>
                <w:b/>
                <w:sz w:val="20"/>
                <w:szCs w:val="20"/>
                <w:lang w:val="en-US"/>
              </w:rPr>
              <w:t>(</w:t>
            </w:r>
            <w:r w:rsidRPr="00956FA1">
              <w:rPr>
                <w:b/>
                <w:sz w:val="20"/>
                <w:szCs w:val="20"/>
                <w:lang w:val="en-US"/>
              </w:rPr>
              <w:t>Ont.</w:t>
            </w:r>
            <w:r w:rsidR="00F138C1" w:rsidRPr="00956FA1">
              <w:rPr>
                <w:b/>
                <w:sz w:val="20"/>
                <w:szCs w:val="20"/>
                <w:lang w:val="en-US"/>
              </w:rPr>
              <w:t>)</w:t>
            </w:r>
          </w:p>
          <w:p w:rsidR="00F138C1" w:rsidRPr="00956FA1" w:rsidRDefault="00F138C1" w:rsidP="00F138C1">
            <w:pPr>
              <w:tabs>
                <w:tab w:val="left" w:pos="-1440"/>
                <w:tab w:val="left" w:pos="-720"/>
              </w:tabs>
              <w:rPr>
                <w:sz w:val="20"/>
                <w:szCs w:val="20"/>
                <w:lang w:val="en-US"/>
              </w:rPr>
            </w:pPr>
            <w:r w:rsidRPr="00956FA1">
              <w:rPr>
                <w:sz w:val="20"/>
                <w:szCs w:val="20"/>
                <w:lang w:val="en-US"/>
              </w:rPr>
              <w:tab/>
            </w:r>
            <w:r w:rsidR="004A1D9D" w:rsidRPr="00956FA1">
              <w:rPr>
                <w:sz w:val="20"/>
                <w:szCs w:val="20"/>
                <w:lang w:val="en-US"/>
              </w:rPr>
              <w:t>Nakelsky, Elise</w:t>
            </w:r>
          </w:p>
          <w:p w:rsidR="00F138C1" w:rsidRPr="00956FA1" w:rsidRDefault="00F138C1" w:rsidP="00F138C1">
            <w:pPr>
              <w:tabs>
                <w:tab w:val="left" w:pos="-1440"/>
                <w:tab w:val="left" w:pos="-720"/>
              </w:tabs>
              <w:rPr>
                <w:sz w:val="20"/>
                <w:szCs w:val="20"/>
                <w:lang w:val="en-US"/>
              </w:rPr>
            </w:pPr>
            <w:r w:rsidRPr="00956FA1">
              <w:rPr>
                <w:sz w:val="20"/>
                <w:szCs w:val="20"/>
                <w:lang w:val="en-US"/>
              </w:rPr>
              <w:tab/>
            </w:r>
            <w:r w:rsidR="004A1D9D" w:rsidRPr="00956FA1">
              <w:rPr>
                <w:sz w:val="20"/>
                <w:szCs w:val="20"/>
                <w:lang w:val="en-US"/>
              </w:rPr>
              <w:t>Attorney General of Ontario</w:t>
            </w:r>
          </w:p>
          <w:p w:rsidR="00F138C1" w:rsidRPr="00956FA1" w:rsidRDefault="00F138C1" w:rsidP="00F138C1">
            <w:pPr>
              <w:tabs>
                <w:tab w:val="left" w:pos="-1440"/>
                <w:tab w:val="left" w:pos="-720"/>
              </w:tabs>
              <w:rPr>
                <w:sz w:val="20"/>
                <w:szCs w:val="20"/>
                <w:lang w:val="en-US"/>
              </w:rPr>
            </w:pPr>
          </w:p>
          <w:p w:rsidR="00F138C1" w:rsidRPr="00956FA1" w:rsidRDefault="00991AFF" w:rsidP="00F138C1">
            <w:pPr>
              <w:rPr>
                <w:sz w:val="20"/>
                <w:szCs w:val="20"/>
                <w:lang w:val="fr-CA"/>
              </w:rPr>
            </w:pPr>
            <w:r w:rsidRPr="00956FA1">
              <w:rPr>
                <w:sz w:val="20"/>
                <w:szCs w:val="20"/>
                <w:lang w:val="fr-CA"/>
              </w:rPr>
              <w:t xml:space="preserve">FILING </w:t>
            </w:r>
            <w:r w:rsidR="00F138C1" w:rsidRPr="00956FA1">
              <w:rPr>
                <w:sz w:val="20"/>
                <w:szCs w:val="20"/>
                <w:lang w:val="fr-CA"/>
              </w:rPr>
              <w:t xml:space="preserve">DATE: </w:t>
            </w:r>
            <w:r w:rsidRPr="00956FA1">
              <w:rPr>
                <w:sz w:val="20"/>
                <w:szCs w:val="20"/>
                <w:lang w:val="fr-CA"/>
              </w:rPr>
              <w:t>July 7,</w:t>
            </w:r>
            <w:r w:rsidR="00F138C1" w:rsidRPr="00956FA1">
              <w:rPr>
                <w:sz w:val="20"/>
                <w:szCs w:val="20"/>
                <w:lang w:val="fr-CA"/>
              </w:rPr>
              <w:t xml:space="preserve"> 20</w:t>
            </w:r>
            <w:r w:rsidR="00DA1D48" w:rsidRPr="00956FA1">
              <w:rPr>
                <w:sz w:val="20"/>
                <w:szCs w:val="20"/>
                <w:lang w:val="fr-CA"/>
              </w:rPr>
              <w:t>2</w:t>
            </w:r>
            <w:r w:rsidR="00EC6816" w:rsidRPr="00956FA1">
              <w:rPr>
                <w:sz w:val="20"/>
                <w:szCs w:val="20"/>
                <w:lang w:val="fr-CA"/>
              </w:rPr>
              <w:t>1</w:t>
            </w:r>
          </w:p>
          <w:p w:rsidR="004B2E86" w:rsidRPr="00956FA1" w:rsidRDefault="004B2E86" w:rsidP="00F138C1">
            <w:pPr>
              <w:rPr>
                <w:sz w:val="20"/>
                <w:szCs w:val="20"/>
                <w:lang w:val="fr-CA"/>
              </w:rPr>
            </w:pPr>
          </w:p>
          <w:p w:rsidR="00F138C1" w:rsidRPr="00956FA1" w:rsidRDefault="00956FA1" w:rsidP="00F138C1">
            <w:pPr>
              <w:rPr>
                <w:sz w:val="20"/>
                <w:szCs w:val="20"/>
                <w:lang w:val="fr-CA"/>
              </w:rPr>
            </w:pPr>
            <w:r w:rsidRPr="00956FA1">
              <w:rPr>
                <w:sz w:val="20"/>
                <w:szCs w:val="20"/>
                <w:lang w:val="fr-CA"/>
              </w:rPr>
              <w:pict>
                <v:rect id="_x0000_i1026" style="width:108pt;height:1pt" o:hrpct="0" o:hrstd="t" o:hrnoshade="t" o:hr="t" fillcolor="black [3213]" stroked="f"/>
              </w:pict>
            </w:r>
          </w:p>
        </w:tc>
      </w:tr>
      <w:tr w:rsidR="00F138C1" w:rsidRPr="00956FA1" w:rsidTr="00F138C1">
        <w:tc>
          <w:tcPr>
            <w:tcW w:w="4239" w:type="dxa"/>
            <w:shd w:val="clear" w:color="auto" w:fill="auto"/>
          </w:tcPr>
          <w:p w:rsidR="00F138C1" w:rsidRPr="00956FA1" w:rsidRDefault="004A1D9D" w:rsidP="009B36BA">
            <w:pPr>
              <w:tabs>
                <w:tab w:val="left" w:pos="-1440"/>
                <w:tab w:val="left" w:pos="-720"/>
              </w:tabs>
              <w:rPr>
                <w:b/>
                <w:sz w:val="20"/>
                <w:szCs w:val="20"/>
                <w:lang w:val="en-US"/>
              </w:rPr>
            </w:pPr>
            <w:r w:rsidRPr="00956FA1">
              <w:rPr>
                <w:b/>
                <w:sz w:val="20"/>
                <w:szCs w:val="20"/>
                <w:lang w:val="en-US"/>
              </w:rPr>
              <w:t>Enrico Iafolla</w:t>
            </w:r>
          </w:p>
          <w:p w:rsidR="00F138C1" w:rsidRPr="00956FA1" w:rsidRDefault="00F138C1" w:rsidP="00F138C1">
            <w:pPr>
              <w:keepNext/>
              <w:keepLines/>
              <w:tabs>
                <w:tab w:val="left" w:pos="-1440"/>
                <w:tab w:val="left" w:pos="-720"/>
              </w:tabs>
              <w:rPr>
                <w:sz w:val="20"/>
                <w:szCs w:val="20"/>
                <w:lang w:val="en-US"/>
              </w:rPr>
            </w:pPr>
            <w:r w:rsidRPr="00956FA1">
              <w:rPr>
                <w:sz w:val="20"/>
                <w:szCs w:val="20"/>
                <w:lang w:val="en-US"/>
              </w:rPr>
              <w:tab/>
            </w:r>
            <w:r w:rsidR="004A1D9D" w:rsidRPr="00956FA1">
              <w:rPr>
                <w:sz w:val="20"/>
                <w:szCs w:val="20"/>
                <w:lang w:val="en-US"/>
              </w:rPr>
              <w:t>Ezzatian, Payam</w:t>
            </w:r>
          </w:p>
          <w:p w:rsidR="00F138C1" w:rsidRPr="00956FA1" w:rsidRDefault="00F138C1" w:rsidP="00F138C1">
            <w:pPr>
              <w:keepNext/>
              <w:keepLines/>
              <w:tabs>
                <w:tab w:val="left" w:pos="-1440"/>
                <w:tab w:val="left" w:pos="-720"/>
              </w:tabs>
              <w:rPr>
                <w:sz w:val="20"/>
                <w:szCs w:val="20"/>
                <w:lang w:val="en-US"/>
              </w:rPr>
            </w:pPr>
            <w:r w:rsidRPr="00956FA1">
              <w:rPr>
                <w:sz w:val="20"/>
                <w:szCs w:val="20"/>
                <w:lang w:val="en-US"/>
              </w:rPr>
              <w:tab/>
            </w:r>
            <w:r w:rsidR="004A1D9D" w:rsidRPr="00956FA1">
              <w:rPr>
                <w:sz w:val="20"/>
                <w:szCs w:val="20"/>
                <w:lang w:val="en-US"/>
              </w:rPr>
              <w:t>Mason Caplan Roti LLP</w:t>
            </w:r>
          </w:p>
          <w:p w:rsidR="00F138C1" w:rsidRPr="00956FA1" w:rsidRDefault="00F138C1" w:rsidP="00F138C1">
            <w:pPr>
              <w:keepNext/>
              <w:keepLines/>
              <w:tabs>
                <w:tab w:val="left" w:pos="-1440"/>
                <w:tab w:val="left" w:pos="-720"/>
              </w:tabs>
              <w:rPr>
                <w:sz w:val="20"/>
                <w:szCs w:val="20"/>
                <w:lang w:val="en-US"/>
              </w:rPr>
            </w:pPr>
          </w:p>
          <w:p w:rsidR="00F138C1" w:rsidRPr="00956FA1" w:rsidRDefault="00F138C1" w:rsidP="00F138C1">
            <w:pPr>
              <w:keepNext/>
              <w:keepLines/>
              <w:tabs>
                <w:tab w:val="left" w:pos="-1440"/>
                <w:tab w:val="left" w:pos="-720"/>
              </w:tabs>
              <w:rPr>
                <w:sz w:val="20"/>
                <w:szCs w:val="20"/>
                <w:lang w:val="fr-CA"/>
              </w:rPr>
            </w:pPr>
            <w:r w:rsidRPr="00956FA1">
              <w:rPr>
                <w:sz w:val="20"/>
                <w:szCs w:val="20"/>
                <w:lang w:val="en-US"/>
              </w:rPr>
              <w:tab/>
            </w:r>
            <w:r w:rsidRPr="00956FA1">
              <w:rPr>
                <w:sz w:val="20"/>
                <w:szCs w:val="20"/>
                <w:lang w:val="fr-CA"/>
              </w:rPr>
              <w:t>v. (39</w:t>
            </w:r>
            <w:r w:rsidR="004A1D9D" w:rsidRPr="00956FA1">
              <w:rPr>
                <w:sz w:val="20"/>
                <w:szCs w:val="20"/>
                <w:lang w:val="fr-CA"/>
              </w:rPr>
              <w:t>713</w:t>
            </w:r>
            <w:r w:rsidRPr="00956FA1">
              <w:rPr>
                <w:sz w:val="20"/>
                <w:szCs w:val="20"/>
                <w:lang w:val="fr-CA"/>
              </w:rPr>
              <w:t>)</w:t>
            </w:r>
          </w:p>
          <w:p w:rsidR="00F138C1" w:rsidRPr="00956FA1" w:rsidRDefault="00F138C1" w:rsidP="00F138C1">
            <w:pPr>
              <w:keepNext/>
              <w:keepLines/>
              <w:tabs>
                <w:tab w:val="left" w:pos="-1440"/>
                <w:tab w:val="left" w:pos="-720"/>
              </w:tabs>
              <w:rPr>
                <w:sz w:val="20"/>
                <w:szCs w:val="20"/>
                <w:lang w:val="fr-CA"/>
              </w:rPr>
            </w:pPr>
          </w:p>
          <w:p w:rsidR="00F138C1" w:rsidRPr="00956FA1" w:rsidRDefault="004A1D9D" w:rsidP="00F138C1">
            <w:pPr>
              <w:keepNext/>
              <w:keepLines/>
              <w:tabs>
                <w:tab w:val="left" w:pos="-1440"/>
                <w:tab w:val="left" w:pos="-720"/>
              </w:tabs>
              <w:rPr>
                <w:b/>
                <w:sz w:val="20"/>
                <w:szCs w:val="20"/>
                <w:lang w:val="fr-CA"/>
              </w:rPr>
            </w:pPr>
            <w:r w:rsidRPr="00956FA1">
              <w:rPr>
                <w:b/>
                <w:sz w:val="20"/>
                <w:szCs w:val="20"/>
                <w:lang w:val="fr-CA"/>
              </w:rPr>
              <w:t xml:space="preserve">Jolanta Lasota </w:t>
            </w:r>
            <w:r w:rsidR="00F138C1" w:rsidRPr="00956FA1">
              <w:rPr>
                <w:b/>
                <w:sz w:val="20"/>
                <w:szCs w:val="20"/>
                <w:lang w:val="fr-CA"/>
              </w:rPr>
              <w:t>(</w:t>
            </w:r>
            <w:r w:rsidRPr="00956FA1">
              <w:rPr>
                <w:b/>
                <w:sz w:val="20"/>
                <w:szCs w:val="20"/>
                <w:lang w:val="fr-CA"/>
              </w:rPr>
              <w:t>Ont</w:t>
            </w:r>
            <w:r w:rsidR="00F138C1" w:rsidRPr="00956FA1">
              <w:rPr>
                <w:b/>
                <w:sz w:val="20"/>
                <w:szCs w:val="20"/>
                <w:lang w:val="fr-CA"/>
              </w:rPr>
              <w:t>.)</w:t>
            </w:r>
          </w:p>
          <w:p w:rsidR="00F138C1" w:rsidRPr="00956FA1" w:rsidRDefault="00F138C1" w:rsidP="00F138C1">
            <w:pPr>
              <w:keepNext/>
              <w:keepLines/>
              <w:tabs>
                <w:tab w:val="left" w:pos="-1440"/>
                <w:tab w:val="left" w:pos="-720"/>
              </w:tabs>
              <w:rPr>
                <w:sz w:val="20"/>
                <w:szCs w:val="20"/>
                <w:lang w:val="fr-CA"/>
              </w:rPr>
            </w:pPr>
            <w:r w:rsidRPr="00956FA1">
              <w:rPr>
                <w:sz w:val="20"/>
                <w:szCs w:val="20"/>
                <w:lang w:val="fr-CA"/>
              </w:rPr>
              <w:tab/>
            </w:r>
            <w:r w:rsidR="004A1D9D" w:rsidRPr="00956FA1">
              <w:rPr>
                <w:sz w:val="20"/>
                <w:szCs w:val="20"/>
                <w:lang w:val="fr-CA"/>
              </w:rPr>
              <w:t>Pilley, Brian</w:t>
            </w:r>
          </w:p>
          <w:p w:rsidR="00F138C1" w:rsidRPr="00956FA1" w:rsidRDefault="00F138C1" w:rsidP="00F138C1">
            <w:pPr>
              <w:keepNext/>
              <w:keepLines/>
              <w:tabs>
                <w:tab w:val="left" w:pos="-1440"/>
                <w:tab w:val="left" w:pos="-720"/>
              </w:tabs>
              <w:rPr>
                <w:sz w:val="20"/>
                <w:szCs w:val="20"/>
                <w:lang w:val="en-US"/>
              </w:rPr>
            </w:pPr>
            <w:r w:rsidRPr="00956FA1">
              <w:rPr>
                <w:sz w:val="20"/>
                <w:szCs w:val="20"/>
                <w:lang w:val="fr-CA"/>
              </w:rPr>
              <w:tab/>
            </w:r>
            <w:r w:rsidR="004A1D9D" w:rsidRPr="00956FA1">
              <w:rPr>
                <w:sz w:val="20"/>
                <w:szCs w:val="20"/>
                <w:lang w:val="en-US"/>
              </w:rPr>
              <w:t>Malo.Pilley.Lehman Lawyers</w:t>
            </w:r>
          </w:p>
          <w:p w:rsidR="00F138C1" w:rsidRPr="00956FA1" w:rsidRDefault="00F138C1" w:rsidP="00F138C1">
            <w:pPr>
              <w:keepNext/>
              <w:keepLines/>
              <w:tabs>
                <w:tab w:val="left" w:pos="-1440"/>
                <w:tab w:val="left" w:pos="-720"/>
              </w:tabs>
              <w:rPr>
                <w:sz w:val="20"/>
                <w:szCs w:val="20"/>
                <w:lang w:val="en-US"/>
              </w:rPr>
            </w:pPr>
          </w:p>
          <w:p w:rsidR="004B2E86" w:rsidRPr="00956FA1" w:rsidRDefault="00F138C1" w:rsidP="00F138C1">
            <w:pPr>
              <w:rPr>
                <w:sz w:val="20"/>
                <w:szCs w:val="20"/>
                <w:lang w:val="en-US"/>
              </w:rPr>
            </w:pPr>
            <w:r w:rsidRPr="00956FA1">
              <w:rPr>
                <w:sz w:val="20"/>
                <w:szCs w:val="20"/>
                <w:lang w:val="en-US"/>
              </w:rPr>
              <w:t xml:space="preserve">FILING DATE: </w:t>
            </w:r>
            <w:r w:rsidR="004A1D9D" w:rsidRPr="00956FA1">
              <w:rPr>
                <w:sz w:val="20"/>
                <w:szCs w:val="20"/>
                <w:lang w:val="en-US"/>
              </w:rPr>
              <w:t>July 7</w:t>
            </w:r>
            <w:r w:rsidRPr="00956FA1">
              <w:rPr>
                <w:sz w:val="20"/>
                <w:szCs w:val="20"/>
                <w:lang w:val="en-US"/>
              </w:rPr>
              <w:t>, 20</w:t>
            </w:r>
            <w:r w:rsidR="00DA1D48" w:rsidRPr="00956FA1">
              <w:rPr>
                <w:sz w:val="20"/>
                <w:szCs w:val="20"/>
                <w:lang w:val="en-US"/>
              </w:rPr>
              <w:t>2</w:t>
            </w:r>
            <w:r w:rsidR="00EC6816" w:rsidRPr="00956FA1">
              <w:rPr>
                <w:sz w:val="20"/>
                <w:szCs w:val="20"/>
                <w:lang w:val="en-US"/>
              </w:rPr>
              <w:t>1</w:t>
            </w:r>
          </w:p>
          <w:p w:rsidR="004B2E86" w:rsidRPr="00956FA1" w:rsidRDefault="004B2E86" w:rsidP="00F138C1">
            <w:pPr>
              <w:rPr>
                <w:sz w:val="20"/>
                <w:szCs w:val="20"/>
                <w:lang w:val="en-US"/>
              </w:rPr>
            </w:pPr>
          </w:p>
          <w:p w:rsidR="00F138C1" w:rsidRPr="00956FA1" w:rsidRDefault="00956FA1" w:rsidP="00F138C1">
            <w:pPr>
              <w:rPr>
                <w:sz w:val="20"/>
                <w:szCs w:val="20"/>
                <w:lang w:val="en-US"/>
              </w:rPr>
            </w:pPr>
            <w:r w:rsidRPr="00956FA1">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956FA1" w:rsidRDefault="00F138C1" w:rsidP="00F138C1">
            <w:pPr>
              <w:jc w:val="center"/>
              <w:rPr>
                <w:sz w:val="20"/>
                <w:szCs w:val="20"/>
                <w:lang w:val="en-US"/>
              </w:rPr>
            </w:pPr>
          </w:p>
          <w:p w:rsidR="00F138C1" w:rsidRPr="00956FA1" w:rsidRDefault="00F138C1" w:rsidP="00F138C1">
            <w:pPr>
              <w:jc w:val="center"/>
              <w:rPr>
                <w:sz w:val="20"/>
                <w:szCs w:val="20"/>
                <w:lang w:val="en-US"/>
              </w:rPr>
            </w:pPr>
          </w:p>
          <w:p w:rsidR="00F138C1" w:rsidRPr="00956FA1" w:rsidRDefault="00F138C1" w:rsidP="00F138C1">
            <w:pPr>
              <w:jc w:val="center"/>
              <w:rPr>
                <w:sz w:val="20"/>
                <w:szCs w:val="20"/>
                <w:lang w:val="en-US"/>
              </w:rPr>
            </w:pPr>
          </w:p>
          <w:p w:rsidR="00F138C1" w:rsidRPr="00956FA1" w:rsidRDefault="00F138C1" w:rsidP="00F138C1">
            <w:pPr>
              <w:jc w:val="center"/>
              <w:rPr>
                <w:sz w:val="20"/>
                <w:szCs w:val="20"/>
                <w:lang w:val="en-US"/>
              </w:rPr>
            </w:pPr>
          </w:p>
          <w:p w:rsidR="00F138C1" w:rsidRPr="00956FA1" w:rsidRDefault="00F138C1" w:rsidP="00F138C1">
            <w:pPr>
              <w:jc w:val="center"/>
              <w:rPr>
                <w:sz w:val="20"/>
                <w:szCs w:val="20"/>
                <w:lang w:val="en-US"/>
              </w:rPr>
            </w:pPr>
          </w:p>
          <w:p w:rsidR="00F138C1" w:rsidRPr="00956FA1" w:rsidRDefault="00F138C1" w:rsidP="00F138C1">
            <w:pPr>
              <w:jc w:val="center"/>
              <w:rPr>
                <w:sz w:val="20"/>
                <w:szCs w:val="20"/>
                <w:lang w:val="en-US"/>
              </w:rPr>
            </w:pPr>
          </w:p>
          <w:p w:rsidR="00F138C1" w:rsidRPr="00956FA1" w:rsidRDefault="00F138C1" w:rsidP="00F138C1">
            <w:pPr>
              <w:jc w:val="center"/>
              <w:rPr>
                <w:sz w:val="20"/>
                <w:szCs w:val="20"/>
                <w:lang w:val="en-US"/>
              </w:rPr>
            </w:pPr>
          </w:p>
          <w:p w:rsidR="00F138C1" w:rsidRPr="00956FA1" w:rsidRDefault="00F138C1" w:rsidP="00F138C1">
            <w:pPr>
              <w:jc w:val="center"/>
              <w:rPr>
                <w:sz w:val="20"/>
                <w:szCs w:val="20"/>
                <w:lang w:val="en-US"/>
              </w:rPr>
            </w:pPr>
          </w:p>
          <w:p w:rsidR="00F138C1" w:rsidRPr="00956FA1" w:rsidRDefault="00F138C1" w:rsidP="00F138C1">
            <w:pPr>
              <w:jc w:val="center"/>
              <w:rPr>
                <w:sz w:val="20"/>
                <w:szCs w:val="20"/>
                <w:lang w:val="en-US"/>
              </w:rPr>
            </w:pPr>
          </w:p>
          <w:p w:rsidR="00F138C1" w:rsidRPr="00956FA1" w:rsidRDefault="00F138C1" w:rsidP="00F138C1">
            <w:pPr>
              <w:jc w:val="center"/>
              <w:rPr>
                <w:sz w:val="20"/>
                <w:szCs w:val="20"/>
                <w:lang w:val="en-US"/>
              </w:rPr>
            </w:pPr>
          </w:p>
          <w:p w:rsidR="00F138C1" w:rsidRPr="00956FA1" w:rsidRDefault="00F138C1" w:rsidP="00F138C1">
            <w:pPr>
              <w:jc w:val="center"/>
              <w:rPr>
                <w:sz w:val="20"/>
                <w:szCs w:val="20"/>
                <w:lang w:val="en-US"/>
              </w:rPr>
            </w:pPr>
          </w:p>
          <w:p w:rsidR="00F138C1" w:rsidRPr="00956FA1" w:rsidRDefault="00F138C1" w:rsidP="00F138C1">
            <w:pPr>
              <w:jc w:val="center"/>
              <w:rPr>
                <w:sz w:val="20"/>
                <w:szCs w:val="20"/>
                <w:lang w:val="en-US"/>
              </w:rPr>
            </w:pPr>
          </w:p>
          <w:p w:rsidR="00F138C1" w:rsidRPr="00956FA1" w:rsidRDefault="00F138C1" w:rsidP="00F138C1">
            <w:pPr>
              <w:jc w:val="center"/>
              <w:rPr>
                <w:sz w:val="20"/>
                <w:szCs w:val="20"/>
                <w:lang w:val="en-US"/>
              </w:rPr>
            </w:pPr>
          </w:p>
          <w:p w:rsidR="004B2E86" w:rsidRPr="00956FA1" w:rsidRDefault="004B2E86" w:rsidP="00F138C1">
            <w:pPr>
              <w:jc w:val="center"/>
              <w:rPr>
                <w:sz w:val="20"/>
                <w:szCs w:val="20"/>
                <w:lang w:val="en-US"/>
              </w:rPr>
            </w:pPr>
          </w:p>
        </w:tc>
        <w:tc>
          <w:tcPr>
            <w:tcW w:w="4239" w:type="dxa"/>
            <w:shd w:val="clear" w:color="auto" w:fill="auto"/>
          </w:tcPr>
          <w:p w:rsidR="00F138C1" w:rsidRPr="00956FA1" w:rsidRDefault="00F138C1" w:rsidP="00F138C1">
            <w:pPr>
              <w:rPr>
                <w:sz w:val="20"/>
                <w:szCs w:val="20"/>
                <w:lang w:val="en-US"/>
              </w:rPr>
            </w:pPr>
          </w:p>
        </w:tc>
      </w:tr>
    </w:tbl>
    <w:p w:rsidR="00F138C1" w:rsidRPr="00956FA1" w:rsidRDefault="00F138C1" w:rsidP="00F138C1">
      <w:pPr>
        <w:tabs>
          <w:tab w:val="right" w:pos="9360"/>
        </w:tabs>
        <w:rPr>
          <w:sz w:val="20"/>
          <w:szCs w:val="20"/>
          <w:lang w:val="fr-CA"/>
        </w:rPr>
      </w:pPr>
    </w:p>
    <w:p w:rsidR="00F138C1" w:rsidRPr="00956FA1" w:rsidRDefault="00F138C1" w:rsidP="00F138C1">
      <w:pPr>
        <w:tabs>
          <w:tab w:val="right" w:pos="9360"/>
        </w:tabs>
        <w:rPr>
          <w:sz w:val="20"/>
          <w:szCs w:val="20"/>
          <w:lang w:val="fr-CA"/>
        </w:rPr>
      </w:pPr>
    </w:p>
    <w:p w:rsidR="00C01FCB" w:rsidRPr="00956FA1" w:rsidRDefault="00C01FCB" w:rsidP="0095096B">
      <w:pPr>
        <w:tabs>
          <w:tab w:val="right" w:pos="9360"/>
        </w:tabs>
        <w:rPr>
          <w:sz w:val="20"/>
          <w:szCs w:val="20"/>
          <w:lang w:val="fr-CA"/>
        </w:rPr>
      </w:pPr>
    </w:p>
    <w:p w:rsidR="00242AEE" w:rsidRPr="00956FA1" w:rsidRDefault="00242AEE" w:rsidP="0095096B">
      <w:pPr>
        <w:tabs>
          <w:tab w:val="right" w:pos="9360"/>
        </w:tabs>
        <w:rPr>
          <w:sz w:val="20"/>
          <w:szCs w:val="20"/>
          <w:lang w:val="fr-CA"/>
        </w:rPr>
        <w:sectPr w:rsidR="00242AEE" w:rsidRPr="00956FA1"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956FA1" w:rsidRDefault="00DD0BDC" w:rsidP="00567602">
      <w:pPr>
        <w:pStyle w:val="Header1StyleE"/>
        <w:pBdr>
          <w:bottom w:val="single" w:sz="12" w:space="1" w:color="auto"/>
        </w:pBdr>
        <w:rPr>
          <w:lang w:val="fr-CA"/>
        </w:rPr>
      </w:pPr>
      <w:bookmarkStart w:id="1" w:name="QuickMark_1"/>
      <w:bookmarkStart w:id="2" w:name="_Toc77172332"/>
      <w:bookmarkEnd w:id="1"/>
      <w:r w:rsidRPr="00956FA1">
        <w:rPr>
          <w:lang w:val="fr-CA"/>
        </w:rPr>
        <w:t>Judgments on applications</w:t>
      </w:r>
      <w:r w:rsidR="000C1D9D" w:rsidRPr="00956FA1">
        <w:rPr>
          <w:lang w:val="fr-CA"/>
        </w:rPr>
        <w:t xml:space="preserve"> </w:t>
      </w:r>
      <w:r w:rsidRPr="00956FA1">
        <w:rPr>
          <w:lang w:val="fr-CA"/>
        </w:rPr>
        <w:t>for leave</w:t>
      </w:r>
      <w:r w:rsidR="00693C38" w:rsidRPr="00956FA1">
        <w:rPr>
          <w:noProof/>
          <w:sz w:val="20"/>
          <w:lang w:val="fr-CA"/>
        </w:rPr>
        <w:t xml:space="preserve"> </w:t>
      </w:r>
      <w:r w:rsidR="00271E1E" w:rsidRPr="00956FA1">
        <w:rPr>
          <w:noProof/>
          <w:sz w:val="20"/>
          <w:lang w:val="fr-CA"/>
        </w:rPr>
        <w:t xml:space="preserve">/ </w:t>
      </w:r>
      <w:r w:rsidR="00693C38" w:rsidRPr="00956FA1">
        <w:rPr>
          <w:noProof/>
          <w:sz w:val="20"/>
          <w:lang w:val="fr-CA"/>
        </w:rPr>
        <w:br/>
      </w:r>
      <w:r w:rsidRPr="00956FA1">
        <w:rPr>
          <w:lang w:val="fr-CA"/>
        </w:rPr>
        <w:t>Jugements rendus sur les demandes d’autorisation</w:t>
      </w:r>
      <w:bookmarkEnd w:id="2"/>
    </w:p>
    <w:p w:rsidR="00FB1DB6" w:rsidRPr="00956FA1" w:rsidRDefault="00FB1DB6" w:rsidP="00693C38">
      <w:pPr>
        <w:rPr>
          <w:sz w:val="20"/>
          <w:szCs w:val="20"/>
          <w:lang w:val="fr-CA"/>
        </w:rPr>
      </w:pPr>
    </w:p>
    <w:p w:rsidR="00F16063" w:rsidRPr="00956FA1" w:rsidRDefault="009B36BA" w:rsidP="00F16063">
      <w:pPr>
        <w:rPr>
          <w:b/>
          <w:sz w:val="20"/>
          <w:szCs w:val="20"/>
        </w:rPr>
      </w:pPr>
      <w:r w:rsidRPr="00956FA1">
        <w:rPr>
          <w:b/>
          <w:sz w:val="20"/>
          <w:szCs w:val="20"/>
        </w:rPr>
        <w:t>J</w:t>
      </w:r>
      <w:r w:rsidR="001A0EF1" w:rsidRPr="00956FA1">
        <w:rPr>
          <w:b/>
          <w:sz w:val="20"/>
          <w:szCs w:val="20"/>
        </w:rPr>
        <w:t>ULY</w:t>
      </w:r>
      <w:r w:rsidR="00F16063" w:rsidRPr="00956FA1">
        <w:rPr>
          <w:b/>
          <w:sz w:val="20"/>
          <w:szCs w:val="20"/>
        </w:rPr>
        <w:t xml:space="preserve"> </w:t>
      </w:r>
      <w:r w:rsidR="00691D1D" w:rsidRPr="00956FA1">
        <w:rPr>
          <w:b/>
          <w:sz w:val="20"/>
          <w:szCs w:val="20"/>
        </w:rPr>
        <w:t>1</w:t>
      </w:r>
      <w:r w:rsidR="001A0EF1" w:rsidRPr="00956FA1">
        <w:rPr>
          <w:b/>
          <w:sz w:val="20"/>
          <w:szCs w:val="20"/>
        </w:rPr>
        <w:t>5</w:t>
      </w:r>
      <w:r w:rsidR="00F16063" w:rsidRPr="00956FA1">
        <w:rPr>
          <w:b/>
          <w:sz w:val="20"/>
          <w:szCs w:val="20"/>
        </w:rPr>
        <w:t xml:space="preserve">, </w:t>
      </w:r>
      <w:r w:rsidR="0034657E" w:rsidRPr="00956FA1">
        <w:rPr>
          <w:b/>
          <w:sz w:val="20"/>
          <w:szCs w:val="20"/>
        </w:rPr>
        <w:t>20</w:t>
      </w:r>
      <w:r w:rsidR="005967EF" w:rsidRPr="00956FA1">
        <w:rPr>
          <w:b/>
          <w:sz w:val="20"/>
          <w:szCs w:val="20"/>
        </w:rPr>
        <w:t>2</w:t>
      </w:r>
      <w:r w:rsidRPr="00956FA1">
        <w:rPr>
          <w:b/>
          <w:sz w:val="20"/>
          <w:szCs w:val="20"/>
        </w:rPr>
        <w:t>1</w:t>
      </w:r>
      <w:r w:rsidR="00F16063" w:rsidRPr="00956FA1">
        <w:rPr>
          <w:b/>
          <w:sz w:val="20"/>
          <w:szCs w:val="20"/>
        </w:rPr>
        <w:t xml:space="preserve"> / LE </w:t>
      </w:r>
      <w:r w:rsidR="00691D1D" w:rsidRPr="00956FA1">
        <w:rPr>
          <w:b/>
          <w:sz w:val="20"/>
          <w:szCs w:val="20"/>
        </w:rPr>
        <w:t>1</w:t>
      </w:r>
      <w:r w:rsidR="001A0EF1" w:rsidRPr="00956FA1">
        <w:rPr>
          <w:b/>
          <w:sz w:val="20"/>
          <w:szCs w:val="20"/>
        </w:rPr>
        <w:t>5</w:t>
      </w:r>
      <w:r w:rsidR="00F16063" w:rsidRPr="00956FA1">
        <w:rPr>
          <w:b/>
          <w:sz w:val="20"/>
          <w:szCs w:val="20"/>
        </w:rPr>
        <w:t xml:space="preserve"> </w:t>
      </w:r>
      <w:r w:rsidRPr="00956FA1">
        <w:rPr>
          <w:b/>
          <w:sz w:val="20"/>
          <w:szCs w:val="20"/>
        </w:rPr>
        <w:t>J</w:t>
      </w:r>
      <w:r w:rsidR="001A0EF1" w:rsidRPr="00956FA1">
        <w:rPr>
          <w:b/>
          <w:sz w:val="20"/>
          <w:szCs w:val="20"/>
        </w:rPr>
        <w:t>UILLET</w:t>
      </w:r>
      <w:r w:rsidR="00F16063" w:rsidRPr="00956FA1">
        <w:rPr>
          <w:b/>
          <w:sz w:val="20"/>
          <w:szCs w:val="20"/>
        </w:rPr>
        <w:t xml:space="preserve"> </w:t>
      </w:r>
      <w:r w:rsidR="0034657E" w:rsidRPr="00956FA1">
        <w:rPr>
          <w:b/>
          <w:sz w:val="20"/>
          <w:szCs w:val="20"/>
        </w:rPr>
        <w:t>20</w:t>
      </w:r>
      <w:r w:rsidR="005967EF" w:rsidRPr="00956FA1">
        <w:rPr>
          <w:b/>
          <w:sz w:val="20"/>
          <w:szCs w:val="20"/>
        </w:rPr>
        <w:t>2</w:t>
      </w:r>
      <w:r w:rsidRPr="00956FA1">
        <w:rPr>
          <w:b/>
          <w:sz w:val="20"/>
          <w:szCs w:val="20"/>
        </w:rPr>
        <w:t>1</w:t>
      </w:r>
    </w:p>
    <w:p w:rsidR="003A009E" w:rsidRPr="00956FA1" w:rsidRDefault="003A009E" w:rsidP="003A009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A009E" w:rsidRPr="00956FA1" w:rsidTr="00C34132">
        <w:tc>
          <w:tcPr>
            <w:tcW w:w="543" w:type="pct"/>
          </w:tcPr>
          <w:p w:rsidR="003A009E" w:rsidRPr="00956FA1" w:rsidRDefault="003A009E" w:rsidP="00C34132">
            <w:pPr>
              <w:jc w:val="both"/>
              <w:rPr>
                <w:sz w:val="20"/>
              </w:rPr>
            </w:pPr>
            <w:r w:rsidRPr="00956FA1">
              <w:rPr>
                <w:rStyle w:val="SCCFileNumberChar"/>
                <w:sz w:val="20"/>
                <w:szCs w:val="20"/>
              </w:rPr>
              <w:t>39603</w:t>
            </w:r>
          </w:p>
        </w:tc>
        <w:tc>
          <w:tcPr>
            <w:tcW w:w="4457" w:type="pct"/>
            <w:gridSpan w:val="3"/>
          </w:tcPr>
          <w:p w:rsidR="003A009E" w:rsidRPr="00956FA1" w:rsidRDefault="003A009E" w:rsidP="00C34132">
            <w:pPr>
              <w:pStyle w:val="SCCLsocParty"/>
              <w:jc w:val="both"/>
              <w:rPr>
                <w:b/>
                <w:sz w:val="20"/>
                <w:szCs w:val="20"/>
                <w:lang w:val="en-US"/>
              </w:rPr>
            </w:pPr>
            <w:r w:rsidRPr="00956FA1">
              <w:rPr>
                <w:b/>
                <w:sz w:val="20"/>
                <w:szCs w:val="20"/>
                <w:lang w:val="en-US"/>
              </w:rPr>
              <w:t>Dimitri Alexiou v. Her Majesty the Queen</w:t>
            </w:r>
          </w:p>
          <w:p w:rsidR="003A009E" w:rsidRPr="00956FA1" w:rsidRDefault="003A009E" w:rsidP="00C34132">
            <w:pPr>
              <w:jc w:val="both"/>
              <w:rPr>
                <w:sz w:val="20"/>
              </w:rPr>
            </w:pPr>
            <w:r w:rsidRPr="00956FA1">
              <w:rPr>
                <w:sz w:val="20"/>
              </w:rPr>
              <w:t>(Ont.) (Criminal) (By Leave)</w:t>
            </w:r>
          </w:p>
        </w:tc>
      </w:tr>
      <w:tr w:rsidR="003A009E" w:rsidRPr="00956FA1" w:rsidTr="00C34132">
        <w:tc>
          <w:tcPr>
            <w:tcW w:w="5000" w:type="pct"/>
            <w:gridSpan w:val="4"/>
          </w:tcPr>
          <w:p w:rsidR="00C34132" w:rsidRPr="00956FA1" w:rsidRDefault="00C34132" w:rsidP="00C34132">
            <w:pPr>
              <w:jc w:val="both"/>
              <w:rPr>
                <w:sz w:val="20"/>
                <w:szCs w:val="20"/>
              </w:rPr>
            </w:pPr>
            <w:r w:rsidRPr="00956FA1">
              <w:rPr>
                <w:sz w:val="20"/>
                <w:szCs w:val="20"/>
              </w:rPr>
              <w:t>The motion for an extension of time to serve and file the application for leave to appeal is granted. The application for leave to appeal from the judgment of the</w:t>
            </w:r>
            <w:bookmarkStart w:id="3" w:name="BM_1_"/>
            <w:bookmarkEnd w:id="3"/>
            <w:r w:rsidRPr="00956FA1">
              <w:rPr>
                <w:sz w:val="20"/>
                <w:szCs w:val="20"/>
              </w:rPr>
              <w:t xml:space="preserve"> Court of Appeal for Ontario, Number C63092, 2020 ONCA 479, dated July 22, 2020, is dismissed.</w:t>
            </w:r>
          </w:p>
          <w:p w:rsidR="003A009E" w:rsidRPr="00956FA1" w:rsidRDefault="003A009E" w:rsidP="00C34132">
            <w:pPr>
              <w:jc w:val="both"/>
              <w:rPr>
                <w:sz w:val="20"/>
              </w:rPr>
            </w:pPr>
          </w:p>
        </w:tc>
      </w:tr>
      <w:tr w:rsidR="003A009E" w:rsidRPr="00956FA1" w:rsidTr="00C34132">
        <w:tc>
          <w:tcPr>
            <w:tcW w:w="5000" w:type="pct"/>
            <w:gridSpan w:val="4"/>
          </w:tcPr>
          <w:p w:rsidR="003A009E" w:rsidRPr="00956FA1" w:rsidRDefault="003A009E" w:rsidP="00C34132">
            <w:pPr>
              <w:jc w:val="both"/>
              <w:rPr>
                <w:sz w:val="20"/>
              </w:rPr>
            </w:pPr>
            <w:r w:rsidRPr="00956FA1">
              <w:rPr>
                <w:sz w:val="20"/>
              </w:rPr>
              <w:t xml:space="preserve">Criminal law — Evidence — Disclosure — Confidential informer privilege — At what point does the protection of informer privilege undermine the proper administration of justice and the accused’s fair trial rights — Whether informants that are observed by police committing the offences under investigation and are known to the accused are deserving of the protection of CI privilege — Whether trial judges must provide a summary of </w:t>
            </w:r>
            <w:r w:rsidRPr="00956FA1">
              <w:rPr>
                <w:i/>
                <w:sz w:val="20"/>
              </w:rPr>
              <w:t>ex parte</w:t>
            </w:r>
            <w:r w:rsidRPr="00956FA1">
              <w:rPr>
                <w:sz w:val="20"/>
              </w:rPr>
              <w:t xml:space="preserve">, in camera hearings to determine the status of a CI to enable submissions about the legal controversies raised and if the trial judge fails to do so, whether an appellate court should remedy this error with disclosure to ensure a fair appeal — Whether special advocates should be appointed to assist the court and accused with examination and legal argument when there are multiple accused and complex issues to be determined — Whether appellate courts should review a sealed record of </w:t>
            </w:r>
            <w:r w:rsidRPr="00956FA1">
              <w:rPr>
                <w:i/>
                <w:sz w:val="20"/>
              </w:rPr>
              <w:t>ex parte</w:t>
            </w:r>
            <w:r w:rsidRPr="00956FA1">
              <w:rPr>
                <w:sz w:val="20"/>
              </w:rPr>
              <w:t>, in camera hearings in determining these issues.</w:t>
            </w:r>
          </w:p>
          <w:p w:rsidR="003A009E" w:rsidRPr="00956FA1" w:rsidRDefault="003A009E" w:rsidP="00C34132">
            <w:pPr>
              <w:jc w:val="both"/>
              <w:rPr>
                <w:sz w:val="20"/>
              </w:rPr>
            </w:pPr>
          </w:p>
        </w:tc>
      </w:tr>
      <w:tr w:rsidR="003A009E" w:rsidRPr="00956FA1" w:rsidTr="00C34132">
        <w:tc>
          <w:tcPr>
            <w:tcW w:w="5000" w:type="pct"/>
            <w:gridSpan w:val="4"/>
          </w:tcPr>
          <w:p w:rsidR="003A009E" w:rsidRPr="00956FA1" w:rsidRDefault="003A009E" w:rsidP="00C34132">
            <w:pPr>
              <w:jc w:val="both"/>
              <w:rPr>
                <w:sz w:val="20"/>
              </w:rPr>
            </w:pPr>
            <w:r w:rsidRPr="00956FA1">
              <w:rPr>
                <w:sz w:val="20"/>
                <w:lang w:val="en"/>
              </w:rPr>
              <w:t xml:space="preserve">A confidential informer’s tip led to a police investigation that resulted in multiple arrests and the seizure of drugs worth millions of dollars. An </w:t>
            </w:r>
            <w:r w:rsidRPr="00956FA1">
              <w:rPr>
                <w:i/>
                <w:sz w:val="20"/>
                <w:lang w:val="en"/>
              </w:rPr>
              <w:t>in</w:t>
            </w:r>
            <w:r w:rsidRPr="00956FA1">
              <w:rPr>
                <w:i/>
                <w:sz w:val="20"/>
                <w:lang w:val="en"/>
              </w:rPr>
              <w:noBreakHyphen/>
              <w:t>camera</w:t>
            </w:r>
            <w:r w:rsidRPr="00956FA1">
              <w:rPr>
                <w:sz w:val="20"/>
                <w:lang w:val="en"/>
              </w:rPr>
              <w:t xml:space="preserve">, </w:t>
            </w:r>
            <w:r w:rsidRPr="00956FA1">
              <w:rPr>
                <w:i/>
                <w:sz w:val="20"/>
                <w:lang w:val="en"/>
              </w:rPr>
              <w:t>ex</w:t>
            </w:r>
            <w:r w:rsidRPr="00956FA1">
              <w:rPr>
                <w:i/>
                <w:sz w:val="20"/>
                <w:lang w:val="en"/>
              </w:rPr>
              <w:noBreakHyphen/>
              <w:t>parte</w:t>
            </w:r>
            <w:r w:rsidRPr="00956FA1">
              <w:rPr>
                <w:sz w:val="20"/>
                <w:lang w:val="en"/>
              </w:rPr>
              <w:t xml:space="preserve"> hearing was held to determine whether the confidential informant acted as a police agent or a material witness and whether </w:t>
            </w:r>
            <w:r w:rsidRPr="00956FA1">
              <w:rPr>
                <w:sz w:val="20"/>
              </w:rPr>
              <w:t>confidential informer privilege should be pierced.</w:t>
            </w:r>
            <w:r w:rsidRPr="00956FA1">
              <w:rPr>
                <w:sz w:val="20"/>
                <w:lang w:val="en"/>
              </w:rPr>
              <w:t xml:space="preserve"> The applications judge </w:t>
            </w:r>
            <w:r w:rsidRPr="00956FA1">
              <w:rPr>
                <w:sz w:val="20"/>
              </w:rPr>
              <w:t>held the confidential informant was neither a police agent nor a material witness and privilege applied. The application for a stay of proceedings was dismissed. The applicant was convicted for trafficking in cocaine and possession of cocaine for the purpose of trafficking. The Court of Appeal dismissed the conviction appeal.</w:t>
            </w:r>
          </w:p>
        </w:tc>
      </w:tr>
      <w:tr w:rsidR="003A009E" w:rsidRPr="00956FA1" w:rsidTr="00C34132">
        <w:tc>
          <w:tcPr>
            <w:tcW w:w="5000" w:type="pct"/>
            <w:gridSpan w:val="4"/>
          </w:tcPr>
          <w:p w:rsidR="003A009E" w:rsidRPr="00956FA1" w:rsidRDefault="003A009E" w:rsidP="00C34132">
            <w:pPr>
              <w:jc w:val="both"/>
              <w:rPr>
                <w:sz w:val="20"/>
              </w:rPr>
            </w:pPr>
          </w:p>
        </w:tc>
      </w:tr>
      <w:tr w:rsidR="003A009E" w:rsidRPr="00956FA1" w:rsidTr="00C34132">
        <w:tc>
          <w:tcPr>
            <w:tcW w:w="2427" w:type="pct"/>
            <w:gridSpan w:val="2"/>
          </w:tcPr>
          <w:p w:rsidR="003A009E" w:rsidRPr="00956FA1" w:rsidRDefault="003A009E" w:rsidP="00C34132">
            <w:pPr>
              <w:jc w:val="both"/>
              <w:rPr>
                <w:sz w:val="20"/>
              </w:rPr>
            </w:pPr>
            <w:r w:rsidRPr="00956FA1">
              <w:rPr>
                <w:sz w:val="20"/>
              </w:rPr>
              <w:t>October 6, 2016</w:t>
            </w:r>
          </w:p>
          <w:p w:rsidR="003A009E" w:rsidRPr="00956FA1" w:rsidRDefault="003A009E" w:rsidP="00C34132">
            <w:pPr>
              <w:jc w:val="both"/>
              <w:rPr>
                <w:sz w:val="20"/>
              </w:rPr>
            </w:pPr>
            <w:r w:rsidRPr="00956FA1">
              <w:rPr>
                <w:sz w:val="20"/>
              </w:rPr>
              <w:t>Ontario Superior Court of Justice</w:t>
            </w:r>
          </w:p>
          <w:p w:rsidR="003A009E" w:rsidRPr="00956FA1" w:rsidRDefault="003A009E" w:rsidP="00C34132">
            <w:pPr>
              <w:jc w:val="both"/>
              <w:rPr>
                <w:sz w:val="20"/>
              </w:rPr>
            </w:pPr>
            <w:r w:rsidRPr="00956FA1">
              <w:rPr>
                <w:sz w:val="20"/>
              </w:rPr>
              <w:t xml:space="preserve">(McCombs J.)  </w:t>
            </w:r>
          </w:p>
          <w:p w:rsidR="003A009E" w:rsidRPr="00956FA1" w:rsidRDefault="00956FA1" w:rsidP="00C34132">
            <w:pPr>
              <w:jc w:val="both"/>
              <w:rPr>
                <w:sz w:val="20"/>
              </w:rPr>
            </w:pPr>
            <w:hyperlink r:id="rId15" w:history="1">
              <w:r w:rsidR="003A009E" w:rsidRPr="00956FA1">
                <w:rPr>
                  <w:rStyle w:val="Hyperlink"/>
                  <w:rFonts w:eastAsiaTheme="majorEastAsia"/>
                  <w:sz w:val="20"/>
                </w:rPr>
                <w:t>2016 ONSC 6267</w:t>
              </w:r>
            </w:hyperlink>
          </w:p>
          <w:p w:rsidR="003A009E" w:rsidRPr="00956FA1" w:rsidRDefault="003A009E" w:rsidP="00C34132">
            <w:pPr>
              <w:jc w:val="both"/>
              <w:rPr>
                <w:sz w:val="20"/>
              </w:rPr>
            </w:pP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rPr>
            </w:pPr>
            <w:r w:rsidRPr="00956FA1">
              <w:rPr>
                <w:sz w:val="20"/>
              </w:rPr>
              <w:t>Conviction entered for trafficking and possession for the purpose of trafficking in cocaine</w:t>
            </w:r>
          </w:p>
        </w:tc>
      </w:tr>
      <w:tr w:rsidR="003A009E" w:rsidRPr="00956FA1" w:rsidTr="00C34132">
        <w:tc>
          <w:tcPr>
            <w:tcW w:w="2427" w:type="pct"/>
            <w:gridSpan w:val="2"/>
          </w:tcPr>
          <w:p w:rsidR="003A009E" w:rsidRPr="00956FA1" w:rsidRDefault="003A009E" w:rsidP="00C34132">
            <w:pPr>
              <w:jc w:val="both"/>
              <w:rPr>
                <w:sz w:val="20"/>
              </w:rPr>
            </w:pPr>
            <w:r w:rsidRPr="00956FA1">
              <w:rPr>
                <w:sz w:val="20"/>
              </w:rPr>
              <w:t>July 22, 2020</w:t>
            </w:r>
          </w:p>
          <w:p w:rsidR="003A009E" w:rsidRPr="00956FA1" w:rsidRDefault="003A009E" w:rsidP="00C34132">
            <w:pPr>
              <w:jc w:val="both"/>
              <w:rPr>
                <w:sz w:val="20"/>
              </w:rPr>
            </w:pPr>
            <w:r w:rsidRPr="00956FA1">
              <w:rPr>
                <w:sz w:val="20"/>
              </w:rPr>
              <w:t>Court of Appeal for Ontario</w:t>
            </w:r>
          </w:p>
          <w:p w:rsidR="003A009E" w:rsidRPr="00956FA1" w:rsidRDefault="003A009E" w:rsidP="00C34132">
            <w:pPr>
              <w:jc w:val="both"/>
              <w:rPr>
                <w:sz w:val="20"/>
                <w:lang w:val="fr-CA"/>
              </w:rPr>
            </w:pPr>
            <w:r w:rsidRPr="00956FA1">
              <w:rPr>
                <w:sz w:val="20"/>
                <w:lang w:val="fr-CA"/>
              </w:rPr>
              <w:t>(Watt, Pardu, Roberts JJ.A.)</w:t>
            </w:r>
          </w:p>
          <w:p w:rsidR="003A009E" w:rsidRPr="00956FA1" w:rsidRDefault="00956FA1" w:rsidP="00C34132">
            <w:pPr>
              <w:jc w:val="both"/>
              <w:rPr>
                <w:sz w:val="20"/>
              </w:rPr>
            </w:pPr>
            <w:hyperlink r:id="rId16" w:history="1">
              <w:r w:rsidR="003A009E" w:rsidRPr="00956FA1">
                <w:rPr>
                  <w:rStyle w:val="Hyperlink"/>
                  <w:rFonts w:eastAsiaTheme="majorEastAsia"/>
                  <w:sz w:val="20"/>
                </w:rPr>
                <w:t>2020 ONCA 479</w:t>
              </w:r>
            </w:hyperlink>
            <w:r w:rsidR="003A009E" w:rsidRPr="00956FA1">
              <w:rPr>
                <w:sz w:val="20"/>
              </w:rPr>
              <w:t>; C63092</w:t>
            </w:r>
          </w:p>
          <w:p w:rsidR="003A009E" w:rsidRPr="00956FA1" w:rsidRDefault="003A009E" w:rsidP="00C34132">
            <w:pPr>
              <w:jc w:val="both"/>
              <w:rPr>
                <w:sz w:val="20"/>
                <w:lang w:val="fr-CA"/>
              </w:rPr>
            </w:pPr>
          </w:p>
        </w:tc>
        <w:tc>
          <w:tcPr>
            <w:tcW w:w="243" w:type="pct"/>
          </w:tcPr>
          <w:p w:rsidR="003A009E" w:rsidRPr="00956FA1" w:rsidRDefault="003A009E" w:rsidP="00C34132">
            <w:pPr>
              <w:jc w:val="both"/>
              <w:rPr>
                <w:sz w:val="20"/>
                <w:lang w:val="fr-CA"/>
              </w:rPr>
            </w:pPr>
          </w:p>
        </w:tc>
        <w:tc>
          <w:tcPr>
            <w:tcW w:w="2330" w:type="pct"/>
          </w:tcPr>
          <w:p w:rsidR="003A009E" w:rsidRPr="00956FA1" w:rsidRDefault="003A009E" w:rsidP="00C34132">
            <w:pPr>
              <w:jc w:val="both"/>
              <w:rPr>
                <w:sz w:val="20"/>
              </w:rPr>
            </w:pPr>
            <w:r w:rsidRPr="00956FA1">
              <w:rPr>
                <w:sz w:val="20"/>
              </w:rPr>
              <w:t>Conviction appeal dismissed</w:t>
            </w:r>
          </w:p>
          <w:p w:rsidR="003A009E" w:rsidRPr="00956FA1" w:rsidRDefault="003A009E" w:rsidP="00C34132">
            <w:pPr>
              <w:jc w:val="both"/>
              <w:rPr>
                <w:sz w:val="20"/>
              </w:rPr>
            </w:pPr>
          </w:p>
        </w:tc>
      </w:tr>
      <w:tr w:rsidR="003A009E" w:rsidRPr="00956FA1" w:rsidTr="00C34132">
        <w:tc>
          <w:tcPr>
            <w:tcW w:w="2427" w:type="pct"/>
            <w:gridSpan w:val="2"/>
          </w:tcPr>
          <w:p w:rsidR="003A009E" w:rsidRPr="00956FA1" w:rsidRDefault="003A009E" w:rsidP="00C34132">
            <w:pPr>
              <w:jc w:val="both"/>
              <w:rPr>
                <w:sz w:val="20"/>
              </w:rPr>
            </w:pPr>
            <w:r w:rsidRPr="00956FA1">
              <w:rPr>
                <w:sz w:val="20"/>
              </w:rPr>
              <w:t>March 9, 2021</w:t>
            </w:r>
          </w:p>
          <w:p w:rsidR="003A009E" w:rsidRPr="00956FA1" w:rsidRDefault="003A009E" w:rsidP="00C34132">
            <w:pPr>
              <w:jc w:val="both"/>
              <w:rPr>
                <w:sz w:val="20"/>
              </w:rPr>
            </w:pPr>
            <w:r w:rsidRPr="00956FA1">
              <w:rPr>
                <w:sz w:val="20"/>
              </w:rPr>
              <w:t>Supreme Court of Canada</w:t>
            </w:r>
          </w:p>
          <w:p w:rsidR="003A009E" w:rsidRPr="00956FA1" w:rsidRDefault="003A009E" w:rsidP="00C34132">
            <w:pPr>
              <w:jc w:val="both"/>
              <w:rPr>
                <w:sz w:val="20"/>
              </w:rPr>
            </w:pP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rPr>
            </w:pPr>
            <w:r w:rsidRPr="00956FA1">
              <w:rPr>
                <w:sz w:val="20"/>
              </w:rPr>
              <w:t>Motion for an extension of time to serve and file the application for leave to appeal and application for leave to appeal filed</w:t>
            </w:r>
          </w:p>
        </w:tc>
      </w:tr>
    </w:tbl>
    <w:p w:rsidR="003A009E" w:rsidRPr="00956FA1" w:rsidRDefault="003A009E" w:rsidP="003A009E">
      <w:pPr>
        <w:jc w:val="both"/>
        <w:rPr>
          <w:sz w:val="20"/>
        </w:rPr>
      </w:pPr>
    </w:p>
    <w:p w:rsidR="003A009E" w:rsidRPr="00956FA1" w:rsidRDefault="00956FA1" w:rsidP="003A009E">
      <w:pPr>
        <w:jc w:val="both"/>
        <w:rPr>
          <w:sz w:val="20"/>
        </w:rPr>
      </w:pPr>
      <w:r w:rsidRPr="00956FA1">
        <w:rPr>
          <w:sz w:val="20"/>
        </w:rPr>
        <w:pict>
          <v:rect id="_x0000_i1030" style="width:2in;height:1pt" o:hrpct="0" o:hralign="center" o:hrstd="t" o:hrnoshade="t" o:hr="t" fillcolor="black [3213]" stroked="f"/>
        </w:pict>
      </w:r>
    </w:p>
    <w:p w:rsidR="003A009E" w:rsidRPr="00956FA1" w:rsidRDefault="003A009E" w:rsidP="003A009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A009E" w:rsidRPr="00956FA1" w:rsidTr="00C34132">
        <w:tc>
          <w:tcPr>
            <w:tcW w:w="543" w:type="pct"/>
          </w:tcPr>
          <w:p w:rsidR="003A009E" w:rsidRPr="00956FA1" w:rsidRDefault="003A009E" w:rsidP="00C34132">
            <w:pPr>
              <w:jc w:val="both"/>
              <w:rPr>
                <w:sz w:val="20"/>
                <w:lang w:val="fr-CA"/>
              </w:rPr>
            </w:pPr>
            <w:r w:rsidRPr="00956FA1">
              <w:rPr>
                <w:rStyle w:val="SCCFileNumberChar"/>
                <w:sz w:val="20"/>
                <w:szCs w:val="20"/>
                <w:lang w:val="fr-CA"/>
              </w:rPr>
              <w:t>39603</w:t>
            </w:r>
          </w:p>
        </w:tc>
        <w:tc>
          <w:tcPr>
            <w:tcW w:w="4457" w:type="pct"/>
          </w:tcPr>
          <w:p w:rsidR="003A009E" w:rsidRPr="00956FA1" w:rsidRDefault="003A009E" w:rsidP="00C34132">
            <w:pPr>
              <w:pStyle w:val="SCCLsocParty"/>
              <w:jc w:val="both"/>
              <w:rPr>
                <w:b/>
                <w:sz w:val="20"/>
                <w:szCs w:val="20"/>
              </w:rPr>
            </w:pPr>
            <w:r w:rsidRPr="00956FA1">
              <w:rPr>
                <w:b/>
                <w:sz w:val="20"/>
                <w:szCs w:val="20"/>
              </w:rPr>
              <w:t>Dimitri Alexiou c. Sa Majesté la Reine</w:t>
            </w:r>
          </w:p>
          <w:p w:rsidR="003A009E" w:rsidRPr="00956FA1" w:rsidRDefault="003A009E" w:rsidP="00C34132">
            <w:pPr>
              <w:jc w:val="both"/>
              <w:rPr>
                <w:sz w:val="20"/>
                <w:lang w:val="fr-CA"/>
              </w:rPr>
            </w:pPr>
            <w:r w:rsidRPr="00956FA1">
              <w:rPr>
                <w:sz w:val="20"/>
                <w:lang w:val="fr-CA"/>
              </w:rPr>
              <w:t>(Ont.) (Criminelle) (Sur autorisation)</w:t>
            </w:r>
          </w:p>
        </w:tc>
      </w:tr>
      <w:tr w:rsidR="003A009E" w:rsidRPr="00956FA1" w:rsidTr="00C34132">
        <w:tc>
          <w:tcPr>
            <w:tcW w:w="5000" w:type="pct"/>
            <w:gridSpan w:val="2"/>
          </w:tcPr>
          <w:p w:rsidR="003A009E" w:rsidRPr="00956FA1" w:rsidRDefault="00C34132" w:rsidP="00C34132">
            <w:pPr>
              <w:jc w:val="both"/>
              <w:rPr>
                <w:sz w:val="20"/>
                <w:szCs w:val="20"/>
                <w:lang w:val="fr-CA"/>
              </w:rPr>
            </w:pPr>
            <w:r w:rsidRPr="00956FA1">
              <w:rPr>
                <w:sz w:val="20"/>
                <w:szCs w:val="20"/>
                <w:lang w:val="fr-CA"/>
              </w:rPr>
              <w:t>La requ</w:t>
            </w:r>
            <w:r w:rsidRPr="00956FA1">
              <w:rPr>
                <w:rFonts w:cs="Times New Roman"/>
                <w:sz w:val="20"/>
                <w:szCs w:val="20"/>
                <w:lang w:val="fr-CA"/>
              </w:rPr>
              <w:t>ê</w:t>
            </w:r>
            <w:r w:rsidRPr="00956FA1">
              <w:rPr>
                <w:sz w:val="20"/>
                <w:szCs w:val="20"/>
                <w:lang w:val="fr-CA"/>
              </w:rPr>
              <w:t>te en prorogation du d</w:t>
            </w:r>
            <w:r w:rsidRPr="00956FA1">
              <w:rPr>
                <w:rFonts w:cs="Times New Roman"/>
                <w:sz w:val="20"/>
                <w:szCs w:val="20"/>
                <w:lang w:val="fr-CA"/>
              </w:rPr>
              <w:t>é</w:t>
            </w:r>
            <w:r w:rsidRPr="00956FA1">
              <w:rPr>
                <w:sz w:val="20"/>
                <w:szCs w:val="20"/>
                <w:lang w:val="fr-CA"/>
              </w:rPr>
              <w:t>lai de signification et de d</w:t>
            </w:r>
            <w:r w:rsidRPr="00956FA1">
              <w:rPr>
                <w:rFonts w:cs="Times New Roman"/>
                <w:sz w:val="20"/>
                <w:szCs w:val="20"/>
                <w:lang w:val="fr-CA"/>
              </w:rPr>
              <w:t>é</w:t>
            </w:r>
            <w:r w:rsidRPr="00956FA1">
              <w:rPr>
                <w:sz w:val="20"/>
                <w:szCs w:val="20"/>
                <w:lang w:val="fr-CA"/>
              </w:rPr>
              <w:t>p</w:t>
            </w:r>
            <w:r w:rsidRPr="00956FA1">
              <w:rPr>
                <w:rFonts w:cs="Times New Roman"/>
                <w:sz w:val="20"/>
                <w:szCs w:val="20"/>
                <w:lang w:val="fr-CA"/>
              </w:rPr>
              <w:t>ô</w:t>
            </w:r>
            <w:r w:rsidRPr="00956FA1">
              <w:rPr>
                <w:sz w:val="20"/>
                <w:szCs w:val="20"/>
                <w:lang w:val="fr-CA"/>
              </w:rPr>
              <w:t>t de la demande d’autorisation d’appel est accueillie. La demande d’autorisation d’appel de l’arrêt de la Cour d’appel de l’Ontario, numéro C63092, 2020 ONCA 479, daté du 22 juillet 2020, est rejetée.</w:t>
            </w:r>
          </w:p>
          <w:p w:rsidR="00C34132" w:rsidRPr="00956FA1" w:rsidRDefault="00C34132" w:rsidP="00C34132">
            <w:pPr>
              <w:jc w:val="both"/>
              <w:rPr>
                <w:sz w:val="20"/>
                <w:lang w:val="fr-CA"/>
              </w:rPr>
            </w:pPr>
          </w:p>
        </w:tc>
      </w:tr>
    </w:tbl>
    <w:p w:rsidR="00662169" w:rsidRPr="00956FA1" w:rsidRDefault="00662169">
      <w:pPr>
        <w:rPr>
          <w:lang w:val="fr-CA"/>
        </w:rPr>
      </w:pPr>
      <w:r w:rsidRPr="00956FA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A009E" w:rsidRPr="00956FA1" w:rsidTr="00C34132">
        <w:tc>
          <w:tcPr>
            <w:tcW w:w="5000" w:type="pct"/>
            <w:gridSpan w:val="3"/>
          </w:tcPr>
          <w:p w:rsidR="003A009E" w:rsidRPr="00956FA1" w:rsidRDefault="003A009E" w:rsidP="00C34132">
            <w:pPr>
              <w:jc w:val="both"/>
              <w:rPr>
                <w:sz w:val="20"/>
                <w:lang w:val="fr-CA"/>
              </w:rPr>
            </w:pPr>
            <w:r w:rsidRPr="00956FA1">
              <w:rPr>
                <w:sz w:val="20"/>
                <w:lang w:val="fr-CA"/>
              </w:rPr>
              <w:t>Droit criminel — Preuve — Communication de la preuve — Privilège relatif aux indicateurs dont l’identité est confidentielle — À quel moment la protection du privilège relatif aux indicateurs vient</w:t>
            </w:r>
            <w:r w:rsidRPr="00956FA1">
              <w:rPr>
                <w:sz w:val="20"/>
                <w:lang w:val="fr-CA"/>
              </w:rPr>
              <w:noBreakHyphen/>
              <w:t>elle nuire à la bonne administration de la justice et au droit de l’accusé à un procès équitable? — Les indicateurs que la police voit commettre les infractions visées par l’enquête et qui sont connus de l’accusé méritent</w:t>
            </w:r>
            <w:r w:rsidRPr="00956FA1">
              <w:rPr>
                <w:sz w:val="20"/>
                <w:lang w:val="fr-CA"/>
              </w:rPr>
              <w:noBreakHyphen/>
              <w:t>ils la protection accordée par le privilège relatif aux indicateurs dont l’identité est confidentielle? — Les juges du procès sont</w:t>
            </w:r>
            <w:r w:rsidRPr="00956FA1">
              <w:rPr>
                <w:sz w:val="20"/>
                <w:lang w:val="fr-CA"/>
              </w:rPr>
              <w:noBreakHyphen/>
              <w:t xml:space="preserve">ils tenus de fournir un sommaire des audiences </w:t>
            </w:r>
            <w:r w:rsidRPr="00956FA1">
              <w:rPr>
                <w:i/>
                <w:sz w:val="20"/>
                <w:lang w:val="fr-CA"/>
              </w:rPr>
              <w:t>ex parte</w:t>
            </w:r>
            <w:r w:rsidRPr="00956FA1">
              <w:rPr>
                <w:sz w:val="20"/>
                <w:lang w:val="fr-CA"/>
              </w:rPr>
              <w:t xml:space="preserve"> à huis clos visant à déterminer le statut d’un indicateur confidentiel pour qu’il soit possible de présenter des observations relatives aux questions juridiques en litige soulevées, et si le juge du procès omet de la faire, la cour d’appel devrait</w:t>
            </w:r>
            <w:r w:rsidRPr="00956FA1">
              <w:rPr>
                <w:sz w:val="20"/>
                <w:lang w:val="fr-CA"/>
              </w:rPr>
              <w:noBreakHyphen/>
              <w:t>elle remédier à cette erreur au moyen de la communication de la preuve pour assurer la tenue d’un procès équitable en appel? — Devrait</w:t>
            </w:r>
            <w:r w:rsidRPr="00956FA1">
              <w:rPr>
                <w:sz w:val="20"/>
                <w:lang w:val="fr-CA"/>
              </w:rPr>
              <w:noBreakHyphen/>
              <w:t>on nommer des avocats spéciaux afin d’aider le tribunal et l’accusé lors de l’interrogatoire et les plaidoiries lorsqu’il y a de nombreux accusés et des questions complexes à trancher? — Les cours d’appel devraient</w:t>
            </w:r>
            <w:r w:rsidRPr="00956FA1">
              <w:rPr>
                <w:sz w:val="20"/>
                <w:lang w:val="fr-CA"/>
              </w:rPr>
              <w:noBreakHyphen/>
              <w:t>elles examiner le dossier scellé des audiences ex parte à huis clos pour trancher ces questions?</w:t>
            </w:r>
          </w:p>
          <w:p w:rsidR="003A009E" w:rsidRPr="00956FA1" w:rsidRDefault="003A009E" w:rsidP="00C34132">
            <w:pPr>
              <w:jc w:val="both"/>
              <w:rPr>
                <w:sz w:val="20"/>
                <w:lang w:val="fr-CA"/>
              </w:rPr>
            </w:pPr>
          </w:p>
        </w:tc>
      </w:tr>
      <w:tr w:rsidR="003A009E" w:rsidRPr="00956FA1" w:rsidTr="00C34132">
        <w:tc>
          <w:tcPr>
            <w:tcW w:w="5000" w:type="pct"/>
            <w:gridSpan w:val="3"/>
          </w:tcPr>
          <w:p w:rsidR="003A009E" w:rsidRPr="00956FA1" w:rsidRDefault="003A009E" w:rsidP="00C34132">
            <w:pPr>
              <w:jc w:val="both"/>
              <w:rPr>
                <w:sz w:val="20"/>
                <w:lang w:val="fr-CA"/>
              </w:rPr>
            </w:pPr>
            <w:r w:rsidRPr="00956FA1">
              <w:rPr>
                <w:sz w:val="20"/>
                <w:lang w:val="fr-CA"/>
              </w:rPr>
              <w:t xml:space="preserve">Des renseignements communiqués par un indicateur confidentiel ont mené à une enquête policière qui s’est soldée par de nombreuses arrestations et la saisie de drogues valant des millions de dollars. Une audience </w:t>
            </w:r>
            <w:r w:rsidRPr="00956FA1">
              <w:rPr>
                <w:i/>
                <w:sz w:val="20"/>
                <w:lang w:val="fr-CA"/>
              </w:rPr>
              <w:t>ex parte</w:t>
            </w:r>
            <w:r w:rsidRPr="00956FA1">
              <w:rPr>
                <w:sz w:val="20"/>
                <w:lang w:val="fr-CA"/>
              </w:rPr>
              <w:t xml:space="preserve"> à huis clos a eu lieu afin de déterminer si l’indicateur confidentiel a agi à titre d’agent de la police ou de témoin important et si le privilège relatif aux indicateurs dont l’identité est confidentielle devrait être levé. Le juge saisi de la demande a conclu que l’indicateur confidentiel n’était ni un agent de la police ni un témoin important et que le privilège devait s’appliquer. La demande visant l’arrêt des procédures a été rejetée. Le demandeur a été déclaré coupable de trafic de cocaïne et de possession de cocaïne en vue d’en faire le trafic. La Cour d’appel a rejeté l’appel de la déclaration de culpabilité.</w:t>
            </w:r>
          </w:p>
        </w:tc>
      </w:tr>
      <w:tr w:rsidR="003A009E" w:rsidRPr="00956FA1" w:rsidTr="00C34132">
        <w:tc>
          <w:tcPr>
            <w:tcW w:w="5000" w:type="pct"/>
            <w:gridSpan w:val="3"/>
          </w:tcPr>
          <w:p w:rsidR="003A009E" w:rsidRPr="00956FA1" w:rsidRDefault="003A009E" w:rsidP="00C34132">
            <w:pPr>
              <w:jc w:val="both"/>
              <w:rPr>
                <w:sz w:val="20"/>
                <w:lang w:val="fr-CA"/>
              </w:rPr>
            </w:pPr>
          </w:p>
        </w:tc>
      </w:tr>
      <w:tr w:rsidR="003A009E" w:rsidRPr="00956FA1" w:rsidTr="00C34132">
        <w:tc>
          <w:tcPr>
            <w:tcW w:w="2427" w:type="pct"/>
          </w:tcPr>
          <w:p w:rsidR="003A009E" w:rsidRPr="00956FA1" w:rsidRDefault="003A009E" w:rsidP="00C34132">
            <w:pPr>
              <w:jc w:val="both"/>
              <w:rPr>
                <w:sz w:val="20"/>
                <w:lang w:val="fr-CA"/>
              </w:rPr>
            </w:pPr>
            <w:r w:rsidRPr="00956FA1">
              <w:rPr>
                <w:sz w:val="20"/>
                <w:lang w:val="fr-CA"/>
              </w:rPr>
              <w:t>6 octobre 2016</w:t>
            </w:r>
          </w:p>
          <w:p w:rsidR="003A009E" w:rsidRPr="00956FA1" w:rsidRDefault="003A009E" w:rsidP="00C34132">
            <w:pPr>
              <w:jc w:val="both"/>
              <w:rPr>
                <w:sz w:val="20"/>
                <w:lang w:val="fr-CA"/>
              </w:rPr>
            </w:pPr>
            <w:r w:rsidRPr="00956FA1">
              <w:rPr>
                <w:sz w:val="20"/>
                <w:lang w:val="fr-CA"/>
              </w:rPr>
              <w:t>Cour supérieure de justice de l’Ontario</w:t>
            </w:r>
          </w:p>
          <w:p w:rsidR="003A009E" w:rsidRPr="00956FA1" w:rsidRDefault="003A009E" w:rsidP="00C34132">
            <w:pPr>
              <w:jc w:val="both"/>
              <w:rPr>
                <w:sz w:val="20"/>
                <w:lang w:val="fr-CA"/>
              </w:rPr>
            </w:pPr>
            <w:r w:rsidRPr="00956FA1">
              <w:rPr>
                <w:sz w:val="20"/>
                <w:lang w:val="fr-CA"/>
              </w:rPr>
              <w:t xml:space="preserve">(juge McCombs)  </w:t>
            </w:r>
          </w:p>
          <w:p w:rsidR="003A009E" w:rsidRPr="00956FA1" w:rsidRDefault="00956FA1" w:rsidP="00C34132">
            <w:pPr>
              <w:jc w:val="both"/>
              <w:rPr>
                <w:sz w:val="20"/>
                <w:lang w:val="fr-CA"/>
              </w:rPr>
            </w:pPr>
            <w:hyperlink r:id="rId17" w:history="1">
              <w:r w:rsidR="003A009E" w:rsidRPr="00956FA1">
                <w:rPr>
                  <w:rStyle w:val="Hyperlink"/>
                  <w:rFonts w:eastAsiaTheme="majorEastAsia"/>
                  <w:sz w:val="20"/>
                  <w:lang w:val="fr-CA"/>
                </w:rPr>
                <w:t>2016 ONSC 6267</w:t>
              </w:r>
            </w:hyperlink>
          </w:p>
          <w:p w:rsidR="003A009E" w:rsidRPr="00956FA1" w:rsidRDefault="003A009E" w:rsidP="00C34132">
            <w:pPr>
              <w:jc w:val="both"/>
              <w:rPr>
                <w:sz w:val="20"/>
                <w:lang w:val="fr-CA"/>
              </w:rPr>
            </w:pPr>
          </w:p>
        </w:tc>
        <w:tc>
          <w:tcPr>
            <w:tcW w:w="243" w:type="pct"/>
          </w:tcPr>
          <w:p w:rsidR="003A009E" w:rsidRPr="00956FA1" w:rsidRDefault="003A009E" w:rsidP="00C34132">
            <w:pPr>
              <w:jc w:val="both"/>
              <w:rPr>
                <w:sz w:val="20"/>
                <w:lang w:val="fr-CA"/>
              </w:rPr>
            </w:pPr>
          </w:p>
        </w:tc>
        <w:tc>
          <w:tcPr>
            <w:tcW w:w="2330" w:type="pct"/>
          </w:tcPr>
          <w:p w:rsidR="003A009E" w:rsidRPr="00956FA1" w:rsidRDefault="003A009E" w:rsidP="00C34132">
            <w:pPr>
              <w:jc w:val="both"/>
              <w:rPr>
                <w:sz w:val="20"/>
                <w:lang w:val="fr-CA"/>
              </w:rPr>
            </w:pPr>
            <w:r w:rsidRPr="00956FA1">
              <w:rPr>
                <w:sz w:val="20"/>
                <w:lang w:val="fr-CA"/>
              </w:rPr>
              <w:t>Une déclaration de culpabilité a été prononcée pour le trafic de cocaïne et la possession de cocaïne en vue d’en faire le trafic.</w:t>
            </w:r>
          </w:p>
        </w:tc>
      </w:tr>
      <w:tr w:rsidR="003A009E" w:rsidRPr="00956FA1" w:rsidTr="00C34132">
        <w:tc>
          <w:tcPr>
            <w:tcW w:w="2427" w:type="pct"/>
          </w:tcPr>
          <w:p w:rsidR="003A009E" w:rsidRPr="00956FA1" w:rsidRDefault="003A009E" w:rsidP="00C34132">
            <w:pPr>
              <w:jc w:val="both"/>
              <w:rPr>
                <w:sz w:val="20"/>
                <w:lang w:val="fr-CA"/>
              </w:rPr>
            </w:pPr>
            <w:r w:rsidRPr="00956FA1">
              <w:rPr>
                <w:sz w:val="20"/>
                <w:lang w:val="fr-CA"/>
              </w:rPr>
              <w:t>22 juillet 2020</w:t>
            </w:r>
          </w:p>
          <w:p w:rsidR="003A009E" w:rsidRPr="00956FA1" w:rsidRDefault="003A009E" w:rsidP="00C34132">
            <w:pPr>
              <w:jc w:val="both"/>
              <w:rPr>
                <w:sz w:val="20"/>
                <w:lang w:val="fr-CA"/>
              </w:rPr>
            </w:pPr>
            <w:r w:rsidRPr="00956FA1">
              <w:rPr>
                <w:sz w:val="20"/>
                <w:lang w:val="fr-CA"/>
              </w:rPr>
              <w:t>Cour d’appel de l’Ontario</w:t>
            </w:r>
          </w:p>
          <w:p w:rsidR="003A009E" w:rsidRPr="00956FA1" w:rsidRDefault="003A009E" w:rsidP="00C34132">
            <w:pPr>
              <w:jc w:val="both"/>
              <w:rPr>
                <w:sz w:val="20"/>
                <w:lang w:val="fr-CA"/>
              </w:rPr>
            </w:pPr>
            <w:r w:rsidRPr="00956FA1">
              <w:rPr>
                <w:sz w:val="20"/>
                <w:lang w:val="fr-CA"/>
              </w:rPr>
              <w:t>(juges Watt, Pardu, Roberts)</w:t>
            </w:r>
          </w:p>
          <w:p w:rsidR="003A009E" w:rsidRPr="00956FA1" w:rsidRDefault="00956FA1" w:rsidP="00C34132">
            <w:pPr>
              <w:jc w:val="both"/>
              <w:rPr>
                <w:sz w:val="20"/>
                <w:lang w:val="fr-CA"/>
              </w:rPr>
            </w:pPr>
            <w:hyperlink r:id="rId18" w:history="1">
              <w:r w:rsidR="003A009E" w:rsidRPr="00956FA1">
                <w:rPr>
                  <w:rStyle w:val="Hyperlink"/>
                  <w:rFonts w:eastAsiaTheme="majorEastAsia"/>
                  <w:sz w:val="20"/>
                  <w:lang w:val="fr-CA"/>
                </w:rPr>
                <w:t>2020 ONCA 479</w:t>
              </w:r>
            </w:hyperlink>
            <w:r w:rsidR="003A009E" w:rsidRPr="00956FA1">
              <w:rPr>
                <w:sz w:val="20"/>
                <w:lang w:val="fr-CA"/>
              </w:rPr>
              <w:t>; C63092</w:t>
            </w:r>
          </w:p>
          <w:p w:rsidR="003A009E" w:rsidRPr="00956FA1" w:rsidRDefault="003A009E" w:rsidP="00C34132">
            <w:pPr>
              <w:jc w:val="both"/>
              <w:rPr>
                <w:sz w:val="20"/>
                <w:lang w:val="fr-CA"/>
              </w:rPr>
            </w:pPr>
          </w:p>
        </w:tc>
        <w:tc>
          <w:tcPr>
            <w:tcW w:w="243" w:type="pct"/>
          </w:tcPr>
          <w:p w:rsidR="003A009E" w:rsidRPr="00956FA1" w:rsidRDefault="003A009E" w:rsidP="00C34132">
            <w:pPr>
              <w:jc w:val="both"/>
              <w:rPr>
                <w:sz w:val="20"/>
                <w:lang w:val="fr-CA"/>
              </w:rPr>
            </w:pPr>
          </w:p>
        </w:tc>
        <w:tc>
          <w:tcPr>
            <w:tcW w:w="2330" w:type="pct"/>
          </w:tcPr>
          <w:p w:rsidR="003A009E" w:rsidRPr="00956FA1" w:rsidRDefault="003A009E" w:rsidP="00C34132">
            <w:pPr>
              <w:jc w:val="both"/>
              <w:rPr>
                <w:sz w:val="20"/>
                <w:lang w:val="fr-CA"/>
              </w:rPr>
            </w:pPr>
            <w:r w:rsidRPr="00956FA1">
              <w:rPr>
                <w:sz w:val="20"/>
                <w:lang w:val="fr-CA"/>
              </w:rPr>
              <w:t>L’appel de la déclaration de culpabilité est rejeté.</w:t>
            </w:r>
          </w:p>
          <w:p w:rsidR="003A009E" w:rsidRPr="00956FA1" w:rsidRDefault="003A009E" w:rsidP="00C34132">
            <w:pPr>
              <w:jc w:val="both"/>
              <w:rPr>
                <w:sz w:val="20"/>
                <w:lang w:val="fr-CA"/>
              </w:rPr>
            </w:pPr>
          </w:p>
        </w:tc>
      </w:tr>
      <w:tr w:rsidR="003A009E" w:rsidRPr="00956FA1" w:rsidTr="00C34132">
        <w:tc>
          <w:tcPr>
            <w:tcW w:w="2427" w:type="pct"/>
          </w:tcPr>
          <w:p w:rsidR="003A009E" w:rsidRPr="00956FA1" w:rsidRDefault="003A009E" w:rsidP="00C34132">
            <w:pPr>
              <w:jc w:val="both"/>
              <w:rPr>
                <w:sz w:val="20"/>
                <w:lang w:val="fr-CA"/>
              </w:rPr>
            </w:pPr>
            <w:r w:rsidRPr="00956FA1">
              <w:rPr>
                <w:sz w:val="20"/>
                <w:lang w:val="fr-CA"/>
              </w:rPr>
              <w:t>9 mars 2021</w:t>
            </w:r>
          </w:p>
          <w:p w:rsidR="003A009E" w:rsidRPr="00956FA1" w:rsidRDefault="003A009E" w:rsidP="00C34132">
            <w:pPr>
              <w:jc w:val="both"/>
              <w:rPr>
                <w:sz w:val="20"/>
                <w:lang w:val="fr-CA"/>
              </w:rPr>
            </w:pPr>
            <w:r w:rsidRPr="00956FA1">
              <w:rPr>
                <w:sz w:val="20"/>
                <w:lang w:val="fr-CA"/>
              </w:rPr>
              <w:t>Cour suprême du Canada</w:t>
            </w:r>
          </w:p>
          <w:p w:rsidR="003A009E" w:rsidRPr="00956FA1" w:rsidRDefault="003A009E" w:rsidP="00C34132">
            <w:pPr>
              <w:jc w:val="both"/>
              <w:rPr>
                <w:sz w:val="20"/>
                <w:lang w:val="fr-CA"/>
              </w:rPr>
            </w:pPr>
          </w:p>
        </w:tc>
        <w:tc>
          <w:tcPr>
            <w:tcW w:w="243" w:type="pct"/>
          </w:tcPr>
          <w:p w:rsidR="003A009E" w:rsidRPr="00956FA1" w:rsidRDefault="003A009E" w:rsidP="00C34132">
            <w:pPr>
              <w:jc w:val="both"/>
              <w:rPr>
                <w:sz w:val="20"/>
                <w:lang w:val="fr-CA"/>
              </w:rPr>
            </w:pPr>
          </w:p>
        </w:tc>
        <w:tc>
          <w:tcPr>
            <w:tcW w:w="2330" w:type="pct"/>
          </w:tcPr>
          <w:p w:rsidR="003A009E" w:rsidRPr="00956FA1" w:rsidRDefault="003A009E" w:rsidP="00C34132">
            <w:pPr>
              <w:jc w:val="both"/>
              <w:rPr>
                <w:sz w:val="20"/>
                <w:lang w:val="fr-CA"/>
              </w:rPr>
            </w:pPr>
            <w:r w:rsidRPr="00956FA1">
              <w:rPr>
                <w:sz w:val="20"/>
                <w:lang w:val="fr-CA"/>
              </w:rPr>
              <w:t>La requête en prorogation du délai de signification et de dépôt de la demande d’autorisation d’appel et la demande d’autorisation d’appel sont présentées.</w:t>
            </w:r>
          </w:p>
        </w:tc>
      </w:tr>
    </w:tbl>
    <w:p w:rsidR="003A009E" w:rsidRPr="00956FA1" w:rsidRDefault="003A009E" w:rsidP="003A009E">
      <w:pPr>
        <w:jc w:val="both"/>
        <w:rPr>
          <w:sz w:val="20"/>
          <w:lang w:val="fr-CA"/>
        </w:rPr>
      </w:pPr>
    </w:p>
    <w:p w:rsidR="003A009E" w:rsidRPr="00956FA1" w:rsidRDefault="00956FA1" w:rsidP="003A009E">
      <w:pPr>
        <w:widowControl w:val="0"/>
        <w:jc w:val="both"/>
        <w:rPr>
          <w:sz w:val="20"/>
          <w:lang w:val="fr-CA"/>
        </w:rPr>
      </w:pPr>
      <w:r w:rsidRPr="00956FA1">
        <w:rPr>
          <w:sz w:val="20"/>
        </w:rPr>
        <w:pict>
          <v:rect id="_x0000_i1031" style="width:2in;height:1pt" o:hrpct="0" o:hralign="center" o:hrstd="t" o:hrnoshade="t" o:hr="t" fillcolor="black [3213]" stroked="f"/>
        </w:pict>
      </w:r>
    </w:p>
    <w:p w:rsidR="003A009E" w:rsidRPr="00956FA1" w:rsidRDefault="003A009E" w:rsidP="003A009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A009E" w:rsidRPr="00956FA1" w:rsidTr="00C34132">
        <w:tc>
          <w:tcPr>
            <w:tcW w:w="543" w:type="pct"/>
          </w:tcPr>
          <w:p w:rsidR="003A009E" w:rsidRPr="00956FA1" w:rsidRDefault="003A009E" w:rsidP="00C34132">
            <w:pPr>
              <w:jc w:val="both"/>
              <w:rPr>
                <w:sz w:val="20"/>
              </w:rPr>
            </w:pPr>
            <w:r w:rsidRPr="00956FA1">
              <w:rPr>
                <w:rStyle w:val="SCCFileNumberChar"/>
                <w:sz w:val="20"/>
                <w:szCs w:val="20"/>
              </w:rPr>
              <w:t>39572</w:t>
            </w:r>
          </w:p>
        </w:tc>
        <w:tc>
          <w:tcPr>
            <w:tcW w:w="4457" w:type="pct"/>
          </w:tcPr>
          <w:p w:rsidR="003A009E" w:rsidRPr="00956FA1" w:rsidRDefault="003A009E" w:rsidP="00C34132">
            <w:pPr>
              <w:pStyle w:val="SCCLsocParty"/>
              <w:jc w:val="both"/>
              <w:rPr>
                <w:b/>
                <w:sz w:val="20"/>
                <w:szCs w:val="20"/>
              </w:rPr>
            </w:pPr>
            <w:r w:rsidRPr="00956FA1">
              <w:rPr>
                <w:b/>
                <w:sz w:val="20"/>
                <w:szCs w:val="20"/>
              </w:rPr>
              <w:t>Guillaume Bourdeau v. Société des alcools du Québec</w:t>
            </w:r>
          </w:p>
          <w:p w:rsidR="003A009E" w:rsidRPr="00956FA1" w:rsidRDefault="003A009E" w:rsidP="00C34132">
            <w:pPr>
              <w:jc w:val="both"/>
              <w:rPr>
                <w:sz w:val="20"/>
              </w:rPr>
            </w:pPr>
            <w:r w:rsidRPr="00956FA1">
              <w:rPr>
                <w:sz w:val="20"/>
              </w:rPr>
              <w:t>(Que.) (Civil) (By Leave)</w:t>
            </w:r>
          </w:p>
        </w:tc>
      </w:tr>
      <w:tr w:rsidR="003A009E" w:rsidRPr="00956FA1" w:rsidTr="00C34132">
        <w:tc>
          <w:tcPr>
            <w:tcW w:w="5000" w:type="pct"/>
            <w:gridSpan w:val="2"/>
          </w:tcPr>
          <w:p w:rsidR="003A009E" w:rsidRPr="00956FA1" w:rsidRDefault="00C34132" w:rsidP="00C34132">
            <w:pPr>
              <w:tabs>
                <w:tab w:val="left" w:pos="2133"/>
              </w:tabs>
              <w:jc w:val="both"/>
              <w:rPr>
                <w:sz w:val="20"/>
                <w:szCs w:val="20"/>
              </w:rPr>
            </w:pPr>
            <w:r w:rsidRPr="00956FA1">
              <w:rPr>
                <w:sz w:val="20"/>
                <w:szCs w:val="20"/>
              </w:rPr>
              <w:t xml:space="preserve">The motion for an extension of time to serve and file the application for leave to appeal is granted. The application for leave to appeal from the judgment of the </w:t>
            </w:r>
            <w:r w:rsidRPr="00956FA1">
              <w:rPr>
                <w:sz w:val="20"/>
                <w:szCs w:val="20"/>
                <w:lang w:val="en-US"/>
              </w:rPr>
              <w:t>Court of Appeal of Quebec (Québec)</w:t>
            </w:r>
            <w:r w:rsidRPr="00956FA1">
              <w:rPr>
                <w:sz w:val="20"/>
                <w:szCs w:val="20"/>
              </w:rPr>
              <w:t xml:space="preserve">, Number </w:t>
            </w:r>
            <w:r w:rsidRPr="00956FA1">
              <w:rPr>
                <w:sz w:val="20"/>
                <w:szCs w:val="20"/>
                <w:lang w:val="en-US"/>
              </w:rPr>
              <w:t>200-09-009851-186, 2020 QCCA 1553</w:t>
            </w:r>
            <w:r w:rsidRPr="00956FA1">
              <w:rPr>
                <w:sz w:val="20"/>
                <w:szCs w:val="20"/>
              </w:rPr>
              <w:t xml:space="preserve">, dated </w:t>
            </w:r>
            <w:r w:rsidRPr="00956FA1">
              <w:rPr>
                <w:sz w:val="20"/>
                <w:szCs w:val="20"/>
                <w:lang w:val="en-US"/>
              </w:rPr>
              <w:t>November 20, 2020,</w:t>
            </w:r>
            <w:r w:rsidRPr="00956FA1">
              <w:rPr>
                <w:sz w:val="20"/>
                <w:szCs w:val="20"/>
              </w:rPr>
              <w:t xml:space="preserve"> is dismissed with costs.</w:t>
            </w:r>
          </w:p>
          <w:p w:rsidR="00C34132" w:rsidRPr="00956FA1" w:rsidRDefault="00C34132" w:rsidP="00C34132">
            <w:pPr>
              <w:tabs>
                <w:tab w:val="left" w:pos="2133"/>
              </w:tabs>
              <w:jc w:val="both"/>
              <w:rPr>
                <w:sz w:val="20"/>
              </w:rPr>
            </w:pPr>
          </w:p>
        </w:tc>
      </w:tr>
      <w:tr w:rsidR="003A009E" w:rsidRPr="00956FA1" w:rsidTr="00C34132">
        <w:tc>
          <w:tcPr>
            <w:tcW w:w="5000" w:type="pct"/>
            <w:gridSpan w:val="2"/>
          </w:tcPr>
          <w:p w:rsidR="003A009E" w:rsidRPr="00956FA1" w:rsidRDefault="003A009E" w:rsidP="00C34132">
            <w:pPr>
              <w:jc w:val="both"/>
              <w:rPr>
                <w:sz w:val="20"/>
              </w:rPr>
            </w:pPr>
            <w:r w:rsidRPr="00956FA1">
              <w:rPr>
                <w:sz w:val="20"/>
              </w:rPr>
              <w:t xml:space="preserve">Civil procedure ⸺ Class action ⸺ Conditions for authorization ⸺ Lack of arguable case ⸺ Liability action based primarily on </w:t>
            </w:r>
            <w:r w:rsidRPr="00956FA1">
              <w:rPr>
                <w:i/>
                <w:sz w:val="20"/>
              </w:rPr>
              <w:t xml:space="preserve">Consumer Protection Act </w:t>
            </w:r>
            <w:r w:rsidRPr="00956FA1">
              <w:rPr>
                <w:sz w:val="20"/>
              </w:rPr>
              <w:t xml:space="preserve">for lesion in relation to prices for sale of wine, and for failure to disclose information about wine on labels ⸺ Whether chain of causation between SAQ and members of class for proposed class action is broken because of fact that SAQ did not itself label wine imported in bulk ⸺ Whether chain of causation between SAQ and members of class for proposed class action is broken because of fact that SAQ did not itself bottle wine imported in bulk ⸺ </w:t>
            </w:r>
            <w:r w:rsidRPr="00956FA1">
              <w:rPr>
                <w:i/>
                <w:sz w:val="20"/>
                <w:lang w:eastAsia="fr-CA"/>
              </w:rPr>
              <w:t>Code of Civil Procedure</w:t>
            </w:r>
            <w:r w:rsidRPr="00956FA1">
              <w:rPr>
                <w:sz w:val="20"/>
                <w:lang w:eastAsia="fr-CA"/>
              </w:rPr>
              <w:t>, CQLR, c. C</w:t>
            </w:r>
            <w:r w:rsidRPr="00956FA1">
              <w:rPr>
                <w:sz w:val="20"/>
                <w:lang w:eastAsia="fr-CA"/>
              </w:rPr>
              <w:noBreakHyphen/>
              <w:t>25.01, art. 575.</w:t>
            </w:r>
          </w:p>
        </w:tc>
      </w:tr>
      <w:tr w:rsidR="003A009E" w:rsidRPr="00956FA1" w:rsidTr="00C34132">
        <w:tc>
          <w:tcPr>
            <w:tcW w:w="5000" w:type="pct"/>
            <w:gridSpan w:val="2"/>
          </w:tcPr>
          <w:p w:rsidR="003A009E" w:rsidRPr="00956FA1" w:rsidRDefault="003A009E" w:rsidP="00C34132">
            <w:pPr>
              <w:jc w:val="both"/>
              <w:rPr>
                <w:sz w:val="20"/>
              </w:rPr>
            </w:pPr>
          </w:p>
        </w:tc>
      </w:tr>
    </w:tbl>
    <w:p w:rsidR="00662169" w:rsidRPr="00956FA1" w:rsidRDefault="00662169">
      <w:r w:rsidRPr="00956FA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A009E" w:rsidRPr="00956FA1" w:rsidTr="00C34132">
        <w:tc>
          <w:tcPr>
            <w:tcW w:w="5000" w:type="pct"/>
            <w:gridSpan w:val="3"/>
          </w:tcPr>
          <w:p w:rsidR="003A009E" w:rsidRPr="00956FA1" w:rsidRDefault="003A009E" w:rsidP="00C34132">
            <w:pPr>
              <w:jc w:val="both"/>
              <w:rPr>
                <w:sz w:val="20"/>
                <w:lang w:eastAsia="fr-CA"/>
              </w:rPr>
            </w:pPr>
            <w:r w:rsidRPr="00956FA1">
              <w:rPr>
                <w:sz w:val="20"/>
              </w:rPr>
              <w:t>The applicant, Guillaume Bourdeau, filed an application for authorization to institute a class action against the respondent, the Société des alcools du Québec (SAQ), a joint stock company created by statute of the province of Quebec whose primary mission is to trade in alcoholic beverages</w:t>
            </w:r>
            <w:r w:rsidRPr="00956FA1">
              <w:rPr>
                <w:sz w:val="20"/>
                <w:lang w:eastAsia="fr-CA"/>
              </w:rPr>
              <w:t xml:space="preserve">. Mr. Bourdeau had been purchasing alcoholic products from the SAQ and from the Liquor Control Board of Ontario since 2009. He alleged that he had observed what he considered to be a significant difference in prices. He alleged in particular in his application for authorization that the SAQ was purchasing bulk wine from producers outside Quebec that it was, because of the wine’s poor quality, modifying in a laboratory through the use of additives. According to Mr. Bourdeau, sale prices in SAQ outlets were as a result inflated in relation to the cost of acquisition, and the labels affixed to wine bottles suggested that the product came from the producer, which was not the case. Mr. Bourdeau raised two legal bases for his action. The first was that the sale prices for the products in question were lesionary under s. 8 of the </w:t>
            </w:r>
            <w:r w:rsidRPr="00956FA1">
              <w:rPr>
                <w:i/>
                <w:sz w:val="20"/>
                <w:lang w:eastAsia="fr-CA"/>
              </w:rPr>
              <w:t>Consumer Protection Act</w:t>
            </w:r>
            <w:r w:rsidRPr="00956FA1">
              <w:rPr>
                <w:sz w:val="20"/>
                <w:lang w:eastAsia="fr-CA"/>
              </w:rPr>
              <w:t>, CQLR, c. P</w:t>
            </w:r>
            <w:r w:rsidRPr="00956FA1">
              <w:rPr>
                <w:sz w:val="20"/>
                <w:lang w:eastAsia="fr-CA"/>
              </w:rPr>
              <w:noBreakHyphen/>
              <w:t xml:space="preserve">40.1 (CPA), and art. 1437 of the </w:t>
            </w:r>
            <w:r w:rsidRPr="00956FA1">
              <w:rPr>
                <w:i/>
                <w:sz w:val="20"/>
                <w:lang w:eastAsia="fr-CA"/>
              </w:rPr>
              <w:t>Civil Code of Québec</w:t>
            </w:r>
            <w:r w:rsidRPr="00956FA1">
              <w:rPr>
                <w:sz w:val="20"/>
                <w:lang w:eastAsia="fr-CA"/>
              </w:rPr>
              <w:t xml:space="preserve">. The second was that the SAQ’s failure to provide more complete information on the labels of the products in question was an unlawful practice under ss. 219 and 228 of the CPA. The Superior Court dismissed the application for authorization to institute a class action, and the Court of Appeal dismissed the appeal. </w:t>
            </w:r>
          </w:p>
          <w:p w:rsidR="003A009E" w:rsidRPr="00956FA1" w:rsidRDefault="003A009E" w:rsidP="00C34132">
            <w:pPr>
              <w:jc w:val="both"/>
              <w:rPr>
                <w:sz w:val="20"/>
              </w:rPr>
            </w:pPr>
          </w:p>
        </w:tc>
      </w:tr>
      <w:tr w:rsidR="003A009E" w:rsidRPr="00956FA1" w:rsidTr="00C34132">
        <w:tc>
          <w:tcPr>
            <w:tcW w:w="2427" w:type="pct"/>
          </w:tcPr>
          <w:p w:rsidR="003A009E" w:rsidRPr="00956FA1" w:rsidRDefault="003A009E" w:rsidP="00C34132">
            <w:pPr>
              <w:jc w:val="both"/>
              <w:rPr>
                <w:sz w:val="20"/>
              </w:rPr>
            </w:pPr>
            <w:r w:rsidRPr="00956FA1">
              <w:rPr>
                <w:sz w:val="20"/>
              </w:rPr>
              <w:t>July 12, 2018</w:t>
            </w:r>
          </w:p>
          <w:p w:rsidR="003A009E" w:rsidRPr="00956FA1" w:rsidRDefault="003A009E" w:rsidP="00C34132">
            <w:pPr>
              <w:jc w:val="both"/>
              <w:rPr>
                <w:sz w:val="20"/>
              </w:rPr>
            </w:pPr>
            <w:r w:rsidRPr="00956FA1">
              <w:rPr>
                <w:sz w:val="20"/>
              </w:rPr>
              <w:t>Quebec Superior Court</w:t>
            </w:r>
          </w:p>
          <w:p w:rsidR="003A009E" w:rsidRPr="00956FA1" w:rsidRDefault="003A009E" w:rsidP="00C34132">
            <w:pPr>
              <w:jc w:val="both"/>
              <w:rPr>
                <w:sz w:val="20"/>
              </w:rPr>
            </w:pPr>
            <w:r w:rsidRPr="00956FA1">
              <w:rPr>
                <w:sz w:val="20"/>
              </w:rPr>
              <w:t>(Tremblay J.)</w:t>
            </w:r>
          </w:p>
          <w:p w:rsidR="003A009E" w:rsidRPr="00956FA1" w:rsidRDefault="00956FA1" w:rsidP="00C34132">
            <w:pPr>
              <w:jc w:val="both"/>
              <w:rPr>
                <w:sz w:val="20"/>
              </w:rPr>
            </w:pPr>
            <w:hyperlink r:id="rId19" w:history="1">
              <w:r w:rsidR="003A009E" w:rsidRPr="00956FA1">
                <w:rPr>
                  <w:rStyle w:val="Hyperlink"/>
                  <w:sz w:val="20"/>
                </w:rPr>
                <w:t>2018 QCCS 3120</w:t>
              </w:r>
            </w:hyperlink>
          </w:p>
          <w:p w:rsidR="003A009E" w:rsidRPr="00956FA1" w:rsidRDefault="003A009E" w:rsidP="00C34132">
            <w:pPr>
              <w:jc w:val="both"/>
              <w:rPr>
                <w:sz w:val="20"/>
              </w:rPr>
            </w:pP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rPr>
            </w:pPr>
            <w:r w:rsidRPr="00956FA1">
              <w:rPr>
                <w:sz w:val="20"/>
              </w:rPr>
              <w:t>Application for authorization to institute class action and to be appointed as representative plaintiff dismissed</w:t>
            </w:r>
          </w:p>
          <w:p w:rsidR="003A009E" w:rsidRPr="00956FA1" w:rsidRDefault="003A009E" w:rsidP="00C34132">
            <w:pPr>
              <w:jc w:val="both"/>
              <w:rPr>
                <w:sz w:val="20"/>
              </w:rPr>
            </w:pPr>
          </w:p>
        </w:tc>
      </w:tr>
      <w:tr w:rsidR="003A009E" w:rsidRPr="00956FA1" w:rsidTr="00C34132">
        <w:tc>
          <w:tcPr>
            <w:tcW w:w="2427" w:type="pct"/>
          </w:tcPr>
          <w:p w:rsidR="003A009E" w:rsidRPr="00956FA1" w:rsidRDefault="003A009E" w:rsidP="00C34132">
            <w:pPr>
              <w:jc w:val="both"/>
              <w:rPr>
                <w:sz w:val="20"/>
              </w:rPr>
            </w:pPr>
            <w:r w:rsidRPr="00956FA1">
              <w:rPr>
                <w:sz w:val="20"/>
              </w:rPr>
              <w:t>November 20, 2020</w:t>
            </w:r>
          </w:p>
          <w:p w:rsidR="003A009E" w:rsidRPr="00956FA1" w:rsidRDefault="003A009E" w:rsidP="00C34132">
            <w:pPr>
              <w:jc w:val="both"/>
              <w:rPr>
                <w:sz w:val="20"/>
              </w:rPr>
            </w:pPr>
            <w:r w:rsidRPr="00956FA1">
              <w:rPr>
                <w:sz w:val="20"/>
              </w:rPr>
              <w:t>Quebec Court of Appeal (Québec)</w:t>
            </w:r>
          </w:p>
          <w:p w:rsidR="003A009E" w:rsidRPr="00956FA1" w:rsidRDefault="003A009E" w:rsidP="00C34132">
            <w:pPr>
              <w:jc w:val="both"/>
              <w:rPr>
                <w:sz w:val="20"/>
              </w:rPr>
            </w:pPr>
            <w:r w:rsidRPr="00956FA1">
              <w:rPr>
                <w:sz w:val="20"/>
              </w:rPr>
              <w:t>(Lévesque, Cotnam and Beaupré JJ.A.)</w:t>
            </w:r>
          </w:p>
          <w:p w:rsidR="003A009E" w:rsidRPr="00956FA1" w:rsidRDefault="00956FA1" w:rsidP="00C34132">
            <w:pPr>
              <w:jc w:val="both"/>
              <w:rPr>
                <w:sz w:val="20"/>
              </w:rPr>
            </w:pPr>
            <w:hyperlink r:id="rId20" w:history="1">
              <w:r w:rsidR="003A009E" w:rsidRPr="00956FA1">
                <w:rPr>
                  <w:rStyle w:val="Hyperlink"/>
                  <w:sz w:val="20"/>
                </w:rPr>
                <w:t>2020 QCCA 1553</w:t>
              </w:r>
            </w:hyperlink>
          </w:p>
          <w:p w:rsidR="003A009E" w:rsidRPr="00956FA1" w:rsidRDefault="003A009E" w:rsidP="00C34132">
            <w:pPr>
              <w:jc w:val="both"/>
              <w:rPr>
                <w:sz w:val="20"/>
              </w:rPr>
            </w:pP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rPr>
            </w:pPr>
            <w:r w:rsidRPr="00956FA1">
              <w:rPr>
                <w:sz w:val="20"/>
              </w:rPr>
              <w:t>Appeal dismissed</w:t>
            </w:r>
          </w:p>
        </w:tc>
      </w:tr>
      <w:tr w:rsidR="003A009E" w:rsidRPr="00956FA1" w:rsidTr="00C34132">
        <w:tc>
          <w:tcPr>
            <w:tcW w:w="2427" w:type="pct"/>
          </w:tcPr>
          <w:p w:rsidR="003A009E" w:rsidRPr="00956FA1" w:rsidRDefault="003A009E" w:rsidP="00C34132">
            <w:pPr>
              <w:jc w:val="both"/>
              <w:rPr>
                <w:sz w:val="20"/>
              </w:rPr>
            </w:pPr>
            <w:r w:rsidRPr="00956FA1">
              <w:rPr>
                <w:sz w:val="20"/>
              </w:rPr>
              <w:t>February 1, 2021</w:t>
            </w:r>
          </w:p>
          <w:p w:rsidR="003A009E" w:rsidRPr="00956FA1" w:rsidRDefault="003A009E" w:rsidP="00C34132">
            <w:pPr>
              <w:jc w:val="both"/>
              <w:rPr>
                <w:sz w:val="20"/>
              </w:rPr>
            </w:pPr>
            <w:r w:rsidRPr="00956FA1">
              <w:rPr>
                <w:sz w:val="20"/>
              </w:rPr>
              <w:t>Supreme Court of Canada</w:t>
            </w: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rPr>
            </w:pPr>
            <w:r w:rsidRPr="00956FA1">
              <w:rPr>
                <w:sz w:val="20"/>
              </w:rPr>
              <w:t>Application for leave to appeal filed</w:t>
            </w:r>
          </w:p>
          <w:p w:rsidR="003A009E" w:rsidRPr="00956FA1" w:rsidRDefault="003A009E" w:rsidP="00C34132">
            <w:pPr>
              <w:jc w:val="both"/>
              <w:rPr>
                <w:sz w:val="20"/>
              </w:rPr>
            </w:pPr>
          </w:p>
        </w:tc>
      </w:tr>
    </w:tbl>
    <w:p w:rsidR="003A009E" w:rsidRPr="00956FA1" w:rsidRDefault="003A009E" w:rsidP="003A009E">
      <w:pPr>
        <w:jc w:val="both"/>
        <w:rPr>
          <w:sz w:val="20"/>
        </w:rPr>
      </w:pPr>
    </w:p>
    <w:p w:rsidR="003A009E" w:rsidRPr="00956FA1" w:rsidRDefault="00956FA1" w:rsidP="003A009E">
      <w:pPr>
        <w:jc w:val="both"/>
        <w:rPr>
          <w:sz w:val="20"/>
        </w:rPr>
      </w:pPr>
      <w:r w:rsidRPr="00956FA1">
        <w:rPr>
          <w:sz w:val="20"/>
        </w:rPr>
        <w:pict>
          <v:rect id="_x0000_i1032" style="width:2in;height:1pt" o:hrpct="0" o:hralign="center" o:hrstd="t" o:hrnoshade="t" o:hr="t" fillcolor="black [3213]" stroked="f"/>
        </w:pict>
      </w:r>
    </w:p>
    <w:p w:rsidR="003A009E" w:rsidRPr="00956FA1" w:rsidRDefault="003A009E" w:rsidP="003A009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A009E" w:rsidRPr="00956FA1" w:rsidTr="00C34132">
        <w:tc>
          <w:tcPr>
            <w:tcW w:w="543" w:type="pct"/>
          </w:tcPr>
          <w:p w:rsidR="003A009E" w:rsidRPr="00956FA1" w:rsidRDefault="003A009E" w:rsidP="00C34132">
            <w:pPr>
              <w:jc w:val="both"/>
              <w:rPr>
                <w:sz w:val="20"/>
              </w:rPr>
            </w:pPr>
            <w:r w:rsidRPr="00956FA1">
              <w:rPr>
                <w:rStyle w:val="SCCFileNumberChar"/>
                <w:sz w:val="20"/>
                <w:szCs w:val="20"/>
              </w:rPr>
              <w:t>39572</w:t>
            </w:r>
          </w:p>
        </w:tc>
        <w:tc>
          <w:tcPr>
            <w:tcW w:w="4457" w:type="pct"/>
          </w:tcPr>
          <w:p w:rsidR="003A009E" w:rsidRPr="00956FA1" w:rsidRDefault="003A009E" w:rsidP="00C34132">
            <w:pPr>
              <w:pStyle w:val="SCCLsocParty"/>
              <w:jc w:val="both"/>
              <w:rPr>
                <w:b/>
                <w:sz w:val="20"/>
                <w:szCs w:val="20"/>
              </w:rPr>
            </w:pPr>
            <w:r w:rsidRPr="00956FA1">
              <w:rPr>
                <w:b/>
                <w:sz w:val="20"/>
                <w:szCs w:val="20"/>
              </w:rPr>
              <w:t>Guillaume Bourdeau c. Société des alcools du Québec</w:t>
            </w:r>
          </w:p>
          <w:p w:rsidR="003A009E" w:rsidRPr="00956FA1" w:rsidRDefault="003A009E" w:rsidP="00C34132">
            <w:pPr>
              <w:jc w:val="both"/>
              <w:rPr>
                <w:sz w:val="20"/>
              </w:rPr>
            </w:pPr>
            <w:r w:rsidRPr="00956FA1">
              <w:rPr>
                <w:sz w:val="20"/>
              </w:rPr>
              <w:t>(Qc) (Civile) (Autorisation)</w:t>
            </w:r>
          </w:p>
        </w:tc>
      </w:tr>
      <w:tr w:rsidR="003A009E" w:rsidRPr="00956FA1" w:rsidTr="00C34132">
        <w:tc>
          <w:tcPr>
            <w:tcW w:w="5000" w:type="pct"/>
            <w:gridSpan w:val="2"/>
          </w:tcPr>
          <w:p w:rsidR="00C34132" w:rsidRPr="00956FA1" w:rsidRDefault="00C34132" w:rsidP="00C34132">
            <w:pPr>
              <w:jc w:val="both"/>
              <w:rPr>
                <w:sz w:val="20"/>
                <w:szCs w:val="20"/>
                <w:lang w:val="fr-CA"/>
              </w:rPr>
            </w:pPr>
            <w:r w:rsidRPr="00956FA1">
              <w:rPr>
                <w:sz w:val="20"/>
                <w:szCs w:val="20"/>
                <w:lang w:val="fr-CA"/>
              </w:rPr>
              <w:t>La requ</w:t>
            </w:r>
            <w:r w:rsidRPr="00956FA1">
              <w:rPr>
                <w:rFonts w:cs="Times New Roman"/>
                <w:sz w:val="20"/>
                <w:szCs w:val="20"/>
                <w:lang w:val="fr-CA"/>
              </w:rPr>
              <w:t>ê</w:t>
            </w:r>
            <w:r w:rsidRPr="00956FA1">
              <w:rPr>
                <w:sz w:val="20"/>
                <w:szCs w:val="20"/>
                <w:lang w:val="fr-CA"/>
              </w:rPr>
              <w:t>te en prorogation du d</w:t>
            </w:r>
            <w:r w:rsidRPr="00956FA1">
              <w:rPr>
                <w:rFonts w:cs="Times New Roman"/>
                <w:sz w:val="20"/>
                <w:szCs w:val="20"/>
                <w:lang w:val="fr-CA"/>
              </w:rPr>
              <w:t>é</w:t>
            </w:r>
            <w:r w:rsidRPr="00956FA1">
              <w:rPr>
                <w:sz w:val="20"/>
                <w:szCs w:val="20"/>
                <w:lang w:val="fr-CA"/>
              </w:rPr>
              <w:t>lai de signification et de d</w:t>
            </w:r>
            <w:r w:rsidRPr="00956FA1">
              <w:rPr>
                <w:rFonts w:cs="Times New Roman"/>
                <w:sz w:val="20"/>
                <w:szCs w:val="20"/>
                <w:lang w:val="fr-CA"/>
              </w:rPr>
              <w:t>é</w:t>
            </w:r>
            <w:r w:rsidRPr="00956FA1">
              <w:rPr>
                <w:sz w:val="20"/>
                <w:szCs w:val="20"/>
                <w:lang w:val="fr-CA"/>
              </w:rPr>
              <w:t>p</w:t>
            </w:r>
            <w:r w:rsidRPr="00956FA1">
              <w:rPr>
                <w:rFonts w:cs="Times New Roman"/>
                <w:sz w:val="20"/>
                <w:szCs w:val="20"/>
                <w:lang w:val="fr-CA"/>
              </w:rPr>
              <w:t>ô</w:t>
            </w:r>
            <w:r w:rsidRPr="00956FA1">
              <w:rPr>
                <w:sz w:val="20"/>
                <w:szCs w:val="20"/>
                <w:lang w:val="fr-CA"/>
              </w:rPr>
              <w:t>t de la demande d’autorisation d’appel est accueillie. La demande d’autorisation d’appel de l’arrêt de la Cour d’appel du Québec (Québec), numéro 200-09-009851-186, 2020 QCCA 1553, daté du 20 novembre 2020, est rejetée avec d</w:t>
            </w:r>
            <w:r w:rsidRPr="00956FA1">
              <w:rPr>
                <w:rFonts w:hint="eastAsia"/>
                <w:sz w:val="20"/>
                <w:szCs w:val="20"/>
                <w:lang w:val="fr-CA"/>
              </w:rPr>
              <w:t>épens</w:t>
            </w:r>
            <w:r w:rsidRPr="00956FA1">
              <w:rPr>
                <w:sz w:val="20"/>
                <w:szCs w:val="20"/>
                <w:lang w:val="fr-CA"/>
              </w:rPr>
              <w:t>.</w:t>
            </w:r>
          </w:p>
          <w:p w:rsidR="003A009E" w:rsidRPr="00956FA1" w:rsidRDefault="003A009E" w:rsidP="00C34132">
            <w:pPr>
              <w:jc w:val="both"/>
              <w:rPr>
                <w:sz w:val="20"/>
                <w:lang w:val="fr-CA"/>
              </w:rPr>
            </w:pPr>
          </w:p>
        </w:tc>
      </w:tr>
      <w:tr w:rsidR="003A009E" w:rsidRPr="00956FA1" w:rsidTr="00C34132">
        <w:tc>
          <w:tcPr>
            <w:tcW w:w="5000" w:type="pct"/>
            <w:gridSpan w:val="2"/>
          </w:tcPr>
          <w:p w:rsidR="003A009E" w:rsidRPr="00956FA1" w:rsidRDefault="003A009E" w:rsidP="00C34132">
            <w:pPr>
              <w:jc w:val="both"/>
              <w:rPr>
                <w:sz w:val="20"/>
              </w:rPr>
            </w:pPr>
            <w:r w:rsidRPr="00956FA1">
              <w:rPr>
                <w:sz w:val="20"/>
                <w:lang w:val="fr-CA"/>
              </w:rPr>
              <w:t xml:space="preserve">Procédure civile </w:t>
            </w:r>
            <w:r w:rsidRPr="00956FA1">
              <w:rPr>
                <w:sz w:val="20"/>
              </w:rPr>
              <w:t>⸺</w:t>
            </w:r>
            <w:r w:rsidRPr="00956FA1">
              <w:rPr>
                <w:sz w:val="20"/>
                <w:lang w:val="fr-CA"/>
              </w:rPr>
              <w:t xml:space="preserve"> Action collective </w:t>
            </w:r>
            <w:r w:rsidRPr="00956FA1">
              <w:rPr>
                <w:sz w:val="20"/>
              </w:rPr>
              <w:t>⸺</w:t>
            </w:r>
            <w:r w:rsidRPr="00956FA1">
              <w:rPr>
                <w:sz w:val="20"/>
                <w:lang w:val="fr-CA"/>
              </w:rPr>
              <w:t xml:space="preserve"> Conditions d’autorisation </w:t>
            </w:r>
            <w:r w:rsidRPr="00956FA1">
              <w:rPr>
                <w:sz w:val="20"/>
              </w:rPr>
              <w:t>⸺</w:t>
            </w:r>
            <w:r w:rsidRPr="00956FA1">
              <w:rPr>
                <w:sz w:val="20"/>
                <w:lang w:val="fr-CA"/>
              </w:rPr>
              <w:t xml:space="preserve"> Absence de cause défendable </w:t>
            </w:r>
            <w:r w:rsidRPr="00956FA1">
              <w:rPr>
                <w:sz w:val="20"/>
              </w:rPr>
              <w:t>⸺</w:t>
            </w:r>
            <w:r w:rsidRPr="00956FA1">
              <w:rPr>
                <w:sz w:val="20"/>
                <w:lang w:val="fr-CA"/>
              </w:rPr>
              <w:t xml:space="preserve"> Action en responsabilité fondée principalement sur la </w:t>
            </w:r>
            <w:r w:rsidRPr="00956FA1">
              <w:rPr>
                <w:i/>
                <w:sz w:val="20"/>
                <w:lang w:val="fr-CA"/>
              </w:rPr>
              <w:t xml:space="preserve">Loi sur la protection du consommateur </w:t>
            </w:r>
            <w:r w:rsidRPr="00956FA1">
              <w:rPr>
                <w:sz w:val="20"/>
                <w:lang w:val="fr-CA"/>
              </w:rPr>
              <w:t xml:space="preserve">pour lésion relative au prix de vente de vin et pour omission de divulguer de l’information relative au vin sur les étiquettes </w:t>
            </w:r>
            <w:r w:rsidRPr="00956FA1">
              <w:rPr>
                <w:sz w:val="20"/>
              </w:rPr>
              <w:t>⸺</w:t>
            </w:r>
            <w:r w:rsidRPr="00956FA1">
              <w:rPr>
                <w:sz w:val="20"/>
                <w:lang w:val="fr-CA"/>
              </w:rPr>
              <w:t xml:space="preserve"> Le lien de causalité entre la SAQ et les membres du groupe de l'action collective proposée est</w:t>
            </w:r>
            <w:r w:rsidRPr="00956FA1">
              <w:rPr>
                <w:sz w:val="20"/>
                <w:lang w:val="fr-CA"/>
              </w:rPr>
              <w:noBreakHyphen/>
              <w:t>il rompu en raison du fait que la SAQ ne procède pas elle</w:t>
            </w:r>
            <w:r w:rsidRPr="00956FA1">
              <w:rPr>
                <w:sz w:val="20"/>
                <w:lang w:val="fr-CA"/>
              </w:rPr>
              <w:noBreakHyphen/>
              <w:t xml:space="preserve">même à l'étiquetage des vins importés en vrac? </w:t>
            </w:r>
            <w:r w:rsidRPr="00956FA1">
              <w:rPr>
                <w:sz w:val="20"/>
              </w:rPr>
              <w:t>⸺</w:t>
            </w:r>
            <w:r w:rsidRPr="00956FA1">
              <w:rPr>
                <w:sz w:val="20"/>
                <w:lang w:val="fr-CA"/>
              </w:rPr>
              <w:t xml:space="preserve"> Le lien de causalité entre la SAQ et les membres du groupe de l'action collective proposée est-il rompu en raison du fait que la SAQ ne procède pas elle</w:t>
            </w:r>
            <w:r w:rsidRPr="00956FA1">
              <w:rPr>
                <w:sz w:val="20"/>
                <w:lang w:val="fr-CA"/>
              </w:rPr>
              <w:noBreakHyphen/>
              <w:t xml:space="preserve">même à l'embouteillage des vins importés en vrac? </w:t>
            </w:r>
            <w:r w:rsidRPr="00956FA1">
              <w:rPr>
                <w:sz w:val="20"/>
              </w:rPr>
              <w:t xml:space="preserve">⸺ </w:t>
            </w:r>
            <w:r w:rsidRPr="00956FA1">
              <w:rPr>
                <w:i/>
                <w:sz w:val="20"/>
                <w:lang w:val="fr-FR" w:eastAsia="fr-CA"/>
              </w:rPr>
              <w:t>Code de procédure civile</w:t>
            </w:r>
            <w:r w:rsidRPr="00956FA1">
              <w:rPr>
                <w:sz w:val="20"/>
                <w:lang w:val="fr-FR" w:eastAsia="fr-CA"/>
              </w:rPr>
              <w:t>, RLRQ c C</w:t>
            </w:r>
            <w:r w:rsidRPr="00956FA1">
              <w:rPr>
                <w:sz w:val="20"/>
                <w:lang w:val="fr-FR" w:eastAsia="fr-CA"/>
              </w:rPr>
              <w:noBreakHyphen/>
              <w:t>25.01, art. 575.</w:t>
            </w:r>
          </w:p>
        </w:tc>
      </w:tr>
      <w:tr w:rsidR="003A009E" w:rsidRPr="00956FA1" w:rsidTr="00C34132">
        <w:tc>
          <w:tcPr>
            <w:tcW w:w="5000" w:type="pct"/>
            <w:gridSpan w:val="2"/>
          </w:tcPr>
          <w:p w:rsidR="003A009E" w:rsidRPr="00956FA1" w:rsidRDefault="003A009E" w:rsidP="00C34132">
            <w:pPr>
              <w:jc w:val="both"/>
              <w:rPr>
                <w:sz w:val="20"/>
              </w:rPr>
            </w:pPr>
          </w:p>
        </w:tc>
      </w:tr>
    </w:tbl>
    <w:p w:rsidR="00662169" w:rsidRPr="00956FA1" w:rsidRDefault="00662169">
      <w:r w:rsidRPr="00956FA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A009E" w:rsidRPr="00956FA1" w:rsidTr="00C34132">
        <w:tc>
          <w:tcPr>
            <w:tcW w:w="5000" w:type="pct"/>
            <w:gridSpan w:val="3"/>
          </w:tcPr>
          <w:p w:rsidR="003A009E" w:rsidRPr="00956FA1" w:rsidRDefault="003A009E" w:rsidP="00C34132">
            <w:pPr>
              <w:jc w:val="both"/>
              <w:rPr>
                <w:sz w:val="20"/>
                <w:lang w:val="fr-FR" w:eastAsia="fr-CA"/>
              </w:rPr>
            </w:pPr>
            <w:r w:rsidRPr="00956FA1">
              <w:rPr>
                <w:sz w:val="20"/>
                <w:lang w:val="fr-CA"/>
              </w:rPr>
              <w:t xml:space="preserve">Le demandeur, M. Guillaume Bourdeau a déposé une demande d’autorisation d’exercer une action collective contre l’intimée, la Société des alcools du Québec (SAQ), une compagnie a fonds social créée en vertu d’une loi de la province de Québec et ayant principalement pour </w:t>
            </w:r>
            <w:r w:rsidRPr="00956FA1">
              <w:rPr>
                <w:sz w:val="20"/>
                <w:lang w:val="fr-FR" w:eastAsia="fr-CA"/>
              </w:rPr>
              <w:t xml:space="preserve">mission de faire le commerce des boissons alcooliques. Depuis 2009, M. Bourdeau achète des produits alcoolisés de la SAQ ainsi qu’à la Liquor Control Board of Ontario. Il aurait noté une différence de prix qu’il considère comme importante. M. Bourdeau allègue notamment dans sa demande d’autorisation que la SAQ achète du vin en vrac auprès de producteurs hors Québec qu’elle modifie en laboratoire, en raison de leur piètre qualité, en y ajoutant certains additifs. Selon lui, les prix de vente en succursales seraient par conséquent gonflés eu égard au prix d’acquisition et que les étiquettes apposées sur les bouteilles de vin laisseraient croire que le produit vient du producteur alors que ce ne serait pas le cas. M. Bourdeau soulève deux fondements juridiques au support de son action. Le premier est que le prix de vente des produits en cause serait lésionnaire suivant </w:t>
            </w:r>
            <w:proofErr w:type="gramStart"/>
            <w:r w:rsidRPr="00956FA1">
              <w:rPr>
                <w:sz w:val="20"/>
                <w:lang w:val="fr-FR" w:eastAsia="fr-CA"/>
              </w:rPr>
              <w:t>les art</w:t>
            </w:r>
            <w:proofErr w:type="gramEnd"/>
            <w:r w:rsidRPr="00956FA1">
              <w:rPr>
                <w:sz w:val="20"/>
                <w:lang w:val="fr-FR" w:eastAsia="fr-CA"/>
              </w:rPr>
              <w:t xml:space="preserve">. 8 de la </w:t>
            </w:r>
            <w:r w:rsidRPr="00956FA1">
              <w:rPr>
                <w:i/>
                <w:sz w:val="20"/>
                <w:lang w:val="fr-FR" w:eastAsia="fr-CA"/>
              </w:rPr>
              <w:t xml:space="preserve">Loi sur la protection du consommateur, </w:t>
            </w:r>
            <w:r w:rsidRPr="00956FA1">
              <w:rPr>
                <w:sz w:val="20"/>
                <w:lang w:val="fr-FR" w:eastAsia="fr-CA"/>
              </w:rPr>
              <w:t>RLRQ c. P</w:t>
            </w:r>
            <w:r w:rsidRPr="00956FA1">
              <w:rPr>
                <w:sz w:val="20"/>
                <w:lang w:val="fr-FR" w:eastAsia="fr-CA"/>
              </w:rPr>
              <w:noBreakHyphen/>
              <w:t xml:space="preserve">40.1 (LPC) et 1437 du </w:t>
            </w:r>
            <w:r w:rsidRPr="00956FA1">
              <w:rPr>
                <w:i/>
                <w:sz w:val="20"/>
                <w:lang w:val="fr-FR" w:eastAsia="fr-CA"/>
              </w:rPr>
              <w:t>Code civil du Québec</w:t>
            </w:r>
            <w:r w:rsidRPr="00956FA1">
              <w:rPr>
                <w:sz w:val="20"/>
                <w:lang w:val="fr-FR" w:eastAsia="fr-CA"/>
              </w:rPr>
              <w:t xml:space="preserve">. Le second est que l’omission de la SAQ de fournir des informations plus détaillées sur les étiquettes des produits en cause constituerait une pratique illégale suivant </w:t>
            </w:r>
            <w:proofErr w:type="gramStart"/>
            <w:r w:rsidRPr="00956FA1">
              <w:rPr>
                <w:sz w:val="20"/>
                <w:lang w:val="fr-FR" w:eastAsia="fr-CA"/>
              </w:rPr>
              <w:t>les art</w:t>
            </w:r>
            <w:proofErr w:type="gramEnd"/>
            <w:r w:rsidRPr="00956FA1">
              <w:rPr>
                <w:sz w:val="20"/>
                <w:lang w:val="fr-FR" w:eastAsia="fr-CA"/>
              </w:rPr>
              <w:t xml:space="preserve">. 219 et 228 de la LPC. La Cour supérieure a rejeté la demande d’autorisation d’exercer une action collective et la Cour d’appel a rejeté l’appel. </w:t>
            </w:r>
          </w:p>
          <w:p w:rsidR="003A009E" w:rsidRPr="00956FA1" w:rsidRDefault="003A009E" w:rsidP="00C34132">
            <w:pPr>
              <w:jc w:val="both"/>
              <w:rPr>
                <w:sz w:val="20"/>
                <w:lang w:val="fr-CA"/>
              </w:rPr>
            </w:pPr>
          </w:p>
        </w:tc>
      </w:tr>
      <w:tr w:rsidR="003A009E" w:rsidRPr="00956FA1" w:rsidTr="00C34132">
        <w:tc>
          <w:tcPr>
            <w:tcW w:w="2427" w:type="pct"/>
          </w:tcPr>
          <w:p w:rsidR="003A009E" w:rsidRPr="00956FA1" w:rsidRDefault="003A009E" w:rsidP="00C34132">
            <w:pPr>
              <w:jc w:val="both"/>
              <w:rPr>
                <w:sz w:val="20"/>
                <w:lang w:val="fr-CA"/>
              </w:rPr>
            </w:pPr>
            <w:r w:rsidRPr="00956FA1">
              <w:rPr>
                <w:sz w:val="20"/>
                <w:lang w:val="fr-CA"/>
              </w:rPr>
              <w:t>Le 12 juillet 2018</w:t>
            </w:r>
          </w:p>
          <w:p w:rsidR="003A009E" w:rsidRPr="00956FA1" w:rsidRDefault="003A009E" w:rsidP="00C34132">
            <w:pPr>
              <w:jc w:val="both"/>
              <w:rPr>
                <w:sz w:val="20"/>
                <w:lang w:val="fr-CA"/>
              </w:rPr>
            </w:pPr>
            <w:r w:rsidRPr="00956FA1">
              <w:rPr>
                <w:sz w:val="20"/>
                <w:lang w:val="fr-CA"/>
              </w:rPr>
              <w:t>Cour supérieure du Québec</w:t>
            </w:r>
          </w:p>
          <w:p w:rsidR="003A009E" w:rsidRPr="00956FA1" w:rsidRDefault="003A009E" w:rsidP="00C34132">
            <w:pPr>
              <w:jc w:val="both"/>
              <w:rPr>
                <w:sz w:val="20"/>
              </w:rPr>
            </w:pPr>
            <w:r w:rsidRPr="00956FA1">
              <w:rPr>
                <w:sz w:val="20"/>
              </w:rPr>
              <w:t>(La juge Tremblay)</w:t>
            </w:r>
          </w:p>
          <w:p w:rsidR="003A009E" w:rsidRPr="00956FA1" w:rsidRDefault="00956FA1" w:rsidP="00C34132">
            <w:pPr>
              <w:jc w:val="both"/>
              <w:rPr>
                <w:sz w:val="20"/>
              </w:rPr>
            </w:pPr>
            <w:hyperlink r:id="rId21" w:history="1">
              <w:r w:rsidR="003A009E" w:rsidRPr="00956FA1">
                <w:rPr>
                  <w:rStyle w:val="Hyperlink"/>
                  <w:sz w:val="20"/>
                </w:rPr>
                <w:t>2018 QCCS 3120</w:t>
              </w:r>
            </w:hyperlink>
          </w:p>
          <w:p w:rsidR="003A009E" w:rsidRPr="00956FA1" w:rsidRDefault="003A009E" w:rsidP="00C34132">
            <w:pPr>
              <w:jc w:val="both"/>
              <w:rPr>
                <w:sz w:val="20"/>
              </w:rPr>
            </w:pP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lang w:val="fr-CA"/>
              </w:rPr>
            </w:pPr>
            <w:r w:rsidRPr="00956FA1">
              <w:rPr>
                <w:sz w:val="20"/>
                <w:lang w:val="fr-CA"/>
              </w:rPr>
              <w:t>Demande pour autorisation d’exercer une action collective et pour se voir attribuer le statut de représentant rejetée.</w:t>
            </w:r>
          </w:p>
          <w:p w:rsidR="003A009E" w:rsidRPr="00956FA1" w:rsidRDefault="003A009E" w:rsidP="00C34132">
            <w:pPr>
              <w:jc w:val="both"/>
              <w:rPr>
                <w:sz w:val="20"/>
                <w:lang w:val="fr-CA"/>
              </w:rPr>
            </w:pPr>
          </w:p>
        </w:tc>
      </w:tr>
      <w:tr w:rsidR="003A009E" w:rsidRPr="00956FA1" w:rsidTr="00C34132">
        <w:tc>
          <w:tcPr>
            <w:tcW w:w="2427" w:type="pct"/>
          </w:tcPr>
          <w:p w:rsidR="003A009E" w:rsidRPr="00956FA1" w:rsidRDefault="003A009E" w:rsidP="00C34132">
            <w:pPr>
              <w:jc w:val="both"/>
              <w:rPr>
                <w:sz w:val="20"/>
                <w:lang w:val="fr-CA"/>
              </w:rPr>
            </w:pPr>
            <w:r w:rsidRPr="00956FA1">
              <w:rPr>
                <w:sz w:val="20"/>
                <w:lang w:val="fr-CA"/>
              </w:rPr>
              <w:t>Le 20 novembre 2020</w:t>
            </w:r>
          </w:p>
          <w:p w:rsidR="003A009E" w:rsidRPr="00956FA1" w:rsidRDefault="003A009E" w:rsidP="00C34132">
            <w:pPr>
              <w:jc w:val="both"/>
              <w:rPr>
                <w:sz w:val="20"/>
                <w:lang w:val="fr-CA"/>
              </w:rPr>
            </w:pPr>
            <w:r w:rsidRPr="00956FA1">
              <w:rPr>
                <w:sz w:val="20"/>
                <w:lang w:val="fr-CA"/>
              </w:rPr>
              <w:t>Cour d’appel du Québec (Québec)</w:t>
            </w:r>
          </w:p>
          <w:p w:rsidR="003A009E" w:rsidRPr="00956FA1" w:rsidRDefault="003A009E" w:rsidP="00C34132">
            <w:pPr>
              <w:jc w:val="both"/>
              <w:rPr>
                <w:sz w:val="20"/>
                <w:lang w:val="fr-CA"/>
              </w:rPr>
            </w:pPr>
            <w:r w:rsidRPr="00956FA1">
              <w:rPr>
                <w:sz w:val="20"/>
                <w:lang w:val="fr-CA"/>
              </w:rPr>
              <w:t>(Les juges Lévesque, Cotnam et Beaupré)</w:t>
            </w:r>
          </w:p>
          <w:p w:rsidR="003A009E" w:rsidRPr="00956FA1" w:rsidRDefault="00956FA1" w:rsidP="00C34132">
            <w:pPr>
              <w:jc w:val="both"/>
              <w:rPr>
                <w:sz w:val="20"/>
              </w:rPr>
            </w:pPr>
            <w:hyperlink r:id="rId22" w:history="1">
              <w:r w:rsidR="003A009E" w:rsidRPr="00956FA1">
                <w:rPr>
                  <w:rStyle w:val="Hyperlink"/>
                  <w:sz w:val="20"/>
                </w:rPr>
                <w:t>2020 QCCA 1553</w:t>
              </w:r>
            </w:hyperlink>
          </w:p>
          <w:p w:rsidR="003A009E" w:rsidRPr="00956FA1" w:rsidRDefault="003A009E" w:rsidP="00C34132">
            <w:pPr>
              <w:jc w:val="both"/>
              <w:rPr>
                <w:sz w:val="20"/>
              </w:rPr>
            </w:pP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rPr>
            </w:pPr>
            <w:r w:rsidRPr="00956FA1">
              <w:rPr>
                <w:sz w:val="20"/>
              </w:rPr>
              <w:t>Appel rejeté.</w:t>
            </w:r>
          </w:p>
        </w:tc>
      </w:tr>
      <w:tr w:rsidR="003A009E" w:rsidRPr="00956FA1" w:rsidTr="00C34132">
        <w:tc>
          <w:tcPr>
            <w:tcW w:w="2427" w:type="pct"/>
          </w:tcPr>
          <w:p w:rsidR="003A009E" w:rsidRPr="00956FA1" w:rsidRDefault="003A009E" w:rsidP="00C34132">
            <w:pPr>
              <w:jc w:val="both"/>
              <w:rPr>
                <w:sz w:val="20"/>
                <w:lang w:val="fr-CA"/>
              </w:rPr>
            </w:pPr>
            <w:r w:rsidRPr="00956FA1">
              <w:rPr>
                <w:sz w:val="20"/>
                <w:lang w:val="fr-CA"/>
              </w:rPr>
              <w:t>Le 1 février 2021</w:t>
            </w:r>
          </w:p>
          <w:p w:rsidR="003A009E" w:rsidRPr="00956FA1" w:rsidRDefault="003A009E" w:rsidP="00C34132">
            <w:pPr>
              <w:jc w:val="both"/>
              <w:rPr>
                <w:sz w:val="20"/>
                <w:lang w:val="fr-CA"/>
              </w:rPr>
            </w:pPr>
            <w:r w:rsidRPr="00956FA1">
              <w:rPr>
                <w:sz w:val="20"/>
                <w:lang w:val="fr-CA"/>
              </w:rPr>
              <w:t>Cour suprême du Canada</w:t>
            </w:r>
          </w:p>
        </w:tc>
        <w:tc>
          <w:tcPr>
            <w:tcW w:w="243" w:type="pct"/>
          </w:tcPr>
          <w:p w:rsidR="003A009E" w:rsidRPr="00956FA1" w:rsidRDefault="003A009E" w:rsidP="00C34132">
            <w:pPr>
              <w:jc w:val="both"/>
              <w:rPr>
                <w:sz w:val="20"/>
                <w:lang w:val="fr-CA"/>
              </w:rPr>
            </w:pPr>
          </w:p>
        </w:tc>
        <w:tc>
          <w:tcPr>
            <w:tcW w:w="2330" w:type="pct"/>
          </w:tcPr>
          <w:p w:rsidR="003A009E" w:rsidRPr="00956FA1" w:rsidRDefault="003A009E" w:rsidP="00C34132">
            <w:pPr>
              <w:jc w:val="both"/>
              <w:rPr>
                <w:sz w:val="20"/>
              </w:rPr>
            </w:pPr>
            <w:r w:rsidRPr="00956FA1">
              <w:rPr>
                <w:sz w:val="20"/>
              </w:rPr>
              <w:t>Demande d'autorisation d'appel déposée</w:t>
            </w:r>
          </w:p>
          <w:p w:rsidR="003A009E" w:rsidRPr="00956FA1" w:rsidRDefault="003A009E" w:rsidP="00C34132">
            <w:pPr>
              <w:jc w:val="both"/>
              <w:rPr>
                <w:sz w:val="20"/>
              </w:rPr>
            </w:pPr>
          </w:p>
        </w:tc>
      </w:tr>
    </w:tbl>
    <w:p w:rsidR="003A009E" w:rsidRPr="00956FA1" w:rsidRDefault="003A009E" w:rsidP="003A009E">
      <w:pPr>
        <w:jc w:val="both"/>
        <w:rPr>
          <w:sz w:val="20"/>
        </w:rPr>
      </w:pPr>
    </w:p>
    <w:p w:rsidR="003A009E" w:rsidRPr="00956FA1" w:rsidRDefault="00956FA1" w:rsidP="003A009E">
      <w:pPr>
        <w:jc w:val="both"/>
        <w:rPr>
          <w:sz w:val="20"/>
        </w:rPr>
      </w:pPr>
      <w:r w:rsidRPr="00956FA1">
        <w:rPr>
          <w:sz w:val="20"/>
        </w:rPr>
        <w:pict>
          <v:rect id="_x0000_i1033" style="width:2in;height:1pt" o:hrpct="0" o:hralign="center" o:hrstd="t" o:hrnoshade="t" o:hr="t" fillcolor="black [3213]" stroked="f"/>
        </w:pict>
      </w:r>
    </w:p>
    <w:p w:rsidR="003A009E" w:rsidRPr="00956FA1" w:rsidRDefault="003A009E" w:rsidP="003A009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A009E" w:rsidRPr="00956FA1" w:rsidTr="00C34132">
        <w:tc>
          <w:tcPr>
            <w:tcW w:w="543" w:type="pct"/>
          </w:tcPr>
          <w:p w:rsidR="003A009E" w:rsidRPr="00956FA1" w:rsidRDefault="003A009E" w:rsidP="00C34132">
            <w:pPr>
              <w:jc w:val="both"/>
              <w:rPr>
                <w:sz w:val="20"/>
              </w:rPr>
            </w:pPr>
            <w:r w:rsidRPr="00956FA1">
              <w:rPr>
                <w:rStyle w:val="SCCFileNumberChar"/>
                <w:sz w:val="20"/>
                <w:szCs w:val="20"/>
              </w:rPr>
              <w:t>39588</w:t>
            </w:r>
          </w:p>
        </w:tc>
        <w:tc>
          <w:tcPr>
            <w:tcW w:w="4457" w:type="pct"/>
          </w:tcPr>
          <w:p w:rsidR="003A009E" w:rsidRPr="00956FA1" w:rsidRDefault="003A009E" w:rsidP="00C34132">
            <w:pPr>
              <w:pStyle w:val="SCCLsocParty"/>
              <w:jc w:val="both"/>
              <w:rPr>
                <w:b/>
                <w:sz w:val="20"/>
                <w:szCs w:val="20"/>
              </w:rPr>
            </w:pPr>
            <w:r w:rsidRPr="00956FA1">
              <w:rPr>
                <w:b/>
                <w:sz w:val="20"/>
                <w:szCs w:val="20"/>
              </w:rPr>
              <w:t>Mohamed Belmamoun and Gaétan L'Heureux v. Ville de Brossard</w:t>
            </w:r>
          </w:p>
          <w:p w:rsidR="003A009E" w:rsidRPr="00956FA1" w:rsidRDefault="003A009E" w:rsidP="00C34132">
            <w:pPr>
              <w:jc w:val="both"/>
              <w:rPr>
                <w:sz w:val="20"/>
              </w:rPr>
            </w:pPr>
            <w:r w:rsidRPr="00956FA1">
              <w:rPr>
                <w:sz w:val="20"/>
              </w:rPr>
              <w:t>(Que.) (Civil) (By Leave)</w:t>
            </w:r>
          </w:p>
        </w:tc>
      </w:tr>
      <w:tr w:rsidR="003A009E" w:rsidRPr="00956FA1" w:rsidTr="00C34132">
        <w:tc>
          <w:tcPr>
            <w:tcW w:w="5000" w:type="pct"/>
            <w:gridSpan w:val="2"/>
          </w:tcPr>
          <w:p w:rsidR="003A009E" w:rsidRPr="00956FA1" w:rsidRDefault="00C34132" w:rsidP="00C34132">
            <w:pPr>
              <w:jc w:val="both"/>
              <w:rPr>
                <w:sz w:val="20"/>
                <w:szCs w:val="20"/>
              </w:rPr>
            </w:pPr>
            <w:r w:rsidRPr="00956FA1">
              <w:rPr>
                <w:sz w:val="20"/>
                <w:szCs w:val="20"/>
              </w:rPr>
              <w:t xml:space="preserve">The motion for an extension of time to serve and file the application for leave to appeal is granted. The application for leave to appeal from the judgment of the </w:t>
            </w:r>
            <w:r w:rsidRPr="00956FA1">
              <w:rPr>
                <w:sz w:val="20"/>
                <w:szCs w:val="20"/>
                <w:lang w:val="en-US"/>
              </w:rPr>
              <w:t>Court of Appeal of Quebec (Montréal)</w:t>
            </w:r>
            <w:r w:rsidRPr="00956FA1">
              <w:rPr>
                <w:sz w:val="20"/>
                <w:szCs w:val="20"/>
              </w:rPr>
              <w:t xml:space="preserve">, Number </w:t>
            </w:r>
            <w:r w:rsidRPr="00956FA1">
              <w:rPr>
                <w:sz w:val="20"/>
                <w:szCs w:val="20"/>
                <w:lang w:val="en-US"/>
              </w:rPr>
              <w:t>500-09-028517-191</w:t>
            </w:r>
            <w:r w:rsidRPr="00956FA1">
              <w:rPr>
                <w:sz w:val="20"/>
                <w:szCs w:val="20"/>
              </w:rPr>
              <w:t xml:space="preserve">, </w:t>
            </w:r>
            <w:r w:rsidRPr="00956FA1">
              <w:rPr>
                <w:sz w:val="20"/>
                <w:szCs w:val="20"/>
                <w:lang w:val="en-US"/>
              </w:rPr>
              <w:t xml:space="preserve">2020 QCCA 1718, </w:t>
            </w:r>
            <w:r w:rsidRPr="00956FA1">
              <w:rPr>
                <w:sz w:val="20"/>
                <w:szCs w:val="20"/>
              </w:rPr>
              <w:t xml:space="preserve">dated </w:t>
            </w:r>
            <w:r w:rsidRPr="00956FA1">
              <w:rPr>
                <w:sz w:val="20"/>
                <w:szCs w:val="20"/>
                <w:lang w:val="en-US"/>
              </w:rPr>
              <w:t>December 15, 2020,</w:t>
            </w:r>
            <w:r w:rsidRPr="00956FA1">
              <w:rPr>
                <w:sz w:val="20"/>
                <w:szCs w:val="20"/>
              </w:rPr>
              <w:t xml:space="preserve"> is dismissed with costs.</w:t>
            </w:r>
          </w:p>
          <w:p w:rsidR="00C34132" w:rsidRPr="00956FA1" w:rsidRDefault="00C34132" w:rsidP="00C34132">
            <w:pPr>
              <w:jc w:val="both"/>
              <w:rPr>
                <w:sz w:val="20"/>
              </w:rPr>
            </w:pPr>
          </w:p>
        </w:tc>
      </w:tr>
      <w:tr w:rsidR="003A009E" w:rsidRPr="00956FA1" w:rsidTr="00C34132">
        <w:tc>
          <w:tcPr>
            <w:tcW w:w="5000" w:type="pct"/>
            <w:gridSpan w:val="2"/>
          </w:tcPr>
          <w:p w:rsidR="003A009E" w:rsidRPr="00956FA1" w:rsidRDefault="003A009E" w:rsidP="00C34132">
            <w:pPr>
              <w:jc w:val="both"/>
              <w:rPr>
                <w:sz w:val="20"/>
              </w:rPr>
            </w:pPr>
            <w:r w:rsidRPr="00956FA1">
              <w:rPr>
                <w:sz w:val="20"/>
              </w:rPr>
              <w:t xml:space="preserve">Prescription ⸺ Defence ⸺ Class action ⸺ Claim for damages for annoyances resulting from modifications to automobile traffic in residential area ⸺ Prescriptive period that applies to class action against municipal corporation based on art. 976 of </w:t>
            </w:r>
            <w:r w:rsidRPr="00956FA1">
              <w:rPr>
                <w:i/>
                <w:sz w:val="20"/>
              </w:rPr>
              <w:t xml:space="preserve">Civil Code of Québec </w:t>
            </w:r>
            <w:r w:rsidRPr="00956FA1">
              <w:rPr>
                <w:sz w:val="20"/>
              </w:rPr>
              <w:t xml:space="preserve">⸺ </w:t>
            </w:r>
            <w:r w:rsidRPr="00956FA1">
              <w:rPr>
                <w:i/>
                <w:sz w:val="20"/>
              </w:rPr>
              <w:t>Civil Code of Québec</w:t>
            </w:r>
            <w:r w:rsidRPr="00956FA1">
              <w:rPr>
                <w:sz w:val="20"/>
              </w:rPr>
              <w:t xml:space="preserve">, art. 976 ⸺ </w:t>
            </w:r>
            <w:r w:rsidRPr="00956FA1">
              <w:rPr>
                <w:i/>
                <w:sz w:val="20"/>
              </w:rPr>
              <w:t>Cities and Towns Act</w:t>
            </w:r>
            <w:r w:rsidRPr="00956FA1">
              <w:rPr>
                <w:sz w:val="20"/>
              </w:rPr>
              <w:t>, CQLR, c. C</w:t>
            </w:r>
            <w:r w:rsidRPr="00956FA1">
              <w:rPr>
                <w:sz w:val="20"/>
              </w:rPr>
              <w:noBreakHyphen/>
              <w:t>19, s. 586.</w:t>
            </w:r>
          </w:p>
        </w:tc>
      </w:tr>
      <w:tr w:rsidR="003A009E" w:rsidRPr="00956FA1" w:rsidTr="00C34132">
        <w:tc>
          <w:tcPr>
            <w:tcW w:w="5000" w:type="pct"/>
            <w:gridSpan w:val="2"/>
          </w:tcPr>
          <w:p w:rsidR="003A009E" w:rsidRPr="00956FA1" w:rsidRDefault="003A009E" w:rsidP="00C34132">
            <w:pPr>
              <w:jc w:val="both"/>
              <w:rPr>
                <w:sz w:val="20"/>
              </w:rPr>
            </w:pPr>
          </w:p>
        </w:tc>
      </w:tr>
    </w:tbl>
    <w:p w:rsidR="00662169" w:rsidRPr="00956FA1" w:rsidRDefault="00662169">
      <w:r w:rsidRPr="00956FA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A009E" w:rsidRPr="00956FA1" w:rsidTr="00C34132">
        <w:tc>
          <w:tcPr>
            <w:tcW w:w="5000" w:type="pct"/>
            <w:gridSpan w:val="3"/>
          </w:tcPr>
          <w:p w:rsidR="003A009E" w:rsidRPr="00956FA1" w:rsidRDefault="003A009E" w:rsidP="00C34132">
            <w:pPr>
              <w:jc w:val="both"/>
              <w:rPr>
                <w:sz w:val="20"/>
              </w:rPr>
            </w:pPr>
            <w:r w:rsidRPr="00956FA1">
              <w:rPr>
                <w:sz w:val="20"/>
              </w:rPr>
              <w:t>The applicants, Mohamed Belmamoun and Gaétan L’Heureux, live on Chemin des Prairies in the territory of the respondent, Ville de Brossard. On August 12, 2013, they filed an application for authorization to institute a class action against Ville de Brossard and Ville de Longueuil in which they alleged, in particular, that serious neighbourhood disturbances had resulted from the significant expansion of a commercial district in the territory of those municipalities that had had the effect of transforming automobile traffic patterns near the applicants’ homes. After being dismissed by the authorization judge (</w:t>
            </w:r>
            <w:r w:rsidRPr="00956FA1">
              <w:rPr>
                <w:i/>
                <w:sz w:val="20"/>
                <w:lang w:eastAsia="fr-CA"/>
              </w:rPr>
              <w:t>Belmamoun v. Brossard (Ville de)</w:t>
            </w:r>
            <w:r w:rsidRPr="00956FA1">
              <w:rPr>
                <w:sz w:val="20"/>
                <w:lang w:eastAsia="fr-CA"/>
              </w:rPr>
              <w:t>, 2015 QCCS 2913)</w:t>
            </w:r>
            <w:r w:rsidRPr="00956FA1">
              <w:rPr>
                <w:sz w:val="20"/>
              </w:rPr>
              <w:t>, the application for authorization to institute a class action was ultimately granted by the Court of Appeal in January 2017 (</w:t>
            </w:r>
            <w:r w:rsidRPr="00956FA1">
              <w:rPr>
                <w:i/>
                <w:sz w:val="20"/>
                <w:lang w:eastAsia="fr-CA"/>
              </w:rPr>
              <w:t>Belmamoun v. Ville de Brossard</w:t>
            </w:r>
            <w:r w:rsidRPr="00956FA1">
              <w:rPr>
                <w:sz w:val="20"/>
                <w:lang w:eastAsia="fr-CA"/>
              </w:rPr>
              <w:t xml:space="preserve">, 2017 QCCA 102), but only against </w:t>
            </w:r>
            <w:r w:rsidRPr="00956FA1">
              <w:rPr>
                <w:sz w:val="20"/>
              </w:rPr>
              <w:t xml:space="preserve">Ville de Brossard (the town). In November 2018, the town gave written notice that it intended to raise against the class action a defence of prescription based on s. 586 of the </w:t>
            </w:r>
            <w:r w:rsidRPr="00956FA1">
              <w:rPr>
                <w:i/>
                <w:sz w:val="20"/>
              </w:rPr>
              <w:t>Cities and Towns Act</w:t>
            </w:r>
            <w:r w:rsidRPr="00956FA1">
              <w:rPr>
                <w:sz w:val="20"/>
              </w:rPr>
              <w:t>, CQLR, c. C</w:t>
            </w:r>
            <w:r w:rsidRPr="00956FA1">
              <w:rPr>
                <w:sz w:val="20"/>
              </w:rPr>
              <w:noBreakHyphen/>
              <w:t xml:space="preserve">19, and, in the alternative, on art. 2925 of the </w:t>
            </w:r>
            <w:r w:rsidRPr="00956FA1">
              <w:rPr>
                <w:i/>
                <w:sz w:val="20"/>
              </w:rPr>
              <w:t>Civil Code of Québec</w:t>
            </w:r>
            <w:r w:rsidRPr="00956FA1">
              <w:rPr>
                <w:sz w:val="20"/>
              </w:rPr>
              <w:t xml:space="preserve">. After a case management conference in January 2019, the trial judge decided to split the proceeding in order to deal first, and separately, with the issue of prescription of the class action before dealing with the rest of the case. The Superior Court held that the town’s prescription defence was made out in part. The Court of Appeal allowed the town’s appeal and dismissed the applicants’ incidental appeal. </w:t>
            </w:r>
          </w:p>
          <w:p w:rsidR="003A009E" w:rsidRPr="00956FA1" w:rsidRDefault="003A009E" w:rsidP="00C34132">
            <w:pPr>
              <w:jc w:val="both"/>
              <w:rPr>
                <w:sz w:val="20"/>
              </w:rPr>
            </w:pPr>
          </w:p>
        </w:tc>
      </w:tr>
      <w:tr w:rsidR="003A009E" w:rsidRPr="00956FA1" w:rsidTr="00C34132">
        <w:tc>
          <w:tcPr>
            <w:tcW w:w="2427" w:type="pct"/>
          </w:tcPr>
          <w:p w:rsidR="003A009E" w:rsidRPr="00956FA1" w:rsidRDefault="003A009E" w:rsidP="00C34132">
            <w:pPr>
              <w:jc w:val="both"/>
              <w:rPr>
                <w:sz w:val="20"/>
              </w:rPr>
            </w:pPr>
            <w:r w:rsidRPr="00956FA1">
              <w:rPr>
                <w:sz w:val="20"/>
              </w:rPr>
              <w:t>July 16, 2019</w:t>
            </w:r>
          </w:p>
          <w:p w:rsidR="003A009E" w:rsidRPr="00956FA1" w:rsidRDefault="003A009E" w:rsidP="00C34132">
            <w:pPr>
              <w:jc w:val="both"/>
              <w:rPr>
                <w:sz w:val="20"/>
              </w:rPr>
            </w:pPr>
            <w:r w:rsidRPr="00956FA1">
              <w:rPr>
                <w:sz w:val="20"/>
              </w:rPr>
              <w:t>Quebec Superior Court</w:t>
            </w:r>
          </w:p>
          <w:p w:rsidR="003A009E" w:rsidRPr="00956FA1" w:rsidRDefault="003A009E" w:rsidP="00C34132">
            <w:pPr>
              <w:jc w:val="both"/>
              <w:rPr>
                <w:sz w:val="20"/>
              </w:rPr>
            </w:pPr>
            <w:r w:rsidRPr="00956FA1">
              <w:rPr>
                <w:sz w:val="20"/>
              </w:rPr>
              <w:t>(Gagnon J.)</w:t>
            </w:r>
          </w:p>
          <w:p w:rsidR="003A009E" w:rsidRPr="00956FA1" w:rsidRDefault="00956FA1" w:rsidP="00C34132">
            <w:pPr>
              <w:jc w:val="both"/>
              <w:rPr>
                <w:sz w:val="20"/>
              </w:rPr>
            </w:pPr>
            <w:hyperlink r:id="rId23" w:history="1">
              <w:r w:rsidR="003A009E" w:rsidRPr="00956FA1">
                <w:rPr>
                  <w:rStyle w:val="Hyperlink"/>
                  <w:sz w:val="20"/>
                </w:rPr>
                <w:t>2019 QCCS 2979</w:t>
              </w:r>
            </w:hyperlink>
            <w:r w:rsidR="003A009E" w:rsidRPr="00956FA1">
              <w:rPr>
                <w:sz w:val="20"/>
              </w:rPr>
              <w:t xml:space="preserve"> </w:t>
            </w:r>
          </w:p>
          <w:p w:rsidR="003A009E" w:rsidRPr="00956FA1" w:rsidRDefault="003A009E" w:rsidP="00C34132">
            <w:pPr>
              <w:jc w:val="both"/>
              <w:rPr>
                <w:sz w:val="20"/>
              </w:rPr>
            </w:pP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rPr>
            </w:pPr>
            <w:r w:rsidRPr="00956FA1">
              <w:rPr>
                <w:sz w:val="20"/>
              </w:rPr>
              <w:t>Defence of extinctive prescription held to be made out in part</w:t>
            </w:r>
          </w:p>
          <w:p w:rsidR="003A009E" w:rsidRPr="00956FA1" w:rsidRDefault="003A009E" w:rsidP="00C34132">
            <w:pPr>
              <w:jc w:val="both"/>
              <w:rPr>
                <w:sz w:val="20"/>
              </w:rPr>
            </w:pPr>
          </w:p>
        </w:tc>
      </w:tr>
      <w:tr w:rsidR="003A009E" w:rsidRPr="00956FA1" w:rsidTr="00C34132">
        <w:tc>
          <w:tcPr>
            <w:tcW w:w="2427" w:type="pct"/>
          </w:tcPr>
          <w:p w:rsidR="003A009E" w:rsidRPr="00956FA1" w:rsidRDefault="003A009E" w:rsidP="00C34132">
            <w:pPr>
              <w:jc w:val="both"/>
              <w:rPr>
                <w:sz w:val="20"/>
              </w:rPr>
            </w:pPr>
            <w:r w:rsidRPr="00956FA1">
              <w:rPr>
                <w:sz w:val="20"/>
              </w:rPr>
              <w:t>December 15, 2020</w:t>
            </w:r>
          </w:p>
          <w:p w:rsidR="003A009E" w:rsidRPr="00956FA1" w:rsidRDefault="003A009E" w:rsidP="00C34132">
            <w:pPr>
              <w:jc w:val="both"/>
              <w:rPr>
                <w:sz w:val="20"/>
              </w:rPr>
            </w:pPr>
            <w:r w:rsidRPr="00956FA1">
              <w:rPr>
                <w:sz w:val="20"/>
              </w:rPr>
              <w:t>Quebec Court of Appeal (Montréal)</w:t>
            </w:r>
          </w:p>
          <w:p w:rsidR="003A009E" w:rsidRPr="00956FA1" w:rsidRDefault="003A009E" w:rsidP="00C34132">
            <w:pPr>
              <w:jc w:val="both"/>
              <w:rPr>
                <w:sz w:val="20"/>
              </w:rPr>
            </w:pPr>
            <w:r w:rsidRPr="00956FA1">
              <w:rPr>
                <w:sz w:val="20"/>
              </w:rPr>
              <w:t>(Morissette, Marcotte and Fournier JJ.A.)</w:t>
            </w:r>
          </w:p>
          <w:p w:rsidR="003A009E" w:rsidRPr="00956FA1" w:rsidRDefault="00956FA1" w:rsidP="00C34132">
            <w:pPr>
              <w:jc w:val="both"/>
              <w:rPr>
                <w:sz w:val="20"/>
              </w:rPr>
            </w:pPr>
            <w:hyperlink r:id="rId24" w:history="1">
              <w:r w:rsidR="003A009E" w:rsidRPr="00956FA1">
                <w:rPr>
                  <w:rStyle w:val="Hyperlink"/>
                  <w:sz w:val="20"/>
                </w:rPr>
                <w:t>2020 QCCA 1718</w:t>
              </w:r>
            </w:hyperlink>
          </w:p>
          <w:p w:rsidR="003A009E" w:rsidRPr="00956FA1" w:rsidRDefault="003A009E" w:rsidP="00C34132">
            <w:pPr>
              <w:jc w:val="both"/>
              <w:rPr>
                <w:sz w:val="20"/>
              </w:rPr>
            </w:pP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rPr>
            </w:pPr>
            <w:r w:rsidRPr="00956FA1">
              <w:rPr>
                <w:sz w:val="20"/>
              </w:rPr>
              <w:t xml:space="preserve">Appeal allowed and incidental appeal dismissed </w:t>
            </w:r>
          </w:p>
          <w:p w:rsidR="003A009E" w:rsidRPr="00956FA1" w:rsidRDefault="003A009E" w:rsidP="00C34132">
            <w:pPr>
              <w:jc w:val="both"/>
              <w:rPr>
                <w:sz w:val="20"/>
              </w:rPr>
            </w:pPr>
          </w:p>
        </w:tc>
      </w:tr>
      <w:tr w:rsidR="003A009E" w:rsidRPr="00956FA1" w:rsidTr="00C34132">
        <w:tc>
          <w:tcPr>
            <w:tcW w:w="2427" w:type="pct"/>
          </w:tcPr>
          <w:p w:rsidR="003A009E" w:rsidRPr="00956FA1" w:rsidRDefault="003A009E" w:rsidP="00C34132">
            <w:pPr>
              <w:jc w:val="both"/>
              <w:rPr>
                <w:sz w:val="20"/>
              </w:rPr>
            </w:pPr>
            <w:r w:rsidRPr="00956FA1">
              <w:rPr>
                <w:sz w:val="20"/>
              </w:rPr>
              <w:t>February 25, 2021</w:t>
            </w:r>
          </w:p>
          <w:p w:rsidR="003A009E" w:rsidRPr="00956FA1" w:rsidRDefault="003A009E" w:rsidP="00C34132">
            <w:pPr>
              <w:jc w:val="both"/>
              <w:rPr>
                <w:sz w:val="20"/>
              </w:rPr>
            </w:pPr>
            <w:r w:rsidRPr="00956FA1">
              <w:rPr>
                <w:sz w:val="20"/>
              </w:rPr>
              <w:t>Supreme Court of Canada</w:t>
            </w: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rPr>
            </w:pPr>
            <w:r w:rsidRPr="00956FA1">
              <w:rPr>
                <w:sz w:val="20"/>
              </w:rPr>
              <w:t>Application for leave to appeal filed</w:t>
            </w:r>
          </w:p>
          <w:p w:rsidR="003A009E" w:rsidRPr="00956FA1" w:rsidRDefault="003A009E" w:rsidP="00C34132">
            <w:pPr>
              <w:jc w:val="both"/>
              <w:rPr>
                <w:sz w:val="20"/>
              </w:rPr>
            </w:pPr>
          </w:p>
        </w:tc>
      </w:tr>
    </w:tbl>
    <w:p w:rsidR="003A009E" w:rsidRPr="00956FA1" w:rsidRDefault="003A009E" w:rsidP="003A009E">
      <w:pPr>
        <w:jc w:val="both"/>
        <w:rPr>
          <w:sz w:val="20"/>
        </w:rPr>
      </w:pPr>
    </w:p>
    <w:p w:rsidR="003A009E" w:rsidRPr="00956FA1" w:rsidRDefault="00956FA1" w:rsidP="003A009E">
      <w:pPr>
        <w:jc w:val="both"/>
        <w:rPr>
          <w:sz w:val="20"/>
        </w:rPr>
      </w:pPr>
      <w:r w:rsidRPr="00956FA1">
        <w:rPr>
          <w:sz w:val="20"/>
        </w:rPr>
        <w:pict>
          <v:rect id="_x0000_i1034" style="width:2in;height:1pt" o:hrpct="0" o:hralign="center" o:hrstd="t" o:hrnoshade="t" o:hr="t" fillcolor="black [3213]" stroked="f"/>
        </w:pict>
      </w:r>
    </w:p>
    <w:p w:rsidR="003A009E" w:rsidRPr="00956FA1" w:rsidRDefault="003A009E" w:rsidP="003A009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A009E" w:rsidRPr="00956FA1" w:rsidTr="00C34132">
        <w:tc>
          <w:tcPr>
            <w:tcW w:w="543" w:type="pct"/>
          </w:tcPr>
          <w:p w:rsidR="003A009E" w:rsidRPr="00956FA1" w:rsidRDefault="003A009E" w:rsidP="00C34132">
            <w:pPr>
              <w:jc w:val="both"/>
              <w:rPr>
                <w:sz w:val="20"/>
              </w:rPr>
            </w:pPr>
            <w:r w:rsidRPr="00956FA1">
              <w:rPr>
                <w:rStyle w:val="SCCFileNumberChar"/>
                <w:sz w:val="20"/>
                <w:szCs w:val="20"/>
              </w:rPr>
              <w:t>39588</w:t>
            </w:r>
          </w:p>
        </w:tc>
        <w:tc>
          <w:tcPr>
            <w:tcW w:w="4457" w:type="pct"/>
          </w:tcPr>
          <w:p w:rsidR="003A009E" w:rsidRPr="00956FA1" w:rsidRDefault="003A009E" w:rsidP="00C34132">
            <w:pPr>
              <w:pStyle w:val="SCCLsocParty"/>
              <w:jc w:val="both"/>
              <w:rPr>
                <w:b/>
                <w:sz w:val="20"/>
                <w:szCs w:val="20"/>
              </w:rPr>
            </w:pPr>
            <w:r w:rsidRPr="00956FA1">
              <w:rPr>
                <w:b/>
                <w:sz w:val="20"/>
                <w:szCs w:val="20"/>
              </w:rPr>
              <w:t>Mohamed Belmamoun et Gaétan L'Heureux c. Ville de Brossard</w:t>
            </w:r>
          </w:p>
          <w:p w:rsidR="003A009E" w:rsidRPr="00956FA1" w:rsidRDefault="003A009E" w:rsidP="00C34132">
            <w:pPr>
              <w:jc w:val="both"/>
              <w:rPr>
                <w:sz w:val="20"/>
              </w:rPr>
            </w:pPr>
            <w:r w:rsidRPr="00956FA1">
              <w:rPr>
                <w:sz w:val="20"/>
              </w:rPr>
              <w:t>(Qc) (Civile) (Autorisation)</w:t>
            </w:r>
          </w:p>
        </w:tc>
      </w:tr>
      <w:tr w:rsidR="003A009E" w:rsidRPr="00956FA1" w:rsidTr="00C34132">
        <w:tc>
          <w:tcPr>
            <w:tcW w:w="5000" w:type="pct"/>
            <w:gridSpan w:val="2"/>
          </w:tcPr>
          <w:p w:rsidR="00C34132" w:rsidRPr="00956FA1" w:rsidRDefault="00C34132" w:rsidP="00C34132">
            <w:pPr>
              <w:jc w:val="both"/>
              <w:rPr>
                <w:sz w:val="20"/>
                <w:szCs w:val="20"/>
                <w:lang w:val="fr-CA"/>
              </w:rPr>
            </w:pPr>
            <w:r w:rsidRPr="00956FA1">
              <w:rPr>
                <w:sz w:val="20"/>
                <w:szCs w:val="20"/>
                <w:lang w:val="fr-CA"/>
              </w:rPr>
              <w:t>La requ</w:t>
            </w:r>
            <w:r w:rsidRPr="00956FA1">
              <w:rPr>
                <w:rFonts w:cs="Times New Roman"/>
                <w:sz w:val="20"/>
                <w:szCs w:val="20"/>
                <w:lang w:val="fr-CA"/>
              </w:rPr>
              <w:t>ê</w:t>
            </w:r>
            <w:r w:rsidRPr="00956FA1">
              <w:rPr>
                <w:sz w:val="20"/>
                <w:szCs w:val="20"/>
                <w:lang w:val="fr-CA"/>
              </w:rPr>
              <w:t>te en prorogation du d</w:t>
            </w:r>
            <w:r w:rsidRPr="00956FA1">
              <w:rPr>
                <w:rFonts w:cs="Times New Roman"/>
                <w:sz w:val="20"/>
                <w:szCs w:val="20"/>
                <w:lang w:val="fr-CA"/>
              </w:rPr>
              <w:t>é</w:t>
            </w:r>
            <w:r w:rsidRPr="00956FA1">
              <w:rPr>
                <w:sz w:val="20"/>
                <w:szCs w:val="20"/>
                <w:lang w:val="fr-CA"/>
              </w:rPr>
              <w:t>lai de signification et de d</w:t>
            </w:r>
            <w:r w:rsidRPr="00956FA1">
              <w:rPr>
                <w:rFonts w:cs="Times New Roman"/>
                <w:sz w:val="20"/>
                <w:szCs w:val="20"/>
                <w:lang w:val="fr-CA"/>
              </w:rPr>
              <w:t>é</w:t>
            </w:r>
            <w:r w:rsidRPr="00956FA1">
              <w:rPr>
                <w:sz w:val="20"/>
                <w:szCs w:val="20"/>
                <w:lang w:val="fr-CA"/>
              </w:rPr>
              <w:t>p</w:t>
            </w:r>
            <w:r w:rsidRPr="00956FA1">
              <w:rPr>
                <w:rFonts w:cs="Times New Roman"/>
                <w:sz w:val="20"/>
                <w:szCs w:val="20"/>
                <w:lang w:val="fr-CA"/>
              </w:rPr>
              <w:t>ô</w:t>
            </w:r>
            <w:r w:rsidRPr="00956FA1">
              <w:rPr>
                <w:sz w:val="20"/>
                <w:szCs w:val="20"/>
                <w:lang w:val="fr-CA"/>
              </w:rPr>
              <w:t>t de la demande d’autorisation d’appel est accueillie. La demande d’autorisation d’appel de l’arrêt de la Cour d’appel du Québec (Montréal), numéro 500-09-028517-191, 2020 QCCA 1718, daté du 15 décembre 2020, est rejetée avec dépens.</w:t>
            </w:r>
          </w:p>
          <w:p w:rsidR="003A009E" w:rsidRPr="00956FA1" w:rsidRDefault="003A009E" w:rsidP="00C34132">
            <w:pPr>
              <w:jc w:val="both"/>
              <w:rPr>
                <w:sz w:val="20"/>
                <w:lang w:val="fr-CA"/>
              </w:rPr>
            </w:pPr>
          </w:p>
        </w:tc>
      </w:tr>
      <w:tr w:rsidR="003A009E" w:rsidRPr="00956FA1" w:rsidTr="00C34132">
        <w:tc>
          <w:tcPr>
            <w:tcW w:w="5000" w:type="pct"/>
            <w:gridSpan w:val="2"/>
          </w:tcPr>
          <w:p w:rsidR="003A009E" w:rsidRPr="00956FA1" w:rsidRDefault="003A009E" w:rsidP="00C34132">
            <w:pPr>
              <w:jc w:val="both"/>
              <w:rPr>
                <w:sz w:val="20"/>
                <w:lang w:val="fr-CA"/>
              </w:rPr>
            </w:pPr>
            <w:r w:rsidRPr="00956FA1">
              <w:rPr>
                <w:sz w:val="20"/>
                <w:lang w:val="fr-CA"/>
              </w:rPr>
              <w:t xml:space="preserve">Prescription </w:t>
            </w:r>
            <w:r w:rsidRPr="00956FA1">
              <w:rPr>
                <w:sz w:val="20"/>
              </w:rPr>
              <w:t>⸺</w:t>
            </w:r>
            <w:r w:rsidRPr="00956FA1">
              <w:rPr>
                <w:sz w:val="20"/>
                <w:lang w:val="fr-CA"/>
              </w:rPr>
              <w:t xml:space="preserve"> Moyen de défense </w:t>
            </w:r>
            <w:r w:rsidRPr="00956FA1">
              <w:rPr>
                <w:sz w:val="20"/>
              </w:rPr>
              <w:t>⸺</w:t>
            </w:r>
            <w:r w:rsidRPr="00956FA1">
              <w:rPr>
                <w:sz w:val="20"/>
                <w:lang w:val="fr-CA"/>
              </w:rPr>
              <w:t xml:space="preserve"> Action collective </w:t>
            </w:r>
            <w:r w:rsidRPr="00956FA1">
              <w:rPr>
                <w:sz w:val="20"/>
              </w:rPr>
              <w:t>⸺</w:t>
            </w:r>
            <w:r w:rsidRPr="00956FA1">
              <w:rPr>
                <w:sz w:val="20"/>
                <w:lang w:val="fr-CA"/>
              </w:rPr>
              <w:t xml:space="preserve"> Réclamation en dommages</w:t>
            </w:r>
            <w:r w:rsidRPr="00956FA1">
              <w:rPr>
                <w:sz w:val="20"/>
                <w:lang w:val="fr-CA"/>
              </w:rPr>
              <w:noBreakHyphen/>
              <w:t xml:space="preserve">intérêts pour inconvénients résultant de modifications à la circulation automobile dans un quartier résidentiel </w:t>
            </w:r>
            <w:r w:rsidRPr="00956FA1">
              <w:rPr>
                <w:sz w:val="20"/>
              </w:rPr>
              <w:t>⸺</w:t>
            </w:r>
            <w:r w:rsidRPr="00956FA1">
              <w:rPr>
                <w:sz w:val="20"/>
                <w:lang w:val="fr-CA"/>
              </w:rPr>
              <w:t xml:space="preserve"> Quel est le délai de prescription qui s’applique à une action collective fondée sur l’art. 976 du </w:t>
            </w:r>
            <w:r w:rsidRPr="00956FA1">
              <w:rPr>
                <w:i/>
                <w:sz w:val="20"/>
                <w:lang w:val="fr-CA"/>
              </w:rPr>
              <w:t xml:space="preserve">Code civil du Québec </w:t>
            </w:r>
            <w:r w:rsidRPr="00956FA1">
              <w:rPr>
                <w:sz w:val="20"/>
                <w:lang w:val="fr-CA"/>
              </w:rPr>
              <w:t xml:space="preserve">à l’encontre d’une corporation municipale? </w:t>
            </w:r>
            <w:r w:rsidRPr="00956FA1">
              <w:rPr>
                <w:sz w:val="20"/>
              </w:rPr>
              <w:t>⸺</w:t>
            </w:r>
            <w:r w:rsidRPr="00956FA1">
              <w:rPr>
                <w:sz w:val="20"/>
                <w:lang w:val="fr-CA"/>
              </w:rPr>
              <w:t xml:space="preserve"> </w:t>
            </w:r>
            <w:r w:rsidRPr="00956FA1">
              <w:rPr>
                <w:i/>
                <w:sz w:val="20"/>
                <w:lang w:val="fr-CA"/>
              </w:rPr>
              <w:t>Code civil du Québec</w:t>
            </w:r>
            <w:r w:rsidRPr="00956FA1">
              <w:rPr>
                <w:sz w:val="20"/>
                <w:lang w:val="fr-CA"/>
              </w:rPr>
              <w:t xml:space="preserve">, art. 976 </w:t>
            </w:r>
            <w:r w:rsidRPr="00956FA1">
              <w:rPr>
                <w:sz w:val="20"/>
              </w:rPr>
              <w:t>⸺</w:t>
            </w:r>
            <w:r w:rsidRPr="00956FA1">
              <w:rPr>
                <w:sz w:val="20"/>
                <w:lang w:val="fr-CA"/>
              </w:rPr>
              <w:t xml:space="preserve"> </w:t>
            </w:r>
            <w:r w:rsidRPr="00956FA1">
              <w:rPr>
                <w:i/>
                <w:sz w:val="20"/>
                <w:lang w:val="fr-CA"/>
              </w:rPr>
              <w:t>Loi sur les cités et villes</w:t>
            </w:r>
            <w:r w:rsidRPr="00956FA1">
              <w:rPr>
                <w:sz w:val="20"/>
                <w:lang w:val="fr-CA"/>
              </w:rPr>
              <w:t>, RLRQ, c. C</w:t>
            </w:r>
            <w:r w:rsidRPr="00956FA1">
              <w:rPr>
                <w:sz w:val="20"/>
                <w:lang w:val="fr-CA"/>
              </w:rPr>
              <w:noBreakHyphen/>
              <w:t>19, art. 586.</w:t>
            </w:r>
          </w:p>
        </w:tc>
      </w:tr>
      <w:tr w:rsidR="003A009E" w:rsidRPr="00956FA1" w:rsidTr="00C34132">
        <w:tc>
          <w:tcPr>
            <w:tcW w:w="5000" w:type="pct"/>
            <w:gridSpan w:val="2"/>
          </w:tcPr>
          <w:p w:rsidR="003A009E" w:rsidRPr="00956FA1" w:rsidRDefault="003A009E" w:rsidP="00C34132">
            <w:pPr>
              <w:jc w:val="both"/>
              <w:rPr>
                <w:sz w:val="20"/>
                <w:lang w:val="fr-CA"/>
              </w:rPr>
            </w:pPr>
          </w:p>
        </w:tc>
      </w:tr>
    </w:tbl>
    <w:p w:rsidR="00662169" w:rsidRPr="00956FA1" w:rsidRDefault="00662169">
      <w:pPr>
        <w:rPr>
          <w:lang w:val="fr-CA"/>
        </w:rPr>
      </w:pPr>
      <w:r w:rsidRPr="00956FA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A009E" w:rsidRPr="00956FA1" w:rsidTr="00C34132">
        <w:tc>
          <w:tcPr>
            <w:tcW w:w="5000" w:type="pct"/>
            <w:gridSpan w:val="3"/>
          </w:tcPr>
          <w:p w:rsidR="003A009E" w:rsidRPr="00956FA1" w:rsidRDefault="003A009E" w:rsidP="00C34132">
            <w:pPr>
              <w:jc w:val="both"/>
              <w:rPr>
                <w:sz w:val="20"/>
                <w:lang w:val="fr-CA"/>
              </w:rPr>
            </w:pPr>
            <w:r w:rsidRPr="00956FA1">
              <w:rPr>
                <w:sz w:val="20"/>
                <w:lang w:val="fr-CA"/>
              </w:rPr>
              <w:t>Les demandeurs, Messieurs Mohamed Belmamoun et Gaétan L’Heureux résident sur le chemin des Prairies situé sur le territoire de l’intimée, la Ville de Brossard. Le 12 août 2013, ils ont déposé une demande d’autorisation d’exercer une action collective contre la Ville de Brossard et la Ville de Longueuil alléguant notamment des troubles de voisinages sérieux résultant de l’essor considérable d’un quartier commercial sur leur territoire ayant eu pour effet de transformer les habitudes de circulation automobile près de leurs résidences. Rejetée par le juge de l’autorisation (</w:t>
            </w:r>
            <w:r w:rsidRPr="00956FA1">
              <w:rPr>
                <w:i/>
                <w:sz w:val="20"/>
                <w:lang w:val="fr-FR" w:eastAsia="fr-CA"/>
              </w:rPr>
              <w:t>Belmamoun c. Brossard (Ville de),</w:t>
            </w:r>
            <w:r w:rsidRPr="00956FA1">
              <w:rPr>
                <w:sz w:val="20"/>
                <w:lang w:val="fr-FR" w:eastAsia="fr-CA"/>
              </w:rPr>
              <w:t xml:space="preserve"> 2015 QCCS 2913)</w:t>
            </w:r>
            <w:r w:rsidRPr="00956FA1">
              <w:rPr>
                <w:sz w:val="20"/>
                <w:lang w:val="fr-CA"/>
              </w:rPr>
              <w:t>, cette demande d’autorisation d’exercer une action collective a finalement été autorisée par la Cour d’appel en janvier 2017 (</w:t>
            </w:r>
            <w:r w:rsidRPr="00956FA1">
              <w:rPr>
                <w:i/>
                <w:sz w:val="20"/>
                <w:lang w:val="fr-FR" w:eastAsia="fr-CA"/>
              </w:rPr>
              <w:t>Belmamoun c. Ville de Brossard</w:t>
            </w:r>
            <w:r w:rsidRPr="00956FA1">
              <w:rPr>
                <w:sz w:val="20"/>
                <w:lang w:val="fr-FR" w:eastAsia="fr-CA"/>
              </w:rPr>
              <w:t xml:space="preserve">, 2017 QCCA 102) </w:t>
            </w:r>
            <w:r w:rsidRPr="00956FA1">
              <w:rPr>
                <w:sz w:val="20"/>
                <w:lang w:val="fr-CA"/>
              </w:rPr>
              <w:t xml:space="preserve">mais uniquement à l’encontre de la Ville de Brossard (la Ville). En novembre 2018, la Ville a annoncé, par dénonciation écrite, son intention de soulever le moyen de défense de la prescription fondé sur l’art. 586 de la </w:t>
            </w:r>
            <w:r w:rsidRPr="00956FA1">
              <w:rPr>
                <w:i/>
                <w:sz w:val="20"/>
                <w:lang w:val="fr-CA"/>
              </w:rPr>
              <w:t>Loi sur les cités et villes</w:t>
            </w:r>
            <w:r w:rsidRPr="00956FA1">
              <w:rPr>
                <w:sz w:val="20"/>
                <w:lang w:val="fr-CA"/>
              </w:rPr>
              <w:t>, RLRQ, c. C</w:t>
            </w:r>
            <w:r w:rsidRPr="00956FA1">
              <w:rPr>
                <w:sz w:val="20"/>
                <w:lang w:val="fr-CA"/>
              </w:rPr>
              <w:noBreakHyphen/>
              <w:t xml:space="preserve">19 et subsidiairement, sur l’art. 2925 du </w:t>
            </w:r>
            <w:r w:rsidRPr="00956FA1">
              <w:rPr>
                <w:i/>
                <w:sz w:val="20"/>
                <w:lang w:val="fr-CA"/>
              </w:rPr>
              <w:t>Code civil du Québec</w:t>
            </w:r>
            <w:r w:rsidRPr="00956FA1">
              <w:rPr>
                <w:sz w:val="20"/>
                <w:lang w:val="fr-CA"/>
              </w:rPr>
              <w:t xml:space="preserve"> à l’encontre de l’action collective. Comme suite à une conférence de gestion ayant eu lieu en janvier 2019, le juge de l’instance a décidé de scinder l’instance afin de traiter en premier lieu et de façon distincte de la question de la prescription de l’action collective avant de traiter du reste du dossier. La Cour supérieure a accueilli en partie le moyen de défense de la prescription soulevé par la Ville. La Cour d’appel a accueilli l’appel principal de la Ville et a rejeté l’appel incident déposé par les demandeurs. </w:t>
            </w:r>
          </w:p>
          <w:p w:rsidR="003A009E" w:rsidRPr="00956FA1" w:rsidRDefault="003A009E" w:rsidP="00C34132">
            <w:pPr>
              <w:jc w:val="both"/>
              <w:rPr>
                <w:sz w:val="20"/>
                <w:lang w:val="fr-CA"/>
              </w:rPr>
            </w:pPr>
          </w:p>
        </w:tc>
      </w:tr>
      <w:tr w:rsidR="003A009E" w:rsidRPr="00956FA1" w:rsidTr="00C34132">
        <w:tc>
          <w:tcPr>
            <w:tcW w:w="2427" w:type="pct"/>
          </w:tcPr>
          <w:p w:rsidR="003A009E" w:rsidRPr="00956FA1" w:rsidRDefault="003A009E" w:rsidP="00C34132">
            <w:pPr>
              <w:jc w:val="both"/>
              <w:rPr>
                <w:sz w:val="20"/>
                <w:lang w:val="fr-CA"/>
              </w:rPr>
            </w:pPr>
            <w:r w:rsidRPr="00956FA1">
              <w:rPr>
                <w:sz w:val="20"/>
                <w:lang w:val="fr-CA"/>
              </w:rPr>
              <w:t>Le 16 juillet 2019</w:t>
            </w:r>
          </w:p>
          <w:p w:rsidR="003A009E" w:rsidRPr="00956FA1" w:rsidRDefault="003A009E" w:rsidP="00C34132">
            <w:pPr>
              <w:jc w:val="both"/>
              <w:rPr>
                <w:sz w:val="20"/>
                <w:lang w:val="fr-CA"/>
              </w:rPr>
            </w:pPr>
            <w:r w:rsidRPr="00956FA1">
              <w:rPr>
                <w:sz w:val="20"/>
                <w:lang w:val="fr-CA"/>
              </w:rPr>
              <w:t>Cour supérieure du Québec</w:t>
            </w:r>
          </w:p>
          <w:p w:rsidR="003A009E" w:rsidRPr="00956FA1" w:rsidRDefault="003A009E" w:rsidP="00C34132">
            <w:pPr>
              <w:jc w:val="both"/>
              <w:rPr>
                <w:sz w:val="20"/>
              </w:rPr>
            </w:pPr>
            <w:r w:rsidRPr="00956FA1">
              <w:rPr>
                <w:sz w:val="20"/>
              </w:rPr>
              <w:t>(Le juge Gagnon)</w:t>
            </w:r>
          </w:p>
          <w:p w:rsidR="003A009E" w:rsidRPr="00956FA1" w:rsidRDefault="00956FA1" w:rsidP="00C34132">
            <w:pPr>
              <w:jc w:val="both"/>
              <w:rPr>
                <w:sz w:val="20"/>
              </w:rPr>
            </w:pPr>
            <w:hyperlink r:id="rId25" w:history="1">
              <w:r w:rsidR="003A009E" w:rsidRPr="00956FA1">
                <w:rPr>
                  <w:rStyle w:val="Hyperlink"/>
                  <w:sz w:val="20"/>
                </w:rPr>
                <w:t>2019 QCCS 2979</w:t>
              </w:r>
            </w:hyperlink>
          </w:p>
          <w:p w:rsidR="003A009E" w:rsidRPr="00956FA1" w:rsidRDefault="003A009E" w:rsidP="00C34132">
            <w:pPr>
              <w:jc w:val="both"/>
              <w:rPr>
                <w:sz w:val="20"/>
              </w:rPr>
            </w:pP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lang w:val="fr-CA"/>
              </w:rPr>
            </w:pPr>
            <w:r w:rsidRPr="00956FA1">
              <w:rPr>
                <w:sz w:val="20"/>
                <w:lang w:val="fr-CA"/>
              </w:rPr>
              <w:t xml:space="preserve">La défense de prescription extinctive accueillie en partie. </w:t>
            </w:r>
          </w:p>
          <w:p w:rsidR="003A009E" w:rsidRPr="00956FA1" w:rsidRDefault="003A009E" w:rsidP="00C34132">
            <w:pPr>
              <w:jc w:val="both"/>
              <w:rPr>
                <w:sz w:val="20"/>
                <w:lang w:val="fr-CA"/>
              </w:rPr>
            </w:pPr>
          </w:p>
        </w:tc>
      </w:tr>
      <w:tr w:rsidR="003A009E" w:rsidRPr="00956FA1" w:rsidTr="00C34132">
        <w:tc>
          <w:tcPr>
            <w:tcW w:w="2427" w:type="pct"/>
          </w:tcPr>
          <w:p w:rsidR="003A009E" w:rsidRPr="00956FA1" w:rsidRDefault="003A009E" w:rsidP="00C34132">
            <w:pPr>
              <w:jc w:val="both"/>
              <w:rPr>
                <w:sz w:val="20"/>
                <w:lang w:val="fr-CA"/>
              </w:rPr>
            </w:pPr>
            <w:r w:rsidRPr="00956FA1">
              <w:rPr>
                <w:sz w:val="20"/>
                <w:lang w:val="fr-CA"/>
              </w:rPr>
              <w:t>Le 15 décembre 2020</w:t>
            </w:r>
          </w:p>
          <w:p w:rsidR="003A009E" w:rsidRPr="00956FA1" w:rsidRDefault="003A009E" w:rsidP="00C34132">
            <w:pPr>
              <w:jc w:val="both"/>
              <w:rPr>
                <w:sz w:val="20"/>
                <w:lang w:val="fr-CA"/>
              </w:rPr>
            </w:pPr>
            <w:r w:rsidRPr="00956FA1">
              <w:rPr>
                <w:sz w:val="20"/>
                <w:lang w:val="fr-CA"/>
              </w:rPr>
              <w:t>Cour d’appel du Québec (Montréal)</w:t>
            </w:r>
          </w:p>
          <w:p w:rsidR="003A009E" w:rsidRPr="00956FA1" w:rsidRDefault="003A009E" w:rsidP="00C34132">
            <w:pPr>
              <w:jc w:val="both"/>
              <w:rPr>
                <w:sz w:val="20"/>
                <w:lang w:val="fr-CA"/>
              </w:rPr>
            </w:pPr>
            <w:r w:rsidRPr="00956FA1">
              <w:rPr>
                <w:sz w:val="20"/>
                <w:lang w:val="fr-CA"/>
              </w:rPr>
              <w:t>(Les juges Morissette, Marcotte et Fournier)</w:t>
            </w:r>
          </w:p>
          <w:p w:rsidR="003A009E" w:rsidRPr="00956FA1" w:rsidRDefault="00956FA1" w:rsidP="00C34132">
            <w:pPr>
              <w:jc w:val="both"/>
              <w:rPr>
                <w:sz w:val="20"/>
              </w:rPr>
            </w:pPr>
            <w:hyperlink r:id="rId26" w:history="1">
              <w:r w:rsidR="003A009E" w:rsidRPr="00956FA1">
                <w:rPr>
                  <w:rStyle w:val="Hyperlink"/>
                  <w:sz w:val="20"/>
                </w:rPr>
                <w:t>2020 QCCA 1718</w:t>
              </w:r>
            </w:hyperlink>
          </w:p>
          <w:p w:rsidR="003A009E" w:rsidRPr="00956FA1" w:rsidRDefault="003A009E" w:rsidP="00C34132">
            <w:pPr>
              <w:jc w:val="both"/>
              <w:rPr>
                <w:sz w:val="20"/>
              </w:rPr>
            </w:pP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lang w:val="fr-CA"/>
              </w:rPr>
            </w:pPr>
            <w:r w:rsidRPr="00956FA1">
              <w:rPr>
                <w:sz w:val="20"/>
                <w:lang w:val="fr-CA"/>
              </w:rPr>
              <w:t xml:space="preserve">Appel principal accueilli et appel incident rejeté. </w:t>
            </w:r>
          </w:p>
          <w:p w:rsidR="003A009E" w:rsidRPr="00956FA1" w:rsidRDefault="003A009E" w:rsidP="00C34132">
            <w:pPr>
              <w:jc w:val="both"/>
              <w:rPr>
                <w:sz w:val="20"/>
                <w:lang w:val="fr-CA"/>
              </w:rPr>
            </w:pPr>
          </w:p>
        </w:tc>
      </w:tr>
      <w:tr w:rsidR="003A009E" w:rsidRPr="00956FA1" w:rsidTr="00C34132">
        <w:tc>
          <w:tcPr>
            <w:tcW w:w="2427" w:type="pct"/>
          </w:tcPr>
          <w:p w:rsidR="003A009E" w:rsidRPr="00956FA1" w:rsidRDefault="003A009E" w:rsidP="00C34132">
            <w:pPr>
              <w:jc w:val="both"/>
              <w:rPr>
                <w:sz w:val="20"/>
                <w:lang w:val="fr-CA"/>
              </w:rPr>
            </w:pPr>
            <w:r w:rsidRPr="00956FA1">
              <w:rPr>
                <w:sz w:val="20"/>
                <w:lang w:val="fr-CA"/>
              </w:rPr>
              <w:t>Le 25 février 2021</w:t>
            </w:r>
          </w:p>
          <w:p w:rsidR="003A009E" w:rsidRPr="00956FA1" w:rsidRDefault="003A009E" w:rsidP="00C34132">
            <w:pPr>
              <w:jc w:val="both"/>
              <w:rPr>
                <w:sz w:val="20"/>
                <w:lang w:val="fr-CA"/>
              </w:rPr>
            </w:pPr>
            <w:r w:rsidRPr="00956FA1">
              <w:rPr>
                <w:sz w:val="20"/>
                <w:lang w:val="fr-CA"/>
              </w:rPr>
              <w:t>Cour suprême du Canada</w:t>
            </w:r>
          </w:p>
        </w:tc>
        <w:tc>
          <w:tcPr>
            <w:tcW w:w="243" w:type="pct"/>
          </w:tcPr>
          <w:p w:rsidR="003A009E" w:rsidRPr="00956FA1" w:rsidRDefault="003A009E" w:rsidP="00C34132">
            <w:pPr>
              <w:jc w:val="both"/>
              <w:rPr>
                <w:sz w:val="20"/>
                <w:lang w:val="fr-CA"/>
              </w:rPr>
            </w:pPr>
          </w:p>
        </w:tc>
        <w:tc>
          <w:tcPr>
            <w:tcW w:w="2330" w:type="pct"/>
          </w:tcPr>
          <w:p w:rsidR="003A009E" w:rsidRPr="00956FA1" w:rsidRDefault="003A009E" w:rsidP="00C34132">
            <w:pPr>
              <w:jc w:val="both"/>
              <w:rPr>
                <w:sz w:val="20"/>
              </w:rPr>
            </w:pPr>
            <w:r w:rsidRPr="00956FA1">
              <w:rPr>
                <w:sz w:val="20"/>
              </w:rPr>
              <w:t>Demande d'autorisation d'appel déposée</w:t>
            </w:r>
          </w:p>
          <w:p w:rsidR="003A009E" w:rsidRPr="00956FA1" w:rsidRDefault="003A009E" w:rsidP="00C34132">
            <w:pPr>
              <w:jc w:val="both"/>
              <w:rPr>
                <w:sz w:val="20"/>
              </w:rPr>
            </w:pPr>
          </w:p>
        </w:tc>
      </w:tr>
    </w:tbl>
    <w:p w:rsidR="003A009E" w:rsidRPr="00956FA1" w:rsidRDefault="003A009E" w:rsidP="003A009E">
      <w:pPr>
        <w:jc w:val="both"/>
        <w:rPr>
          <w:sz w:val="20"/>
        </w:rPr>
      </w:pPr>
    </w:p>
    <w:p w:rsidR="003A009E" w:rsidRPr="00956FA1" w:rsidRDefault="00956FA1" w:rsidP="003A009E">
      <w:pPr>
        <w:jc w:val="both"/>
        <w:rPr>
          <w:sz w:val="20"/>
        </w:rPr>
      </w:pPr>
      <w:r w:rsidRPr="00956FA1">
        <w:rPr>
          <w:sz w:val="20"/>
        </w:rPr>
        <w:pict>
          <v:rect id="_x0000_i1035" style="width:2in;height:1pt" o:hrpct="0" o:hralign="center" o:hrstd="t" o:hrnoshade="t" o:hr="t" fillcolor="black [3213]" stroked="f"/>
        </w:pict>
      </w:r>
    </w:p>
    <w:p w:rsidR="003A009E" w:rsidRPr="00956FA1" w:rsidRDefault="003A009E" w:rsidP="003A009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A009E" w:rsidRPr="00956FA1" w:rsidTr="00C34132">
        <w:tc>
          <w:tcPr>
            <w:tcW w:w="543" w:type="pct"/>
          </w:tcPr>
          <w:p w:rsidR="003A009E" w:rsidRPr="00956FA1" w:rsidRDefault="003A009E" w:rsidP="00C34132">
            <w:pPr>
              <w:jc w:val="both"/>
              <w:rPr>
                <w:sz w:val="20"/>
              </w:rPr>
            </w:pPr>
            <w:r w:rsidRPr="00956FA1">
              <w:rPr>
                <w:rStyle w:val="SCCFileNumberChar"/>
                <w:sz w:val="20"/>
                <w:szCs w:val="20"/>
              </w:rPr>
              <w:t>39605</w:t>
            </w:r>
          </w:p>
        </w:tc>
        <w:tc>
          <w:tcPr>
            <w:tcW w:w="4457" w:type="pct"/>
            <w:gridSpan w:val="3"/>
          </w:tcPr>
          <w:p w:rsidR="003A009E" w:rsidRPr="00956FA1" w:rsidRDefault="003A009E" w:rsidP="00C34132">
            <w:pPr>
              <w:pStyle w:val="SCCLsocParty"/>
              <w:jc w:val="both"/>
              <w:rPr>
                <w:b/>
                <w:sz w:val="20"/>
                <w:szCs w:val="20"/>
                <w:lang w:val="en-US"/>
              </w:rPr>
            </w:pPr>
            <w:r w:rsidRPr="00956FA1">
              <w:rPr>
                <w:b/>
                <w:sz w:val="20"/>
                <w:szCs w:val="20"/>
                <w:lang w:val="en-US"/>
              </w:rPr>
              <w:t>Viet Khanh Le v. Her Majesty the Queen</w:t>
            </w:r>
          </w:p>
          <w:p w:rsidR="003A009E" w:rsidRPr="00956FA1" w:rsidRDefault="003A009E" w:rsidP="00C34132">
            <w:pPr>
              <w:jc w:val="both"/>
              <w:rPr>
                <w:sz w:val="20"/>
              </w:rPr>
            </w:pPr>
            <w:r w:rsidRPr="00956FA1">
              <w:rPr>
                <w:sz w:val="20"/>
              </w:rPr>
              <w:t>(B.C.) (Criminal) (By Leave)</w:t>
            </w:r>
          </w:p>
        </w:tc>
      </w:tr>
      <w:tr w:rsidR="003A009E" w:rsidRPr="00956FA1" w:rsidTr="00C34132">
        <w:tc>
          <w:tcPr>
            <w:tcW w:w="5000" w:type="pct"/>
            <w:gridSpan w:val="4"/>
          </w:tcPr>
          <w:p w:rsidR="00C34132" w:rsidRPr="00956FA1" w:rsidRDefault="00C34132" w:rsidP="00C34132">
            <w:pPr>
              <w:jc w:val="both"/>
              <w:rPr>
                <w:sz w:val="20"/>
                <w:szCs w:val="20"/>
              </w:rPr>
            </w:pPr>
            <w:r w:rsidRPr="00956FA1">
              <w:rPr>
                <w:sz w:val="20"/>
                <w:szCs w:val="20"/>
              </w:rPr>
              <w:t>The application for leave to appeal from the judgment of the Court of Appeal for British Columbia (Vancouver), Number CA45741, 2021 BCCA 52, dated February 5, 2021, is dismissed.</w:t>
            </w:r>
          </w:p>
          <w:p w:rsidR="003A009E" w:rsidRPr="00956FA1" w:rsidRDefault="003A009E" w:rsidP="00C34132">
            <w:pPr>
              <w:jc w:val="both"/>
              <w:rPr>
                <w:sz w:val="20"/>
              </w:rPr>
            </w:pPr>
          </w:p>
        </w:tc>
      </w:tr>
      <w:tr w:rsidR="003A009E" w:rsidRPr="00956FA1" w:rsidTr="00C34132">
        <w:tc>
          <w:tcPr>
            <w:tcW w:w="5000" w:type="pct"/>
            <w:gridSpan w:val="4"/>
          </w:tcPr>
          <w:p w:rsidR="003A009E" w:rsidRPr="00956FA1" w:rsidRDefault="003A009E" w:rsidP="00C34132">
            <w:pPr>
              <w:jc w:val="both"/>
              <w:rPr>
                <w:sz w:val="20"/>
              </w:rPr>
            </w:pPr>
            <w:r w:rsidRPr="00956FA1">
              <w:rPr>
                <w:sz w:val="20"/>
              </w:rPr>
              <w:t xml:space="preserve">Criminal law — Evidence — Admissibility — Whether or not formal admissions made for the limited purposes of a </w:t>
            </w:r>
            <w:r w:rsidRPr="00956FA1">
              <w:rPr>
                <w:i/>
                <w:sz w:val="20"/>
              </w:rPr>
              <w:t>voir dire</w:t>
            </w:r>
            <w:r w:rsidRPr="00956FA1">
              <w:rPr>
                <w:sz w:val="20"/>
              </w:rPr>
              <w:t xml:space="preserve"> are incorporated into a trial proper by agreement of defence counsel that “all admissible evidence from the </w:t>
            </w:r>
            <w:r w:rsidRPr="00956FA1">
              <w:rPr>
                <w:i/>
                <w:sz w:val="20"/>
              </w:rPr>
              <w:t>voir dire</w:t>
            </w:r>
            <w:r w:rsidRPr="00956FA1">
              <w:rPr>
                <w:sz w:val="20"/>
              </w:rPr>
              <w:t xml:space="preserve"> shall become evidence in the trial proper” in the absence of an explicit statement that those formal admissions were also being made in the trial proper — Whether or not a statement of the accused person entered in a limited manner in a </w:t>
            </w:r>
            <w:r w:rsidRPr="00956FA1">
              <w:rPr>
                <w:i/>
                <w:sz w:val="20"/>
              </w:rPr>
              <w:t>voir dire</w:t>
            </w:r>
            <w:r w:rsidRPr="00956FA1">
              <w:rPr>
                <w:sz w:val="20"/>
              </w:rPr>
              <w:t xml:space="preserve"> is incorporated into a trial proper by agreement of defence counsel that “all admissible evidence from the </w:t>
            </w:r>
            <w:r w:rsidRPr="00956FA1">
              <w:rPr>
                <w:i/>
                <w:sz w:val="20"/>
              </w:rPr>
              <w:t>voir dire</w:t>
            </w:r>
            <w:r w:rsidRPr="00956FA1">
              <w:rPr>
                <w:sz w:val="20"/>
              </w:rPr>
              <w:t xml:space="preserve"> shall become evidence in the trial proper,” in the absence of a voluntariness </w:t>
            </w:r>
            <w:r w:rsidRPr="00956FA1">
              <w:rPr>
                <w:i/>
                <w:sz w:val="20"/>
              </w:rPr>
              <w:t>voir dire</w:t>
            </w:r>
            <w:r w:rsidRPr="00956FA1">
              <w:rPr>
                <w:sz w:val="20"/>
              </w:rPr>
              <w:t xml:space="preserve"> occurring or a clear and unequivocal waiver of the right to that </w:t>
            </w:r>
            <w:r w:rsidRPr="00956FA1">
              <w:rPr>
                <w:i/>
                <w:sz w:val="20"/>
              </w:rPr>
              <w:t>voir dire</w:t>
            </w:r>
            <w:r w:rsidRPr="00956FA1">
              <w:rPr>
                <w:sz w:val="20"/>
              </w:rPr>
              <w:t xml:space="preserve"> by the accused or their counsel.</w:t>
            </w:r>
          </w:p>
          <w:p w:rsidR="003A009E" w:rsidRPr="00956FA1" w:rsidRDefault="003A009E" w:rsidP="00C34132">
            <w:pPr>
              <w:jc w:val="both"/>
              <w:rPr>
                <w:sz w:val="20"/>
              </w:rPr>
            </w:pPr>
          </w:p>
        </w:tc>
      </w:tr>
      <w:tr w:rsidR="003A009E" w:rsidRPr="00956FA1" w:rsidTr="00C34132">
        <w:tc>
          <w:tcPr>
            <w:tcW w:w="5000" w:type="pct"/>
            <w:gridSpan w:val="4"/>
          </w:tcPr>
          <w:p w:rsidR="003A009E" w:rsidRPr="00956FA1" w:rsidRDefault="003A009E" w:rsidP="00C34132">
            <w:pPr>
              <w:jc w:val="both"/>
              <w:rPr>
                <w:sz w:val="20"/>
                <w:lang w:val="en"/>
              </w:rPr>
            </w:pPr>
            <w:r w:rsidRPr="00956FA1">
              <w:rPr>
                <w:sz w:val="20"/>
              </w:rPr>
              <w:t>T</w:t>
            </w:r>
            <w:r w:rsidRPr="00956FA1">
              <w:rPr>
                <w:sz w:val="20"/>
                <w:lang w:val="en"/>
              </w:rPr>
              <w:t>he RCMP commenced an investigation into a suspected marihuana grow operation on a seven</w:t>
            </w:r>
            <w:r w:rsidRPr="00956FA1">
              <w:rPr>
                <w:sz w:val="20"/>
                <w:lang w:val="en"/>
              </w:rPr>
              <w:noBreakHyphen/>
              <w:t xml:space="preserve">acre farm property. Investigations, however, disclosed that four individuals (including the applicant Mr. Le) held licences to produce marihuana at the property for their personal medical use under </w:t>
            </w:r>
            <w:r w:rsidRPr="00956FA1">
              <w:rPr>
                <w:sz w:val="20"/>
              </w:rPr>
              <w:t xml:space="preserve">the </w:t>
            </w:r>
            <w:r w:rsidRPr="00956FA1">
              <w:rPr>
                <w:rFonts w:eastAsiaTheme="majorEastAsia"/>
                <w:i/>
                <w:sz w:val="20"/>
              </w:rPr>
              <w:t>Marihuana Medical Access Regulations</w:t>
            </w:r>
            <w:r w:rsidRPr="00956FA1">
              <w:rPr>
                <w:rFonts w:eastAsiaTheme="majorEastAsia"/>
                <w:sz w:val="20"/>
              </w:rPr>
              <w:t>, SOR/2001</w:t>
            </w:r>
            <w:r w:rsidRPr="00956FA1">
              <w:rPr>
                <w:rFonts w:eastAsiaTheme="majorEastAsia"/>
                <w:sz w:val="20"/>
              </w:rPr>
              <w:noBreakHyphen/>
              <w:t>227</w:t>
            </w:r>
            <w:r w:rsidRPr="00956FA1">
              <w:rPr>
                <w:sz w:val="20"/>
              </w:rPr>
              <w:t>. O</w:t>
            </w:r>
            <w:r w:rsidRPr="00956FA1">
              <w:rPr>
                <w:sz w:val="20"/>
                <w:lang w:val="en"/>
              </w:rPr>
              <w:t>n executing a search warrant, the police found that the barn was being used for a grow operation that was much larger than the total number of plants that were authorized. Mr. Le was convicted on counts of producing and trafficking marihuana. His conviction appeal was dismissed by the Court of Appeal.</w:t>
            </w:r>
          </w:p>
        </w:tc>
      </w:tr>
      <w:tr w:rsidR="003A009E" w:rsidRPr="00956FA1" w:rsidTr="00C34132">
        <w:tc>
          <w:tcPr>
            <w:tcW w:w="5000" w:type="pct"/>
            <w:gridSpan w:val="4"/>
          </w:tcPr>
          <w:p w:rsidR="003A009E" w:rsidRPr="00956FA1" w:rsidRDefault="003A009E" w:rsidP="00C34132">
            <w:pPr>
              <w:jc w:val="both"/>
              <w:rPr>
                <w:sz w:val="20"/>
              </w:rPr>
            </w:pPr>
          </w:p>
        </w:tc>
      </w:tr>
      <w:tr w:rsidR="003A009E" w:rsidRPr="00956FA1" w:rsidTr="00C34132">
        <w:tc>
          <w:tcPr>
            <w:tcW w:w="2427" w:type="pct"/>
            <w:gridSpan w:val="2"/>
          </w:tcPr>
          <w:p w:rsidR="003A009E" w:rsidRPr="00956FA1" w:rsidRDefault="003A009E" w:rsidP="00C34132">
            <w:pPr>
              <w:jc w:val="both"/>
              <w:rPr>
                <w:sz w:val="20"/>
              </w:rPr>
            </w:pPr>
            <w:r w:rsidRPr="00956FA1">
              <w:rPr>
                <w:sz w:val="20"/>
              </w:rPr>
              <w:t>October 29, 2018</w:t>
            </w:r>
          </w:p>
          <w:p w:rsidR="003A009E" w:rsidRPr="00956FA1" w:rsidRDefault="003A009E" w:rsidP="00C34132">
            <w:pPr>
              <w:jc w:val="both"/>
              <w:rPr>
                <w:sz w:val="20"/>
              </w:rPr>
            </w:pPr>
            <w:r w:rsidRPr="00956FA1">
              <w:rPr>
                <w:sz w:val="20"/>
              </w:rPr>
              <w:t>Provincial Court of British Columbia</w:t>
            </w:r>
          </w:p>
          <w:p w:rsidR="003A009E" w:rsidRPr="00956FA1" w:rsidRDefault="003A009E" w:rsidP="00C34132">
            <w:pPr>
              <w:jc w:val="both"/>
              <w:rPr>
                <w:sz w:val="20"/>
              </w:rPr>
            </w:pPr>
            <w:r w:rsidRPr="00956FA1">
              <w:rPr>
                <w:sz w:val="20"/>
              </w:rPr>
              <w:t>(Sutherland P.C.J.)</w:t>
            </w:r>
          </w:p>
          <w:p w:rsidR="003A009E" w:rsidRPr="00956FA1" w:rsidRDefault="003A009E" w:rsidP="00C34132">
            <w:pPr>
              <w:jc w:val="both"/>
              <w:rPr>
                <w:sz w:val="20"/>
              </w:rPr>
            </w:pPr>
            <w:r w:rsidRPr="00956FA1">
              <w:rPr>
                <w:sz w:val="20"/>
              </w:rPr>
              <w:t>(unreported)</w:t>
            </w:r>
          </w:p>
          <w:p w:rsidR="003A009E" w:rsidRPr="00956FA1" w:rsidRDefault="003A009E" w:rsidP="00C34132">
            <w:pPr>
              <w:jc w:val="both"/>
              <w:rPr>
                <w:sz w:val="20"/>
              </w:rPr>
            </w:pP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rPr>
            </w:pPr>
            <w:r w:rsidRPr="00956FA1">
              <w:rPr>
                <w:sz w:val="20"/>
              </w:rPr>
              <w:t xml:space="preserve">Convictions entered for </w:t>
            </w:r>
            <w:r w:rsidRPr="00956FA1">
              <w:rPr>
                <w:sz w:val="20"/>
                <w:lang w:val="en"/>
              </w:rPr>
              <w:t>producing and trafficking marihuana</w:t>
            </w:r>
          </w:p>
          <w:p w:rsidR="003A009E" w:rsidRPr="00956FA1" w:rsidRDefault="003A009E" w:rsidP="00C34132">
            <w:pPr>
              <w:jc w:val="both"/>
              <w:rPr>
                <w:sz w:val="20"/>
              </w:rPr>
            </w:pPr>
          </w:p>
        </w:tc>
      </w:tr>
      <w:tr w:rsidR="003A009E" w:rsidRPr="00956FA1" w:rsidTr="00C34132">
        <w:tc>
          <w:tcPr>
            <w:tcW w:w="2427" w:type="pct"/>
            <w:gridSpan w:val="2"/>
          </w:tcPr>
          <w:p w:rsidR="003A009E" w:rsidRPr="00956FA1" w:rsidRDefault="003A009E" w:rsidP="00C34132">
            <w:pPr>
              <w:jc w:val="both"/>
              <w:rPr>
                <w:sz w:val="20"/>
              </w:rPr>
            </w:pPr>
            <w:r w:rsidRPr="00956FA1">
              <w:rPr>
                <w:sz w:val="20"/>
              </w:rPr>
              <w:t>February 5, 2021</w:t>
            </w:r>
          </w:p>
          <w:p w:rsidR="003A009E" w:rsidRPr="00956FA1" w:rsidRDefault="003A009E" w:rsidP="00C34132">
            <w:pPr>
              <w:jc w:val="both"/>
              <w:rPr>
                <w:sz w:val="20"/>
              </w:rPr>
            </w:pPr>
            <w:r w:rsidRPr="00956FA1">
              <w:rPr>
                <w:sz w:val="20"/>
              </w:rPr>
              <w:t xml:space="preserve">Court of Appeal for British Columbia </w:t>
            </w:r>
          </w:p>
          <w:p w:rsidR="003A009E" w:rsidRPr="00956FA1" w:rsidRDefault="003A009E" w:rsidP="00C34132">
            <w:pPr>
              <w:jc w:val="both"/>
              <w:rPr>
                <w:sz w:val="20"/>
              </w:rPr>
            </w:pPr>
            <w:r w:rsidRPr="00956FA1">
              <w:rPr>
                <w:sz w:val="20"/>
              </w:rPr>
              <w:t>(Vancouver)</w:t>
            </w:r>
          </w:p>
          <w:p w:rsidR="003A009E" w:rsidRPr="00956FA1" w:rsidRDefault="003A009E" w:rsidP="00C34132">
            <w:pPr>
              <w:jc w:val="both"/>
              <w:rPr>
                <w:sz w:val="20"/>
              </w:rPr>
            </w:pPr>
            <w:r w:rsidRPr="00956FA1">
              <w:rPr>
                <w:sz w:val="20"/>
              </w:rPr>
              <w:t>(Bauman, Groberman, Fitch JJ.A.)</w:t>
            </w:r>
          </w:p>
          <w:p w:rsidR="003A009E" w:rsidRPr="00956FA1" w:rsidRDefault="00956FA1" w:rsidP="00C34132">
            <w:pPr>
              <w:jc w:val="both"/>
              <w:rPr>
                <w:sz w:val="20"/>
              </w:rPr>
            </w:pPr>
            <w:hyperlink r:id="rId27" w:history="1">
              <w:r w:rsidR="003A009E" w:rsidRPr="00956FA1">
                <w:rPr>
                  <w:rStyle w:val="Hyperlink"/>
                  <w:sz w:val="20"/>
                </w:rPr>
                <w:t>2021 BCCA 52</w:t>
              </w:r>
            </w:hyperlink>
            <w:r w:rsidR="003A009E" w:rsidRPr="00956FA1">
              <w:rPr>
                <w:sz w:val="20"/>
              </w:rPr>
              <w:t>; CA45741</w:t>
            </w:r>
          </w:p>
          <w:p w:rsidR="003A009E" w:rsidRPr="00956FA1" w:rsidRDefault="003A009E" w:rsidP="00C34132">
            <w:pPr>
              <w:jc w:val="both"/>
              <w:rPr>
                <w:sz w:val="20"/>
              </w:rPr>
            </w:pP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rPr>
            </w:pPr>
            <w:r w:rsidRPr="00956FA1">
              <w:rPr>
                <w:sz w:val="20"/>
              </w:rPr>
              <w:t>Appeal dismissed</w:t>
            </w:r>
          </w:p>
          <w:p w:rsidR="003A009E" w:rsidRPr="00956FA1" w:rsidRDefault="003A009E" w:rsidP="00C34132">
            <w:pPr>
              <w:jc w:val="both"/>
              <w:rPr>
                <w:sz w:val="20"/>
              </w:rPr>
            </w:pPr>
          </w:p>
        </w:tc>
      </w:tr>
      <w:tr w:rsidR="003A009E" w:rsidRPr="00956FA1" w:rsidTr="00C34132">
        <w:tc>
          <w:tcPr>
            <w:tcW w:w="2427" w:type="pct"/>
            <w:gridSpan w:val="2"/>
          </w:tcPr>
          <w:p w:rsidR="003A009E" w:rsidRPr="00956FA1" w:rsidRDefault="003A009E" w:rsidP="00C34132">
            <w:pPr>
              <w:jc w:val="both"/>
              <w:rPr>
                <w:sz w:val="20"/>
              </w:rPr>
            </w:pPr>
            <w:r w:rsidRPr="00956FA1">
              <w:rPr>
                <w:sz w:val="20"/>
              </w:rPr>
              <w:t>March 16, 2021</w:t>
            </w:r>
          </w:p>
          <w:p w:rsidR="003A009E" w:rsidRPr="00956FA1" w:rsidRDefault="003A009E" w:rsidP="00C34132">
            <w:pPr>
              <w:jc w:val="both"/>
              <w:rPr>
                <w:sz w:val="20"/>
              </w:rPr>
            </w:pPr>
            <w:r w:rsidRPr="00956FA1">
              <w:rPr>
                <w:sz w:val="20"/>
              </w:rPr>
              <w:t>Supreme Court of Canada</w:t>
            </w: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rPr>
            </w:pPr>
            <w:r w:rsidRPr="00956FA1">
              <w:rPr>
                <w:sz w:val="20"/>
              </w:rPr>
              <w:t>Application for leave to appeal filed</w:t>
            </w:r>
          </w:p>
          <w:p w:rsidR="003A009E" w:rsidRPr="00956FA1" w:rsidRDefault="003A009E" w:rsidP="00C34132">
            <w:pPr>
              <w:jc w:val="both"/>
              <w:rPr>
                <w:sz w:val="20"/>
              </w:rPr>
            </w:pPr>
          </w:p>
        </w:tc>
      </w:tr>
    </w:tbl>
    <w:p w:rsidR="003A009E" w:rsidRPr="00956FA1" w:rsidRDefault="003A009E" w:rsidP="003A009E">
      <w:pPr>
        <w:jc w:val="both"/>
        <w:rPr>
          <w:sz w:val="20"/>
        </w:rPr>
      </w:pPr>
    </w:p>
    <w:p w:rsidR="003A009E" w:rsidRPr="00956FA1" w:rsidRDefault="00956FA1" w:rsidP="003A009E">
      <w:pPr>
        <w:jc w:val="both"/>
        <w:rPr>
          <w:sz w:val="20"/>
        </w:rPr>
      </w:pPr>
      <w:r w:rsidRPr="00956FA1">
        <w:rPr>
          <w:sz w:val="20"/>
        </w:rPr>
        <w:pict>
          <v:rect id="_x0000_i1036" style="width:2in;height:1pt" o:hrpct="0" o:hralign="center" o:hrstd="t" o:hrnoshade="t" o:hr="t" fillcolor="black [3213]" stroked="f"/>
        </w:pict>
      </w:r>
    </w:p>
    <w:p w:rsidR="003A009E" w:rsidRPr="00956FA1" w:rsidRDefault="003A009E" w:rsidP="003A009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A009E" w:rsidRPr="00956FA1" w:rsidTr="00C34132">
        <w:tc>
          <w:tcPr>
            <w:tcW w:w="543" w:type="pct"/>
          </w:tcPr>
          <w:p w:rsidR="003A009E" w:rsidRPr="00956FA1" w:rsidRDefault="003A009E" w:rsidP="00C34132">
            <w:pPr>
              <w:jc w:val="both"/>
              <w:rPr>
                <w:sz w:val="20"/>
                <w:lang w:val="fr-CA"/>
              </w:rPr>
            </w:pPr>
            <w:r w:rsidRPr="00956FA1">
              <w:rPr>
                <w:rStyle w:val="SCCFileNumberChar"/>
                <w:sz w:val="20"/>
                <w:szCs w:val="20"/>
                <w:lang w:val="fr-CA"/>
              </w:rPr>
              <w:t>39605</w:t>
            </w:r>
          </w:p>
        </w:tc>
        <w:tc>
          <w:tcPr>
            <w:tcW w:w="4457" w:type="pct"/>
            <w:gridSpan w:val="3"/>
          </w:tcPr>
          <w:p w:rsidR="003A009E" w:rsidRPr="00956FA1" w:rsidRDefault="003A009E" w:rsidP="00C34132">
            <w:pPr>
              <w:pStyle w:val="SCCLsocParty"/>
              <w:jc w:val="both"/>
              <w:rPr>
                <w:b/>
                <w:sz w:val="20"/>
                <w:szCs w:val="20"/>
              </w:rPr>
            </w:pPr>
            <w:r w:rsidRPr="00956FA1">
              <w:rPr>
                <w:b/>
                <w:sz w:val="20"/>
                <w:szCs w:val="20"/>
              </w:rPr>
              <w:t>Viet Khanh Le c. Sa Majesté la Reine</w:t>
            </w:r>
          </w:p>
          <w:p w:rsidR="003A009E" w:rsidRPr="00956FA1" w:rsidRDefault="003A009E" w:rsidP="00C34132">
            <w:pPr>
              <w:jc w:val="both"/>
              <w:rPr>
                <w:sz w:val="20"/>
                <w:lang w:val="fr-CA"/>
              </w:rPr>
            </w:pPr>
            <w:r w:rsidRPr="00956FA1">
              <w:rPr>
                <w:sz w:val="20"/>
                <w:lang w:val="fr-CA"/>
              </w:rPr>
              <w:t>(C.-B.) (Criminelle) (Autorisation)</w:t>
            </w:r>
          </w:p>
        </w:tc>
      </w:tr>
      <w:tr w:rsidR="003A009E" w:rsidRPr="00956FA1" w:rsidTr="00C34132">
        <w:tc>
          <w:tcPr>
            <w:tcW w:w="5000" w:type="pct"/>
            <w:gridSpan w:val="4"/>
          </w:tcPr>
          <w:p w:rsidR="003A009E" w:rsidRPr="00956FA1" w:rsidRDefault="00C34132" w:rsidP="00C34132">
            <w:pPr>
              <w:jc w:val="both"/>
              <w:rPr>
                <w:sz w:val="20"/>
                <w:szCs w:val="20"/>
                <w:lang w:val="fr-CA"/>
              </w:rPr>
            </w:pPr>
            <w:r w:rsidRPr="00956FA1">
              <w:rPr>
                <w:sz w:val="20"/>
                <w:szCs w:val="20"/>
                <w:lang w:val="fr-CA"/>
              </w:rPr>
              <w:t>La demande d’autorisation d’appel de l’arrêt de la Cour d’appel de la Colombie-Britannique (Vancouver), numéro CA45741, 2021 BCCA 52, daté du 5 février 2021, est rejetée.</w:t>
            </w:r>
          </w:p>
          <w:p w:rsidR="00C34132" w:rsidRPr="00956FA1" w:rsidRDefault="00C34132" w:rsidP="00C34132">
            <w:pPr>
              <w:jc w:val="both"/>
              <w:rPr>
                <w:sz w:val="20"/>
                <w:lang w:val="fr-CA"/>
              </w:rPr>
            </w:pPr>
          </w:p>
        </w:tc>
      </w:tr>
      <w:tr w:rsidR="003A009E" w:rsidRPr="00956FA1" w:rsidTr="00C34132">
        <w:tc>
          <w:tcPr>
            <w:tcW w:w="5000" w:type="pct"/>
            <w:gridSpan w:val="4"/>
          </w:tcPr>
          <w:p w:rsidR="003A009E" w:rsidRPr="00956FA1" w:rsidRDefault="003A009E" w:rsidP="00C34132">
            <w:pPr>
              <w:jc w:val="both"/>
              <w:rPr>
                <w:sz w:val="20"/>
                <w:lang w:val="fr-CA"/>
              </w:rPr>
            </w:pPr>
            <w:r w:rsidRPr="00956FA1">
              <w:rPr>
                <w:sz w:val="20"/>
                <w:lang w:val="fr-CA"/>
              </w:rPr>
              <w:t>Droit criminel — Preuve — Admissibilité — Les aveux exprès faits aux fins limitées d’un voir-dire sont</w:t>
            </w:r>
            <w:r w:rsidRPr="00956FA1">
              <w:rPr>
                <w:sz w:val="20"/>
                <w:lang w:val="fr-CA"/>
              </w:rPr>
              <w:noBreakHyphen/>
              <w:t>ils incorporés ou non dans le procès proprement dit par entente de l’avocat de la défense selon laquelle [</w:t>
            </w:r>
            <w:r w:rsidRPr="00956FA1">
              <w:rPr>
                <w:smallCaps/>
                <w:sz w:val="20"/>
                <w:lang w:val="fr-CA"/>
              </w:rPr>
              <w:t>traduction</w:t>
            </w:r>
            <w:r w:rsidRPr="00956FA1">
              <w:rPr>
                <w:sz w:val="20"/>
                <w:lang w:val="fr-CA"/>
              </w:rPr>
              <w:t>] « tous les éléments de preuve admissibles du voir</w:t>
            </w:r>
            <w:r w:rsidRPr="00956FA1">
              <w:rPr>
                <w:sz w:val="20"/>
                <w:lang w:val="fr-CA"/>
              </w:rPr>
              <w:noBreakHyphen/>
              <w:t>dire deviendront des éléments de preuve dans le procès proprement dit » en l’absence de déclaration explicite selon laquelle ces aveux exprès ont également été faits dans le procès proprement dit? — Une déclaration de la personne accusée consignée de façon limitée dans un voir</w:t>
            </w:r>
            <w:r w:rsidRPr="00956FA1">
              <w:rPr>
                <w:sz w:val="20"/>
                <w:lang w:val="fr-CA"/>
              </w:rPr>
              <w:noBreakHyphen/>
              <w:t>dire est</w:t>
            </w:r>
            <w:r w:rsidRPr="00956FA1">
              <w:rPr>
                <w:sz w:val="20"/>
                <w:lang w:val="fr-CA"/>
              </w:rPr>
              <w:noBreakHyphen/>
              <w:t>elle incorporée ou non dans le procès proprement dit par entente de l’avocat de la défense selon laquelle [</w:t>
            </w:r>
            <w:r w:rsidRPr="00956FA1">
              <w:rPr>
                <w:smallCaps/>
                <w:sz w:val="20"/>
                <w:lang w:val="fr-CA"/>
              </w:rPr>
              <w:t>traduction</w:t>
            </w:r>
            <w:r w:rsidRPr="00956FA1">
              <w:rPr>
                <w:sz w:val="20"/>
                <w:lang w:val="fr-CA"/>
              </w:rPr>
              <w:t>] « tous les éléments de preuve admissibles du voir</w:t>
            </w:r>
            <w:r w:rsidRPr="00956FA1">
              <w:rPr>
                <w:sz w:val="20"/>
                <w:lang w:val="fr-CA"/>
              </w:rPr>
              <w:noBreakHyphen/>
              <w:t>dire deviendront des éléments de preuve dans le procès proprement dit » en l’absence de voir</w:t>
            </w:r>
            <w:r w:rsidRPr="00956FA1">
              <w:rPr>
                <w:sz w:val="20"/>
                <w:lang w:val="fr-CA"/>
              </w:rPr>
              <w:noBreakHyphen/>
              <w:t>dire sur le caractère volontaire de la déclaration ou de renonciation claire et non équivoque au droit à ce voir</w:t>
            </w:r>
            <w:r w:rsidRPr="00956FA1">
              <w:rPr>
                <w:sz w:val="20"/>
                <w:lang w:val="fr-CA"/>
              </w:rPr>
              <w:noBreakHyphen/>
              <w:t>dire par l’accusé ou son avocat?</w:t>
            </w:r>
          </w:p>
          <w:p w:rsidR="003A009E" w:rsidRPr="00956FA1" w:rsidRDefault="003A009E" w:rsidP="00C34132">
            <w:pPr>
              <w:jc w:val="both"/>
              <w:rPr>
                <w:sz w:val="20"/>
                <w:lang w:val="fr-CA"/>
              </w:rPr>
            </w:pPr>
          </w:p>
        </w:tc>
      </w:tr>
      <w:tr w:rsidR="003A009E" w:rsidRPr="00956FA1" w:rsidTr="00C34132">
        <w:tc>
          <w:tcPr>
            <w:tcW w:w="5000" w:type="pct"/>
            <w:gridSpan w:val="4"/>
          </w:tcPr>
          <w:p w:rsidR="003A009E" w:rsidRPr="00956FA1" w:rsidRDefault="003A009E" w:rsidP="00C34132">
            <w:pPr>
              <w:jc w:val="both"/>
              <w:rPr>
                <w:sz w:val="20"/>
                <w:lang w:val="fr-CA"/>
              </w:rPr>
            </w:pPr>
            <w:r w:rsidRPr="00956FA1">
              <w:rPr>
                <w:sz w:val="20"/>
                <w:lang w:val="fr-CA"/>
              </w:rPr>
              <w:t xml:space="preserve">La GRC a commencé une enquête portant sur une exploitation présumée de culture de marihuana sur une ferme de sept acres. Cependant, des enquêtes ont révélé que quatre personnes (y compris le demandeur, M. Le) étaient titulaires de licences de production de marihuana à la ferme pour leur usage médical personnel sous le régime du </w:t>
            </w:r>
            <w:r w:rsidRPr="00956FA1">
              <w:rPr>
                <w:i/>
                <w:sz w:val="20"/>
                <w:lang w:val="fr-CA"/>
              </w:rPr>
              <w:t>Règlement sur l’accès à la marihuana à des fins médicales</w:t>
            </w:r>
            <w:r w:rsidRPr="00956FA1">
              <w:rPr>
                <w:rFonts w:eastAsiaTheme="majorEastAsia"/>
                <w:sz w:val="20"/>
                <w:lang w:val="fr-CA"/>
              </w:rPr>
              <w:t>, DORS/2001</w:t>
            </w:r>
            <w:r w:rsidRPr="00956FA1">
              <w:rPr>
                <w:rFonts w:eastAsiaTheme="majorEastAsia"/>
                <w:sz w:val="20"/>
                <w:lang w:val="fr-CA"/>
              </w:rPr>
              <w:noBreakHyphen/>
              <w:t>227</w:t>
            </w:r>
            <w:r w:rsidRPr="00956FA1">
              <w:rPr>
                <w:sz w:val="20"/>
                <w:lang w:val="fr-CA"/>
              </w:rPr>
              <w:t>. Lors de l’exécution du mandat de perquisition, les policiers ont constaté que la grange était utilisée pour une exploitation de culture qui était beaucoup plus grande que le nombre total autorisé de plants. Monsieur </w:t>
            </w:r>
            <w:proofErr w:type="gramStart"/>
            <w:r w:rsidRPr="00956FA1">
              <w:rPr>
                <w:sz w:val="20"/>
                <w:lang w:val="fr-CA"/>
              </w:rPr>
              <w:t>Le a</w:t>
            </w:r>
            <w:proofErr w:type="gramEnd"/>
            <w:r w:rsidRPr="00956FA1">
              <w:rPr>
                <w:sz w:val="20"/>
                <w:lang w:val="fr-CA"/>
              </w:rPr>
              <w:t xml:space="preserve"> été déclaré coupable de chefs d’accusation de production et de trafic de marihuana. La Cour d’appel a rejeté son appel de la déclaration de culpabilité.</w:t>
            </w:r>
          </w:p>
        </w:tc>
      </w:tr>
      <w:tr w:rsidR="003A009E" w:rsidRPr="00956FA1" w:rsidTr="00C34132">
        <w:tc>
          <w:tcPr>
            <w:tcW w:w="5000" w:type="pct"/>
            <w:gridSpan w:val="4"/>
          </w:tcPr>
          <w:p w:rsidR="003A009E" w:rsidRPr="00956FA1" w:rsidRDefault="003A009E" w:rsidP="00C34132">
            <w:pPr>
              <w:jc w:val="both"/>
              <w:rPr>
                <w:sz w:val="20"/>
                <w:lang w:val="fr-CA"/>
              </w:rPr>
            </w:pPr>
          </w:p>
        </w:tc>
      </w:tr>
      <w:tr w:rsidR="003A009E" w:rsidRPr="00956FA1" w:rsidTr="00C34132">
        <w:tc>
          <w:tcPr>
            <w:tcW w:w="2427" w:type="pct"/>
            <w:gridSpan w:val="2"/>
          </w:tcPr>
          <w:p w:rsidR="003A009E" w:rsidRPr="00956FA1" w:rsidRDefault="003A009E" w:rsidP="00C34132">
            <w:pPr>
              <w:jc w:val="both"/>
              <w:rPr>
                <w:sz w:val="20"/>
                <w:lang w:val="fr-CA"/>
              </w:rPr>
            </w:pPr>
            <w:r w:rsidRPr="00956FA1">
              <w:rPr>
                <w:sz w:val="20"/>
                <w:lang w:val="fr-CA"/>
              </w:rPr>
              <w:t>29 octobre 2018</w:t>
            </w:r>
          </w:p>
          <w:p w:rsidR="003A009E" w:rsidRPr="00956FA1" w:rsidRDefault="003A009E" w:rsidP="00C34132">
            <w:pPr>
              <w:jc w:val="both"/>
              <w:rPr>
                <w:sz w:val="20"/>
                <w:lang w:val="fr-CA"/>
              </w:rPr>
            </w:pPr>
            <w:r w:rsidRPr="00956FA1">
              <w:rPr>
                <w:sz w:val="20"/>
                <w:lang w:val="fr-CA"/>
              </w:rPr>
              <w:t>Cour provinciale de la Colombie</w:t>
            </w:r>
            <w:r w:rsidRPr="00956FA1">
              <w:rPr>
                <w:sz w:val="20"/>
                <w:lang w:val="fr-CA"/>
              </w:rPr>
              <w:noBreakHyphen/>
              <w:t>Britannique</w:t>
            </w:r>
          </w:p>
          <w:p w:rsidR="003A009E" w:rsidRPr="00956FA1" w:rsidRDefault="003A009E" w:rsidP="00C34132">
            <w:pPr>
              <w:jc w:val="both"/>
              <w:rPr>
                <w:sz w:val="20"/>
                <w:lang w:val="fr-CA"/>
              </w:rPr>
            </w:pPr>
            <w:r w:rsidRPr="00956FA1">
              <w:rPr>
                <w:sz w:val="20"/>
                <w:lang w:val="fr-CA"/>
              </w:rPr>
              <w:t>(Juge Sutherland)</w:t>
            </w:r>
          </w:p>
          <w:p w:rsidR="003A009E" w:rsidRPr="00956FA1" w:rsidRDefault="003A009E" w:rsidP="00C34132">
            <w:pPr>
              <w:jc w:val="both"/>
              <w:rPr>
                <w:sz w:val="20"/>
                <w:lang w:val="fr-CA"/>
              </w:rPr>
            </w:pPr>
            <w:r w:rsidRPr="00956FA1">
              <w:rPr>
                <w:sz w:val="20"/>
                <w:lang w:val="fr-CA"/>
              </w:rPr>
              <w:t>(non publié)</w:t>
            </w:r>
          </w:p>
          <w:p w:rsidR="003A009E" w:rsidRPr="00956FA1" w:rsidRDefault="003A009E" w:rsidP="00C34132">
            <w:pPr>
              <w:jc w:val="both"/>
              <w:rPr>
                <w:sz w:val="20"/>
                <w:lang w:val="fr-CA"/>
              </w:rPr>
            </w:pPr>
          </w:p>
        </w:tc>
        <w:tc>
          <w:tcPr>
            <w:tcW w:w="243" w:type="pct"/>
          </w:tcPr>
          <w:p w:rsidR="003A009E" w:rsidRPr="00956FA1" w:rsidRDefault="003A009E" w:rsidP="00C34132">
            <w:pPr>
              <w:jc w:val="both"/>
              <w:rPr>
                <w:sz w:val="20"/>
                <w:lang w:val="fr-CA"/>
              </w:rPr>
            </w:pPr>
          </w:p>
        </w:tc>
        <w:tc>
          <w:tcPr>
            <w:tcW w:w="2330" w:type="pct"/>
          </w:tcPr>
          <w:p w:rsidR="003A009E" w:rsidRPr="00956FA1" w:rsidRDefault="003A009E" w:rsidP="00C34132">
            <w:pPr>
              <w:jc w:val="both"/>
              <w:rPr>
                <w:sz w:val="20"/>
                <w:lang w:val="fr-CA"/>
              </w:rPr>
            </w:pPr>
            <w:r w:rsidRPr="00956FA1">
              <w:rPr>
                <w:sz w:val="20"/>
                <w:lang w:val="fr-CA"/>
              </w:rPr>
              <w:t>Déclarations de culpabilité pour production et trafic de marihuana</w:t>
            </w:r>
          </w:p>
          <w:p w:rsidR="003A009E" w:rsidRPr="00956FA1" w:rsidRDefault="003A009E" w:rsidP="00C34132">
            <w:pPr>
              <w:jc w:val="both"/>
              <w:rPr>
                <w:sz w:val="20"/>
                <w:lang w:val="fr-CA"/>
              </w:rPr>
            </w:pPr>
          </w:p>
        </w:tc>
      </w:tr>
      <w:tr w:rsidR="003A009E" w:rsidRPr="00956FA1" w:rsidTr="00C34132">
        <w:tc>
          <w:tcPr>
            <w:tcW w:w="2427" w:type="pct"/>
            <w:gridSpan w:val="2"/>
          </w:tcPr>
          <w:p w:rsidR="003A009E" w:rsidRPr="00956FA1" w:rsidRDefault="003A009E" w:rsidP="00C34132">
            <w:pPr>
              <w:jc w:val="both"/>
              <w:rPr>
                <w:sz w:val="20"/>
                <w:lang w:val="fr-CA"/>
              </w:rPr>
            </w:pPr>
            <w:r w:rsidRPr="00956FA1">
              <w:rPr>
                <w:sz w:val="20"/>
                <w:lang w:val="fr-CA"/>
              </w:rPr>
              <w:t>5 février 2021</w:t>
            </w:r>
          </w:p>
          <w:p w:rsidR="003A009E" w:rsidRPr="00956FA1" w:rsidRDefault="003A009E" w:rsidP="00C34132">
            <w:pPr>
              <w:jc w:val="both"/>
              <w:rPr>
                <w:sz w:val="20"/>
                <w:lang w:val="fr-CA"/>
              </w:rPr>
            </w:pPr>
            <w:r w:rsidRPr="00956FA1">
              <w:rPr>
                <w:sz w:val="20"/>
                <w:lang w:val="fr-CA"/>
              </w:rPr>
              <w:t>Cour d’appel de la Colombie</w:t>
            </w:r>
            <w:r w:rsidRPr="00956FA1">
              <w:rPr>
                <w:sz w:val="20"/>
                <w:lang w:val="fr-CA"/>
              </w:rPr>
              <w:noBreakHyphen/>
              <w:t xml:space="preserve">Britannique </w:t>
            </w:r>
          </w:p>
          <w:p w:rsidR="003A009E" w:rsidRPr="00956FA1" w:rsidRDefault="003A009E" w:rsidP="00C34132">
            <w:pPr>
              <w:jc w:val="both"/>
              <w:rPr>
                <w:sz w:val="20"/>
                <w:lang w:val="fr-CA"/>
              </w:rPr>
            </w:pPr>
            <w:r w:rsidRPr="00956FA1">
              <w:rPr>
                <w:sz w:val="20"/>
                <w:lang w:val="fr-CA"/>
              </w:rPr>
              <w:t>(Vancouver)</w:t>
            </w:r>
          </w:p>
          <w:p w:rsidR="003A009E" w:rsidRPr="00956FA1" w:rsidRDefault="003A009E" w:rsidP="00C34132">
            <w:pPr>
              <w:jc w:val="both"/>
              <w:rPr>
                <w:sz w:val="20"/>
                <w:lang w:val="fr-CA"/>
              </w:rPr>
            </w:pPr>
            <w:r w:rsidRPr="00956FA1">
              <w:rPr>
                <w:sz w:val="20"/>
                <w:lang w:val="fr-CA"/>
              </w:rPr>
              <w:t>(Juges Bauman, Groberman et Fitch)</w:t>
            </w:r>
          </w:p>
          <w:p w:rsidR="003A009E" w:rsidRPr="00956FA1" w:rsidRDefault="00956FA1" w:rsidP="00C34132">
            <w:pPr>
              <w:jc w:val="both"/>
              <w:rPr>
                <w:sz w:val="20"/>
                <w:lang w:val="fr-CA"/>
              </w:rPr>
            </w:pPr>
            <w:hyperlink r:id="rId28" w:history="1">
              <w:r w:rsidR="003A009E" w:rsidRPr="00956FA1">
                <w:rPr>
                  <w:rStyle w:val="Hyperlink"/>
                  <w:sz w:val="20"/>
                  <w:lang w:val="fr-CA"/>
                </w:rPr>
                <w:t>2021 BCCA 52</w:t>
              </w:r>
            </w:hyperlink>
            <w:r w:rsidR="003A009E" w:rsidRPr="00956FA1">
              <w:rPr>
                <w:sz w:val="20"/>
                <w:lang w:val="fr-CA"/>
              </w:rPr>
              <w:t>; CA45741</w:t>
            </w:r>
          </w:p>
          <w:p w:rsidR="003A009E" w:rsidRPr="00956FA1" w:rsidRDefault="003A009E" w:rsidP="00C34132">
            <w:pPr>
              <w:jc w:val="both"/>
              <w:rPr>
                <w:sz w:val="20"/>
                <w:lang w:val="fr-CA"/>
              </w:rPr>
            </w:pPr>
          </w:p>
        </w:tc>
        <w:tc>
          <w:tcPr>
            <w:tcW w:w="243" w:type="pct"/>
          </w:tcPr>
          <w:p w:rsidR="003A009E" w:rsidRPr="00956FA1" w:rsidRDefault="003A009E" w:rsidP="00C34132">
            <w:pPr>
              <w:jc w:val="both"/>
              <w:rPr>
                <w:sz w:val="20"/>
                <w:lang w:val="fr-CA"/>
              </w:rPr>
            </w:pPr>
          </w:p>
        </w:tc>
        <w:tc>
          <w:tcPr>
            <w:tcW w:w="2330" w:type="pct"/>
          </w:tcPr>
          <w:p w:rsidR="003A009E" w:rsidRPr="00956FA1" w:rsidRDefault="003A009E" w:rsidP="00C34132">
            <w:pPr>
              <w:jc w:val="both"/>
              <w:rPr>
                <w:sz w:val="20"/>
                <w:lang w:val="fr-CA"/>
              </w:rPr>
            </w:pPr>
            <w:r w:rsidRPr="00956FA1">
              <w:rPr>
                <w:sz w:val="20"/>
                <w:lang w:val="fr-CA"/>
              </w:rPr>
              <w:t>Rejet de l’appel</w:t>
            </w:r>
          </w:p>
          <w:p w:rsidR="003A009E" w:rsidRPr="00956FA1" w:rsidRDefault="003A009E" w:rsidP="00C34132">
            <w:pPr>
              <w:jc w:val="both"/>
              <w:rPr>
                <w:sz w:val="20"/>
                <w:lang w:val="fr-CA"/>
              </w:rPr>
            </w:pPr>
          </w:p>
        </w:tc>
      </w:tr>
    </w:tbl>
    <w:p w:rsidR="00662169" w:rsidRPr="00956FA1" w:rsidRDefault="00662169">
      <w:r w:rsidRPr="00956FA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A009E" w:rsidRPr="00956FA1" w:rsidTr="00C34132">
        <w:tc>
          <w:tcPr>
            <w:tcW w:w="2427" w:type="pct"/>
          </w:tcPr>
          <w:p w:rsidR="003A009E" w:rsidRPr="00956FA1" w:rsidRDefault="003A009E" w:rsidP="00C34132">
            <w:pPr>
              <w:jc w:val="both"/>
              <w:rPr>
                <w:sz w:val="20"/>
                <w:lang w:val="fr-CA"/>
              </w:rPr>
            </w:pPr>
            <w:r w:rsidRPr="00956FA1">
              <w:rPr>
                <w:sz w:val="20"/>
                <w:lang w:val="fr-CA"/>
              </w:rPr>
              <w:t>16 mars 2021</w:t>
            </w:r>
          </w:p>
          <w:p w:rsidR="003A009E" w:rsidRPr="00956FA1" w:rsidRDefault="003A009E" w:rsidP="00C34132">
            <w:pPr>
              <w:jc w:val="both"/>
              <w:rPr>
                <w:sz w:val="20"/>
                <w:lang w:val="fr-CA"/>
              </w:rPr>
            </w:pPr>
            <w:r w:rsidRPr="00956FA1">
              <w:rPr>
                <w:sz w:val="20"/>
                <w:lang w:val="fr-CA"/>
              </w:rPr>
              <w:t>Cour suprême du Canada</w:t>
            </w:r>
          </w:p>
        </w:tc>
        <w:tc>
          <w:tcPr>
            <w:tcW w:w="243" w:type="pct"/>
          </w:tcPr>
          <w:p w:rsidR="003A009E" w:rsidRPr="00956FA1" w:rsidRDefault="003A009E" w:rsidP="00C34132">
            <w:pPr>
              <w:jc w:val="both"/>
              <w:rPr>
                <w:sz w:val="20"/>
                <w:lang w:val="fr-CA"/>
              </w:rPr>
            </w:pPr>
          </w:p>
        </w:tc>
        <w:tc>
          <w:tcPr>
            <w:tcW w:w="2330" w:type="pct"/>
          </w:tcPr>
          <w:p w:rsidR="003A009E" w:rsidRPr="00956FA1" w:rsidRDefault="003A009E" w:rsidP="00C34132">
            <w:pPr>
              <w:jc w:val="both"/>
              <w:rPr>
                <w:sz w:val="20"/>
                <w:lang w:val="fr-CA"/>
              </w:rPr>
            </w:pPr>
            <w:r w:rsidRPr="00956FA1">
              <w:rPr>
                <w:sz w:val="20"/>
                <w:lang w:val="fr-CA"/>
              </w:rPr>
              <w:t>Dépôt de la demande d’autorisation d’appel</w:t>
            </w:r>
          </w:p>
          <w:p w:rsidR="003A009E" w:rsidRPr="00956FA1" w:rsidRDefault="003A009E" w:rsidP="00C34132">
            <w:pPr>
              <w:jc w:val="both"/>
              <w:rPr>
                <w:sz w:val="20"/>
                <w:lang w:val="fr-CA"/>
              </w:rPr>
            </w:pPr>
          </w:p>
        </w:tc>
      </w:tr>
    </w:tbl>
    <w:p w:rsidR="003A009E" w:rsidRPr="00956FA1" w:rsidRDefault="003A009E" w:rsidP="003A009E">
      <w:pPr>
        <w:jc w:val="both"/>
        <w:rPr>
          <w:sz w:val="20"/>
          <w:lang w:val="fr-CA"/>
        </w:rPr>
      </w:pPr>
    </w:p>
    <w:p w:rsidR="003A009E" w:rsidRPr="00956FA1" w:rsidRDefault="00956FA1" w:rsidP="003A009E">
      <w:pPr>
        <w:widowControl w:val="0"/>
        <w:jc w:val="both"/>
        <w:rPr>
          <w:sz w:val="20"/>
          <w:lang w:val="fr-CA"/>
        </w:rPr>
      </w:pPr>
      <w:r w:rsidRPr="00956FA1">
        <w:rPr>
          <w:sz w:val="20"/>
        </w:rPr>
        <w:pict>
          <v:rect id="_x0000_i1037" style="width:2in;height:1pt" o:hrpct="0" o:hralign="center" o:hrstd="t" o:hrnoshade="t" o:hr="t" fillcolor="black [3213]" stroked="f"/>
        </w:pict>
      </w:r>
    </w:p>
    <w:p w:rsidR="003A009E" w:rsidRPr="00956FA1" w:rsidRDefault="003A009E" w:rsidP="003A009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A009E" w:rsidRPr="00956FA1" w:rsidTr="00C34132">
        <w:tc>
          <w:tcPr>
            <w:tcW w:w="543" w:type="pct"/>
          </w:tcPr>
          <w:p w:rsidR="003A009E" w:rsidRPr="00956FA1" w:rsidRDefault="003A009E" w:rsidP="00C34132">
            <w:pPr>
              <w:jc w:val="both"/>
              <w:rPr>
                <w:sz w:val="20"/>
              </w:rPr>
            </w:pPr>
            <w:r w:rsidRPr="00956FA1">
              <w:rPr>
                <w:rStyle w:val="SCCFileNumberChar"/>
                <w:sz w:val="20"/>
                <w:szCs w:val="20"/>
              </w:rPr>
              <w:t>39595</w:t>
            </w:r>
          </w:p>
        </w:tc>
        <w:tc>
          <w:tcPr>
            <w:tcW w:w="4457" w:type="pct"/>
            <w:gridSpan w:val="3"/>
          </w:tcPr>
          <w:p w:rsidR="003A009E" w:rsidRPr="00956FA1" w:rsidRDefault="003A009E" w:rsidP="00C34132">
            <w:pPr>
              <w:pStyle w:val="SCCLsocParty"/>
              <w:jc w:val="both"/>
              <w:rPr>
                <w:b/>
                <w:sz w:val="20"/>
                <w:szCs w:val="20"/>
                <w:lang w:val="en-US"/>
              </w:rPr>
            </w:pPr>
            <w:r w:rsidRPr="00956FA1">
              <w:rPr>
                <w:b/>
                <w:sz w:val="20"/>
                <w:szCs w:val="20"/>
                <w:lang w:val="en-US"/>
              </w:rPr>
              <w:t>Robert John Wenkoff v. Ian Wagner, Administrator Pendente Lite of the Estate of the late Robert Rusin Wenkoff</w:t>
            </w:r>
          </w:p>
          <w:p w:rsidR="003A009E" w:rsidRPr="00956FA1" w:rsidRDefault="003A009E" w:rsidP="00C34132">
            <w:pPr>
              <w:jc w:val="both"/>
              <w:rPr>
                <w:sz w:val="20"/>
              </w:rPr>
            </w:pPr>
            <w:r w:rsidRPr="00956FA1">
              <w:rPr>
                <w:sz w:val="20"/>
              </w:rPr>
              <w:t>(Sask.) (Civil) (By Leave)</w:t>
            </w:r>
          </w:p>
        </w:tc>
      </w:tr>
      <w:tr w:rsidR="003A009E" w:rsidRPr="00956FA1" w:rsidTr="00C34132">
        <w:tc>
          <w:tcPr>
            <w:tcW w:w="5000" w:type="pct"/>
            <w:gridSpan w:val="4"/>
          </w:tcPr>
          <w:p w:rsidR="009D3C39" w:rsidRPr="00956FA1" w:rsidRDefault="009D3C39" w:rsidP="009D3C39">
            <w:pPr>
              <w:jc w:val="both"/>
              <w:rPr>
                <w:sz w:val="20"/>
                <w:szCs w:val="20"/>
              </w:rPr>
            </w:pPr>
            <w:r w:rsidRPr="00956FA1">
              <w:rPr>
                <w:sz w:val="20"/>
                <w:szCs w:val="20"/>
              </w:rPr>
              <w:t>The application for leave to appeal from the judgment of the Court of Appeal for Saskatchewan, Number CACV3559, 2021 SKCA 5, dated January 15, 2021, is dismissed.</w:t>
            </w:r>
          </w:p>
          <w:p w:rsidR="003A009E" w:rsidRPr="00956FA1" w:rsidRDefault="003A009E" w:rsidP="00C34132">
            <w:pPr>
              <w:jc w:val="both"/>
              <w:rPr>
                <w:sz w:val="20"/>
              </w:rPr>
            </w:pPr>
          </w:p>
        </w:tc>
      </w:tr>
      <w:tr w:rsidR="003A009E" w:rsidRPr="00956FA1" w:rsidTr="00C34132">
        <w:tc>
          <w:tcPr>
            <w:tcW w:w="5000" w:type="pct"/>
            <w:gridSpan w:val="4"/>
          </w:tcPr>
          <w:p w:rsidR="003A009E" w:rsidRPr="00956FA1" w:rsidRDefault="003A009E" w:rsidP="00C34132">
            <w:pPr>
              <w:jc w:val="both"/>
              <w:rPr>
                <w:sz w:val="20"/>
              </w:rPr>
            </w:pPr>
            <w:r w:rsidRPr="00956FA1">
              <w:rPr>
                <w:sz w:val="20"/>
              </w:rPr>
              <w:t>Contracts — Formation — Conditions precedent — Sale of land — When should a court imply a condition to obtain independent legal advice — Should a non</w:t>
            </w:r>
            <w:r w:rsidRPr="00956FA1">
              <w:rPr>
                <w:sz w:val="20"/>
              </w:rPr>
              <w:noBreakHyphen/>
              <w:t>contractual recommendation during contract negotiations to obtain independent legal advice operate as a condition precedent and block access to specific performance of a contract — What is the scope of a purchaser’s right to waive a seller’s default in obtaining independent legal advice?</w:t>
            </w:r>
          </w:p>
        </w:tc>
      </w:tr>
      <w:tr w:rsidR="003A009E" w:rsidRPr="00956FA1" w:rsidTr="00C34132">
        <w:tc>
          <w:tcPr>
            <w:tcW w:w="5000" w:type="pct"/>
            <w:gridSpan w:val="4"/>
          </w:tcPr>
          <w:p w:rsidR="003A009E" w:rsidRPr="00956FA1" w:rsidRDefault="003A009E" w:rsidP="00C34132">
            <w:pPr>
              <w:jc w:val="both"/>
              <w:rPr>
                <w:sz w:val="20"/>
              </w:rPr>
            </w:pPr>
          </w:p>
        </w:tc>
      </w:tr>
      <w:tr w:rsidR="003A009E" w:rsidRPr="00956FA1" w:rsidTr="00C34132">
        <w:tc>
          <w:tcPr>
            <w:tcW w:w="5000" w:type="pct"/>
            <w:gridSpan w:val="4"/>
          </w:tcPr>
          <w:p w:rsidR="003A009E" w:rsidRPr="00956FA1" w:rsidRDefault="003A009E" w:rsidP="00C34132">
            <w:pPr>
              <w:jc w:val="both"/>
              <w:rPr>
                <w:sz w:val="20"/>
                <w:lang w:val="en"/>
              </w:rPr>
            </w:pPr>
            <w:r w:rsidRPr="00956FA1">
              <w:rPr>
                <w:sz w:val="20"/>
                <w:lang w:val="en"/>
              </w:rPr>
              <w:t>A farmer died intestate with five daughters and one son. The son took the position that his father had entered into an oral agreement to sell the farm to him but died before a written agreement was executed. The son commenced an action seeking a declaration that the agreement was enforceable and obliging the estate to perform the terms of the agreement. The son applied for summary judgment. The applications judge dismissed the action. The Court of Appeal dismissed an appeal.</w:t>
            </w:r>
          </w:p>
          <w:p w:rsidR="003A009E" w:rsidRPr="00956FA1" w:rsidRDefault="003A009E" w:rsidP="00C34132">
            <w:pPr>
              <w:jc w:val="both"/>
              <w:rPr>
                <w:sz w:val="20"/>
              </w:rPr>
            </w:pPr>
          </w:p>
        </w:tc>
      </w:tr>
      <w:tr w:rsidR="003A009E" w:rsidRPr="00956FA1" w:rsidTr="00C34132">
        <w:tc>
          <w:tcPr>
            <w:tcW w:w="2427" w:type="pct"/>
            <w:gridSpan w:val="2"/>
          </w:tcPr>
          <w:p w:rsidR="003A009E" w:rsidRPr="00956FA1" w:rsidRDefault="003A009E" w:rsidP="00C34132">
            <w:pPr>
              <w:jc w:val="both"/>
              <w:rPr>
                <w:sz w:val="20"/>
              </w:rPr>
            </w:pPr>
            <w:r w:rsidRPr="00956FA1">
              <w:rPr>
                <w:sz w:val="20"/>
              </w:rPr>
              <w:t>December 17, 2019</w:t>
            </w:r>
          </w:p>
          <w:p w:rsidR="003A009E" w:rsidRPr="00956FA1" w:rsidRDefault="003A009E" w:rsidP="00C34132">
            <w:pPr>
              <w:jc w:val="both"/>
              <w:rPr>
                <w:sz w:val="20"/>
              </w:rPr>
            </w:pPr>
            <w:r w:rsidRPr="00956FA1">
              <w:rPr>
                <w:sz w:val="20"/>
              </w:rPr>
              <w:t>Court of Queen’s Bench of Saskatchewan</w:t>
            </w:r>
          </w:p>
          <w:p w:rsidR="003A009E" w:rsidRPr="00956FA1" w:rsidRDefault="003A009E" w:rsidP="00C34132">
            <w:pPr>
              <w:jc w:val="both"/>
              <w:rPr>
                <w:sz w:val="20"/>
              </w:rPr>
            </w:pPr>
            <w:r w:rsidRPr="00956FA1">
              <w:rPr>
                <w:sz w:val="20"/>
              </w:rPr>
              <w:t>(Robertson J.)</w:t>
            </w:r>
          </w:p>
          <w:p w:rsidR="003A009E" w:rsidRPr="00956FA1" w:rsidRDefault="00956FA1" w:rsidP="00C34132">
            <w:pPr>
              <w:jc w:val="both"/>
              <w:rPr>
                <w:sz w:val="20"/>
              </w:rPr>
            </w:pPr>
            <w:hyperlink r:id="rId29" w:history="1">
              <w:r w:rsidR="003A009E" w:rsidRPr="00956FA1">
                <w:rPr>
                  <w:rStyle w:val="Hyperlink"/>
                  <w:sz w:val="20"/>
                </w:rPr>
                <w:t>2019 SKQB 325</w:t>
              </w:r>
            </w:hyperlink>
          </w:p>
          <w:p w:rsidR="003A009E" w:rsidRPr="00956FA1" w:rsidRDefault="003A009E" w:rsidP="00C34132">
            <w:pPr>
              <w:jc w:val="both"/>
              <w:rPr>
                <w:sz w:val="20"/>
              </w:rPr>
            </w:pP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rPr>
            </w:pPr>
            <w:r w:rsidRPr="00956FA1">
              <w:rPr>
                <w:sz w:val="20"/>
              </w:rPr>
              <w:t xml:space="preserve">Action dismissed in summary judgment </w:t>
            </w:r>
          </w:p>
        </w:tc>
      </w:tr>
      <w:tr w:rsidR="003A009E" w:rsidRPr="00956FA1" w:rsidTr="00C34132">
        <w:tc>
          <w:tcPr>
            <w:tcW w:w="2427" w:type="pct"/>
            <w:gridSpan w:val="2"/>
          </w:tcPr>
          <w:p w:rsidR="003A009E" w:rsidRPr="00956FA1" w:rsidRDefault="003A009E" w:rsidP="00C34132">
            <w:pPr>
              <w:jc w:val="both"/>
              <w:rPr>
                <w:sz w:val="20"/>
              </w:rPr>
            </w:pPr>
            <w:r w:rsidRPr="00956FA1">
              <w:rPr>
                <w:sz w:val="20"/>
              </w:rPr>
              <w:t>January 15, 2021</w:t>
            </w:r>
          </w:p>
          <w:p w:rsidR="003A009E" w:rsidRPr="00956FA1" w:rsidRDefault="003A009E" w:rsidP="00C34132">
            <w:pPr>
              <w:jc w:val="both"/>
              <w:rPr>
                <w:sz w:val="20"/>
              </w:rPr>
            </w:pPr>
            <w:r w:rsidRPr="00956FA1">
              <w:rPr>
                <w:sz w:val="20"/>
              </w:rPr>
              <w:t>Court of Appeal for Saskatchewan</w:t>
            </w:r>
          </w:p>
          <w:p w:rsidR="003A009E" w:rsidRPr="00956FA1" w:rsidRDefault="003A009E" w:rsidP="00C34132">
            <w:pPr>
              <w:jc w:val="both"/>
              <w:rPr>
                <w:sz w:val="20"/>
              </w:rPr>
            </w:pPr>
            <w:r w:rsidRPr="00956FA1">
              <w:rPr>
                <w:sz w:val="20"/>
              </w:rPr>
              <w:t>(Richards C.J., Schwann and Tholl JJ.)</w:t>
            </w:r>
          </w:p>
          <w:p w:rsidR="003A009E" w:rsidRPr="00956FA1" w:rsidRDefault="00956FA1" w:rsidP="00C34132">
            <w:pPr>
              <w:jc w:val="both"/>
              <w:rPr>
                <w:sz w:val="20"/>
                <w:lang w:val="en"/>
              </w:rPr>
            </w:pPr>
            <w:hyperlink r:id="rId30" w:history="1">
              <w:r w:rsidR="003A009E" w:rsidRPr="00956FA1">
                <w:rPr>
                  <w:rStyle w:val="Hyperlink"/>
                  <w:sz w:val="20"/>
                </w:rPr>
                <w:t>2021 SKCA 5</w:t>
              </w:r>
            </w:hyperlink>
            <w:r w:rsidR="003A009E" w:rsidRPr="00956FA1">
              <w:rPr>
                <w:sz w:val="20"/>
              </w:rPr>
              <w:t xml:space="preserve">; </w:t>
            </w:r>
            <w:r w:rsidR="003A009E" w:rsidRPr="00956FA1">
              <w:rPr>
                <w:sz w:val="20"/>
                <w:lang w:val="en"/>
              </w:rPr>
              <w:t>CACV3559</w:t>
            </w:r>
          </w:p>
          <w:p w:rsidR="003A009E" w:rsidRPr="00956FA1" w:rsidRDefault="003A009E" w:rsidP="00C34132">
            <w:pPr>
              <w:jc w:val="both"/>
              <w:rPr>
                <w:sz w:val="20"/>
              </w:rPr>
            </w:pP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rPr>
            </w:pPr>
            <w:r w:rsidRPr="00956FA1">
              <w:rPr>
                <w:sz w:val="20"/>
              </w:rPr>
              <w:t>Appeal dismissed</w:t>
            </w:r>
          </w:p>
          <w:p w:rsidR="003A009E" w:rsidRPr="00956FA1" w:rsidRDefault="003A009E" w:rsidP="00C34132">
            <w:pPr>
              <w:jc w:val="both"/>
              <w:rPr>
                <w:sz w:val="20"/>
              </w:rPr>
            </w:pPr>
          </w:p>
        </w:tc>
      </w:tr>
      <w:tr w:rsidR="003A009E" w:rsidRPr="00956FA1" w:rsidTr="00C34132">
        <w:tc>
          <w:tcPr>
            <w:tcW w:w="2427" w:type="pct"/>
            <w:gridSpan w:val="2"/>
          </w:tcPr>
          <w:p w:rsidR="003A009E" w:rsidRPr="00956FA1" w:rsidRDefault="003A009E" w:rsidP="00C34132">
            <w:pPr>
              <w:jc w:val="both"/>
              <w:rPr>
                <w:sz w:val="20"/>
              </w:rPr>
            </w:pPr>
            <w:r w:rsidRPr="00956FA1">
              <w:rPr>
                <w:sz w:val="20"/>
              </w:rPr>
              <w:t>March 5, 2021</w:t>
            </w:r>
          </w:p>
          <w:p w:rsidR="003A009E" w:rsidRPr="00956FA1" w:rsidRDefault="003A009E" w:rsidP="00C34132">
            <w:pPr>
              <w:jc w:val="both"/>
              <w:rPr>
                <w:sz w:val="20"/>
              </w:rPr>
            </w:pPr>
            <w:r w:rsidRPr="00956FA1">
              <w:rPr>
                <w:sz w:val="20"/>
              </w:rPr>
              <w:t>Supreme Court of Canada</w:t>
            </w: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rPr>
            </w:pPr>
            <w:r w:rsidRPr="00956FA1">
              <w:rPr>
                <w:sz w:val="20"/>
              </w:rPr>
              <w:t>Application for leave to appeal filed</w:t>
            </w:r>
          </w:p>
          <w:p w:rsidR="003A009E" w:rsidRPr="00956FA1" w:rsidRDefault="003A009E" w:rsidP="00C34132">
            <w:pPr>
              <w:jc w:val="both"/>
              <w:rPr>
                <w:sz w:val="20"/>
              </w:rPr>
            </w:pPr>
          </w:p>
        </w:tc>
      </w:tr>
    </w:tbl>
    <w:p w:rsidR="003A009E" w:rsidRPr="00956FA1" w:rsidRDefault="003A009E" w:rsidP="003A009E">
      <w:pPr>
        <w:jc w:val="both"/>
        <w:rPr>
          <w:sz w:val="20"/>
        </w:rPr>
      </w:pPr>
    </w:p>
    <w:p w:rsidR="003A009E" w:rsidRPr="00956FA1" w:rsidRDefault="00956FA1" w:rsidP="003A009E">
      <w:pPr>
        <w:jc w:val="both"/>
        <w:rPr>
          <w:sz w:val="20"/>
        </w:rPr>
      </w:pPr>
      <w:r w:rsidRPr="00956FA1">
        <w:rPr>
          <w:sz w:val="20"/>
        </w:rPr>
        <w:pict>
          <v:rect id="_x0000_i1038" style="width:2in;height:1pt" o:hrpct="0" o:hralign="center" o:hrstd="t" o:hrnoshade="t" o:hr="t" fillcolor="black [3213]" stroked="f"/>
        </w:pict>
      </w:r>
    </w:p>
    <w:p w:rsidR="003A009E" w:rsidRPr="00956FA1" w:rsidRDefault="003A009E" w:rsidP="003A009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A009E" w:rsidRPr="00956FA1" w:rsidTr="00C34132">
        <w:tc>
          <w:tcPr>
            <w:tcW w:w="543" w:type="pct"/>
          </w:tcPr>
          <w:p w:rsidR="003A009E" w:rsidRPr="00956FA1" w:rsidRDefault="003A009E" w:rsidP="00C34132">
            <w:pPr>
              <w:jc w:val="both"/>
              <w:rPr>
                <w:sz w:val="20"/>
                <w:lang w:val="fr-CA"/>
              </w:rPr>
            </w:pPr>
            <w:r w:rsidRPr="00956FA1">
              <w:rPr>
                <w:rStyle w:val="SCCFileNumberChar"/>
                <w:sz w:val="20"/>
                <w:szCs w:val="20"/>
                <w:lang w:val="fr-CA"/>
              </w:rPr>
              <w:t>39595</w:t>
            </w:r>
          </w:p>
        </w:tc>
        <w:tc>
          <w:tcPr>
            <w:tcW w:w="4457" w:type="pct"/>
            <w:gridSpan w:val="3"/>
          </w:tcPr>
          <w:p w:rsidR="003A009E" w:rsidRPr="00956FA1" w:rsidRDefault="003A009E" w:rsidP="00C34132">
            <w:pPr>
              <w:pStyle w:val="SCCLsocParty"/>
              <w:jc w:val="both"/>
              <w:rPr>
                <w:b/>
                <w:sz w:val="20"/>
                <w:szCs w:val="20"/>
                <w:lang w:val="en-US"/>
              </w:rPr>
            </w:pPr>
            <w:r w:rsidRPr="00956FA1">
              <w:rPr>
                <w:b/>
                <w:sz w:val="20"/>
                <w:szCs w:val="20"/>
                <w:lang w:val="en-US"/>
              </w:rPr>
              <w:t>Robert John Wenkoff c. Ian Wagner, Administrator Pendente Lite of the Estate of the late Robert Rusin Wenkoff</w:t>
            </w:r>
          </w:p>
          <w:p w:rsidR="003A009E" w:rsidRPr="00956FA1" w:rsidRDefault="003A009E" w:rsidP="00C34132">
            <w:pPr>
              <w:jc w:val="both"/>
              <w:rPr>
                <w:sz w:val="20"/>
                <w:lang w:val="fr-CA"/>
              </w:rPr>
            </w:pPr>
            <w:r w:rsidRPr="00956FA1">
              <w:rPr>
                <w:sz w:val="20"/>
                <w:lang w:val="fr-CA"/>
              </w:rPr>
              <w:t>(Sask.) (Civile) (Autorisation)</w:t>
            </w:r>
          </w:p>
        </w:tc>
      </w:tr>
      <w:tr w:rsidR="003A009E" w:rsidRPr="00956FA1" w:rsidTr="00C34132">
        <w:tc>
          <w:tcPr>
            <w:tcW w:w="5000" w:type="pct"/>
            <w:gridSpan w:val="4"/>
          </w:tcPr>
          <w:p w:rsidR="003A009E" w:rsidRPr="00956FA1" w:rsidRDefault="009D3C39" w:rsidP="00C34132">
            <w:pPr>
              <w:jc w:val="both"/>
              <w:rPr>
                <w:sz w:val="20"/>
                <w:szCs w:val="20"/>
                <w:lang w:val="fr-CA"/>
              </w:rPr>
            </w:pPr>
            <w:r w:rsidRPr="00956FA1">
              <w:rPr>
                <w:sz w:val="20"/>
                <w:szCs w:val="20"/>
                <w:lang w:val="fr-CA"/>
              </w:rPr>
              <w:t>La demande d’autorisation d’appel de l’arrêt de la Cour d’appel de la Saskatchewan, numéro CACV3559, 2021 SKCA 5, daté du 15 janvier 2021, est rejetée.</w:t>
            </w:r>
          </w:p>
          <w:p w:rsidR="009D3C39" w:rsidRPr="00956FA1" w:rsidRDefault="009D3C39" w:rsidP="00C34132">
            <w:pPr>
              <w:jc w:val="both"/>
              <w:rPr>
                <w:sz w:val="20"/>
                <w:lang w:val="fr-CA"/>
              </w:rPr>
            </w:pPr>
          </w:p>
        </w:tc>
      </w:tr>
      <w:tr w:rsidR="003A009E" w:rsidRPr="00956FA1" w:rsidTr="00C34132">
        <w:tc>
          <w:tcPr>
            <w:tcW w:w="5000" w:type="pct"/>
            <w:gridSpan w:val="4"/>
          </w:tcPr>
          <w:p w:rsidR="003A009E" w:rsidRPr="00956FA1" w:rsidRDefault="003A009E" w:rsidP="00C34132">
            <w:pPr>
              <w:jc w:val="both"/>
              <w:rPr>
                <w:sz w:val="20"/>
                <w:lang w:val="fr-CA"/>
              </w:rPr>
            </w:pPr>
            <w:r w:rsidRPr="00956FA1">
              <w:rPr>
                <w:sz w:val="20"/>
                <w:lang w:val="fr-CA"/>
              </w:rPr>
              <w:t>Contrats — Formation — Conditions préalables — Vente d’un terrain — Dans quelles situations un tribunal doit</w:t>
            </w:r>
            <w:r w:rsidRPr="00956FA1">
              <w:rPr>
                <w:sz w:val="20"/>
                <w:lang w:val="fr-CA"/>
              </w:rPr>
              <w:noBreakHyphen/>
              <w:t>il sous</w:t>
            </w:r>
            <w:r w:rsidRPr="00956FA1">
              <w:rPr>
                <w:sz w:val="20"/>
                <w:lang w:val="fr-CA"/>
              </w:rPr>
              <w:noBreakHyphen/>
              <w:t>entendre une condition d’obtenir des conseils juridiques indépendants? — Une recommandation non contractuelle, pendant les négociations d’un contrat, d’obtenir des conseils juridiques indépendants a</w:t>
            </w:r>
            <w:r w:rsidRPr="00956FA1">
              <w:rPr>
                <w:sz w:val="20"/>
                <w:lang w:val="fr-CA"/>
              </w:rPr>
              <w:noBreakHyphen/>
              <w:t>t</w:t>
            </w:r>
            <w:r w:rsidRPr="00956FA1">
              <w:rPr>
                <w:sz w:val="20"/>
                <w:lang w:val="fr-CA"/>
              </w:rPr>
              <w:noBreakHyphen/>
              <w:t>elle l’effet d’une condition préalable et a</w:t>
            </w:r>
            <w:r w:rsidRPr="00956FA1">
              <w:rPr>
                <w:sz w:val="20"/>
                <w:lang w:val="fr-CA"/>
              </w:rPr>
              <w:noBreakHyphen/>
              <w:t>t</w:t>
            </w:r>
            <w:r w:rsidRPr="00956FA1">
              <w:rPr>
                <w:sz w:val="20"/>
                <w:lang w:val="fr-CA"/>
              </w:rPr>
              <w:noBreakHyphen/>
              <w:t>elle pour effet de bloquer l’accès à l’exécution en nature d’un contrat? — Quelle est la portée du droit de l’acheteur de passer outre au défaut du vendeur d’obtenir de conseils juridiques indépendants?</w:t>
            </w:r>
          </w:p>
        </w:tc>
      </w:tr>
      <w:tr w:rsidR="003A009E" w:rsidRPr="00956FA1" w:rsidTr="00C34132">
        <w:tc>
          <w:tcPr>
            <w:tcW w:w="5000" w:type="pct"/>
            <w:gridSpan w:val="4"/>
          </w:tcPr>
          <w:p w:rsidR="003A009E" w:rsidRPr="00956FA1" w:rsidRDefault="003A009E" w:rsidP="00C34132">
            <w:pPr>
              <w:jc w:val="both"/>
              <w:rPr>
                <w:sz w:val="20"/>
                <w:lang w:val="fr-CA"/>
              </w:rPr>
            </w:pPr>
          </w:p>
        </w:tc>
      </w:tr>
      <w:tr w:rsidR="003A009E" w:rsidRPr="00956FA1" w:rsidTr="00C34132">
        <w:tc>
          <w:tcPr>
            <w:tcW w:w="5000" w:type="pct"/>
            <w:gridSpan w:val="4"/>
          </w:tcPr>
          <w:p w:rsidR="003A009E" w:rsidRPr="00956FA1" w:rsidRDefault="003A009E" w:rsidP="00C34132">
            <w:pPr>
              <w:jc w:val="both"/>
              <w:rPr>
                <w:sz w:val="20"/>
                <w:lang w:val="fr-CA"/>
              </w:rPr>
            </w:pPr>
            <w:r w:rsidRPr="00956FA1">
              <w:rPr>
                <w:sz w:val="20"/>
                <w:lang w:val="fr-CA"/>
              </w:rPr>
              <w:t>Un agriculteur père de cinq filles et d’un fils est décédé sans avoir fait de testament. Le fils prétend que son père avait conclu une entente verbale lui vendant la ferme, mais qu’il est décédé avant la signature d’une entente écrite. Le fils a intenté une action pour obtenir un jugement déclarant que l’entente était exécutoire et obligeant la succession à exécuter les conditions de l’entente. Le fils a demandé un jugement sommaire. Le juge de première instance a rejeté l’action. La Cour d’appel a rejeté l’appel.</w:t>
            </w:r>
          </w:p>
          <w:p w:rsidR="003A009E" w:rsidRPr="00956FA1" w:rsidRDefault="003A009E" w:rsidP="00C34132">
            <w:pPr>
              <w:jc w:val="both"/>
              <w:rPr>
                <w:sz w:val="20"/>
                <w:lang w:val="fr-CA"/>
              </w:rPr>
            </w:pPr>
          </w:p>
        </w:tc>
      </w:tr>
      <w:tr w:rsidR="003A009E" w:rsidRPr="00956FA1" w:rsidTr="00C34132">
        <w:tc>
          <w:tcPr>
            <w:tcW w:w="2427" w:type="pct"/>
            <w:gridSpan w:val="2"/>
          </w:tcPr>
          <w:p w:rsidR="003A009E" w:rsidRPr="00956FA1" w:rsidRDefault="003A009E" w:rsidP="00C34132">
            <w:pPr>
              <w:jc w:val="both"/>
              <w:rPr>
                <w:sz w:val="20"/>
                <w:lang w:val="fr-CA"/>
              </w:rPr>
            </w:pPr>
            <w:r w:rsidRPr="00956FA1">
              <w:rPr>
                <w:sz w:val="20"/>
                <w:lang w:val="fr-CA"/>
              </w:rPr>
              <w:t>17 décembre 2019</w:t>
            </w:r>
          </w:p>
          <w:p w:rsidR="003A009E" w:rsidRPr="00956FA1" w:rsidRDefault="003A009E" w:rsidP="00C34132">
            <w:pPr>
              <w:jc w:val="both"/>
              <w:rPr>
                <w:sz w:val="20"/>
                <w:lang w:val="fr-CA"/>
              </w:rPr>
            </w:pPr>
            <w:r w:rsidRPr="00956FA1">
              <w:rPr>
                <w:sz w:val="20"/>
                <w:lang w:val="fr-CA"/>
              </w:rPr>
              <w:t>Cour du Banc de la Reine de la Saskatchewan</w:t>
            </w:r>
          </w:p>
          <w:p w:rsidR="003A009E" w:rsidRPr="00956FA1" w:rsidRDefault="003A009E" w:rsidP="00C34132">
            <w:pPr>
              <w:jc w:val="both"/>
              <w:rPr>
                <w:sz w:val="20"/>
                <w:lang w:val="fr-CA"/>
              </w:rPr>
            </w:pPr>
            <w:r w:rsidRPr="00956FA1">
              <w:rPr>
                <w:sz w:val="20"/>
                <w:lang w:val="fr-CA"/>
              </w:rPr>
              <w:t>(Juge Robertson)</w:t>
            </w:r>
          </w:p>
          <w:p w:rsidR="003A009E" w:rsidRPr="00956FA1" w:rsidRDefault="00956FA1" w:rsidP="00C34132">
            <w:pPr>
              <w:jc w:val="both"/>
              <w:rPr>
                <w:sz w:val="20"/>
                <w:lang w:val="fr-CA"/>
              </w:rPr>
            </w:pPr>
            <w:hyperlink r:id="rId31" w:history="1">
              <w:r w:rsidR="003A009E" w:rsidRPr="00956FA1">
                <w:rPr>
                  <w:rStyle w:val="Hyperlink"/>
                  <w:sz w:val="20"/>
                  <w:lang w:val="fr-CA"/>
                </w:rPr>
                <w:t>2019 SKQB 325</w:t>
              </w:r>
            </w:hyperlink>
          </w:p>
          <w:p w:rsidR="003A009E" w:rsidRPr="00956FA1" w:rsidRDefault="003A009E" w:rsidP="00C34132">
            <w:pPr>
              <w:jc w:val="both"/>
              <w:rPr>
                <w:sz w:val="20"/>
                <w:lang w:val="fr-CA"/>
              </w:rPr>
            </w:pPr>
          </w:p>
        </w:tc>
        <w:tc>
          <w:tcPr>
            <w:tcW w:w="243" w:type="pct"/>
          </w:tcPr>
          <w:p w:rsidR="003A009E" w:rsidRPr="00956FA1" w:rsidRDefault="003A009E" w:rsidP="00C34132">
            <w:pPr>
              <w:jc w:val="both"/>
              <w:rPr>
                <w:sz w:val="20"/>
                <w:lang w:val="fr-CA"/>
              </w:rPr>
            </w:pPr>
          </w:p>
        </w:tc>
        <w:tc>
          <w:tcPr>
            <w:tcW w:w="2330" w:type="pct"/>
          </w:tcPr>
          <w:p w:rsidR="003A009E" w:rsidRPr="00956FA1" w:rsidRDefault="003A009E" w:rsidP="00C34132">
            <w:pPr>
              <w:jc w:val="both"/>
              <w:rPr>
                <w:sz w:val="20"/>
                <w:lang w:val="fr-CA"/>
              </w:rPr>
            </w:pPr>
            <w:r w:rsidRPr="00956FA1">
              <w:rPr>
                <w:sz w:val="20"/>
                <w:lang w:val="fr-CA"/>
              </w:rPr>
              <w:t xml:space="preserve">Rejet de l’appel par jugement sommaire </w:t>
            </w:r>
          </w:p>
        </w:tc>
      </w:tr>
      <w:tr w:rsidR="003A009E" w:rsidRPr="00956FA1" w:rsidTr="00C34132">
        <w:tc>
          <w:tcPr>
            <w:tcW w:w="2427" w:type="pct"/>
            <w:gridSpan w:val="2"/>
          </w:tcPr>
          <w:p w:rsidR="003A009E" w:rsidRPr="00956FA1" w:rsidRDefault="003A009E" w:rsidP="00C34132">
            <w:pPr>
              <w:jc w:val="both"/>
              <w:rPr>
                <w:sz w:val="20"/>
                <w:lang w:val="fr-CA"/>
              </w:rPr>
            </w:pPr>
            <w:r w:rsidRPr="00956FA1">
              <w:rPr>
                <w:sz w:val="20"/>
                <w:lang w:val="fr-CA"/>
              </w:rPr>
              <w:t>15 janvier 2021</w:t>
            </w:r>
          </w:p>
          <w:p w:rsidR="003A009E" w:rsidRPr="00956FA1" w:rsidRDefault="003A009E" w:rsidP="00C34132">
            <w:pPr>
              <w:jc w:val="both"/>
              <w:rPr>
                <w:sz w:val="20"/>
                <w:lang w:val="fr-CA"/>
              </w:rPr>
            </w:pPr>
            <w:r w:rsidRPr="00956FA1">
              <w:rPr>
                <w:sz w:val="20"/>
                <w:lang w:val="fr-CA"/>
              </w:rPr>
              <w:t>Cour d’appel de la Saskatchewan</w:t>
            </w:r>
          </w:p>
          <w:p w:rsidR="003A009E" w:rsidRPr="00956FA1" w:rsidRDefault="003A009E" w:rsidP="00C34132">
            <w:pPr>
              <w:jc w:val="both"/>
              <w:rPr>
                <w:sz w:val="20"/>
                <w:lang w:val="fr-CA"/>
              </w:rPr>
            </w:pPr>
            <w:r w:rsidRPr="00956FA1">
              <w:rPr>
                <w:sz w:val="20"/>
                <w:lang w:val="fr-CA"/>
              </w:rPr>
              <w:t>(Juge en chef Richards, juges Schwann et Tholl)</w:t>
            </w:r>
          </w:p>
          <w:p w:rsidR="003A009E" w:rsidRPr="00956FA1" w:rsidRDefault="00956FA1" w:rsidP="00C34132">
            <w:pPr>
              <w:jc w:val="both"/>
              <w:rPr>
                <w:sz w:val="20"/>
                <w:lang w:val="fr-CA"/>
              </w:rPr>
            </w:pPr>
            <w:hyperlink r:id="rId32" w:history="1">
              <w:r w:rsidR="003A009E" w:rsidRPr="00956FA1">
                <w:rPr>
                  <w:rStyle w:val="Hyperlink"/>
                  <w:sz w:val="20"/>
                  <w:lang w:val="fr-CA"/>
                </w:rPr>
                <w:t>2021 SKCA 5</w:t>
              </w:r>
            </w:hyperlink>
            <w:r w:rsidR="003A009E" w:rsidRPr="00956FA1">
              <w:rPr>
                <w:sz w:val="20"/>
                <w:lang w:val="fr-CA"/>
              </w:rPr>
              <w:t>; CACV3559</w:t>
            </w:r>
          </w:p>
          <w:p w:rsidR="003A009E" w:rsidRPr="00956FA1" w:rsidRDefault="003A009E" w:rsidP="00C34132">
            <w:pPr>
              <w:jc w:val="both"/>
              <w:rPr>
                <w:sz w:val="20"/>
                <w:lang w:val="fr-CA"/>
              </w:rPr>
            </w:pPr>
          </w:p>
        </w:tc>
        <w:tc>
          <w:tcPr>
            <w:tcW w:w="243" w:type="pct"/>
          </w:tcPr>
          <w:p w:rsidR="003A009E" w:rsidRPr="00956FA1" w:rsidRDefault="003A009E" w:rsidP="00C34132">
            <w:pPr>
              <w:jc w:val="both"/>
              <w:rPr>
                <w:sz w:val="20"/>
                <w:lang w:val="fr-CA"/>
              </w:rPr>
            </w:pPr>
          </w:p>
        </w:tc>
        <w:tc>
          <w:tcPr>
            <w:tcW w:w="2330" w:type="pct"/>
          </w:tcPr>
          <w:p w:rsidR="003A009E" w:rsidRPr="00956FA1" w:rsidRDefault="003A009E" w:rsidP="00C34132">
            <w:pPr>
              <w:jc w:val="both"/>
              <w:rPr>
                <w:sz w:val="20"/>
                <w:lang w:val="fr-CA"/>
              </w:rPr>
            </w:pPr>
            <w:r w:rsidRPr="00956FA1">
              <w:rPr>
                <w:sz w:val="20"/>
                <w:lang w:val="fr-CA"/>
              </w:rPr>
              <w:t>Rejet de l’appel</w:t>
            </w:r>
          </w:p>
          <w:p w:rsidR="003A009E" w:rsidRPr="00956FA1" w:rsidRDefault="003A009E" w:rsidP="00C34132">
            <w:pPr>
              <w:jc w:val="both"/>
              <w:rPr>
                <w:sz w:val="20"/>
                <w:lang w:val="fr-CA"/>
              </w:rPr>
            </w:pPr>
          </w:p>
        </w:tc>
      </w:tr>
      <w:tr w:rsidR="003A009E" w:rsidRPr="00956FA1" w:rsidTr="00C34132">
        <w:tc>
          <w:tcPr>
            <w:tcW w:w="2427" w:type="pct"/>
            <w:gridSpan w:val="2"/>
          </w:tcPr>
          <w:p w:rsidR="003A009E" w:rsidRPr="00956FA1" w:rsidRDefault="003A009E" w:rsidP="00C34132">
            <w:pPr>
              <w:jc w:val="both"/>
              <w:rPr>
                <w:sz w:val="20"/>
                <w:lang w:val="fr-CA"/>
              </w:rPr>
            </w:pPr>
            <w:r w:rsidRPr="00956FA1">
              <w:rPr>
                <w:sz w:val="20"/>
                <w:lang w:val="fr-CA"/>
              </w:rPr>
              <w:t>5 mars 2021</w:t>
            </w:r>
          </w:p>
          <w:p w:rsidR="003A009E" w:rsidRPr="00956FA1" w:rsidRDefault="003A009E" w:rsidP="00C34132">
            <w:pPr>
              <w:jc w:val="both"/>
              <w:rPr>
                <w:sz w:val="20"/>
                <w:lang w:val="fr-CA"/>
              </w:rPr>
            </w:pPr>
            <w:r w:rsidRPr="00956FA1">
              <w:rPr>
                <w:sz w:val="20"/>
                <w:lang w:val="fr-CA"/>
              </w:rPr>
              <w:t>Cour suprême du Canada</w:t>
            </w:r>
          </w:p>
        </w:tc>
        <w:tc>
          <w:tcPr>
            <w:tcW w:w="243" w:type="pct"/>
          </w:tcPr>
          <w:p w:rsidR="003A009E" w:rsidRPr="00956FA1" w:rsidRDefault="003A009E" w:rsidP="00C34132">
            <w:pPr>
              <w:jc w:val="both"/>
              <w:rPr>
                <w:sz w:val="20"/>
                <w:lang w:val="fr-CA"/>
              </w:rPr>
            </w:pPr>
          </w:p>
        </w:tc>
        <w:tc>
          <w:tcPr>
            <w:tcW w:w="2330" w:type="pct"/>
          </w:tcPr>
          <w:p w:rsidR="003A009E" w:rsidRPr="00956FA1" w:rsidRDefault="003A009E" w:rsidP="00C34132">
            <w:pPr>
              <w:jc w:val="both"/>
              <w:rPr>
                <w:sz w:val="20"/>
                <w:lang w:val="fr-CA"/>
              </w:rPr>
            </w:pPr>
            <w:r w:rsidRPr="00956FA1">
              <w:rPr>
                <w:sz w:val="20"/>
                <w:lang w:val="fr-CA"/>
              </w:rPr>
              <w:t>Dépôt de la demande d’autorisation d’appel</w:t>
            </w:r>
          </w:p>
          <w:p w:rsidR="003A009E" w:rsidRPr="00956FA1" w:rsidRDefault="003A009E" w:rsidP="00C34132">
            <w:pPr>
              <w:jc w:val="both"/>
              <w:rPr>
                <w:sz w:val="20"/>
                <w:lang w:val="fr-CA"/>
              </w:rPr>
            </w:pPr>
          </w:p>
        </w:tc>
      </w:tr>
    </w:tbl>
    <w:p w:rsidR="003A009E" w:rsidRPr="00956FA1" w:rsidRDefault="003A009E" w:rsidP="003A009E">
      <w:pPr>
        <w:jc w:val="both"/>
        <w:rPr>
          <w:sz w:val="20"/>
          <w:lang w:val="fr-CA"/>
        </w:rPr>
      </w:pPr>
    </w:p>
    <w:p w:rsidR="003A009E" w:rsidRPr="00956FA1" w:rsidRDefault="00956FA1" w:rsidP="003A009E">
      <w:pPr>
        <w:jc w:val="both"/>
        <w:rPr>
          <w:sz w:val="20"/>
          <w:lang w:val="fr-CA"/>
        </w:rPr>
      </w:pPr>
      <w:r w:rsidRPr="00956FA1">
        <w:rPr>
          <w:sz w:val="20"/>
        </w:rPr>
        <w:pict>
          <v:rect id="_x0000_i1039" style="width:2in;height:1pt" o:hrpct="0" o:hralign="center" o:hrstd="t" o:hrnoshade="t" o:hr="t" fillcolor="black [3213]" stroked="f"/>
        </w:pict>
      </w:r>
    </w:p>
    <w:p w:rsidR="003A009E" w:rsidRPr="00956FA1" w:rsidRDefault="003A009E" w:rsidP="003A009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A009E" w:rsidRPr="00956FA1" w:rsidTr="00C34132">
        <w:tc>
          <w:tcPr>
            <w:tcW w:w="543" w:type="pct"/>
          </w:tcPr>
          <w:p w:rsidR="003A009E" w:rsidRPr="00956FA1" w:rsidRDefault="003A009E" w:rsidP="00C34132">
            <w:pPr>
              <w:jc w:val="both"/>
              <w:rPr>
                <w:sz w:val="20"/>
              </w:rPr>
            </w:pPr>
            <w:r w:rsidRPr="00956FA1">
              <w:rPr>
                <w:rStyle w:val="SCCFileNumberChar"/>
                <w:sz w:val="20"/>
                <w:szCs w:val="20"/>
              </w:rPr>
              <w:t>39612</w:t>
            </w:r>
          </w:p>
        </w:tc>
        <w:tc>
          <w:tcPr>
            <w:tcW w:w="4457" w:type="pct"/>
          </w:tcPr>
          <w:p w:rsidR="003A009E" w:rsidRPr="00956FA1" w:rsidRDefault="003A009E" w:rsidP="00C34132">
            <w:pPr>
              <w:pStyle w:val="SCCLsocParty"/>
              <w:jc w:val="both"/>
              <w:rPr>
                <w:b/>
                <w:sz w:val="20"/>
                <w:szCs w:val="20"/>
                <w:lang w:val="en-US"/>
              </w:rPr>
            </w:pPr>
            <w:r w:rsidRPr="00956FA1">
              <w:rPr>
                <w:b/>
                <w:sz w:val="20"/>
                <w:szCs w:val="20"/>
                <w:lang w:val="en-US"/>
              </w:rPr>
              <w:t xml:space="preserve">Marian L. Carroll v. </w:t>
            </w:r>
            <w:r w:rsidR="009D3C39" w:rsidRPr="00956FA1">
              <w:rPr>
                <w:b/>
                <w:sz w:val="20"/>
                <w:szCs w:val="20"/>
                <w:lang w:val="en-US"/>
              </w:rPr>
              <w:t>Toronto-Dominion Bank c.o.b.TD Bank Group, TD Waterhouse Private Investment Counsel Inc., TD Asset Management Inc. as Trustee of the TD Mutual Funds Trust and TD Private Funds Trust</w:t>
            </w:r>
          </w:p>
          <w:p w:rsidR="003A009E" w:rsidRPr="00956FA1" w:rsidRDefault="003A009E" w:rsidP="00C34132">
            <w:pPr>
              <w:jc w:val="both"/>
              <w:rPr>
                <w:sz w:val="20"/>
              </w:rPr>
            </w:pPr>
            <w:r w:rsidRPr="00956FA1">
              <w:rPr>
                <w:sz w:val="20"/>
              </w:rPr>
              <w:t>(Ont.) (Civil) (By Leave)</w:t>
            </w:r>
          </w:p>
        </w:tc>
      </w:tr>
      <w:tr w:rsidR="003A009E" w:rsidRPr="00956FA1" w:rsidTr="00C34132">
        <w:tc>
          <w:tcPr>
            <w:tcW w:w="5000" w:type="pct"/>
            <w:gridSpan w:val="2"/>
          </w:tcPr>
          <w:p w:rsidR="009D3C39" w:rsidRPr="00956FA1" w:rsidRDefault="009D3C39" w:rsidP="009D3C39">
            <w:pPr>
              <w:jc w:val="both"/>
              <w:rPr>
                <w:sz w:val="20"/>
                <w:szCs w:val="20"/>
              </w:rPr>
            </w:pPr>
            <w:r w:rsidRPr="00956FA1">
              <w:rPr>
                <w:sz w:val="20"/>
                <w:szCs w:val="20"/>
              </w:rPr>
              <w:t>The application for leave to appeal from the judgment of the Court of Appeal for Ontario, Number C68245, 2021 ONCA 38, dated January 21, 2021, is dismissed with costs.</w:t>
            </w:r>
          </w:p>
          <w:p w:rsidR="003A009E" w:rsidRPr="00956FA1" w:rsidRDefault="003A009E" w:rsidP="00C34132">
            <w:pPr>
              <w:jc w:val="both"/>
              <w:rPr>
                <w:sz w:val="20"/>
              </w:rPr>
            </w:pPr>
          </w:p>
        </w:tc>
      </w:tr>
      <w:tr w:rsidR="003A009E" w:rsidRPr="00956FA1" w:rsidTr="00C34132">
        <w:tc>
          <w:tcPr>
            <w:tcW w:w="5000" w:type="pct"/>
            <w:gridSpan w:val="2"/>
          </w:tcPr>
          <w:p w:rsidR="003A009E" w:rsidRPr="00956FA1" w:rsidRDefault="003A009E" w:rsidP="00C34132">
            <w:pPr>
              <w:jc w:val="both"/>
              <w:rPr>
                <w:sz w:val="20"/>
              </w:rPr>
            </w:pPr>
            <w:r w:rsidRPr="00956FA1">
              <w:rPr>
                <w:sz w:val="20"/>
              </w:rPr>
              <w:t>Civil procedure — Parties — Standing — Trusts — Breach of trust — Motion to strike — Former employee who made whistleblower complaints alleging breaches of mutual fund trusts bringing application seeking orders that would result in disclosure, discovery, and redress of financial irregularities and misconduct, if any — Superior Court granting motion to strike for applicant’s lack of standing — Court of Appeal dismissing appeal — What is the scope and the duty of the Superior Courts to oversee, supervise and protect trusts in Canada? — What right to standing do good faith and well</w:t>
            </w:r>
            <w:r w:rsidRPr="00956FA1">
              <w:rPr>
                <w:sz w:val="20"/>
              </w:rPr>
              <w:noBreakHyphen/>
              <w:t>informed whistleblowers have to bring before a court evidence of serious and repeated instances of corporate misconduct, especially when it relates to the maladministration of a trust? — Whether the traditional categories of private and public standing are sufficient to support the critical role that whistleblowers play in protecting the Canadian capital markets.</w:t>
            </w:r>
          </w:p>
        </w:tc>
      </w:tr>
      <w:tr w:rsidR="003A009E" w:rsidRPr="00956FA1" w:rsidTr="00C34132">
        <w:tc>
          <w:tcPr>
            <w:tcW w:w="5000" w:type="pct"/>
            <w:gridSpan w:val="2"/>
          </w:tcPr>
          <w:p w:rsidR="003A009E" w:rsidRPr="00956FA1" w:rsidRDefault="003A009E" w:rsidP="00C34132">
            <w:pPr>
              <w:jc w:val="both"/>
              <w:rPr>
                <w:sz w:val="20"/>
              </w:rPr>
            </w:pPr>
          </w:p>
        </w:tc>
      </w:tr>
      <w:tr w:rsidR="003A009E" w:rsidRPr="00956FA1" w:rsidTr="00C34132">
        <w:tc>
          <w:tcPr>
            <w:tcW w:w="5000" w:type="pct"/>
            <w:gridSpan w:val="2"/>
          </w:tcPr>
          <w:p w:rsidR="003A009E" w:rsidRPr="00956FA1" w:rsidRDefault="003A009E" w:rsidP="00C34132">
            <w:pPr>
              <w:jc w:val="both"/>
              <w:rPr>
                <w:sz w:val="20"/>
              </w:rPr>
            </w:pPr>
            <w:r w:rsidRPr="00956FA1">
              <w:rPr>
                <w:sz w:val="20"/>
              </w:rPr>
              <w:t>The applicant, Ms. Carroll, was employed by the respondent, the Toronto</w:t>
            </w:r>
            <w:r w:rsidRPr="00956FA1">
              <w:rPr>
                <w:sz w:val="20"/>
              </w:rPr>
              <w:noBreakHyphen/>
              <w:t>Dominion Bank (“TD Bank”). She was responsible for the compliance of a group of TD Bank’s subsidiaries with legal and regulatory obligations relating to the management of mutual funds. In that capacity, Ms. Carroll claims to have exposed regulatory non</w:t>
            </w:r>
            <w:r w:rsidRPr="00956FA1">
              <w:rPr>
                <w:sz w:val="20"/>
              </w:rPr>
              <w:noBreakHyphen/>
              <w:t>compliance and breaches of mutual fund trusts by TD Bank’s subsidiaries. She has made whistleblower complaints to TD Bank officials and to government regulators about the misconduct she allegedly uncovered. She also launched a civil proceeding against the respondents (collectively, “TD”), by way of an application that was structured to uncover and remedy the wrongdoing she alleges. TD brought a motion to dismiss Ms. Carroll’s application. The motion judge granted TD’s motion on the basis that Ms. Carroll did not have standing to bring the application. She found that Ms. Carroll was not a unitholder in the trust and had no financial interest in the outcome of the litigation; she lacked a direct personal interest in the litigation. The Court of Appeal dismissed Ms. Carroll’s appeal.</w:t>
            </w:r>
          </w:p>
          <w:p w:rsidR="003A009E" w:rsidRPr="00956FA1" w:rsidRDefault="003A009E" w:rsidP="00C34132">
            <w:pPr>
              <w:jc w:val="both"/>
              <w:rPr>
                <w:sz w:val="20"/>
              </w:rPr>
            </w:pPr>
          </w:p>
        </w:tc>
      </w:tr>
    </w:tbl>
    <w:p w:rsidR="00662169" w:rsidRPr="00956FA1" w:rsidRDefault="00662169">
      <w:r w:rsidRPr="00956FA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A009E" w:rsidRPr="00956FA1" w:rsidTr="00C34132">
        <w:tc>
          <w:tcPr>
            <w:tcW w:w="2427" w:type="pct"/>
          </w:tcPr>
          <w:p w:rsidR="003A009E" w:rsidRPr="00956FA1" w:rsidRDefault="003A009E" w:rsidP="00C34132">
            <w:pPr>
              <w:jc w:val="both"/>
              <w:rPr>
                <w:sz w:val="20"/>
              </w:rPr>
            </w:pPr>
            <w:r w:rsidRPr="00956FA1">
              <w:rPr>
                <w:sz w:val="20"/>
              </w:rPr>
              <w:t>March 17, 2020</w:t>
            </w:r>
          </w:p>
          <w:p w:rsidR="003A009E" w:rsidRPr="00956FA1" w:rsidRDefault="003A009E" w:rsidP="00C34132">
            <w:pPr>
              <w:jc w:val="both"/>
              <w:rPr>
                <w:sz w:val="20"/>
              </w:rPr>
            </w:pPr>
            <w:r w:rsidRPr="00956FA1">
              <w:rPr>
                <w:sz w:val="20"/>
              </w:rPr>
              <w:t>Ontario Superior Court of Justice</w:t>
            </w:r>
          </w:p>
          <w:p w:rsidR="003A009E" w:rsidRPr="00956FA1" w:rsidRDefault="003A009E" w:rsidP="00C34132">
            <w:pPr>
              <w:jc w:val="both"/>
              <w:rPr>
                <w:sz w:val="20"/>
              </w:rPr>
            </w:pPr>
            <w:r w:rsidRPr="00956FA1">
              <w:rPr>
                <w:sz w:val="20"/>
              </w:rPr>
              <w:t>(Gilmore J.)</w:t>
            </w:r>
          </w:p>
          <w:p w:rsidR="003A009E" w:rsidRPr="00956FA1" w:rsidRDefault="00956FA1" w:rsidP="00C34132">
            <w:pPr>
              <w:jc w:val="both"/>
              <w:rPr>
                <w:sz w:val="20"/>
              </w:rPr>
            </w:pPr>
            <w:hyperlink r:id="rId33" w:history="1">
              <w:r w:rsidR="003A009E" w:rsidRPr="00956FA1">
                <w:rPr>
                  <w:rStyle w:val="Hyperlink"/>
                  <w:sz w:val="20"/>
                </w:rPr>
                <w:t>2020 ONSC 1629</w:t>
              </w:r>
            </w:hyperlink>
          </w:p>
          <w:p w:rsidR="003A009E" w:rsidRPr="00956FA1" w:rsidRDefault="003A009E" w:rsidP="00C34132">
            <w:pPr>
              <w:jc w:val="both"/>
              <w:rPr>
                <w:sz w:val="20"/>
              </w:rPr>
            </w:pP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rPr>
            </w:pPr>
            <w:r w:rsidRPr="00956FA1">
              <w:rPr>
                <w:sz w:val="20"/>
              </w:rPr>
              <w:t>Respondents’ motion to strike applicant’s application granted</w:t>
            </w:r>
          </w:p>
          <w:p w:rsidR="003A009E" w:rsidRPr="00956FA1" w:rsidRDefault="003A009E" w:rsidP="00C34132">
            <w:pPr>
              <w:jc w:val="both"/>
              <w:rPr>
                <w:sz w:val="20"/>
              </w:rPr>
            </w:pPr>
          </w:p>
        </w:tc>
      </w:tr>
      <w:tr w:rsidR="003A009E" w:rsidRPr="00956FA1" w:rsidTr="00C34132">
        <w:tc>
          <w:tcPr>
            <w:tcW w:w="2427" w:type="pct"/>
          </w:tcPr>
          <w:p w:rsidR="003A009E" w:rsidRPr="00956FA1" w:rsidRDefault="003A009E" w:rsidP="00C34132">
            <w:pPr>
              <w:jc w:val="both"/>
              <w:rPr>
                <w:sz w:val="20"/>
              </w:rPr>
            </w:pPr>
            <w:r w:rsidRPr="00956FA1">
              <w:rPr>
                <w:sz w:val="20"/>
              </w:rPr>
              <w:t>January 21, 2021</w:t>
            </w:r>
          </w:p>
          <w:p w:rsidR="003A009E" w:rsidRPr="00956FA1" w:rsidRDefault="003A009E" w:rsidP="00C34132">
            <w:pPr>
              <w:jc w:val="both"/>
              <w:rPr>
                <w:sz w:val="20"/>
              </w:rPr>
            </w:pPr>
            <w:r w:rsidRPr="00956FA1">
              <w:rPr>
                <w:sz w:val="20"/>
              </w:rPr>
              <w:t>Court of Appeal for Ontario</w:t>
            </w:r>
          </w:p>
          <w:p w:rsidR="003A009E" w:rsidRPr="00956FA1" w:rsidRDefault="003A009E" w:rsidP="00C34132">
            <w:pPr>
              <w:jc w:val="both"/>
              <w:rPr>
                <w:sz w:val="20"/>
              </w:rPr>
            </w:pPr>
            <w:r w:rsidRPr="00956FA1">
              <w:rPr>
                <w:sz w:val="20"/>
              </w:rPr>
              <w:t>(Tulloch, Miller, Paciocco JJ.A.)</w:t>
            </w:r>
          </w:p>
          <w:p w:rsidR="003A009E" w:rsidRPr="00956FA1" w:rsidRDefault="00956FA1" w:rsidP="00C34132">
            <w:pPr>
              <w:jc w:val="both"/>
              <w:rPr>
                <w:sz w:val="20"/>
                <w:lang w:val="en"/>
              </w:rPr>
            </w:pPr>
            <w:hyperlink r:id="rId34" w:history="1">
              <w:r w:rsidR="003A009E" w:rsidRPr="00956FA1">
                <w:rPr>
                  <w:rStyle w:val="Hyperlink"/>
                  <w:sz w:val="20"/>
                </w:rPr>
                <w:t>2021 ONCA 38</w:t>
              </w:r>
            </w:hyperlink>
            <w:r w:rsidR="003A009E" w:rsidRPr="00956FA1">
              <w:rPr>
                <w:sz w:val="20"/>
              </w:rPr>
              <w:t xml:space="preserve"> (Docket: </w:t>
            </w:r>
            <w:r w:rsidR="003A009E" w:rsidRPr="00956FA1">
              <w:rPr>
                <w:sz w:val="20"/>
                <w:lang w:val="en"/>
              </w:rPr>
              <w:t>C68245)</w:t>
            </w:r>
          </w:p>
          <w:p w:rsidR="003A009E" w:rsidRPr="00956FA1" w:rsidRDefault="003A009E" w:rsidP="00C34132">
            <w:pPr>
              <w:jc w:val="both"/>
              <w:rPr>
                <w:sz w:val="20"/>
                <w:lang w:val="en"/>
              </w:rPr>
            </w:pP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rPr>
            </w:pPr>
            <w:r w:rsidRPr="00956FA1">
              <w:rPr>
                <w:sz w:val="20"/>
              </w:rPr>
              <w:t>Appeal dismissed</w:t>
            </w:r>
          </w:p>
          <w:p w:rsidR="003A009E" w:rsidRPr="00956FA1" w:rsidRDefault="003A009E" w:rsidP="00C34132">
            <w:pPr>
              <w:jc w:val="both"/>
              <w:rPr>
                <w:sz w:val="20"/>
              </w:rPr>
            </w:pPr>
          </w:p>
        </w:tc>
      </w:tr>
      <w:tr w:rsidR="003A009E" w:rsidRPr="00956FA1" w:rsidTr="00C34132">
        <w:tc>
          <w:tcPr>
            <w:tcW w:w="2427" w:type="pct"/>
          </w:tcPr>
          <w:p w:rsidR="003A009E" w:rsidRPr="00956FA1" w:rsidRDefault="003A009E" w:rsidP="00C34132">
            <w:pPr>
              <w:jc w:val="both"/>
              <w:rPr>
                <w:sz w:val="20"/>
              </w:rPr>
            </w:pPr>
            <w:r w:rsidRPr="00956FA1">
              <w:rPr>
                <w:sz w:val="20"/>
              </w:rPr>
              <w:t>March 22, 2021</w:t>
            </w:r>
          </w:p>
          <w:p w:rsidR="003A009E" w:rsidRPr="00956FA1" w:rsidRDefault="003A009E" w:rsidP="00C34132">
            <w:pPr>
              <w:jc w:val="both"/>
              <w:rPr>
                <w:sz w:val="20"/>
              </w:rPr>
            </w:pPr>
            <w:r w:rsidRPr="00956FA1">
              <w:rPr>
                <w:sz w:val="20"/>
              </w:rPr>
              <w:t>Supreme Court of Canada</w:t>
            </w: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rPr>
            </w:pPr>
            <w:r w:rsidRPr="00956FA1">
              <w:rPr>
                <w:sz w:val="20"/>
              </w:rPr>
              <w:t>Application for leave to appeal filed</w:t>
            </w:r>
          </w:p>
          <w:p w:rsidR="003A009E" w:rsidRPr="00956FA1" w:rsidRDefault="003A009E" w:rsidP="00C34132">
            <w:pPr>
              <w:jc w:val="both"/>
              <w:rPr>
                <w:sz w:val="20"/>
              </w:rPr>
            </w:pPr>
          </w:p>
        </w:tc>
      </w:tr>
    </w:tbl>
    <w:p w:rsidR="003A009E" w:rsidRPr="00956FA1" w:rsidRDefault="003A009E" w:rsidP="003A009E">
      <w:pPr>
        <w:jc w:val="both"/>
        <w:rPr>
          <w:sz w:val="20"/>
        </w:rPr>
      </w:pPr>
    </w:p>
    <w:p w:rsidR="003A009E" w:rsidRPr="00956FA1" w:rsidRDefault="00956FA1" w:rsidP="003A009E">
      <w:pPr>
        <w:jc w:val="both"/>
        <w:rPr>
          <w:sz w:val="20"/>
        </w:rPr>
      </w:pPr>
      <w:r w:rsidRPr="00956FA1">
        <w:rPr>
          <w:sz w:val="20"/>
        </w:rPr>
        <w:pict>
          <v:rect id="_x0000_i1040" style="width:2in;height:1pt" o:hrpct="0" o:hralign="center" o:hrstd="t" o:hrnoshade="t" o:hr="t" fillcolor="black [3213]" stroked="f"/>
        </w:pict>
      </w:r>
    </w:p>
    <w:p w:rsidR="003A009E" w:rsidRPr="00956FA1" w:rsidRDefault="003A009E" w:rsidP="003A009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A009E" w:rsidRPr="00956FA1" w:rsidTr="00C34132">
        <w:tc>
          <w:tcPr>
            <w:tcW w:w="543" w:type="pct"/>
          </w:tcPr>
          <w:p w:rsidR="003A009E" w:rsidRPr="00956FA1" w:rsidRDefault="003A009E" w:rsidP="00C34132">
            <w:pPr>
              <w:jc w:val="both"/>
              <w:rPr>
                <w:sz w:val="20"/>
                <w:lang w:val="fr-CA"/>
              </w:rPr>
            </w:pPr>
            <w:r w:rsidRPr="00956FA1">
              <w:rPr>
                <w:rStyle w:val="SCCFileNumberChar"/>
                <w:sz w:val="20"/>
                <w:szCs w:val="20"/>
                <w:lang w:val="fr-CA"/>
              </w:rPr>
              <w:t>39612</w:t>
            </w:r>
          </w:p>
        </w:tc>
        <w:tc>
          <w:tcPr>
            <w:tcW w:w="4457" w:type="pct"/>
            <w:gridSpan w:val="3"/>
          </w:tcPr>
          <w:p w:rsidR="003A009E" w:rsidRPr="00956FA1" w:rsidRDefault="003A009E" w:rsidP="00C34132">
            <w:pPr>
              <w:pStyle w:val="SCCLsocParty"/>
              <w:jc w:val="both"/>
              <w:rPr>
                <w:b/>
                <w:sz w:val="20"/>
                <w:szCs w:val="20"/>
              </w:rPr>
            </w:pPr>
            <w:r w:rsidRPr="00956FA1">
              <w:rPr>
                <w:b/>
                <w:sz w:val="20"/>
                <w:szCs w:val="20"/>
              </w:rPr>
              <w:t xml:space="preserve">Marian L. Carroll c. </w:t>
            </w:r>
            <w:r w:rsidR="009D3C39" w:rsidRPr="00956FA1">
              <w:rPr>
                <w:b/>
                <w:sz w:val="20"/>
                <w:szCs w:val="20"/>
              </w:rPr>
              <w:t>Toronto-Dominion Bank faisant affaire sous le nom de TD Bank Group, TD Waterhouse Private Investment Counsel Inc., TD Asset Management Inc. à titre de fiduciaire de la TD Mutual Funds Trust et TD Private Funds Trust</w:t>
            </w:r>
          </w:p>
          <w:p w:rsidR="003A009E" w:rsidRPr="00956FA1" w:rsidRDefault="003A009E" w:rsidP="00C34132">
            <w:pPr>
              <w:jc w:val="both"/>
              <w:rPr>
                <w:sz w:val="20"/>
                <w:lang w:val="fr-CA"/>
              </w:rPr>
            </w:pPr>
            <w:r w:rsidRPr="00956FA1">
              <w:rPr>
                <w:sz w:val="20"/>
                <w:lang w:val="fr-CA"/>
              </w:rPr>
              <w:t>(Ont.) (Civile) (Autorisation)</w:t>
            </w:r>
          </w:p>
        </w:tc>
      </w:tr>
      <w:tr w:rsidR="003A009E" w:rsidRPr="00956FA1" w:rsidTr="00C34132">
        <w:tc>
          <w:tcPr>
            <w:tcW w:w="5000" w:type="pct"/>
            <w:gridSpan w:val="4"/>
          </w:tcPr>
          <w:p w:rsidR="003A009E" w:rsidRPr="00956FA1" w:rsidRDefault="009D3C39" w:rsidP="00C34132">
            <w:pPr>
              <w:jc w:val="both"/>
              <w:rPr>
                <w:sz w:val="20"/>
                <w:szCs w:val="20"/>
                <w:lang w:val="fr-CA"/>
              </w:rPr>
            </w:pPr>
            <w:r w:rsidRPr="00956FA1">
              <w:rPr>
                <w:sz w:val="20"/>
                <w:szCs w:val="20"/>
                <w:lang w:val="fr-CA"/>
              </w:rPr>
              <w:t>La demande d’autorisation d’appel de l’arrêt de la Cour d’appel de l’Ontario, numéro C68245, 2021 ONCA 38, daté du 21 janvier 2021, est rejetée avec dépens.</w:t>
            </w:r>
          </w:p>
          <w:p w:rsidR="009D3C39" w:rsidRPr="00956FA1" w:rsidRDefault="009D3C39" w:rsidP="00C34132">
            <w:pPr>
              <w:jc w:val="both"/>
              <w:rPr>
                <w:sz w:val="20"/>
                <w:lang w:val="fr-CA"/>
              </w:rPr>
            </w:pPr>
          </w:p>
        </w:tc>
      </w:tr>
      <w:tr w:rsidR="003A009E" w:rsidRPr="00956FA1" w:rsidTr="00C34132">
        <w:tc>
          <w:tcPr>
            <w:tcW w:w="5000" w:type="pct"/>
            <w:gridSpan w:val="4"/>
          </w:tcPr>
          <w:p w:rsidR="003A009E" w:rsidRPr="00956FA1" w:rsidRDefault="003A009E" w:rsidP="00C34132">
            <w:pPr>
              <w:jc w:val="both"/>
              <w:rPr>
                <w:sz w:val="20"/>
                <w:lang w:val="fr-CA"/>
              </w:rPr>
            </w:pPr>
            <w:r w:rsidRPr="00956FA1">
              <w:rPr>
                <w:sz w:val="20"/>
                <w:lang w:val="fr-CA"/>
              </w:rPr>
              <w:t>Procédure civile — Parties — Qualité pour agir — Fiducie — Violation fiduciaire — Motion en radiation — Une ancienne employée qui avait porté des plaintes à titre de lanceuse d’alerte alléguant des violations de fiducies de fonds communs de placement a présenté une demande sollicitant des ordonnances qui donneraient lieu à la divulgation, à la communication préalable et au redressement d’irrégularités et d’inconduite financières, le cas échéant — La Cour supérieure a accueilli la motion en radiation, vu l’absence de qualité pour agir de la demanderesse — La Cour d’appel a rejeté l’appel — Quelles sont la portée et l’obligation des juridictions supérieures d’encadrer, de superviser et de protéger les fiducies au Canada? — Quel droit à la qualité pour agir les lanceurs d’alerte de bonne foi et bien informés possèdent</w:t>
            </w:r>
            <w:r w:rsidRPr="00956FA1">
              <w:rPr>
                <w:sz w:val="20"/>
                <w:lang w:val="fr-CA"/>
              </w:rPr>
              <w:noBreakHyphen/>
              <w:t>ils pour présenter au tribunal une preuve de préjudice grave et de cas répétés d’inconduite de l’entreprise, surtout lorsque l’inconduite a rapport à la mauvaise administration d’une fiducie? — Les catégories traditionnelles de qualité pour agir d’ordre privé et d’ordre public sont-elles suffisantes pour appuyer le rôle essentiel que jouent les lanceurs d’alerte dans la protection des marchés canadiens des capitaux?</w:t>
            </w:r>
          </w:p>
        </w:tc>
      </w:tr>
      <w:tr w:rsidR="003A009E" w:rsidRPr="00956FA1" w:rsidTr="00C34132">
        <w:tc>
          <w:tcPr>
            <w:tcW w:w="5000" w:type="pct"/>
            <w:gridSpan w:val="4"/>
          </w:tcPr>
          <w:p w:rsidR="003A009E" w:rsidRPr="00956FA1" w:rsidRDefault="003A009E" w:rsidP="00C34132">
            <w:pPr>
              <w:jc w:val="both"/>
              <w:rPr>
                <w:sz w:val="20"/>
                <w:lang w:val="fr-CA"/>
              </w:rPr>
            </w:pPr>
          </w:p>
        </w:tc>
      </w:tr>
      <w:tr w:rsidR="003A009E" w:rsidRPr="00956FA1" w:rsidTr="00C34132">
        <w:tc>
          <w:tcPr>
            <w:tcW w:w="5000" w:type="pct"/>
            <w:gridSpan w:val="4"/>
          </w:tcPr>
          <w:p w:rsidR="003A009E" w:rsidRPr="00956FA1" w:rsidRDefault="003A009E" w:rsidP="00C34132">
            <w:pPr>
              <w:jc w:val="both"/>
              <w:rPr>
                <w:sz w:val="20"/>
                <w:lang w:val="fr-CA"/>
              </w:rPr>
            </w:pPr>
            <w:r w:rsidRPr="00956FA1">
              <w:rPr>
                <w:sz w:val="20"/>
                <w:lang w:val="fr-CA"/>
              </w:rPr>
              <w:t>La demanderesse, Mme Carroll, était employée de l’intimée, la Banque Toronto</w:t>
            </w:r>
            <w:r w:rsidRPr="00956FA1">
              <w:rPr>
                <w:sz w:val="20"/>
                <w:lang w:val="fr-CA"/>
              </w:rPr>
              <w:noBreakHyphen/>
              <w:t>Dominion (« Banque TD »). Elle était responsable de la conformité d’un groupe de filiales de la Banque TD ayant des obligations légales et réglementaires liées à la gestion de fonds communs de placement. À ce titre, Mme Carroll prétend avoir mis au jour des non-conformités réglementaires et des violations de fiducies de fonds communs de placement par des filiales de la Banque TD. Elle a porté des plaintes à titre de lanceuse d’alerte aux responsables de la Banque TD et à des organismes publics de réglementation à propos de l’inconduite qu’elle aurait présumément mis au jour. Elle a en outre introduit une instance civile contre les intimées (collectivement, « TD »), par voie de demande qui était structurée de manière à mettre au jour et réparer les actes répréhensibles qu’elle allègue. TD a présenté une motion en rejet de la demande de Mme Carroll. La juge des motions a accueilli la motion de TD au motif que Mme Carroll n’avait pas qualité pour présenter la demande. Elle a conclu que Mme Carroll n’était pas participante dans la fiducie et qu’elle n’avait aucun intérêt financier dans l’issue du litige; elle n’avait pas d’intérêt personnel direct dans le litige. La Cour d’appel a rejeté l’appel de Mme Carroll.</w:t>
            </w:r>
          </w:p>
          <w:p w:rsidR="003A009E" w:rsidRPr="00956FA1" w:rsidRDefault="003A009E" w:rsidP="00C34132">
            <w:pPr>
              <w:jc w:val="both"/>
              <w:rPr>
                <w:sz w:val="20"/>
                <w:lang w:val="fr-CA"/>
              </w:rPr>
            </w:pPr>
          </w:p>
        </w:tc>
      </w:tr>
      <w:tr w:rsidR="003A009E" w:rsidRPr="00956FA1" w:rsidTr="00C34132">
        <w:tc>
          <w:tcPr>
            <w:tcW w:w="2427" w:type="pct"/>
            <w:gridSpan w:val="2"/>
          </w:tcPr>
          <w:p w:rsidR="003A009E" w:rsidRPr="00956FA1" w:rsidRDefault="003A009E" w:rsidP="00C34132">
            <w:pPr>
              <w:jc w:val="both"/>
              <w:rPr>
                <w:sz w:val="20"/>
                <w:lang w:val="fr-CA"/>
              </w:rPr>
            </w:pPr>
            <w:r w:rsidRPr="00956FA1">
              <w:rPr>
                <w:sz w:val="20"/>
                <w:lang w:val="fr-CA"/>
              </w:rPr>
              <w:t>17 mars 2020</w:t>
            </w:r>
          </w:p>
          <w:p w:rsidR="003A009E" w:rsidRPr="00956FA1" w:rsidRDefault="003A009E" w:rsidP="00C34132">
            <w:pPr>
              <w:jc w:val="both"/>
              <w:rPr>
                <w:sz w:val="20"/>
                <w:lang w:val="fr-CA"/>
              </w:rPr>
            </w:pPr>
            <w:r w:rsidRPr="00956FA1">
              <w:rPr>
                <w:sz w:val="20"/>
                <w:lang w:val="fr-CA"/>
              </w:rPr>
              <w:t>Cour supérieure de justice de l’Ontario</w:t>
            </w:r>
          </w:p>
          <w:p w:rsidR="003A009E" w:rsidRPr="00956FA1" w:rsidRDefault="003A009E" w:rsidP="00C34132">
            <w:pPr>
              <w:jc w:val="both"/>
              <w:rPr>
                <w:sz w:val="20"/>
                <w:lang w:val="fr-CA"/>
              </w:rPr>
            </w:pPr>
            <w:r w:rsidRPr="00956FA1">
              <w:rPr>
                <w:sz w:val="20"/>
                <w:lang w:val="fr-CA"/>
              </w:rPr>
              <w:t>(Juge Gilmore)</w:t>
            </w:r>
          </w:p>
          <w:p w:rsidR="003A009E" w:rsidRPr="00956FA1" w:rsidRDefault="00956FA1" w:rsidP="00C34132">
            <w:pPr>
              <w:jc w:val="both"/>
              <w:rPr>
                <w:sz w:val="20"/>
                <w:lang w:val="fr-CA"/>
              </w:rPr>
            </w:pPr>
            <w:hyperlink r:id="rId35" w:history="1">
              <w:r w:rsidR="003A009E" w:rsidRPr="00956FA1">
                <w:rPr>
                  <w:rStyle w:val="Hyperlink"/>
                  <w:sz w:val="20"/>
                  <w:lang w:val="fr-CA"/>
                </w:rPr>
                <w:t>2020 ONSC 1629</w:t>
              </w:r>
            </w:hyperlink>
          </w:p>
          <w:p w:rsidR="003A009E" w:rsidRPr="00956FA1" w:rsidRDefault="003A009E" w:rsidP="00C34132">
            <w:pPr>
              <w:jc w:val="both"/>
              <w:rPr>
                <w:sz w:val="20"/>
                <w:lang w:val="fr-CA"/>
              </w:rPr>
            </w:pPr>
          </w:p>
        </w:tc>
        <w:tc>
          <w:tcPr>
            <w:tcW w:w="243" w:type="pct"/>
          </w:tcPr>
          <w:p w:rsidR="003A009E" w:rsidRPr="00956FA1" w:rsidRDefault="003A009E" w:rsidP="00C34132">
            <w:pPr>
              <w:jc w:val="both"/>
              <w:rPr>
                <w:sz w:val="20"/>
                <w:lang w:val="fr-CA"/>
              </w:rPr>
            </w:pPr>
          </w:p>
        </w:tc>
        <w:tc>
          <w:tcPr>
            <w:tcW w:w="2330" w:type="pct"/>
          </w:tcPr>
          <w:p w:rsidR="003A009E" w:rsidRPr="00956FA1" w:rsidRDefault="003A009E" w:rsidP="00C34132">
            <w:pPr>
              <w:jc w:val="both"/>
              <w:rPr>
                <w:sz w:val="20"/>
                <w:lang w:val="fr-CA"/>
              </w:rPr>
            </w:pPr>
            <w:r w:rsidRPr="00956FA1">
              <w:rPr>
                <w:sz w:val="20"/>
                <w:lang w:val="fr-CA"/>
              </w:rPr>
              <w:t>Jugement accueillant la motion des intimées en radiation de la demande de la demanderesse</w:t>
            </w:r>
          </w:p>
          <w:p w:rsidR="003A009E" w:rsidRPr="00956FA1" w:rsidRDefault="003A009E" w:rsidP="00C34132">
            <w:pPr>
              <w:jc w:val="both"/>
              <w:rPr>
                <w:sz w:val="20"/>
                <w:lang w:val="fr-CA"/>
              </w:rPr>
            </w:pPr>
          </w:p>
        </w:tc>
      </w:tr>
      <w:tr w:rsidR="003A009E" w:rsidRPr="00956FA1" w:rsidTr="00C34132">
        <w:tc>
          <w:tcPr>
            <w:tcW w:w="2427" w:type="pct"/>
            <w:gridSpan w:val="2"/>
          </w:tcPr>
          <w:p w:rsidR="003A009E" w:rsidRPr="00956FA1" w:rsidRDefault="003A009E" w:rsidP="00C34132">
            <w:pPr>
              <w:jc w:val="both"/>
              <w:rPr>
                <w:sz w:val="20"/>
                <w:lang w:val="fr-CA"/>
              </w:rPr>
            </w:pPr>
            <w:r w:rsidRPr="00956FA1">
              <w:rPr>
                <w:sz w:val="20"/>
                <w:lang w:val="fr-CA"/>
              </w:rPr>
              <w:t>21 janvier 2021</w:t>
            </w:r>
          </w:p>
          <w:p w:rsidR="003A009E" w:rsidRPr="00956FA1" w:rsidRDefault="003A009E" w:rsidP="00C34132">
            <w:pPr>
              <w:jc w:val="both"/>
              <w:rPr>
                <w:sz w:val="20"/>
                <w:lang w:val="fr-CA"/>
              </w:rPr>
            </w:pPr>
            <w:r w:rsidRPr="00956FA1">
              <w:rPr>
                <w:sz w:val="20"/>
                <w:lang w:val="fr-CA"/>
              </w:rPr>
              <w:t>Cour d’appel de l’Ontario</w:t>
            </w:r>
          </w:p>
          <w:p w:rsidR="003A009E" w:rsidRPr="00956FA1" w:rsidRDefault="003A009E" w:rsidP="00C34132">
            <w:pPr>
              <w:jc w:val="both"/>
              <w:rPr>
                <w:sz w:val="20"/>
                <w:lang w:val="fr-CA"/>
              </w:rPr>
            </w:pPr>
            <w:r w:rsidRPr="00956FA1">
              <w:rPr>
                <w:sz w:val="20"/>
                <w:lang w:val="fr-CA"/>
              </w:rPr>
              <w:t>(Juges Tulloch, Miller et Paciocco)</w:t>
            </w:r>
          </w:p>
          <w:p w:rsidR="003A009E" w:rsidRPr="00956FA1" w:rsidRDefault="00956FA1" w:rsidP="00C34132">
            <w:pPr>
              <w:jc w:val="both"/>
              <w:rPr>
                <w:sz w:val="20"/>
                <w:lang w:val="fr-CA"/>
              </w:rPr>
            </w:pPr>
            <w:hyperlink r:id="rId36" w:history="1">
              <w:r w:rsidR="003A009E" w:rsidRPr="00956FA1">
                <w:rPr>
                  <w:rStyle w:val="Hyperlink"/>
                  <w:sz w:val="20"/>
                  <w:lang w:val="fr-CA"/>
                </w:rPr>
                <w:t>2021 ONCA 38</w:t>
              </w:r>
            </w:hyperlink>
            <w:r w:rsidR="003A009E" w:rsidRPr="00956FA1">
              <w:rPr>
                <w:sz w:val="20"/>
                <w:lang w:val="fr-CA"/>
              </w:rPr>
              <w:t xml:space="preserve"> (Registre : C68245)</w:t>
            </w:r>
          </w:p>
          <w:p w:rsidR="003A009E" w:rsidRPr="00956FA1" w:rsidRDefault="003A009E" w:rsidP="00C34132">
            <w:pPr>
              <w:jc w:val="both"/>
              <w:rPr>
                <w:sz w:val="20"/>
                <w:lang w:val="fr-CA"/>
              </w:rPr>
            </w:pPr>
          </w:p>
        </w:tc>
        <w:tc>
          <w:tcPr>
            <w:tcW w:w="243" w:type="pct"/>
          </w:tcPr>
          <w:p w:rsidR="003A009E" w:rsidRPr="00956FA1" w:rsidRDefault="003A009E" w:rsidP="00C34132">
            <w:pPr>
              <w:jc w:val="both"/>
              <w:rPr>
                <w:sz w:val="20"/>
                <w:lang w:val="fr-CA"/>
              </w:rPr>
            </w:pPr>
          </w:p>
        </w:tc>
        <w:tc>
          <w:tcPr>
            <w:tcW w:w="2330" w:type="pct"/>
          </w:tcPr>
          <w:p w:rsidR="003A009E" w:rsidRPr="00956FA1" w:rsidRDefault="003A009E" w:rsidP="00C34132">
            <w:pPr>
              <w:jc w:val="both"/>
              <w:rPr>
                <w:sz w:val="20"/>
                <w:lang w:val="fr-CA"/>
              </w:rPr>
            </w:pPr>
            <w:r w:rsidRPr="00956FA1">
              <w:rPr>
                <w:sz w:val="20"/>
                <w:lang w:val="fr-CA"/>
              </w:rPr>
              <w:t>Rejet de l’appel</w:t>
            </w:r>
          </w:p>
          <w:p w:rsidR="003A009E" w:rsidRPr="00956FA1" w:rsidRDefault="003A009E" w:rsidP="00C34132">
            <w:pPr>
              <w:jc w:val="both"/>
              <w:rPr>
                <w:sz w:val="20"/>
                <w:lang w:val="fr-CA"/>
              </w:rPr>
            </w:pPr>
          </w:p>
        </w:tc>
      </w:tr>
      <w:tr w:rsidR="003A009E" w:rsidRPr="00956FA1" w:rsidTr="00C34132">
        <w:tc>
          <w:tcPr>
            <w:tcW w:w="2427" w:type="pct"/>
            <w:gridSpan w:val="2"/>
          </w:tcPr>
          <w:p w:rsidR="003A009E" w:rsidRPr="00956FA1" w:rsidRDefault="003A009E" w:rsidP="00C34132">
            <w:pPr>
              <w:jc w:val="both"/>
              <w:rPr>
                <w:sz w:val="20"/>
                <w:lang w:val="fr-CA"/>
              </w:rPr>
            </w:pPr>
            <w:r w:rsidRPr="00956FA1">
              <w:rPr>
                <w:sz w:val="20"/>
                <w:lang w:val="fr-CA"/>
              </w:rPr>
              <w:t>22 mars 2021</w:t>
            </w:r>
          </w:p>
          <w:p w:rsidR="003A009E" w:rsidRPr="00956FA1" w:rsidRDefault="003A009E" w:rsidP="00C34132">
            <w:pPr>
              <w:jc w:val="both"/>
              <w:rPr>
                <w:sz w:val="20"/>
                <w:lang w:val="fr-CA"/>
              </w:rPr>
            </w:pPr>
            <w:r w:rsidRPr="00956FA1">
              <w:rPr>
                <w:sz w:val="20"/>
                <w:lang w:val="fr-CA"/>
              </w:rPr>
              <w:t>Cour suprême du Canada</w:t>
            </w:r>
          </w:p>
        </w:tc>
        <w:tc>
          <w:tcPr>
            <w:tcW w:w="243" w:type="pct"/>
          </w:tcPr>
          <w:p w:rsidR="003A009E" w:rsidRPr="00956FA1" w:rsidRDefault="003A009E" w:rsidP="00C34132">
            <w:pPr>
              <w:jc w:val="both"/>
              <w:rPr>
                <w:sz w:val="20"/>
                <w:lang w:val="fr-CA"/>
              </w:rPr>
            </w:pPr>
          </w:p>
        </w:tc>
        <w:tc>
          <w:tcPr>
            <w:tcW w:w="2330" w:type="pct"/>
          </w:tcPr>
          <w:p w:rsidR="003A009E" w:rsidRPr="00956FA1" w:rsidRDefault="003A009E" w:rsidP="00C34132">
            <w:pPr>
              <w:jc w:val="both"/>
              <w:rPr>
                <w:sz w:val="20"/>
                <w:lang w:val="fr-CA"/>
              </w:rPr>
            </w:pPr>
            <w:r w:rsidRPr="00956FA1">
              <w:rPr>
                <w:sz w:val="20"/>
                <w:lang w:val="fr-CA"/>
              </w:rPr>
              <w:t>Dépôt de la demande d’autorisation d’appel</w:t>
            </w:r>
          </w:p>
          <w:p w:rsidR="003A009E" w:rsidRPr="00956FA1" w:rsidRDefault="003A009E" w:rsidP="00C34132">
            <w:pPr>
              <w:jc w:val="both"/>
              <w:rPr>
                <w:sz w:val="20"/>
                <w:lang w:val="fr-CA"/>
              </w:rPr>
            </w:pPr>
          </w:p>
        </w:tc>
      </w:tr>
    </w:tbl>
    <w:p w:rsidR="003A009E" w:rsidRPr="00956FA1" w:rsidRDefault="003A009E" w:rsidP="003A009E">
      <w:pPr>
        <w:jc w:val="both"/>
        <w:rPr>
          <w:sz w:val="20"/>
          <w:lang w:val="fr-CA"/>
        </w:rPr>
      </w:pPr>
    </w:p>
    <w:p w:rsidR="003A009E" w:rsidRPr="00956FA1" w:rsidRDefault="00956FA1" w:rsidP="003A009E">
      <w:pPr>
        <w:jc w:val="both"/>
        <w:rPr>
          <w:sz w:val="20"/>
          <w:lang w:val="fr-CA"/>
        </w:rPr>
      </w:pPr>
      <w:r w:rsidRPr="00956FA1">
        <w:rPr>
          <w:sz w:val="20"/>
        </w:rPr>
        <w:pict>
          <v:rect id="_x0000_i1041" style="width:2in;height:1pt" o:hrpct="0" o:hralign="center" o:hrstd="t" o:hrnoshade="t" o:hr="t" fillcolor="black [3213]" stroked="f"/>
        </w:pict>
      </w:r>
    </w:p>
    <w:p w:rsidR="003A009E" w:rsidRPr="00956FA1" w:rsidRDefault="003A009E" w:rsidP="003A009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A009E" w:rsidRPr="00956FA1" w:rsidTr="00C34132">
        <w:tc>
          <w:tcPr>
            <w:tcW w:w="543" w:type="pct"/>
          </w:tcPr>
          <w:p w:rsidR="003A009E" w:rsidRPr="00956FA1" w:rsidRDefault="003A009E" w:rsidP="00C34132">
            <w:pPr>
              <w:jc w:val="both"/>
              <w:rPr>
                <w:sz w:val="20"/>
              </w:rPr>
            </w:pPr>
            <w:r w:rsidRPr="00956FA1">
              <w:rPr>
                <w:rStyle w:val="SCCFileNumberChar"/>
                <w:sz w:val="20"/>
                <w:szCs w:val="20"/>
              </w:rPr>
              <w:t>39617</w:t>
            </w:r>
          </w:p>
        </w:tc>
        <w:tc>
          <w:tcPr>
            <w:tcW w:w="4457" w:type="pct"/>
            <w:gridSpan w:val="3"/>
          </w:tcPr>
          <w:p w:rsidR="003A009E" w:rsidRPr="00956FA1" w:rsidRDefault="003A009E" w:rsidP="00C34132">
            <w:pPr>
              <w:pStyle w:val="SCCLsocParty"/>
              <w:jc w:val="both"/>
              <w:rPr>
                <w:b/>
                <w:sz w:val="20"/>
                <w:szCs w:val="20"/>
                <w:lang w:val="en-US"/>
              </w:rPr>
            </w:pPr>
            <w:r w:rsidRPr="00956FA1">
              <w:rPr>
                <w:b/>
                <w:sz w:val="20"/>
                <w:szCs w:val="20"/>
                <w:lang w:val="en-US"/>
              </w:rPr>
              <w:t>Orville Campbell v. Her Majesty the Queen</w:t>
            </w:r>
          </w:p>
          <w:p w:rsidR="003A009E" w:rsidRPr="00956FA1" w:rsidRDefault="003A009E" w:rsidP="00C34132">
            <w:pPr>
              <w:jc w:val="both"/>
              <w:rPr>
                <w:sz w:val="20"/>
              </w:rPr>
            </w:pPr>
            <w:r w:rsidRPr="00956FA1">
              <w:rPr>
                <w:sz w:val="20"/>
              </w:rPr>
              <w:t>(Ont.) (Criminal) (By Leave)</w:t>
            </w:r>
          </w:p>
        </w:tc>
      </w:tr>
      <w:tr w:rsidR="003A009E" w:rsidRPr="00956FA1" w:rsidTr="00C34132">
        <w:tc>
          <w:tcPr>
            <w:tcW w:w="5000" w:type="pct"/>
            <w:gridSpan w:val="4"/>
          </w:tcPr>
          <w:p w:rsidR="009D3C39" w:rsidRPr="00956FA1" w:rsidRDefault="009D3C39" w:rsidP="009D3C39">
            <w:pPr>
              <w:jc w:val="both"/>
              <w:rPr>
                <w:sz w:val="20"/>
                <w:szCs w:val="20"/>
              </w:rPr>
            </w:pPr>
            <w:r w:rsidRPr="00956FA1">
              <w:rPr>
                <w:sz w:val="20"/>
                <w:szCs w:val="20"/>
              </w:rPr>
              <w:t>The motion for an extension of time to serve and file the application for leave to appeal is granted. The application for leave to appeal from the judgment of the Court of Appeal for Ontario, Number C62024, 2020 ONCA 221, dated March 17, 2020, is dismissed.</w:t>
            </w:r>
          </w:p>
          <w:p w:rsidR="009D3C39" w:rsidRPr="00956FA1" w:rsidRDefault="009D3C39" w:rsidP="009D3C39">
            <w:pPr>
              <w:jc w:val="both"/>
              <w:rPr>
                <w:sz w:val="20"/>
                <w:szCs w:val="20"/>
              </w:rPr>
            </w:pPr>
          </w:p>
          <w:p w:rsidR="003A009E" w:rsidRPr="00956FA1" w:rsidRDefault="009D3C39" w:rsidP="009D3C39">
            <w:pPr>
              <w:pStyle w:val="SCCBanSummary0"/>
              <w:rPr>
                <w:smallCaps w:val="0"/>
                <w:sz w:val="20"/>
                <w:szCs w:val="20"/>
              </w:rPr>
            </w:pPr>
            <w:r w:rsidRPr="00956FA1">
              <w:rPr>
                <w:smallCaps w:val="0"/>
                <w:sz w:val="20"/>
                <w:szCs w:val="20"/>
              </w:rPr>
              <w:t>Justice Jamal took no part in the judgment.</w:t>
            </w:r>
          </w:p>
          <w:p w:rsidR="009D3C39" w:rsidRPr="00956FA1" w:rsidRDefault="009D3C39" w:rsidP="009D3C39"/>
        </w:tc>
      </w:tr>
      <w:tr w:rsidR="003A009E" w:rsidRPr="00956FA1" w:rsidTr="00C34132">
        <w:tc>
          <w:tcPr>
            <w:tcW w:w="5000" w:type="pct"/>
            <w:gridSpan w:val="4"/>
          </w:tcPr>
          <w:p w:rsidR="003A009E" w:rsidRPr="00956FA1" w:rsidRDefault="003A009E" w:rsidP="00C34132">
            <w:pPr>
              <w:pStyle w:val="SCCBanSummary0"/>
              <w:rPr>
                <w:sz w:val="20"/>
                <w:szCs w:val="20"/>
              </w:rPr>
            </w:pPr>
            <w:r w:rsidRPr="00956FA1">
              <w:rPr>
                <w:sz w:val="20"/>
                <w:szCs w:val="20"/>
              </w:rPr>
              <w:t>(Publication ban in case)</w:t>
            </w:r>
          </w:p>
          <w:p w:rsidR="003A009E" w:rsidRPr="00956FA1" w:rsidRDefault="003A009E" w:rsidP="00C34132">
            <w:pPr>
              <w:jc w:val="both"/>
              <w:rPr>
                <w:sz w:val="20"/>
              </w:rPr>
            </w:pPr>
          </w:p>
        </w:tc>
      </w:tr>
      <w:tr w:rsidR="003A009E" w:rsidRPr="00956FA1" w:rsidTr="00C34132">
        <w:tc>
          <w:tcPr>
            <w:tcW w:w="5000" w:type="pct"/>
            <w:gridSpan w:val="4"/>
          </w:tcPr>
          <w:p w:rsidR="003A009E" w:rsidRPr="00956FA1" w:rsidRDefault="003A009E" w:rsidP="00C34132">
            <w:pPr>
              <w:jc w:val="both"/>
              <w:rPr>
                <w:sz w:val="20"/>
              </w:rPr>
            </w:pPr>
            <w:r w:rsidRPr="00956FA1">
              <w:rPr>
                <w:sz w:val="20"/>
              </w:rPr>
              <w:t xml:space="preserve">Criminal law — Appeals — Unreasonable verdict — Can a jury be properly instructed to consider an accused person as a principal in a murder under ss. 21(1)(a) and 229(a) of the </w:t>
            </w:r>
            <w:r w:rsidRPr="00956FA1">
              <w:rPr>
                <w:i/>
                <w:sz w:val="20"/>
              </w:rPr>
              <w:t>Criminal Code</w:t>
            </w:r>
            <w:r w:rsidRPr="00956FA1">
              <w:rPr>
                <w:sz w:val="20"/>
              </w:rPr>
              <w:t xml:space="preserve"> when his alleged participation in the homicide consisted solely of words spoken to the person whose actions caused the death of the deceased?</w:t>
            </w:r>
          </w:p>
          <w:p w:rsidR="003A009E" w:rsidRPr="00956FA1" w:rsidRDefault="003A009E" w:rsidP="00C34132">
            <w:pPr>
              <w:jc w:val="both"/>
              <w:rPr>
                <w:sz w:val="20"/>
              </w:rPr>
            </w:pPr>
          </w:p>
        </w:tc>
      </w:tr>
      <w:tr w:rsidR="003A009E" w:rsidRPr="00956FA1" w:rsidTr="00C34132">
        <w:tc>
          <w:tcPr>
            <w:tcW w:w="5000" w:type="pct"/>
            <w:gridSpan w:val="4"/>
          </w:tcPr>
          <w:p w:rsidR="003A009E" w:rsidRPr="00956FA1" w:rsidRDefault="003A009E" w:rsidP="00C34132">
            <w:pPr>
              <w:jc w:val="both"/>
              <w:rPr>
                <w:sz w:val="20"/>
                <w:lang w:val="en"/>
              </w:rPr>
            </w:pPr>
            <w:r w:rsidRPr="00956FA1">
              <w:rPr>
                <w:color w:val="000000"/>
                <w:spacing w:val="-2"/>
                <w:sz w:val="20"/>
              </w:rPr>
              <w:t xml:space="preserve">The applicant, Orville Campbell, and his friend Stanton David were together when Mr. David fatally shot the victim. </w:t>
            </w:r>
            <w:r w:rsidRPr="00956FA1">
              <w:rPr>
                <w:sz w:val="20"/>
                <w:lang w:val="en"/>
              </w:rPr>
              <w:t>The Crown alleged that Mr. Campbell passed the gun to Mr. David and instructed him to kill the victim. After a trial by judge and jury, Messrs. Campbell and David were convicted of first</w:t>
            </w:r>
            <w:r w:rsidRPr="00956FA1">
              <w:rPr>
                <w:sz w:val="20"/>
                <w:lang w:val="en"/>
              </w:rPr>
              <w:noBreakHyphen/>
              <w:t>degree murder. The Court of Appeal concluded that the verdict on first</w:t>
            </w:r>
            <w:r w:rsidRPr="00956FA1">
              <w:rPr>
                <w:sz w:val="20"/>
                <w:lang w:val="en"/>
              </w:rPr>
              <w:noBreakHyphen/>
              <w:t>degree murder was unreasonable, and that there was no error requiring a new trial on second</w:t>
            </w:r>
            <w:r w:rsidRPr="00956FA1">
              <w:rPr>
                <w:sz w:val="20"/>
                <w:lang w:val="en"/>
              </w:rPr>
              <w:noBreakHyphen/>
              <w:t>degree murder. The Court of Appeal dismissed the appeal, but substituted a verdict of second</w:t>
            </w:r>
            <w:r w:rsidRPr="00956FA1">
              <w:rPr>
                <w:sz w:val="20"/>
                <w:lang w:val="en"/>
              </w:rPr>
              <w:noBreakHyphen/>
              <w:t>degree murder and remitted the matter to the Superior Court for sentencing.</w:t>
            </w:r>
          </w:p>
          <w:p w:rsidR="003A009E" w:rsidRPr="00956FA1" w:rsidRDefault="003A009E" w:rsidP="00C34132">
            <w:pPr>
              <w:jc w:val="both"/>
              <w:rPr>
                <w:sz w:val="20"/>
              </w:rPr>
            </w:pPr>
          </w:p>
        </w:tc>
      </w:tr>
      <w:tr w:rsidR="003A009E" w:rsidRPr="00956FA1" w:rsidTr="00C34132">
        <w:tc>
          <w:tcPr>
            <w:tcW w:w="2427" w:type="pct"/>
            <w:gridSpan w:val="2"/>
          </w:tcPr>
          <w:p w:rsidR="003A009E" w:rsidRPr="00956FA1" w:rsidRDefault="003A009E" w:rsidP="00C34132">
            <w:pPr>
              <w:jc w:val="both"/>
              <w:rPr>
                <w:sz w:val="20"/>
              </w:rPr>
            </w:pPr>
            <w:r w:rsidRPr="00956FA1">
              <w:rPr>
                <w:sz w:val="20"/>
              </w:rPr>
              <w:t>November 4, 2015</w:t>
            </w:r>
          </w:p>
          <w:p w:rsidR="003A009E" w:rsidRPr="00956FA1" w:rsidRDefault="003A009E" w:rsidP="00C34132">
            <w:pPr>
              <w:jc w:val="both"/>
              <w:rPr>
                <w:sz w:val="20"/>
              </w:rPr>
            </w:pPr>
            <w:r w:rsidRPr="00956FA1">
              <w:rPr>
                <w:sz w:val="20"/>
              </w:rPr>
              <w:t>Ontario Superior Court of Justice</w:t>
            </w:r>
          </w:p>
          <w:p w:rsidR="003A009E" w:rsidRPr="00956FA1" w:rsidRDefault="003A009E" w:rsidP="00C34132">
            <w:pPr>
              <w:jc w:val="both"/>
              <w:rPr>
                <w:sz w:val="20"/>
              </w:rPr>
            </w:pPr>
            <w:r w:rsidRPr="00956FA1">
              <w:rPr>
                <w:sz w:val="20"/>
              </w:rPr>
              <w:t>(Nordheimer J.)</w:t>
            </w:r>
          </w:p>
          <w:p w:rsidR="003A009E" w:rsidRPr="00956FA1" w:rsidRDefault="003A009E" w:rsidP="00C34132">
            <w:pPr>
              <w:jc w:val="both"/>
              <w:rPr>
                <w:sz w:val="20"/>
              </w:rPr>
            </w:pPr>
            <w:r w:rsidRPr="00956FA1">
              <w:rPr>
                <w:sz w:val="20"/>
              </w:rPr>
              <w:t>(unreported)</w:t>
            </w:r>
          </w:p>
          <w:p w:rsidR="003A009E" w:rsidRPr="00956FA1" w:rsidRDefault="003A009E" w:rsidP="00C34132">
            <w:pPr>
              <w:jc w:val="both"/>
              <w:rPr>
                <w:sz w:val="20"/>
              </w:rPr>
            </w:pP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rPr>
            </w:pPr>
            <w:r w:rsidRPr="00956FA1">
              <w:rPr>
                <w:sz w:val="20"/>
              </w:rPr>
              <w:t>Conviction: first</w:t>
            </w:r>
            <w:r w:rsidRPr="00956FA1">
              <w:rPr>
                <w:sz w:val="20"/>
              </w:rPr>
              <w:noBreakHyphen/>
              <w:t>degree murder</w:t>
            </w:r>
          </w:p>
          <w:p w:rsidR="003A009E" w:rsidRPr="00956FA1" w:rsidRDefault="003A009E" w:rsidP="00C34132">
            <w:pPr>
              <w:jc w:val="both"/>
              <w:rPr>
                <w:sz w:val="20"/>
              </w:rPr>
            </w:pPr>
          </w:p>
        </w:tc>
      </w:tr>
      <w:tr w:rsidR="003A009E" w:rsidRPr="00956FA1" w:rsidTr="00C34132">
        <w:tc>
          <w:tcPr>
            <w:tcW w:w="2427" w:type="pct"/>
            <w:gridSpan w:val="2"/>
          </w:tcPr>
          <w:p w:rsidR="003A009E" w:rsidRPr="00956FA1" w:rsidRDefault="003A009E" w:rsidP="00C34132">
            <w:pPr>
              <w:jc w:val="both"/>
              <w:rPr>
                <w:sz w:val="20"/>
              </w:rPr>
            </w:pPr>
            <w:r w:rsidRPr="00956FA1">
              <w:rPr>
                <w:sz w:val="20"/>
              </w:rPr>
              <w:t>March 17, 2020</w:t>
            </w:r>
          </w:p>
          <w:p w:rsidR="003A009E" w:rsidRPr="00956FA1" w:rsidRDefault="003A009E" w:rsidP="00C34132">
            <w:pPr>
              <w:jc w:val="both"/>
              <w:rPr>
                <w:sz w:val="20"/>
              </w:rPr>
            </w:pPr>
            <w:r w:rsidRPr="00956FA1">
              <w:rPr>
                <w:sz w:val="20"/>
              </w:rPr>
              <w:t>Court of Appeal for Ontario</w:t>
            </w:r>
          </w:p>
          <w:p w:rsidR="003A009E" w:rsidRPr="00956FA1" w:rsidRDefault="003A009E" w:rsidP="00C34132">
            <w:pPr>
              <w:jc w:val="both"/>
              <w:rPr>
                <w:sz w:val="20"/>
              </w:rPr>
            </w:pPr>
            <w:r w:rsidRPr="00956FA1">
              <w:rPr>
                <w:sz w:val="20"/>
              </w:rPr>
              <w:t xml:space="preserve">(Benotto, Huscroft, Jamal JJ.A.) </w:t>
            </w:r>
          </w:p>
          <w:p w:rsidR="003A009E" w:rsidRPr="00956FA1" w:rsidRDefault="003A009E" w:rsidP="00C34132">
            <w:pPr>
              <w:jc w:val="both"/>
              <w:rPr>
                <w:sz w:val="20"/>
              </w:rPr>
            </w:pPr>
            <w:r w:rsidRPr="00956FA1">
              <w:rPr>
                <w:sz w:val="20"/>
              </w:rPr>
              <w:t xml:space="preserve">C62024; </w:t>
            </w:r>
            <w:hyperlink r:id="rId37" w:history="1">
              <w:r w:rsidRPr="00956FA1">
                <w:rPr>
                  <w:rStyle w:val="Hyperlink"/>
                  <w:sz w:val="20"/>
                </w:rPr>
                <w:t>2020 ONCA 221</w:t>
              </w:r>
            </w:hyperlink>
          </w:p>
          <w:p w:rsidR="003A009E" w:rsidRPr="00956FA1" w:rsidRDefault="003A009E" w:rsidP="00C34132">
            <w:pPr>
              <w:jc w:val="both"/>
              <w:rPr>
                <w:sz w:val="20"/>
              </w:rPr>
            </w:pP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rPr>
            </w:pPr>
            <w:r w:rsidRPr="00956FA1">
              <w:rPr>
                <w:sz w:val="20"/>
              </w:rPr>
              <w:t>Appeal dismissed: second</w:t>
            </w:r>
            <w:r w:rsidRPr="00956FA1">
              <w:rPr>
                <w:sz w:val="20"/>
              </w:rPr>
              <w:noBreakHyphen/>
              <w:t>degree murder substituted</w:t>
            </w:r>
          </w:p>
          <w:p w:rsidR="003A009E" w:rsidRPr="00956FA1" w:rsidRDefault="003A009E" w:rsidP="00C34132">
            <w:pPr>
              <w:jc w:val="both"/>
              <w:rPr>
                <w:sz w:val="20"/>
              </w:rPr>
            </w:pPr>
          </w:p>
        </w:tc>
      </w:tr>
      <w:tr w:rsidR="003A009E" w:rsidRPr="00956FA1" w:rsidTr="00C34132">
        <w:tc>
          <w:tcPr>
            <w:tcW w:w="2427" w:type="pct"/>
            <w:gridSpan w:val="2"/>
          </w:tcPr>
          <w:p w:rsidR="003A009E" w:rsidRPr="00956FA1" w:rsidRDefault="003A009E" w:rsidP="00C34132">
            <w:pPr>
              <w:jc w:val="both"/>
              <w:rPr>
                <w:sz w:val="20"/>
              </w:rPr>
            </w:pPr>
            <w:r w:rsidRPr="00956FA1">
              <w:rPr>
                <w:sz w:val="20"/>
              </w:rPr>
              <w:t>March 26, 2021</w:t>
            </w:r>
          </w:p>
          <w:p w:rsidR="003A009E" w:rsidRPr="00956FA1" w:rsidRDefault="003A009E" w:rsidP="00C34132">
            <w:pPr>
              <w:jc w:val="both"/>
              <w:rPr>
                <w:sz w:val="20"/>
              </w:rPr>
            </w:pPr>
            <w:r w:rsidRPr="00956FA1">
              <w:rPr>
                <w:sz w:val="20"/>
              </w:rPr>
              <w:t>Supreme Court of Canada</w:t>
            </w:r>
          </w:p>
          <w:p w:rsidR="003A009E" w:rsidRPr="00956FA1" w:rsidRDefault="003A009E" w:rsidP="00C34132">
            <w:pPr>
              <w:jc w:val="both"/>
              <w:rPr>
                <w:sz w:val="20"/>
              </w:rPr>
            </w:pP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rPr>
            </w:pPr>
            <w:r w:rsidRPr="00956FA1">
              <w:rPr>
                <w:sz w:val="20"/>
              </w:rPr>
              <w:t>Motion for an extension of time to serve and file the application for leave to appeal and application for leave to appeal filed</w:t>
            </w:r>
          </w:p>
        </w:tc>
      </w:tr>
    </w:tbl>
    <w:p w:rsidR="003A009E" w:rsidRPr="00956FA1" w:rsidRDefault="003A009E" w:rsidP="003A009E">
      <w:pPr>
        <w:jc w:val="both"/>
        <w:rPr>
          <w:sz w:val="20"/>
        </w:rPr>
      </w:pPr>
    </w:p>
    <w:p w:rsidR="003A009E" w:rsidRPr="00956FA1" w:rsidRDefault="00956FA1" w:rsidP="003A009E">
      <w:pPr>
        <w:jc w:val="both"/>
        <w:rPr>
          <w:sz w:val="20"/>
        </w:rPr>
      </w:pPr>
      <w:r w:rsidRPr="00956FA1">
        <w:rPr>
          <w:sz w:val="20"/>
        </w:rPr>
        <w:pict>
          <v:rect id="_x0000_i1042" style="width:2in;height:1pt" o:hrpct="0" o:hralign="center" o:hrstd="t" o:hrnoshade="t" o:hr="t" fillcolor="black [3213]" stroked="f"/>
        </w:pict>
      </w:r>
    </w:p>
    <w:p w:rsidR="003A009E" w:rsidRPr="00956FA1" w:rsidRDefault="003A009E" w:rsidP="003A009E">
      <w:pPr>
        <w:jc w:val="both"/>
        <w:rPr>
          <w:sz w:val="20"/>
        </w:rPr>
      </w:pPr>
    </w:p>
    <w:p w:rsidR="00662169" w:rsidRPr="00956FA1" w:rsidRDefault="00662169">
      <w:r w:rsidRPr="00956FA1">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A009E" w:rsidRPr="00956FA1" w:rsidTr="00C34132">
        <w:tc>
          <w:tcPr>
            <w:tcW w:w="543" w:type="pct"/>
          </w:tcPr>
          <w:p w:rsidR="003A009E" w:rsidRPr="00956FA1" w:rsidRDefault="003A009E" w:rsidP="00C34132">
            <w:pPr>
              <w:jc w:val="both"/>
              <w:rPr>
                <w:sz w:val="20"/>
                <w:lang w:val="fr-CA"/>
              </w:rPr>
            </w:pPr>
            <w:r w:rsidRPr="00956FA1">
              <w:rPr>
                <w:rStyle w:val="SCCFileNumberChar"/>
                <w:sz w:val="20"/>
                <w:szCs w:val="20"/>
                <w:lang w:val="fr-CA"/>
              </w:rPr>
              <w:t>39617</w:t>
            </w:r>
          </w:p>
        </w:tc>
        <w:tc>
          <w:tcPr>
            <w:tcW w:w="4457" w:type="pct"/>
            <w:gridSpan w:val="3"/>
          </w:tcPr>
          <w:p w:rsidR="003A009E" w:rsidRPr="00956FA1" w:rsidRDefault="003A009E" w:rsidP="00C34132">
            <w:pPr>
              <w:pStyle w:val="SCCLsocParty"/>
              <w:jc w:val="both"/>
              <w:rPr>
                <w:b/>
                <w:sz w:val="20"/>
                <w:szCs w:val="20"/>
              </w:rPr>
            </w:pPr>
            <w:r w:rsidRPr="00956FA1">
              <w:rPr>
                <w:b/>
                <w:sz w:val="20"/>
                <w:szCs w:val="20"/>
              </w:rPr>
              <w:t>Orville Campbell c. Sa Majesté la Reine</w:t>
            </w:r>
          </w:p>
          <w:p w:rsidR="003A009E" w:rsidRPr="00956FA1" w:rsidRDefault="003A009E" w:rsidP="00C34132">
            <w:pPr>
              <w:jc w:val="both"/>
              <w:rPr>
                <w:sz w:val="20"/>
                <w:lang w:val="fr-CA"/>
              </w:rPr>
            </w:pPr>
            <w:r w:rsidRPr="00956FA1">
              <w:rPr>
                <w:sz w:val="20"/>
                <w:lang w:val="fr-CA"/>
              </w:rPr>
              <w:t>(Ont.) (Criminelle) (Autorisation)</w:t>
            </w:r>
          </w:p>
        </w:tc>
      </w:tr>
      <w:tr w:rsidR="003A009E" w:rsidRPr="00956FA1" w:rsidTr="00C34132">
        <w:tc>
          <w:tcPr>
            <w:tcW w:w="5000" w:type="pct"/>
            <w:gridSpan w:val="4"/>
          </w:tcPr>
          <w:p w:rsidR="009D3C39" w:rsidRPr="00956FA1" w:rsidRDefault="009D3C39" w:rsidP="009D3C39">
            <w:pPr>
              <w:jc w:val="both"/>
              <w:rPr>
                <w:sz w:val="20"/>
                <w:szCs w:val="20"/>
                <w:lang w:val="fr-CA"/>
              </w:rPr>
            </w:pPr>
            <w:r w:rsidRPr="00956FA1">
              <w:rPr>
                <w:rFonts w:cs="Times New Roman"/>
                <w:sz w:val="20"/>
                <w:szCs w:val="20"/>
                <w:lang w:val="fr-CA"/>
              </w:rPr>
              <w:t xml:space="preserve">La requête en prorogation du délai de signification et de dépôt de la demande d’autorisation d’appel est accueillie. </w:t>
            </w:r>
            <w:r w:rsidRPr="00956FA1">
              <w:rPr>
                <w:sz w:val="20"/>
                <w:szCs w:val="20"/>
                <w:lang w:val="fr-CA"/>
              </w:rPr>
              <w:t>La demande d’autorisation d’appel de l’arrêt de la Cour d’appel de l’Ontario, numéro C62024, 2020 ONCA 221, daté du 17 mars 2020, est rejetée.</w:t>
            </w:r>
          </w:p>
          <w:p w:rsidR="009D3C39" w:rsidRPr="00956FA1" w:rsidRDefault="009D3C39" w:rsidP="009D3C39">
            <w:pPr>
              <w:jc w:val="both"/>
              <w:rPr>
                <w:sz w:val="20"/>
                <w:szCs w:val="20"/>
                <w:lang w:val="fr-CA"/>
              </w:rPr>
            </w:pPr>
          </w:p>
          <w:p w:rsidR="003A009E" w:rsidRPr="00956FA1" w:rsidRDefault="009D3C39" w:rsidP="009D3C39">
            <w:pPr>
              <w:pStyle w:val="SCCBanSummary0"/>
              <w:rPr>
                <w:smallCaps w:val="0"/>
                <w:sz w:val="20"/>
                <w:szCs w:val="20"/>
                <w:lang w:val="fr-CA"/>
              </w:rPr>
            </w:pPr>
            <w:r w:rsidRPr="00956FA1">
              <w:rPr>
                <w:smallCaps w:val="0"/>
                <w:sz w:val="20"/>
                <w:szCs w:val="20"/>
                <w:lang w:val="fr-CA"/>
              </w:rPr>
              <w:t xml:space="preserve">Le juge Jamal n’a pas </w:t>
            </w:r>
            <w:r w:rsidRPr="00956FA1">
              <w:rPr>
                <w:rStyle w:val="solexhl2"/>
                <w:smallCaps w:val="0"/>
                <w:sz w:val="20"/>
                <w:szCs w:val="20"/>
                <w:lang w:val="fr-CA"/>
              </w:rPr>
              <w:t>participé</w:t>
            </w:r>
            <w:r w:rsidRPr="00956FA1">
              <w:rPr>
                <w:smallCaps w:val="0"/>
                <w:sz w:val="20"/>
                <w:szCs w:val="20"/>
                <w:lang w:val="fr-CA"/>
              </w:rPr>
              <w:t xml:space="preserve"> au jugement.</w:t>
            </w:r>
          </w:p>
          <w:p w:rsidR="009D3C39" w:rsidRPr="00956FA1" w:rsidRDefault="009D3C39" w:rsidP="009D3C39">
            <w:pPr>
              <w:rPr>
                <w:lang w:val="fr-CA"/>
              </w:rPr>
            </w:pPr>
          </w:p>
        </w:tc>
      </w:tr>
      <w:tr w:rsidR="003A009E" w:rsidRPr="00956FA1" w:rsidTr="00C34132">
        <w:tc>
          <w:tcPr>
            <w:tcW w:w="5000" w:type="pct"/>
            <w:gridSpan w:val="4"/>
          </w:tcPr>
          <w:p w:rsidR="003A009E" w:rsidRPr="00956FA1" w:rsidRDefault="003A009E" w:rsidP="00C34132">
            <w:pPr>
              <w:pStyle w:val="SCCBanSummary0"/>
              <w:rPr>
                <w:sz w:val="20"/>
                <w:szCs w:val="20"/>
                <w:lang w:val="fr-CA"/>
              </w:rPr>
            </w:pPr>
            <w:r w:rsidRPr="00956FA1">
              <w:rPr>
                <w:sz w:val="20"/>
                <w:szCs w:val="20"/>
                <w:lang w:val="fr-CA"/>
              </w:rPr>
              <w:t>(Ordonnance de non</w:t>
            </w:r>
            <w:r w:rsidRPr="00956FA1">
              <w:rPr>
                <w:sz w:val="20"/>
                <w:szCs w:val="20"/>
                <w:lang w:val="fr-CA"/>
              </w:rPr>
              <w:noBreakHyphen/>
              <w:t>publication dans le dossier)</w:t>
            </w:r>
          </w:p>
          <w:p w:rsidR="003A009E" w:rsidRPr="00956FA1" w:rsidRDefault="003A009E" w:rsidP="00C34132">
            <w:pPr>
              <w:jc w:val="both"/>
              <w:rPr>
                <w:sz w:val="20"/>
                <w:lang w:val="fr-CA"/>
              </w:rPr>
            </w:pPr>
          </w:p>
        </w:tc>
      </w:tr>
      <w:tr w:rsidR="003A009E" w:rsidRPr="00956FA1" w:rsidTr="00C34132">
        <w:tc>
          <w:tcPr>
            <w:tcW w:w="5000" w:type="pct"/>
            <w:gridSpan w:val="4"/>
          </w:tcPr>
          <w:p w:rsidR="003A009E" w:rsidRPr="00956FA1" w:rsidRDefault="003A009E" w:rsidP="00C34132">
            <w:pPr>
              <w:jc w:val="both"/>
              <w:rPr>
                <w:sz w:val="20"/>
                <w:lang w:val="fr-CA"/>
              </w:rPr>
            </w:pPr>
            <w:r w:rsidRPr="00956FA1">
              <w:rPr>
                <w:sz w:val="20"/>
                <w:lang w:val="fr-CA"/>
              </w:rPr>
              <w:t>Droit criminel — Appels — Verdict déraisonnable — Peut</w:t>
            </w:r>
            <w:r w:rsidRPr="00956FA1">
              <w:rPr>
                <w:sz w:val="20"/>
                <w:lang w:val="fr-CA"/>
              </w:rPr>
              <w:noBreakHyphen/>
              <w:t xml:space="preserve">on valablement inviter un jury à considérer la personne accusée comme auteur d’un meurtre en application des al. 21(1)a) et 229a) du </w:t>
            </w:r>
            <w:r w:rsidRPr="00956FA1">
              <w:rPr>
                <w:i/>
                <w:sz w:val="20"/>
                <w:lang w:val="fr-CA"/>
              </w:rPr>
              <w:t>Code criminel</w:t>
            </w:r>
            <w:r w:rsidRPr="00956FA1">
              <w:rPr>
                <w:sz w:val="20"/>
                <w:lang w:val="fr-CA"/>
              </w:rPr>
              <w:t xml:space="preserve"> alors que sa participation à l’homicide consistait uniquement en des paroles prononcées à la personne dont les gestes ont causé la mort de la personne décédée?</w:t>
            </w:r>
          </w:p>
          <w:p w:rsidR="003A009E" w:rsidRPr="00956FA1" w:rsidRDefault="003A009E" w:rsidP="00C34132">
            <w:pPr>
              <w:jc w:val="both"/>
              <w:rPr>
                <w:sz w:val="20"/>
                <w:lang w:val="fr-CA"/>
              </w:rPr>
            </w:pPr>
          </w:p>
        </w:tc>
      </w:tr>
      <w:tr w:rsidR="003A009E" w:rsidRPr="00956FA1" w:rsidTr="00C34132">
        <w:tc>
          <w:tcPr>
            <w:tcW w:w="5000" w:type="pct"/>
            <w:gridSpan w:val="4"/>
          </w:tcPr>
          <w:p w:rsidR="003A009E" w:rsidRPr="00956FA1" w:rsidRDefault="003A009E" w:rsidP="00C34132">
            <w:pPr>
              <w:jc w:val="both"/>
              <w:rPr>
                <w:sz w:val="20"/>
                <w:lang w:val="fr-CA"/>
              </w:rPr>
            </w:pPr>
            <w:r w:rsidRPr="00956FA1">
              <w:rPr>
                <w:color w:val="000000"/>
                <w:spacing w:val="-2"/>
                <w:sz w:val="20"/>
                <w:lang w:val="fr-CA"/>
              </w:rPr>
              <w:t xml:space="preserve">Le demandeur, Orville Campbell, et son ami Stanton David se trouvaient ensemble lorsque M. David a mortellement atteint la victime par balle. </w:t>
            </w:r>
            <w:r w:rsidRPr="00956FA1">
              <w:rPr>
                <w:sz w:val="20"/>
                <w:lang w:val="fr-CA"/>
              </w:rPr>
              <w:t>Le ministère public allègue que M. Campbell a remis l’arme à feu à M. David et lui a demandé de tuer la victime. Au terme d’un procès devant un juge et un jury, MM. Campbell et David ont été déclarés coupables de meurtre au premier degré. La Cour d’appel a conclu que le verdict de culpabilité pour meurtre au premier degré était déraisonnable et qu’il n’y avait aucune erreur exigeant la tenue d’un nouveau procès relativement au meurtre au deuxième degré. La Cour d’appel a rejeté l’appel, mais a substitué un verdict de meurtre au deuxième degré et a renvoyé l’affaire à la Cour supérieure pour la détermination de la peine.</w:t>
            </w:r>
          </w:p>
          <w:p w:rsidR="003A009E" w:rsidRPr="00956FA1" w:rsidRDefault="003A009E" w:rsidP="00C34132">
            <w:pPr>
              <w:jc w:val="both"/>
              <w:rPr>
                <w:sz w:val="20"/>
                <w:lang w:val="fr-CA"/>
              </w:rPr>
            </w:pPr>
          </w:p>
        </w:tc>
      </w:tr>
      <w:tr w:rsidR="003A009E" w:rsidRPr="00956FA1" w:rsidTr="00C34132">
        <w:tc>
          <w:tcPr>
            <w:tcW w:w="2427" w:type="pct"/>
            <w:gridSpan w:val="2"/>
          </w:tcPr>
          <w:p w:rsidR="003A009E" w:rsidRPr="00956FA1" w:rsidRDefault="003A009E" w:rsidP="00C34132">
            <w:pPr>
              <w:jc w:val="both"/>
              <w:rPr>
                <w:sz w:val="20"/>
                <w:lang w:val="fr-CA"/>
              </w:rPr>
            </w:pPr>
            <w:r w:rsidRPr="00956FA1">
              <w:rPr>
                <w:sz w:val="20"/>
                <w:lang w:val="fr-CA"/>
              </w:rPr>
              <w:t>4 novembre 2015</w:t>
            </w:r>
          </w:p>
          <w:p w:rsidR="003A009E" w:rsidRPr="00956FA1" w:rsidRDefault="003A009E" w:rsidP="00C34132">
            <w:pPr>
              <w:jc w:val="both"/>
              <w:rPr>
                <w:sz w:val="20"/>
                <w:lang w:val="fr-CA"/>
              </w:rPr>
            </w:pPr>
            <w:r w:rsidRPr="00956FA1">
              <w:rPr>
                <w:sz w:val="20"/>
                <w:lang w:val="fr-CA"/>
              </w:rPr>
              <w:t>Cour supérieure de justice de l’Ontario</w:t>
            </w:r>
          </w:p>
          <w:p w:rsidR="003A009E" w:rsidRPr="00956FA1" w:rsidRDefault="003A009E" w:rsidP="00C34132">
            <w:pPr>
              <w:jc w:val="both"/>
              <w:rPr>
                <w:sz w:val="20"/>
                <w:lang w:val="fr-CA"/>
              </w:rPr>
            </w:pPr>
            <w:r w:rsidRPr="00956FA1">
              <w:rPr>
                <w:sz w:val="20"/>
                <w:lang w:val="fr-CA"/>
              </w:rPr>
              <w:t>(Juge Nordheimer)</w:t>
            </w:r>
          </w:p>
          <w:p w:rsidR="003A009E" w:rsidRPr="00956FA1" w:rsidRDefault="003A009E" w:rsidP="00C34132">
            <w:pPr>
              <w:jc w:val="both"/>
              <w:rPr>
                <w:sz w:val="20"/>
                <w:lang w:val="fr-CA"/>
              </w:rPr>
            </w:pPr>
            <w:r w:rsidRPr="00956FA1">
              <w:rPr>
                <w:sz w:val="20"/>
                <w:lang w:val="fr-CA"/>
              </w:rPr>
              <w:t>(non publié)</w:t>
            </w:r>
          </w:p>
          <w:p w:rsidR="003A009E" w:rsidRPr="00956FA1" w:rsidRDefault="003A009E" w:rsidP="00C34132">
            <w:pPr>
              <w:jc w:val="both"/>
              <w:rPr>
                <w:sz w:val="20"/>
                <w:lang w:val="fr-CA"/>
              </w:rPr>
            </w:pPr>
          </w:p>
        </w:tc>
        <w:tc>
          <w:tcPr>
            <w:tcW w:w="243" w:type="pct"/>
          </w:tcPr>
          <w:p w:rsidR="003A009E" w:rsidRPr="00956FA1" w:rsidRDefault="003A009E" w:rsidP="00C34132">
            <w:pPr>
              <w:jc w:val="both"/>
              <w:rPr>
                <w:sz w:val="20"/>
                <w:lang w:val="fr-CA"/>
              </w:rPr>
            </w:pPr>
          </w:p>
        </w:tc>
        <w:tc>
          <w:tcPr>
            <w:tcW w:w="2330" w:type="pct"/>
          </w:tcPr>
          <w:p w:rsidR="003A009E" w:rsidRPr="00956FA1" w:rsidRDefault="003A009E" w:rsidP="00C34132">
            <w:pPr>
              <w:jc w:val="both"/>
              <w:rPr>
                <w:sz w:val="20"/>
                <w:lang w:val="fr-CA"/>
              </w:rPr>
            </w:pPr>
            <w:r w:rsidRPr="00956FA1">
              <w:rPr>
                <w:sz w:val="20"/>
                <w:lang w:val="fr-CA"/>
              </w:rPr>
              <w:t>Déclaration de culpabilité : meurtre au premier degré</w:t>
            </w:r>
          </w:p>
          <w:p w:rsidR="003A009E" w:rsidRPr="00956FA1" w:rsidRDefault="003A009E" w:rsidP="00C34132">
            <w:pPr>
              <w:jc w:val="both"/>
              <w:rPr>
                <w:sz w:val="20"/>
                <w:lang w:val="fr-CA"/>
              </w:rPr>
            </w:pPr>
          </w:p>
        </w:tc>
      </w:tr>
      <w:tr w:rsidR="003A009E" w:rsidRPr="00956FA1" w:rsidTr="00C34132">
        <w:tc>
          <w:tcPr>
            <w:tcW w:w="2427" w:type="pct"/>
            <w:gridSpan w:val="2"/>
          </w:tcPr>
          <w:p w:rsidR="003A009E" w:rsidRPr="00956FA1" w:rsidRDefault="003A009E" w:rsidP="00C34132">
            <w:pPr>
              <w:jc w:val="both"/>
              <w:rPr>
                <w:sz w:val="20"/>
                <w:lang w:val="fr-CA"/>
              </w:rPr>
            </w:pPr>
            <w:r w:rsidRPr="00956FA1">
              <w:rPr>
                <w:sz w:val="20"/>
                <w:lang w:val="fr-CA"/>
              </w:rPr>
              <w:t>17 mars 2020</w:t>
            </w:r>
          </w:p>
          <w:p w:rsidR="003A009E" w:rsidRPr="00956FA1" w:rsidRDefault="003A009E" w:rsidP="00C34132">
            <w:pPr>
              <w:jc w:val="both"/>
              <w:rPr>
                <w:sz w:val="20"/>
                <w:lang w:val="fr-CA"/>
              </w:rPr>
            </w:pPr>
            <w:r w:rsidRPr="00956FA1">
              <w:rPr>
                <w:sz w:val="20"/>
                <w:lang w:val="fr-CA"/>
              </w:rPr>
              <w:t>Cour d’appel de l’Ontario</w:t>
            </w:r>
          </w:p>
          <w:p w:rsidR="003A009E" w:rsidRPr="00956FA1" w:rsidRDefault="003A009E" w:rsidP="00C34132">
            <w:pPr>
              <w:jc w:val="both"/>
              <w:rPr>
                <w:sz w:val="20"/>
                <w:lang w:val="fr-CA"/>
              </w:rPr>
            </w:pPr>
            <w:r w:rsidRPr="00956FA1">
              <w:rPr>
                <w:sz w:val="20"/>
                <w:lang w:val="fr-CA"/>
              </w:rPr>
              <w:t xml:space="preserve">(Juges Benotto, Huscroft et Jamal) </w:t>
            </w:r>
          </w:p>
          <w:p w:rsidR="003A009E" w:rsidRPr="00956FA1" w:rsidRDefault="003A009E" w:rsidP="00C34132">
            <w:pPr>
              <w:jc w:val="both"/>
              <w:rPr>
                <w:sz w:val="20"/>
                <w:lang w:val="fr-CA"/>
              </w:rPr>
            </w:pPr>
            <w:r w:rsidRPr="00956FA1">
              <w:rPr>
                <w:sz w:val="20"/>
                <w:lang w:val="fr-CA"/>
              </w:rPr>
              <w:t xml:space="preserve">C62024; </w:t>
            </w:r>
            <w:hyperlink r:id="rId38" w:history="1">
              <w:r w:rsidRPr="00956FA1">
                <w:rPr>
                  <w:rStyle w:val="Hyperlink"/>
                  <w:sz w:val="20"/>
                  <w:lang w:val="fr-CA"/>
                </w:rPr>
                <w:t>2020 ONCA 221</w:t>
              </w:r>
            </w:hyperlink>
          </w:p>
          <w:p w:rsidR="003A009E" w:rsidRPr="00956FA1" w:rsidRDefault="003A009E" w:rsidP="00C34132">
            <w:pPr>
              <w:jc w:val="both"/>
              <w:rPr>
                <w:sz w:val="20"/>
                <w:lang w:val="fr-CA"/>
              </w:rPr>
            </w:pPr>
          </w:p>
        </w:tc>
        <w:tc>
          <w:tcPr>
            <w:tcW w:w="243" w:type="pct"/>
          </w:tcPr>
          <w:p w:rsidR="003A009E" w:rsidRPr="00956FA1" w:rsidRDefault="003A009E" w:rsidP="00C34132">
            <w:pPr>
              <w:jc w:val="both"/>
              <w:rPr>
                <w:sz w:val="20"/>
                <w:lang w:val="fr-CA"/>
              </w:rPr>
            </w:pPr>
          </w:p>
        </w:tc>
        <w:tc>
          <w:tcPr>
            <w:tcW w:w="2330" w:type="pct"/>
          </w:tcPr>
          <w:p w:rsidR="003A009E" w:rsidRPr="00956FA1" w:rsidRDefault="003A009E" w:rsidP="00C34132">
            <w:pPr>
              <w:jc w:val="both"/>
              <w:rPr>
                <w:sz w:val="20"/>
                <w:lang w:val="fr-CA"/>
              </w:rPr>
            </w:pPr>
            <w:r w:rsidRPr="00956FA1">
              <w:rPr>
                <w:sz w:val="20"/>
                <w:lang w:val="fr-CA"/>
              </w:rPr>
              <w:t>Arrêt rejetant l’appel et substituant une déclaration de culpabilité pour meurtre au deuxième degré</w:t>
            </w:r>
          </w:p>
          <w:p w:rsidR="003A009E" w:rsidRPr="00956FA1" w:rsidRDefault="003A009E" w:rsidP="00C34132">
            <w:pPr>
              <w:jc w:val="both"/>
              <w:rPr>
                <w:sz w:val="20"/>
                <w:lang w:val="fr-CA"/>
              </w:rPr>
            </w:pPr>
          </w:p>
        </w:tc>
      </w:tr>
      <w:tr w:rsidR="003A009E" w:rsidRPr="00956FA1" w:rsidTr="00C34132">
        <w:tc>
          <w:tcPr>
            <w:tcW w:w="2427" w:type="pct"/>
            <w:gridSpan w:val="2"/>
          </w:tcPr>
          <w:p w:rsidR="003A009E" w:rsidRPr="00956FA1" w:rsidRDefault="003A009E" w:rsidP="00C34132">
            <w:pPr>
              <w:jc w:val="both"/>
              <w:rPr>
                <w:sz w:val="20"/>
                <w:lang w:val="fr-CA"/>
              </w:rPr>
            </w:pPr>
            <w:r w:rsidRPr="00956FA1">
              <w:rPr>
                <w:sz w:val="20"/>
                <w:lang w:val="fr-CA"/>
              </w:rPr>
              <w:t>26 mars 2021</w:t>
            </w:r>
          </w:p>
          <w:p w:rsidR="003A009E" w:rsidRPr="00956FA1" w:rsidRDefault="003A009E" w:rsidP="00C34132">
            <w:pPr>
              <w:jc w:val="both"/>
              <w:rPr>
                <w:sz w:val="20"/>
                <w:lang w:val="fr-CA"/>
              </w:rPr>
            </w:pPr>
            <w:r w:rsidRPr="00956FA1">
              <w:rPr>
                <w:sz w:val="20"/>
                <w:lang w:val="fr-CA"/>
              </w:rPr>
              <w:t>Cour suprême du Canada</w:t>
            </w:r>
          </w:p>
          <w:p w:rsidR="003A009E" w:rsidRPr="00956FA1" w:rsidRDefault="003A009E" w:rsidP="00C34132">
            <w:pPr>
              <w:jc w:val="both"/>
              <w:rPr>
                <w:sz w:val="20"/>
                <w:lang w:val="fr-CA"/>
              </w:rPr>
            </w:pPr>
          </w:p>
        </w:tc>
        <w:tc>
          <w:tcPr>
            <w:tcW w:w="243" w:type="pct"/>
          </w:tcPr>
          <w:p w:rsidR="003A009E" w:rsidRPr="00956FA1" w:rsidRDefault="003A009E" w:rsidP="00C34132">
            <w:pPr>
              <w:jc w:val="both"/>
              <w:rPr>
                <w:sz w:val="20"/>
                <w:lang w:val="fr-CA"/>
              </w:rPr>
            </w:pPr>
          </w:p>
        </w:tc>
        <w:tc>
          <w:tcPr>
            <w:tcW w:w="2330" w:type="pct"/>
          </w:tcPr>
          <w:p w:rsidR="003A009E" w:rsidRPr="00956FA1" w:rsidRDefault="003A009E" w:rsidP="00C34132">
            <w:pPr>
              <w:jc w:val="both"/>
              <w:rPr>
                <w:sz w:val="20"/>
                <w:lang w:val="fr-CA"/>
              </w:rPr>
            </w:pPr>
            <w:r w:rsidRPr="00956FA1">
              <w:rPr>
                <w:sz w:val="20"/>
                <w:lang w:val="fr-CA"/>
              </w:rPr>
              <w:t>Dépôt de la requête en prorogation du délai de signification et de dépôt de la demande d’autorisation d’appel et de la demande d’autorisation d’appel</w:t>
            </w:r>
          </w:p>
        </w:tc>
      </w:tr>
    </w:tbl>
    <w:p w:rsidR="003A009E" w:rsidRPr="00956FA1" w:rsidRDefault="003A009E" w:rsidP="003A009E">
      <w:pPr>
        <w:jc w:val="both"/>
        <w:rPr>
          <w:sz w:val="20"/>
          <w:lang w:val="fr-CA"/>
        </w:rPr>
      </w:pPr>
    </w:p>
    <w:p w:rsidR="003A009E" w:rsidRPr="00956FA1" w:rsidRDefault="00956FA1" w:rsidP="003A009E">
      <w:pPr>
        <w:jc w:val="both"/>
        <w:rPr>
          <w:sz w:val="20"/>
          <w:lang w:val="fr-CA"/>
        </w:rPr>
      </w:pPr>
      <w:r w:rsidRPr="00956FA1">
        <w:rPr>
          <w:sz w:val="20"/>
        </w:rPr>
        <w:pict>
          <v:rect id="_x0000_i1043" style="width:2in;height:1pt" o:hrpct="0" o:hralign="center" o:hrstd="t" o:hrnoshade="t" o:hr="t" fillcolor="black [3213]" stroked="f"/>
        </w:pict>
      </w:r>
    </w:p>
    <w:p w:rsidR="003A009E" w:rsidRPr="00956FA1" w:rsidRDefault="003A009E" w:rsidP="003A009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A009E" w:rsidRPr="00956FA1" w:rsidTr="00C34132">
        <w:tc>
          <w:tcPr>
            <w:tcW w:w="543" w:type="pct"/>
          </w:tcPr>
          <w:p w:rsidR="003A009E" w:rsidRPr="00956FA1" w:rsidRDefault="003A009E" w:rsidP="00C34132">
            <w:pPr>
              <w:jc w:val="both"/>
              <w:rPr>
                <w:sz w:val="20"/>
              </w:rPr>
            </w:pPr>
            <w:r w:rsidRPr="00956FA1">
              <w:rPr>
                <w:rStyle w:val="SCCFileNumberChar"/>
                <w:sz w:val="20"/>
                <w:szCs w:val="20"/>
              </w:rPr>
              <w:t>39622</w:t>
            </w:r>
          </w:p>
        </w:tc>
        <w:tc>
          <w:tcPr>
            <w:tcW w:w="4457" w:type="pct"/>
            <w:gridSpan w:val="3"/>
          </w:tcPr>
          <w:p w:rsidR="003A009E" w:rsidRPr="00956FA1" w:rsidRDefault="003A009E" w:rsidP="00C34132">
            <w:pPr>
              <w:pStyle w:val="SCCLsocParty"/>
              <w:jc w:val="both"/>
              <w:rPr>
                <w:b/>
                <w:sz w:val="20"/>
                <w:szCs w:val="20"/>
                <w:lang w:val="en-US"/>
              </w:rPr>
            </w:pPr>
            <w:r w:rsidRPr="00956FA1">
              <w:rPr>
                <w:b/>
                <w:sz w:val="20"/>
                <w:szCs w:val="20"/>
                <w:lang w:val="en-US"/>
              </w:rPr>
              <w:t>David Earle v. Her Majesty the Queen</w:t>
            </w:r>
          </w:p>
          <w:p w:rsidR="003A009E" w:rsidRPr="00956FA1" w:rsidRDefault="003A009E" w:rsidP="00C34132">
            <w:pPr>
              <w:jc w:val="both"/>
              <w:rPr>
                <w:sz w:val="20"/>
              </w:rPr>
            </w:pPr>
            <w:r w:rsidRPr="00956FA1">
              <w:rPr>
                <w:sz w:val="20"/>
              </w:rPr>
              <w:t>(Ont.) (Criminal) (By Leave)</w:t>
            </w:r>
          </w:p>
        </w:tc>
      </w:tr>
      <w:tr w:rsidR="003A009E" w:rsidRPr="00956FA1" w:rsidTr="00C34132">
        <w:tc>
          <w:tcPr>
            <w:tcW w:w="5000" w:type="pct"/>
            <w:gridSpan w:val="4"/>
          </w:tcPr>
          <w:p w:rsidR="009A388B" w:rsidRPr="00956FA1" w:rsidRDefault="009A388B" w:rsidP="009A388B">
            <w:pPr>
              <w:jc w:val="both"/>
              <w:rPr>
                <w:sz w:val="20"/>
                <w:szCs w:val="20"/>
              </w:rPr>
            </w:pPr>
            <w:r w:rsidRPr="00956FA1">
              <w:rPr>
                <w:sz w:val="20"/>
                <w:szCs w:val="20"/>
              </w:rPr>
              <w:t>The motion for an extension of time to serve and file the application for leave to appeal is granted. The application for leave to appeal from the judgment of the Court of Appeal for Ontario, Number C66898, 2021 ONCA 34, dated January 20, 2021, is dismissed.</w:t>
            </w:r>
          </w:p>
          <w:p w:rsidR="003A009E" w:rsidRPr="00956FA1" w:rsidRDefault="003A009E" w:rsidP="00C34132">
            <w:pPr>
              <w:jc w:val="both"/>
              <w:rPr>
                <w:sz w:val="20"/>
              </w:rPr>
            </w:pPr>
          </w:p>
        </w:tc>
      </w:tr>
      <w:tr w:rsidR="003A009E" w:rsidRPr="00956FA1" w:rsidTr="00C34132">
        <w:tc>
          <w:tcPr>
            <w:tcW w:w="5000" w:type="pct"/>
            <w:gridSpan w:val="4"/>
          </w:tcPr>
          <w:p w:rsidR="003A009E" w:rsidRPr="00956FA1" w:rsidRDefault="003A009E" w:rsidP="00C34132">
            <w:pPr>
              <w:jc w:val="both"/>
              <w:rPr>
                <w:sz w:val="20"/>
              </w:rPr>
            </w:pPr>
            <w:r w:rsidRPr="00956FA1">
              <w:rPr>
                <w:sz w:val="20"/>
              </w:rPr>
              <w:t>Criminal law — Appeal — Procedure — Fine in lieu of forfeiture — What is the proper procedure to be followed in appeals where a claim of ineffective assistance of counsel is raised — Whether adverse inference can be drawn from failure to file affidavit from trial counsel in response to allegations — Nature and scope of judicial discretion not to impose fine in lieu of forfeiture.</w:t>
            </w:r>
          </w:p>
        </w:tc>
      </w:tr>
      <w:tr w:rsidR="003A009E" w:rsidRPr="00956FA1" w:rsidTr="00C34132">
        <w:tc>
          <w:tcPr>
            <w:tcW w:w="5000" w:type="pct"/>
            <w:gridSpan w:val="4"/>
          </w:tcPr>
          <w:p w:rsidR="003A009E" w:rsidRPr="00956FA1" w:rsidRDefault="003A009E" w:rsidP="00C34132">
            <w:pPr>
              <w:jc w:val="both"/>
              <w:rPr>
                <w:sz w:val="20"/>
              </w:rPr>
            </w:pPr>
          </w:p>
        </w:tc>
      </w:tr>
      <w:tr w:rsidR="003A009E" w:rsidRPr="00956FA1" w:rsidTr="00C34132">
        <w:tc>
          <w:tcPr>
            <w:tcW w:w="5000" w:type="pct"/>
            <w:gridSpan w:val="4"/>
          </w:tcPr>
          <w:p w:rsidR="003A009E" w:rsidRPr="00956FA1" w:rsidRDefault="003A009E" w:rsidP="00C34132">
            <w:pPr>
              <w:jc w:val="both"/>
              <w:rPr>
                <w:sz w:val="20"/>
                <w:lang w:val="en"/>
              </w:rPr>
            </w:pPr>
            <w:r w:rsidRPr="00956FA1">
              <w:rPr>
                <w:sz w:val="20"/>
                <w:lang w:val="en"/>
              </w:rPr>
              <w:t>Mr. Earle misled clients to believe that his company possessed precious metals and that purchases of precious metals were being made by the company in accordance with their orders. His company went bankrupt. Mr. Earle was charged with fraud over $5000 and money laundering. He was convicted on both counts. He was sentenced to three years imprisonment. The sentencing judge ordered a fine in lieu of forfeiture. The Court of Appeal dismissed an appeal.</w:t>
            </w:r>
          </w:p>
          <w:p w:rsidR="003A009E" w:rsidRPr="00956FA1" w:rsidRDefault="003A009E" w:rsidP="00C34132">
            <w:pPr>
              <w:jc w:val="both"/>
              <w:rPr>
                <w:sz w:val="20"/>
              </w:rPr>
            </w:pPr>
          </w:p>
        </w:tc>
      </w:tr>
      <w:tr w:rsidR="003A009E" w:rsidRPr="00956FA1" w:rsidTr="00C34132">
        <w:tc>
          <w:tcPr>
            <w:tcW w:w="2427" w:type="pct"/>
            <w:gridSpan w:val="2"/>
          </w:tcPr>
          <w:p w:rsidR="003A009E" w:rsidRPr="00956FA1" w:rsidRDefault="003A009E" w:rsidP="00C34132">
            <w:pPr>
              <w:jc w:val="both"/>
              <w:rPr>
                <w:sz w:val="20"/>
              </w:rPr>
            </w:pPr>
            <w:r w:rsidRPr="00956FA1">
              <w:rPr>
                <w:sz w:val="20"/>
              </w:rPr>
              <w:t>May 24, 2017</w:t>
            </w:r>
          </w:p>
          <w:p w:rsidR="003A009E" w:rsidRPr="00956FA1" w:rsidRDefault="003A009E" w:rsidP="00C34132">
            <w:pPr>
              <w:jc w:val="both"/>
              <w:rPr>
                <w:sz w:val="20"/>
              </w:rPr>
            </w:pPr>
            <w:r w:rsidRPr="00956FA1">
              <w:rPr>
                <w:sz w:val="20"/>
              </w:rPr>
              <w:t>Ontario Superior Court of Justice</w:t>
            </w:r>
          </w:p>
          <w:p w:rsidR="003A009E" w:rsidRPr="00956FA1" w:rsidRDefault="003A009E" w:rsidP="00C34132">
            <w:pPr>
              <w:jc w:val="both"/>
              <w:rPr>
                <w:sz w:val="20"/>
              </w:rPr>
            </w:pPr>
            <w:r w:rsidRPr="00956FA1">
              <w:rPr>
                <w:sz w:val="20"/>
              </w:rPr>
              <w:t xml:space="preserve">(Garton J.)(Unreported) </w:t>
            </w:r>
          </w:p>
          <w:p w:rsidR="003A009E" w:rsidRPr="00956FA1" w:rsidRDefault="003A009E" w:rsidP="00C34132">
            <w:pPr>
              <w:jc w:val="both"/>
              <w:rPr>
                <w:sz w:val="20"/>
              </w:rPr>
            </w:pP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rPr>
            </w:pPr>
            <w:r w:rsidRPr="00956FA1">
              <w:rPr>
                <w:sz w:val="20"/>
              </w:rPr>
              <w:t xml:space="preserve">Conviction for </w:t>
            </w:r>
            <w:r w:rsidRPr="00956FA1">
              <w:rPr>
                <w:color w:val="000000"/>
                <w:sz w:val="20"/>
              </w:rPr>
              <w:t xml:space="preserve">fraud over $5,000 and money laundering, money laundering count stayed </w:t>
            </w:r>
          </w:p>
        </w:tc>
      </w:tr>
      <w:tr w:rsidR="003A009E" w:rsidRPr="00956FA1" w:rsidTr="00C34132">
        <w:tc>
          <w:tcPr>
            <w:tcW w:w="2427" w:type="pct"/>
            <w:gridSpan w:val="2"/>
          </w:tcPr>
          <w:p w:rsidR="003A009E" w:rsidRPr="00956FA1" w:rsidRDefault="003A009E" w:rsidP="00C34132">
            <w:pPr>
              <w:jc w:val="both"/>
              <w:rPr>
                <w:sz w:val="20"/>
              </w:rPr>
            </w:pPr>
            <w:r w:rsidRPr="00956FA1">
              <w:rPr>
                <w:sz w:val="20"/>
              </w:rPr>
              <w:t>January 25, 2018</w:t>
            </w:r>
          </w:p>
          <w:p w:rsidR="003A009E" w:rsidRPr="00956FA1" w:rsidRDefault="003A009E" w:rsidP="00C34132">
            <w:pPr>
              <w:jc w:val="both"/>
              <w:rPr>
                <w:sz w:val="20"/>
              </w:rPr>
            </w:pPr>
            <w:r w:rsidRPr="00956FA1">
              <w:rPr>
                <w:sz w:val="20"/>
              </w:rPr>
              <w:t>Ontario Superior Court of Justice</w:t>
            </w:r>
          </w:p>
          <w:p w:rsidR="003A009E" w:rsidRPr="00956FA1" w:rsidRDefault="003A009E" w:rsidP="00C34132">
            <w:pPr>
              <w:jc w:val="both"/>
              <w:rPr>
                <w:sz w:val="20"/>
              </w:rPr>
            </w:pPr>
            <w:r w:rsidRPr="00956FA1">
              <w:rPr>
                <w:sz w:val="20"/>
              </w:rPr>
              <w:t>(Garton J.)(Unreported)</w:t>
            </w:r>
          </w:p>
          <w:p w:rsidR="003A009E" w:rsidRPr="00956FA1" w:rsidRDefault="003A009E" w:rsidP="00C34132">
            <w:pPr>
              <w:jc w:val="both"/>
              <w:rPr>
                <w:sz w:val="20"/>
              </w:rPr>
            </w:pP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rPr>
            </w:pPr>
            <w:r w:rsidRPr="00956FA1">
              <w:rPr>
                <w:sz w:val="20"/>
              </w:rPr>
              <w:t xml:space="preserve">Sentence to </w:t>
            </w:r>
            <w:r w:rsidRPr="00956FA1">
              <w:rPr>
                <w:sz w:val="20"/>
                <w:lang w:val="en"/>
              </w:rPr>
              <w:t>three years imprisonment, restitution, a fine in lieu of forfeiture and a victim surcharge</w:t>
            </w:r>
          </w:p>
          <w:p w:rsidR="003A009E" w:rsidRPr="00956FA1" w:rsidRDefault="003A009E" w:rsidP="00C34132">
            <w:pPr>
              <w:jc w:val="both"/>
              <w:rPr>
                <w:sz w:val="20"/>
              </w:rPr>
            </w:pPr>
          </w:p>
        </w:tc>
      </w:tr>
      <w:tr w:rsidR="003A009E" w:rsidRPr="00956FA1" w:rsidTr="00C34132">
        <w:tc>
          <w:tcPr>
            <w:tcW w:w="2427" w:type="pct"/>
            <w:gridSpan w:val="2"/>
          </w:tcPr>
          <w:p w:rsidR="003A009E" w:rsidRPr="00956FA1" w:rsidRDefault="003A009E" w:rsidP="00C34132">
            <w:pPr>
              <w:jc w:val="both"/>
              <w:rPr>
                <w:sz w:val="20"/>
              </w:rPr>
            </w:pPr>
            <w:r w:rsidRPr="00956FA1">
              <w:rPr>
                <w:sz w:val="20"/>
              </w:rPr>
              <w:t>January 20, 2021</w:t>
            </w:r>
          </w:p>
          <w:p w:rsidR="003A009E" w:rsidRPr="00956FA1" w:rsidRDefault="003A009E" w:rsidP="00C34132">
            <w:pPr>
              <w:jc w:val="both"/>
              <w:rPr>
                <w:sz w:val="20"/>
              </w:rPr>
            </w:pPr>
            <w:r w:rsidRPr="00956FA1">
              <w:rPr>
                <w:sz w:val="20"/>
              </w:rPr>
              <w:t>Court of Appeal for Ontario</w:t>
            </w:r>
          </w:p>
          <w:p w:rsidR="003A009E" w:rsidRPr="00956FA1" w:rsidRDefault="003A009E" w:rsidP="00C34132">
            <w:pPr>
              <w:jc w:val="both"/>
              <w:rPr>
                <w:sz w:val="20"/>
              </w:rPr>
            </w:pPr>
            <w:r w:rsidRPr="00956FA1">
              <w:rPr>
                <w:sz w:val="20"/>
              </w:rPr>
              <w:t>(MacPherson, Tulloch, Lauwers JJ.A.)</w:t>
            </w:r>
          </w:p>
          <w:p w:rsidR="003A009E" w:rsidRPr="00956FA1" w:rsidRDefault="00956FA1" w:rsidP="00C34132">
            <w:pPr>
              <w:jc w:val="both"/>
              <w:rPr>
                <w:sz w:val="20"/>
                <w:lang w:val="en"/>
              </w:rPr>
            </w:pPr>
            <w:hyperlink r:id="rId39" w:history="1">
              <w:r w:rsidR="003A009E" w:rsidRPr="00956FA1">
                <w:rPr>
                  <w:rStyle w:val="Hyperlink"/>
                  <w:sz w:val="20"/>
                </w:rPr>
                <w:t>2021 ONCA 34</w:t>
              </w:r>
            </w:hyperlink>
            <w:r w:rsidR="003A009E" w:rsidRPr="00956FA1">
              <w:rPr>
                <w:sz w:val="20"/>
              </w:rPr>
              <w:t xml:space="preserve">; </w:t>
            </w:r>
            <w:r w:rsidR="003A009E" w:rsidRPr="00956FA1">
              <w:rPr>
                <w:sz w:val="20"/>
                <w:lang w:val="en"/>
              </w:rPr>
              <w:t>C66898</w:t>
            </w:r>
          </w:p>
          <w:p w:rsidR="003A009E" w:rsidRPr="00956FA1" w:rsidRDefault="003A009E" w:rsidP="00C34132">
            <w:pPr>
              <w:jc w:val="both"/>
              <w:rPr>
                <w:sz w:val="20"/>
              </w:rPr>
            </w:pP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rPr>
            </w:pPr>
            <w:r w:rsidRPr="00956FA1">
              <w:rPr>
                <w:sz w:val="20"/>
              </w:rPr>
              <w:t xml:space="preserve">Victim surcharge set aside, appeal from convictions and sentence otherwise dismissed </w:t>
            </w:r>
          </w:p>
          <w:p w:rsidR="003A009E" w:rsidRPr="00956FA1" w:rsidRDefault="003A009E" w:rsidP="00C34132">
            <w:pPr>
              <w:jc w:val="both"/>
              <w:rPr>
                <w:sz w:val="20"/>
              </w:rPr>
            </w:pPr>
          </w:p>
        </w:tc>
      </w:tr>
      <w:tr w:rsidR="003A009E" w:rsidRPr="00956FA1" w:rsidTr="00C34132">
        <w:tc>
          <w:tcPr>
            <w:tcW w:w="2427" w:type="pct"/>
            <w:gridSpan w:val="2"/>
          </w:tcPr>
          <w:p w:rsidR="003A009E" w:rsidRPr="00956FA1" w:rsidRDefault="003A009E" w:rsidP="00C34132">
            <w:pPr>
              <w:jc w:val="both"/>
              <w:rPr>
                <w:sz w:val="20"/>
              </w:rPr>
            </w:pPr>
            <w:r w:rsidRPr="00956FA1">
              <w:rPr>
                <w:sz w:val="20"/>
              </w:rPr>
              <w:t>March 31, 2021</w:t>
            </w:r>
          </w:p>
          <w:p w:rsidR="003A009E" w:rsidRPr="00956FA1" w:rsidRDefault="003A009E" w:rsidP="00C34132">
            <w:pPr>
              <w:jc w:val="both"/>
              <w:rPr>
                <w:sz w:val="20"/>
              </w:rPr>
            </w:pPr>
            <w:r w:rsidRPr="00956FA1">
              <w:rPr>
                <w:sz w:val="20"/>
              </w:rPr>
              <w:t>Supreme Court of Canada</w:t>
            </w: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rPr>
            </w:pPr>
            <w:r w:rsidRPr="00956FA1">
              <w:rPr>
                <w:sz w:val="20"/>
              </w:rPr>
              <w:t>Motion to extend time to serve and file application for leave to appeal and application for leave to appeal filed</w:t>
            </w:r>
          </w:p>
        </w:tc>
      </w:tr>
    </w:tbl>
    <w:p w:rsidR="003A009E" w:rsidRPr="00956FA1" w:rsidRDefault="003A009E" w:rsidP="003A009E">
      <w:pPr>
        <w:jc w:val="both"/>
        <w:rPr>
          <w:sz w:val="20"/>
        </w:rPr>
      </w:pPr>
    </w:p>
    <w:p w:rsidR="003A009E" w:rsidRPr="00956FA1" w:rsidRDefault="00956FA1" w:rsidP="003A009E">
      <w:pPr>
        <w:jc w:val="both"/>
        <w:rPr>
          <w:sz w:val="20"/>
        </w:rPr>
      </w:pPr>
      <w:r w:rsidRPr="00956FA1">
        <w:rPr>
          <w:sz w:val="20"/>
        </w:rPr>
        <w:pict>
          <v:rect id="_x0000_i1044" style="width:2in;height:1pt" o:hrpct="0" o:hralign="center" o:hrstd="t" o:hrnoshade="t" o:hr="t" fillcolor="black [3213]" stroked="f"/>
        </w:pict>
      </w:r>
    </w:p>
    <w:p w:rsidR="003A009E" w:rsidRPr="00956FA1" w:rsidRDefault="003A009E" w:rsidP="003A009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A009E" w:rsidRPr="00956FA1" w:rsidTr="00C34132">
        <w:tc>
          <w:tcPr>
            <w:tcW w:w="543" w:type="pct"/>
          </w:tcPr>
          <w:p w:rsidR="003A009E" w:rsidRPr="00956FA1" w:rsidRDefault="003A009E" w:rsidP="00C34132">
            <w:pPr>
              <w:jc w:val="both"/>
              <w:rPr>
                <w:sz w:val="20"/>
                <w:lang w:val="fr-CA"/>
              </w:rPr>
            </w:pPr>
            <w:r w:rsidRPr="00956FA1">
              <w:rPr>
                <w:rStyle w:val="SCCFileNumberChar"/>
                <w:sz w:val="20"/>
                <w:szCs w:val="20"/>
                <w:lang w:val="fr-CA"/>
              </w:rPr>
              <w:t>39622</w:t>
            </w:r>
          </w:p>
        </w:tc>
        <w:tc>
          <w:tcPr>
            <w:tcW w:w="4457" w:type="pct"/>
            <w:gridSpan w:val="3"/>
          </w:tcPr>
          <w:p w:rsidR="003A009E" w:rsidRPr="00956FA1" w:rsidRDefault="003A009E" w:rsidP="00C34132">
            <w:pPr>
              <w:pStyle w:val="SCCLsocParty"/>
              <w:jc w:val="both"/>
              <w:rPr>
                <w:b/>
                <w:sz w:val="20"/>
                <w:szCs w:val="20"/>
              </w:rPr>
            </w:pPr>
            <w:r w:rsidRPr="00956FA1">
              <w:rPr>
                <w:b/>
                <w:sz w:val="20"/>
                <w:szCs w:val="20"/>
              </w:rPr>
              <w:t>David Earle c. Sa Majesté la Reine</w:t>
            </w:r>
          </w:p>
          <w:p w:rsidR="003A009E" w:rsidRPr="00956FA1" w:rsidRDefault="003A009E" w:rsidP="00C34132">
            <w:pPr>
              <w:jc w:val="both"/>
              <w:rPr>
                <w:sz w:val="20"/>
                <w:lang w:val="fr-CA"/>
              </w:rPr>
            </w:pPr>
            <w:r w:rsidRPr="00956FA1">
              <w:rPr>
                <w:sz w:val="20"/>
                <w:lang w:val="fr-CA"/>
              </w:rPr>
              <w:t>(Ont.) (Criminelle) (Autorisation)</w:t>
            </w:r>
          </w:p>
        </w:tc>
      </w:tr>
      <w:tr w:rsidR="003A009E" w:rsidRPr="00956FA1" w:rsidTr="00C34132">
        <w:tc>
          <w:tcPr>
            <w:tcW w:w="5000" w:type="pct"/>
            <w:gridSpan w:val="4"/>
          </w:tcPr>
          <w:p w:rsidR="003A009E" w:rsidRPr="00956FA1" w:rsidRDefault="009A388B" w:rsidP="00C34132">
            <w:pPr>
              <w:jc w:val="both"/>
              <w:rPr>
                <w:sz w:val="20"/>
                <w:szCs w:val="20"/>
                <w:lang w:val="fr-CA"/>
              </w:rPr>
            </w:pPr>
            <w:r w:rsidRPr="00956FA1">
              <w:rPr>
                <w:rFonts w:cs="Times New Roman"/>
                <w:sz w:val="20"/>
                <w:szCs w:val="20"/>
                <w:lang w:val="fr-CA"/>
              </w:rPr>
              <w:t xml:space="preserve">La requête en prorogation du délai de signification et de dépôt de la demande d’autorisation d’appel est accueillie. </w:t>
            </w:r>
            <w:r w:rsidRPr="00956FA1">
              <w:rPr>
                <w:sz w:val="20"/>
                <w:szCs w:val="20"/>
                <w:lang w:val="fr-CA"/>
              </w:rPr>
              <w:t>La demande d’autorisation d’appel de l’arrêt de la Cour d’appel de l’Ontario, numéro C66898, 2021 ONCA 34, daté du 20 janvier 2021, est rejetée.</w:t>
            </w:r>
          </w:p>
          <w:p w:rsidR="009A388B" w:rsidRPr="00956FA1" w:rsidRDefault="009A388B" w:rsidP="00C34132">
            <w:pPr>
              <w:jc w:val="both"/>
              <w:rPr>
                <w:sz w:val="20"/>
                <w:lang w:val="fr-CA"/>
              </w:rPr>
            </w:pPr>
          </w:p>
        </w:tc>
      </w:tr>
      <w:tr w:rsidR="003A009E" w:rsidRPr="00956FA1" w:rsidTr="00C34132">
        <w:tc>
          <w:tcPr>
            <w:tcW w:w="5000" w:type="pct"/>
            <w:gridSpan w:val="4"/>
          </w:tcPr>
          <w:p w:rsidR="003A009E" w:rsidRPr="00956FA1" w:rsidRDefault="003A009E" w:rsidP="00C34132">
            <w:pPr>
              <w:jc w:val="both"/>
              <w:rPr>
                <w:sz w:val="20"/>
                <w:lang w:val="fr-CA"/>
              </w:rPr>
            </w:pPr>
            <w:r w:rsidRPr="00956FA1">
              <w:rPr>
                <w:sz w:val="20"/>
                <w:lang w:val="fr-CA"/>
              </w:rPr>
              <w:t>Droit criminel — Appel — Procédure — Amende en remplacement de la confiscation — Quelle est la procédure à suivre dans les appels où il y a une allégation d’assistance inefficace de l’avocat? — Quelle inférence négative peut-on tirer du non</w:t>
            </w:r>
            <w:r w:rsidRPr="00956FA1">
              <w:rPr>
                <w:sz w:val="20"/>
                <w:lang w:val="fr-CA"/>
              </w:rPr>
              <w:noBreakHyphen/>
              <w:t>dépôt d’un affidavit de l’avocat au procès en réponse aux allégations? — Nature et portée du pouvoir discrétionnaire du tribunal de ne pas infliger d’amende en remplacement de la confiscation.</w:t>
            </w:r>
          </w:p>
        </w:tc>
      </w:tr>
      <w:tr w:rsidR="003A009E" w:rsidRPr="00956FA1" w:rsidTr="00C34132">
        <w:tc>
          <w:tcPr>
            <w:tcW w:w="5000" w:type="pct"/>
            <w:gridSpan w:val="4"/>
          </w:tcPr>
          <w:p w:rsidR="003A009E" w:rsidRPr="00956FA1" w:rsidRDefault="003A009E" w:rsidP="00C34132">
            <w:pPr>
              <w:jc w:val="both"/>
              <w:rPr>
                <w:sz w:val="20"/>
                <w:lang w:val="fr-CA"/>
              </w:rPr>
            </w:pPr>
          </w:p>
        </w:tc>
      </w:tr>
      <w:tr w:rsidR="003A009E" w:rsidRPr="00956FA1" w:rsidTr="00C34132">
        <w:tc>
          <w:tcPr>
            <w:tcW w:w="5000" w:type="pct"/>
            <w:gridSpan w:val="4"/>
          </w:tcPr>
          <w:p w:rsidR="003A009E" w:rsidRPr="00956FA1" w:rsidRDefault="003A009E" w:rsidP="00C34132">
            <w:pPr>
              <w:jc w:val="both"/>
              <w:rPr>
                <w:sz w:val="20"/>
                <w:lang w:val="fr-CA"/>
              </w:rPr>
            </w:pPr>
            <w:r w:rsidRPr="00956FA1">
              <w:rPr>
                <w:sz w:val="20"/>
                <w:lang w:val="fr-CA"/>
              </w:rPr>
              <w:t>Monsieur Earle a trompé des clients en leur faisant croire que son entreprise possédait des métaux précieux et que l’entreprise faisait des achats de métaux précieux conformément à leurs ordres. Son entreprise a fait faillite. Monsieur Earle a été accusé de fraude de plus de 5 000 $ et de blanchiment d’argent. Il a été déclaré coupable des deux chefs d’accusation. Il a été condamné à une peine d’emprisonnement de trois ans. La juge de la peine infligé une amende en remplacement de la confiscation. La Cour d’appel a rejeté l’appel.</w:t>
            </w:r>
          </w:p>
          <w:p w:rsidR="003A009E" w:rsidRPr="00956FA1" w:rsidRDefault="003A009E" w:rsidP="00C34132">
            <w:pPr>
              <w:jc w:val="both"/>
              <w:rPr>
                <w:sz w:val="20"/>
                <w:lang w:val="fr-CA"/>
              </w:rPr>
            </w:pPr>
          </w:p>
        </w:tc>
      </w:tr>
      <w:tr w:rsidR="003A009E" w:rsidRPr="00956FA1" w:rsidTr="00C34132">
        <w:tc>
          <w:tcPr>
            <w:tcW w:w="2427" w:type="pct"/>
            <w:gridSpan w:val="2"/>
          </w:tcPr>
          <w:p w:rsidR="003A009E" w:rsidRPr="00956FA1" w:rsidRDefault="003A009E" w:rsidP="00C34132">
            <w:pPr>
              <w:jc w:val="both"/>
              <w:rPr>
                <w:sz w:val="20"/>
                <w:lang w:val="fr-CA"/>
              </w:rPr>
            </w:pPr>
            <w:r w:rsidRPr="00956FA1">
              <w:rPr>
                <w:sz w:val="20"/>
                <w:lang w:val="fr-CA"/>
              </w:rPr>
              <w:t>24 mai 2017</w:t>
            </w:r>
          </w:p>
          <w:p w:rsidR="003A009E" w:rsidRPr="00956FA1" w:rsidRDefault="003A009E" w:rsidP="00C34132">
            <w:pPr>
              <w:jc w:val="both"/>
              <w:rPr>
                <w:sz w:val="20"/>
                <w:lang w:val="fr-CA"/>
              </w:rPr>
            </w:pPr>
            <w:r w:rsidRPr="00956FA1">
              <w:rPr>
                <w:sz w:val="20"/>
                <w:lang w:val="fr-CA"/>
              </w:rPr>
              <w:t>Cour supérieure de justice de l’Ontario</w:t>
            </w:r>
          </w:p>
          <w:p w:rsidR="003A009E" w:rsidRPr="00956FA1" w:rsidRDefault="003A009E" w:rsidP="00C34132">
            <w:pPr>
              <w:jc w:val="both"/>
              <w:rPr>
                <w:sz w:val="20"/>
                <w:lang w:val="fr-CA"/>
              </w:rPr>
            </w:pPr>
            <w:r w:rsidRPr="00956FA1">
              <w:rPr>
                <w:sz w:val="20"/>
                <w:lang w:val="fr-CA"/>
              </w:rPr>
              <w:t xml:space="preserve">(Juge Garton)(Non publié) </w:t>
            </w:r>
          </w:p>
          <w:p w:rsidR="003A009E" w:rsidRPr="00956FA1" w:rsidRDefault="003A009E" w:rsidP="00C34132">
            <w:pPr>
              <w:jc w:val="both"/>
              <w:rPr>
                <w:sz w:val="20"/>
                <w:lang w:val="fr-CA"/>
              </w:rPr>
            </w:pPr>
          </w:p>
        </w:tc>
        <w:tc>
          <w:tcPr>
            <w:tcW w:w="243" w:type="pct"/>
          </w:tcPr>
          <w:p w:rsidR="003A009E" w:rsidRPr="00956FA1" w:rsidRDefault="003A009E" w:rsidP="00C34132">
            <w:pPr>
              <w:jc w:val="both"/>
              <w:rPr>
                <w:sz w:val="20"/>
                <w:lang w:val="fr-CA"/>
              </w:rPr>
            </w:pPr>
          </w:p>
        </w:tc>
        <w:tc>
          <w:tcPr>
            <w:tcW w:w="2330" w:type="pct"/>
          </w:tcPr>
          <w:p w:rsidR="003A009E" w:rsidRPr="00956FA1" w:rsidRDefault="003A009E" w:rsidP="00C34132">
            <w:pPr>
              <w:jc w:val="both"/>
              <w:rPr>
                <w:sz w:val="20"/>
                <w:lang w:val="fr-CA"/>
              </w:rPr>
            </w:pPr>
            <w:r w:rsidRPr="00956FA1">
              <w:rPr>
                <w:color w:val="000000"/>
                <w:sz w:val="20"/>
                <w:lang w:val="fr-CA"/>
              </w:rPr>
              <w:t xml:space="preserve">Déclaration de culpabilité pour fraude de plus de 5 000 $ et blanchiment d’argent, suspension du chef d’accusation de blanchiment d’argent </w:t>
            </w:r>
          </w:p>
        </w:tc>
      </w:tr>
      <w:tr w:rsidR="003A009E" w:rsidRPr="00956FA1" w:rsidTr="00C34132">
        <w:tc>
          <w:tcPr>
            <w:tcW w:w="2427" w:type="pct"/>
            <w:gridSpan w:val="2"/>
          </w:tcPr>
          <w:p w:rsidR="003A009E" w:rsidRPr="00956FA1" w:rsidRDefault="003A009E" w:rsidP="00C34132">
            <w:pPr>
              <w:jc w:val="both"/>
              <w:rPr>
                <w:sz w:val="20"/>
                <w:lang w:val="fr-CA"/>
              </w:rPr>
            </w:pPr>
            <w:r w:rsidRPr="00956FA1">
              <w:rPr>
                <w:sz w:val="20"/>
                <w:lang w:val="fr-CA"/>
              </w:rPr>
              <w:t>25 janvier 2018</w:t>
            </w:r>
          </w:p>
          <w:p w:rsidR="003A009E" w:rsidRPr="00956FA1" w:rsidRDefault="003A009E" w:rsidP="00C34132">
            <w:pPr>
              <w:jc w:val="both"/>
              <w:rPr>
                <w:sz w:val="20"/>
                <w:lang w:val="fr-CA"/>
              </w:rPr>
            </w:pPr>
            <w:r w:rsidRPr="00956FA1">
              <w:rPr>
                <w:sz w:val="20"/>
                <w:lang w:val="fr-CA"/>
              </w:rPr>
              <w:t>Cour supérieure de justice de l’Ontario</w:t>
            </w:r>
          </w:p>
          <w:p w:rsidR="003A009E" w:rsidRPr="00956FA1" w:rsidRDefault="003A009E" w:rsidP="00C34132">
            <w:pPr>
              <w:jc w:val="both"/>
              <w:rPr>
                <w:sz w:val="20"/>
                <w:lang w:val="fr-CA"/>
              </w:rPr>
            </w:pPr>
            <w:r w:rsidRPr="00956FA1">
              <w:rPr>
                <w:sz w:val="20"/>
                <w:lang w:val="fr-CA"/>
              </w:rPr>
              <w:t>(Juge Garton)(Non publié)</w:t>
            </w:r>
          </w:p>
          <w:p w:rsidR="003A009E" w:rsidRPr="00956FA1" w:rsidRDefault="003A009E" w:rsidP="00C34132">
            <w:pPr>
              <w:jc w:val="both"/>
              <w:rPr>
                <w:sz w:val="20"/>
                <w:lang w:val="fr-CA"/>
              </w:rPr>
            </w:pPr>
          </w:p>
        </w:tc>
        <w:tc>
          <w:tcPr>
            <w:tcW w:w="243" w:type="pct"/>
          </w:tcPr>
          <w:p w:rsidR="003A009E" w:rsidRPr="00956FA1" w:rsidRDefault="003A009E" w:rsidP="00C34132">
            <w:pPr>
              <w:jc w:val="both"/>
              <w:rPr>
                <w:sz w:val="20"/>
                <w:lang w:val="fr-CA"/>
              </w:rPr>
            </w:pPr>
          </w:p>
        </w:tc>
        <w:tc>
          <w:tcPr>
            <w:tcW w:w="2330" w:type="pct"/>
          </w:tcPr>
          <w:p w:rsidR="003A009E" w:rsidRPr="00956FA1" w:rsidRDefault="003A009E" w:rsidP="00C34132">
            <w:pPr>
              <w:jc w:val="both"/>
              <w:rPr>
                <w:sz w:val="20"/>
                <w:lang w:val="fr-CA"/>
              </w:rPr>
            </w:pPr>
            <w:r w:rsidRPr="00956FA1">
              <w:rPr>
                <w:sz w:val="20"/>
                <w:lang w:val="fr-CA"/>
              </w:rPr>
              <w:t>Condamnation à une peine d’emprisonnement de trois ans, la restitution, une amende en remplacement de la confiscation et une suramende compensatoire</w:t>
            </w:r>
          </w:p>
          <w:p w:rsidR="003A009E" w:rsidRPr="00956FA1" w:rsidRDefault="003A009E" w:rsidP="00C34132">
            <w:pPr>
              <w:jc w:val="both"/>
              <w:rPr>
                <w:sz w:val="20"/>
                <w:lang w:val="fr-CA"/>
              </w:rPr>
            </w:pPr>
          </w:p>
        </w:tc>
      </w:tr>
      <w:tr w:rsidR="003A009E" w:rsidRPr="00956FA1" w:rsidTr="00C34132">
        <w:tc>
          <w:tcPr>
            <w:tcW w:w="2427" w:type="pct"/>
            <w:gridSpan w:val="2"/>
          </w:tcPr>
          <w:p w:rsidR="003A009E" w:rsidRPr="00956FA1" w:rsidRDefault="003A009E" w:rsidP="00C34132">
            <w:pPr>
              <w:jc w:val="both"/>
              <w:rPr>
                <w:sz w:val="20"/>
                <w:lang w:val="fr-CA"/>
              </w:rPr>
            </w:pPr>
            <w:r w:rsidRPr="00956FA1">
              <w:rPr>
                <w:sz w:val="20"/>
                <w:lang w:val="fr-CA"/>
              </w:rPr>
              <w:t>20 janvier 2021</w:t>
            </w:r>
          </w:p>
          <w:p w:rsidR="003A009E" w:rsidRPr="00956FA1" w:rsidRDefault="003A009E" w:rsidP="00C34132">
            <w:pPr>
              <w:jc w:val="both"/>
              <w:rPr>
                <w:sz w:val="20"/>
                <w:lang w:val="fr-CA"/>
              </w:rPr>
            </w:pPr>
            <w:r w:rsidRPr="00956FA1">
              <w:rPr>
                <w:sz w:val="20"/>
                <w:lang w:val="fr-CA"/>
              </w:rPr>
              <w:t>Cour d’appel de l’Ontario</w:t>
            </w:r>
          </w:p>
          <w:p w:rsidR="003A009E" w:rsidRPr="00956FA1" w:rsidRDefault="003A009E" w:rsidP="00C34132">
            <w:pPr>
              <w:jc w:val="both"/>
              <w:rPr>
                <w:sz w:val="20"/>
                <w:lang w:val="fr-CA"/>
              </w:rPr>
            </w:pPr>
            <w:r w:rsidRPr="00956FA1">
              <w:rPr>
                <w:sz w:val="20"/>
                <w:lang w:val="fr-CA"/>
              </w:rPr>
              <w:t>(Juges MacPherson, Tulloch et Lauwers)</w:t>
            </w:r>
          </w:p>
          <w:p w:rsidR="003A009E" w:rsidRPr="00956FA1" w:rsidRDefault="00956FA1" w:rsidP="00C34132">
            <w:pPr>
              <w:jc w:val="both"/>
              <w:rPr>
                <w:sz w:val="20"/>
                <w:lang w:val="fr-CA"/>
              </w:rPr>
            </w:pPr>
            <w:hyperlink r:id="rId40" w:history="1">
              <w:r w:rsidR="003A009E" w:rsidRPr="00956FA1">
                <w:rPr>
                  <w:rStyle w:val="Hyperlink"/>
                  <w:sz w:val="20"/>
                  <w:lang w:val="fr-CA"/>
                </w:rPr>
                <w:t>2021 ONCA 34</w:t>
              </w:r>
            </w:hyperlink>
            <w:r w:rsidR="003A009E" w:rsidRPr="00956FA1">
              <w:rPr>
                <w:sz w:val="20"/>
                <w:lang w:val="fr-CA"/>
              </w:rPr>
              <w:t>; C66898</w:t>
            </w:r>
          </w:p>
          <w:p w:rsidR="003A009E" w:rsidRPr="00956FA1" w:rsidRDefault="003A009E" w:rsidP="00C34132">
            <w:pPr>
              <w:jc w:val="both"/>
              <w:rPr>
                <w:sz w:val="20"/>
                <w:lang w:val="fr-CA"/>
              </w:rPr>
            </w:pPr>
          </w:p>
        </w:tc>
        <w:tc>
          <w:tcPr>
            <w:tcW w:w="243" w:type="pct"/>
          </w:tcPr>
          <w:p w:rsidR="003A009E" w:rsidRPr="00956FA1" w:rsidRDefault="003A009E" w:rsidP="00C34132">
            <w:pPr>
              <w:jc w:val="both"/>
              <w:rPr>
                <w:sz w:val="20"/>
                <w:lang w:val="fr-CA"/>
              </w:rPr>
            </w:pPr>
          </w:p>
        </w:tc>
        <w:tc>
          <w:tcPr>
            <w:tcW w:w="2330" w:type="pct"/>
          </w:tcPr>
          <w:p w:rsidR="003A009E" w:rsidRPr="00956FA1" w:rsidRDefault="003A009E" w:rsidP="00C34132">
            <w:pPr>
              <w:jc w:val="both"/>
              <w:rPr>
                <w:sz w:val="20"/>
                <w:lang w:val="fr-CA"/>
              </w:rPr>
            </w:pPr>
            <w:r w:rsidRPr="00956FA1">
              <w:rPr>
                <w:sz w:val="20"/>
                <w:lang w:val="fr-CA"/>
              </w:rPr>
              <w:t>Arrêt annulant la suramende compensatoire et rejetant par ailleurs l’appel des déclarations de culpabilité et de la peine</w:t>
            </w:r>
          </w:p>
          <w:p w:rsidR="003A009E" w:rsidRPr="00956FA1" w:rsidRDefault="003A009E" w:rsidP="00C34132">
            <w:pPr>
              <w:jc w:val="both"/>
              <w:rPr>
                <w:sz w:val="20"/>
                <w:lang w:val="fr-CA"/>
              </w:rPr>
            </w:pPr>
          </w:p>
        </w:tc>
      </w:tr>
      <w:tr w:rsidR="003A009E" w:rsidRPr="00956FA1" w:rsidTr="00C34132">
        <w:tc>
          <w:tcPr>
            <w:tcW w:w="2427" w:type="pct"/>
            <w:gridSpan w:val="2"/>
          </w:tcPr>
          <w:p w:rsidR="003A009E" w:rsidRPr="00956FA1" w:rsidRDefault="003A009E" w:rsidP="00C34132">
            <w:pPr>
              <w:jc w:val="both"/>
              <w:rPr>
                <w:sz w:val="20"/>
                <w:lang w:val="fr-CA"/>
              </w:rPr>
            </w:pPr>
            <w:r w:rsidRPr="00956FA1">
              <w:rPr>
                <w:sz w:val="20"/>
                <w:lang w:val="fr-CA"/>
              </w:rPr>
              <w:t>31 mars 2021</w:t>
            </w:r>
          </w:p>
          <w:p w:rsidR="003A009E" w:rsidRPr="00956FA1" w:rsidRDefault="003A009E" w:rsidP="00C34132">
            <w:pPr>
              <w:jc w:val="both"/>
              <w:rPr>
                <w:sz w:val="20"/>
                <w:lang w:val="fr-CA"/>
              </w:rPr>
            </w:pPr>
            <w:r w:rsidRPr="00956FA1">
              <w:rPr>
                <w:sz w:val="20"/>
                <w:lang w:val="fr-CA"/>
              </w:rPr>
              <w:t>Cour suprême du Canada</w:t>
            </w:r>
          </w:p>
        </w:tc>
        <w:tc>
          <w:tcPr>
            <w:tcW w:w="243" w:type="pct"/>
          </w:tcPr>
          <w:p w:rsidR="003A009E" w:rsidRPr="00956FA1" w:rsidRDefault="003A009E" w:rsidP="00C34132">
            <w:pPr>
              <w:jc w:val="both"/>
              <w:rPr>
                <w:sz w:val="20"/>
                <w:lang w:val="fr-CA"/>
              </w:rPr>
            </w:pPr>
          </w:p>
        </w:tc>
        <w:tc>
          <w:tcPr>
            <w:tcW w:w="2330" w:type="pct"/>
          </w:tcPr>
          <w:p w:rsidR="003A009E" w:rsidRPr="00956FA1" w:rsidRDefault="003A009E" w:rsidP="00C34132">
            <w:pPr>
              <w:jc w:val="both"/>
              <w:rPr>
                <w:sz w:val="20"/>
                <w:lang w:val="fr-CA"/>
              </w:rPr>
            </w:pPr>
            <w:r w:rsidRPr="00956FA1">
              <w:rPr>
                <w:sz w:val="20"/>
                <w:lang w:val="fr-CA"/>
              </w:rPr>
              <w:t>Dépôt de la requête en prorogation du délai de signification et de dépôt de la demande d’autorisation d’appel et de la demande d’autorisation d’appel</w:t>
            </w:r>
          </w:p>
        </w:tc>
      </w:tr>
    </w:tbl>
    <w:p w:rsidR="003A009E" w:rsidRPr="00956FA1" w:rsidRDefault="003A009E" w:rsidP="003A009E">
      <w:pPr>
        <w:jc w:val="both"/>
        <w:rPr>
          <w:sz w:val="20"/>
          <w:lang w:val="fr-CA"/>
        </w:rPr>
      </w:pPr>
    </w:p>
    <w:p w:rsidR="003A009E" w:rsidRPr="00956FA1" w:rsidRDefault="00956FA1" w:rsidP="003A009E">
      <w:pPr>
        <w:jc w:val="both"/>
        <w:rPr>
          <w:sz w:val="20"/>
          <w:lang w:val="fr-CA"/>
        </w:rPr>
      </w:pPr>
      <w:r w:rsidRPr="00956FA1">
        <w:rPr>
          <w:sz w:val="20"/>
        </w:rPr>
        <w:pict>
          <v:rect id="_x0000_i1045" style="width:2in;height:1pt" o:hrpct="0" o:hralign="center" o:hrstd="t" o:hrnoshade="t" o:hr="t" fillcolor="black [3213]" stroked="f"/>
        </w:pict>
      </w:r>
    </w:p>
    <w:p w:rsidR="003A009E" w:rsidRPr="00956FA1" w:rsidRDefault="003A009E" w:rsidP="003A009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A009E" w:rsidRPr="00956FA1" w:rsidTr="00C34132">
        <w:tc>
          <w:tcPr>
            <w:tcW w:w="543" w:type="pct"/>
          </w:tcPr>
          <w:p w:rsidR="003A009E" w:rsidRPr="00956FA1" w:rsidRDefault="003A009E" w:rsidP="00C34132">
            <w:pPr>
              <w:jc w:val="both"/>
              <w:rPr>
                <w:sz w:val="20"/>
              </w:rPr>
            </w:pPr>
            <w:r w:rsidRPr="00956FA1">
              <w:rPr>
                <w:rStyle w:val="SCCFileNumberChar"/>
                <w:sz w:val="20"/>
                <w:szCs w:val="20"/>
              </w:rPr>
              <w:t>39604</w:t>
            </w:r>
          </w:p>
        </w:tc>
        <w:tc>
          <w:tcPr>
            <w:tcW w:w="4457" w:type="pct"/>
            <w:gridSpan w:val="3"/>
          </w:tcPr>
          <w:p w:rsidR="003A009E" w:rsidRPr="00956FA1" w:rsidRDefault="009A388B" w:rsidP="00C34132">
            <w:pPr>
              <w:pStyle w:val="SCCLsocParty"/>
              <w:jc w:val="both"/>
              <w:rPr>
                <w:b/>
                <w:sz w:val="20"/>
                <w:szCs w:val="20"/>
                <w:lang w:val="en-US"/>
              </w:rPr>
            </w:pPr>
            <w:r w:rsidRPr="00956FA1">
              <w:rPr>
                <w:b/>
                <w:sz w:val="20"/>
                <w:szCs w:val="20"/>
                <w:lang w:val="en-US"/>
              </w:rPr>
              <w:t>Marguerite Mary (Margaret) Buck, Dorothy Anne Savard, Sylvia M. McGillis, Frances June McGillis, Florence Joyce L’Hirondelle and Marilyn McGillis</w:t>
            </w:r>
            <w:r w:rsidR="003A009E" w:rsidRPr="00956FA1">
              <w:rPr>
                <w:b/>
                <w:sz w:val="20"/>
                <w:szCs w:val="20"/>
                <w:lang w:val="en-US"/>
              </w:rPr>
              <w:t xml:space="preserve"> v. Attorney General of Canada</w:t>
            </w:r>
            <w:r w:rsidRPr="00956FA1">
              <w:rPr>
                <w:b/>
                <w:sz w:val="20"/>
                <w:szCs w:val="20"/>
                <w:lang w:val="en-US"/>
              </w:rPr>
              <w:t xml:space="preserve"> and</w:t>
            </w:r>
            <w:r w:rsidR="003A009E" w:rsidRPr="00956FA1">
              <w:rPr>
                <w:b/>
                <w:sz w:val="20"/>
                <w:szCs w:val="20"/>
                <w:lang w:val="en-US"/>
              </w:rPr>
              <w:t xml:space="preserve"> Enoch Cree Nation</w:t>
            </w:r>
          </w:p>
          <w:p w:rsidR="003A009E" w:rsidRPr="00956FA1" w:rsidRDefault="003A009E" w:rsidP="00C34132">
            <w:pPr>
              <w:jc w:val="both"/>
              <w:rPr>
                <w:sz w:val="20"/>
              </w:rPr>
            </w:pPr>
            <w:r w:rsidRPr="00956FA1">
              <w:rPr>
                <w:sz w:val="20"/>
              </w:rPr>
              <w:t>(F.C.) (Civil) (By Leave)</w:t>
            </w:r>
          </w:p>
        </w:tc>
      </w:tr>
      <w:tr w:rsidR="003A009E" w:rsidRPr="00956FA1" w:rsidTr="00C34132">
        <w:tc>
          <w:tcPr>
            <w:tcW w:w="5000" w:type="pct"/>
            <w:gridSpan w:val="4"/>
          </w:tcPr>
          <w:p w:rsidR="009A388B" w:rsidRPr="00956FA1" w:rsidRDefault="009A388B" w:rsidP="009A388B">
            <w:pPr>
              <w:jc w:val="both"/>
              <w:rPr>
                <w:sz w:val="20"/>
                <w:szCs w:val="20"/>
              </w:rPr>
            </w:pPr>
            <w:r w:rsidRPr="00956FA1">
              <w:rPr>
                <w:sz w:val="20"/>
                <w:szCs w:val="20"/>
              </w:rPr>
              <w:t>The application for leave to appeal from the judgment of the Federal Court of Appeal, Number A-186-20, 2021 FCA 1, dated January 13, 2021, is dismissed with costs.</w:t>
            </w:r>
          </w:p>
          <w:p w:rsidR="003A009E" w:rsidRPr="00956FA1" w:rsidRDefault="003A009E" w:rsidP="00C34132">
            <w:pPr>
              <w:jc w:val="both"/>
              <w:rPr>
                <w:sz w:val="20"/>
              </w:rPr>
            </w:pPr>
          </w:p>
        </w:tc>
      </w:tr>
      <w:tr w:rsidR="003A009E" w:rsidRPr="00956FA1" w:rsidTr="00C34132">
        <w:tc>
          <w:tcPr>
            <w:tcW w:w="5000" w:type="pct"/>
            <w:gridSpan w:val="4"/>
          </w:tcPr>
          <w:p w:rsidR="003A009E" w:rsidRPr="00956FA1" w:rsidRDefault="003A009E" w:rsidP="00C34132">
            <w:pPr>
              <w:jc w:val="both"/>
              <w:rPr>
                <w:sz w:val="20"/>
              </w:rPr>
            </w:pPr>
            <w:r w:rsidRPr="00956FA1">
              <w:rPr>
                <w:sz w:val="20"/>
              </w:rPr>
              <w:t xml:space="preserve">Aboriginal law — Land claims — Treaty rights — Courts — Federal Court — Jurisdiction —Applicants seeking injunctive relief against the Crown in an action for damages — Federal Court finding it had no jurisdiction to grant injunctive relief requested except on an application for judicial review — Does s. 18(3) of the </w:t>
            </w:r>
            <w:r w:rsidRPr="00956FA1">
              <w:rPr>
                <w:i/>
                <w:sz w:val="20"/>
              </w:rPr>
              <w:t>Federal Courts Act</w:t>
            </w:r>
            <w:hyperlink r:id="rId41" w:history="1">
              <w:r w:rsidRPr="00956FA1">
                <w:rPr>
                  <w:sz w:val="20"/>
                </w:rPr>
                <w:t>, R.S.C. 1985, c. F</w:t>
              </w:r>
              <w:r w:rsidRPr="00956FA1">
                <w:rPr>
                  <w:sz w:val="20"/>
                </w:rPr>
                <w:noBreakHyphen/>
                <w:t>7</w:t>
              </w:r>
            </w:hyperlink>
            <w:r w:rsidRPr="00956FA1">
              <w:rPr>
                <w:sz w:val="20"/>
              </w:rPr>
              <w:t xml:space="preserve"> preclude the Federal Court from granting an injunction against Crown in an action? — Does s. 44 create “freestanding” jurisdiction to grant injunctive relief against the Crown in an action? — Does s. 4 of provide the Federal Court with plenary jurisdiction to grant an injunction against the Crown where the Crown is flouting the law or acting in bad faith? — Does mootness create a bar to the proposed appeal?</w:t>
            </w:r>
          </w:p>
        </w:tc>
      </w:tr>
      <w:tr w:rsidR="003A009E" w:rsidRPr="00956FA1" w:rsidTr="00C34132">
        <w:tc>
          <w:tcPr>
            <w:tcW w:w="5000" w:type="pct"/>
            <w:gridSpan w:val="4"/>
          </w:tcPr>
          <w:p w:rsidR="003A009E" w:rsidRPr="00956FA1" w:rsidRDefault="003A009E" w:rsidP="00C34132">
            <w:pPr>
              <w:jc w:val="both"/>
              <w:rPr>
                <w:sz w:val="20"/>
              </w:rPr>
            </w:pPr>
          </w:p>
        </w:tc>
      </w:tr>
      <w:tr w:rsidR="003A009E" w:rsidRPr="00956FA1" w:rsidTr="00C34132">
        <w:tc>
          <w:tcPr>
            <w:tcW w:w="5000" w:type="pct"/>
            <w:gridSpan w:val="4"/>
          </w:tcPr>
          <w:p w:rsidR="003A009E" w:rsidRPr="00956FA1" w:rsidRDefault="003A009E" w:rsidP="00C34132">
            <w:pPr>
              <w:pStyle w:val="paragnum"/>
              <w:jc w:val="both"/>
              <w:rPr>
                <w:sz w:val="20"/>
                <w:szCs w:val="20"/>
                <w:lang w:val="en"/>
              </w:rPr>
            </w:pPr>
            <w:r w:rsidRPr="00956FA1">
              <w:rPr>
                <w:sz w:val="20"/>
                <w:szCs w:val="20"/>
                <w:lang w:val="en"/>
              </w:rPr>
              <w:t xml:space="preserve">The Enoch Cree Nation is a First Nation </w:t>
            </w:r>
            <w:bookmarkStart w:id="4" w:name="par5"/>
            <w:bookmarkEnd w:id="4"/>
            <w:r w:rsidRPr="00956FA1">
              <w:rPr>
                <w:sz w:val="20"/>
                <w:szCs w:val="20"/>
                <w:lang w:val="en"/>
              </w:rPr>
              <w:t>that in 1942, leased a portion of its Reserve lands to Canada for use as a practice bombing range. In 2007, Enoch submitted a “specific claim”, in respect of its historic grievance, alleging breaches of fiduciary duty and other breaches that the Crown improperly utilized Enoch’s Reserve lands without its consent and without regard to the damage that would be done to the Reserve lands.</w:t>
            </w:r>
            <w:r w:rsidRPr="00956FA1">
              <w:rPr>
                <w:rFonts w:eastAsia="Calibri"/>
                <w:sz w:val="20"/>
                <w:szCs w:val="20"/>
                <w:lang w:val="en"/>
              </w:rPr>
              <w:t xml:space="preserve"> In 2013, Canada accepted this specific claim for negotiation,</w:t>
            </w:r>
            <w:bookmarkStart w:id="5" w:name="par6"/>
            <w:bookmarkEnd w:id="5"/>
            <w:r w:rsidRPr="00956FA1">
              <w:rPr>
                <w:sz w:val="20"/>
                <w:szCs w:val="20"/>
                <w:lang w:val="en"/>
              </w:rPr>
              <w:t xml:space="preserve"> with the </w:t>
            </w:r>
            <w:r w:rsidRPr="00956FA1">
              <w:rPr>
                <w:rFonts w:eastAsia="Calibri"/>
                <w:sz w:val="20"/>
                <w:szCs w:val="20"/>
                <w:lang w:val="en"/>
              </w:rPr>
              <w:t xml:space="preserve">aim of the parties to negotiate a final settlement agreement of the specific claim. A proposed settlement agreement between the parties was reached in 2018 </w:t>
            </w:r>
            <w:bookmarkStart w:id="6" w:name="par8"/>
            <w:bookmarkEnd w:id="6"/>
            <w:r w:rsidRPr="00956FA1">
              <w:rPr>
                <w:rFonts w:eastAsia="Calibri"/>
                <w:sz w:val="20"/>
                <w:szCs w:val="20"/>
                <w:lang w:val="en"/>
              </w:rPr>
              <w:t>which was later accepted by a majority of the Band members in 2020. Pursuant to that agreement, Canada agreed to pay a monetary award to Enoch collectively, in exchange for releases regarding any future liability with respect to those reserve lands.</w:t>
            </w:r>
          </w:p>
          <w:p w:rsidR="003A009E" w:rsidRPr="00956FA1" w:rsidRDefault="003A009E" w:rsidP="00C34132">
            <w:pPr>
              <w:jc w:val="both"/>
              <w:rPr>
                <w:sz w:val="20"/>
                <w:lang w:val="en"/>
              </w:rPr>
            </w:pPr>
            <w:bookmarkStart w:id="7" w:name="par11"/>
            <w:bookmarkEnd w:id="7"/>
            <w:r w:rsidRPr="00956FA1">
              <w:rPr>
                <w:sz w:val="20"/>
                <w:lang w:val="en"/>
              </w:rPr>
              <w:t xml:space="preserve">The applicants are members of the Enoch Cree Nation who held a Certificate of Possession (“CP”) for a portion of the lands that were subject to the proposed settlement agreement. They wished to deal with the Minister directly regarding the legal obligations of the Crown to the CP holders such as themselves. The Crown’s position was that its negotiations with Enoch were confidential and subject to settlement privilege. The applicants eventually commenced an action in Federal Court against the Crown seeking damages, alleging ongoing trespass caused by alleged munitions scraps on the lands held under the CP. </w:t>
            </w:r>
            <w:bookmarkStart w:id="8" w:name="par18"/>
            <w:bookmarkEnd w:id="8"/>
            <w:r w:rsidRPr="00956FA1">
              <w:rPr>
                <w:sz w:val="20"/>
                <w:lang w:val="en"/>
              </w:rPr>
              <w:t>The applicants filed a motion in seeking an interlocutory injunction to prevent the Minister from signing the settlement agreement. The Chambers Judge held that the Federal Court was without jurisdiction to grant an injunction in an action against the Crown. After the Minister signed the settlement agreement, the Federal Court of Appeal granted the respondents’ motion to dismiss the appeal as moot.</w:t>
            </w:r>
            <w:bookmarkStart w:id="9" w:name="par12"/>
            <w:bookmarkEnd w:id="9"/>
          </w:p>
          <w:p w:rsidR="003A009E" w:rsidRPr="00956FA1" w:rsidRDefault="003A009E" w:rsidP="00C34132">
            <w:pPr>
              <w:jc w:val="both"/>
              <w:rPr>
                <w:sz w:val="20"/>
                <w:lang w:val="en"/>
              </w:rPr>
            </w:pPr>
          </w:p>
        </w:tc>
      </w:tr>
      <w:tr w:rsidR="003A009E" w:rsidRPr="00956FA1" w:rsidTr="00C34132">
        <w:tc>
          <w:tcPr>
            <w:tcW w:w="2427" w:type="pct"/>
            <w:gridSpan w:val="2"/>
          </w:tcPr>
          <w:p w:rsidR="003A009E" w:rsidRPr="00956FA1" w:rsidRDefault="003A009E" w:rsidP="00C34132">
            <w:pPr>
              <w:jc w:val="both"/>
              <w:rPr>
                <w:sz w:val="20"/>
              </w:rPr>
            </w:pPr>
            <w:r w:rsidRPr="00956FA1">
              <w:rPr>
                <w:sz w:val="20"/>
              </w:rPr>
              <w:t>July 17, 2020</w:t>
            </w:r>
          </w:p>
          <w:p w:rsidR="003A009E" w:rsidRPr="00956FA1" w:rsidRDefault="003A009E" w:rsidP="00C34132">
            <w:pPr>
              <w:jc w:val="both"/>
              <w:rPr>
                <w:sz w:val="20"/>
              </w:rPr>
            </w:pPr>
            <w:r w:rsidRPr="00956FA1">
              <w:rPr>
                <w:sz w:val="20"/>
              </w:rPr>
              <w:t>Federal Court</w:t>
            </w:r>
          </w:p>
          <w:p w:rsidR="003A009E" w:rsidRPr="00956FA1" w:rsidRDefault="003A009E" w:rsidP="00C34132">
            <w:pPr>
              <w:jc w:val="both"/>
              <w:rPr>
                <w:sz w:val="20"/>
              </w:rPr>
            </w:pPr>
            <w:r w:rsidRPr="00956FA1">
              <w:rPr>
                <w:sz w:val="20"/>
              </w:rPr>
              <w:t>(Strickland J.)</w:t>
            </w:r>
          </w:p>
          <w:p w:rsidR="003A009E" w:rsidRPr="00956FA1" w:rsidRDefault="00956FA1" w:rsidP="00C34132">
            <w:pPr>
              <w:jc w:val="both"/>
              <w:rPr>
                <w:sz w:val="20"/>
              </w:rPr>
            </w:pPr>
            <w:hyperlink r:id="rId42" w:history="1">
              <w:r w:rsidR="003A009E" w:rsidRPr="00956FA1">
                <w:rPr>
                  <w:rStyle w:val="Hyperlink"/>
                  <w:sz w:val="20"/>
                </w:rPr>
                <w:t>2020 FC 769</w:t>
              </w:r>
            </w:hyperlink>
          </w:p>
          <w:p w:rsidR="003A009E" w:rsidRPr="00956FA1" w:rsidRDefault="003A009E" w:rsidP="00C34132">
            <w:pPr>
              <w:jc w:val="both"/>
              <w:rPr>
                <w:sz w:val="20"/>
              </w:rPr>
            </w:pP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rPr>
            </w:pPr>
            <w:r w:rsidRPr="00956FA1">
              <w:rPr>
                <w:sz w:val="20"/>
              </w:rPr>
              <w:t>Applicants’ motion for interlocutory injunction against the Crown dismissed</w:t>
            </w:r>
          </w:p>
          <w:p w:rsidR="003A009E" w:rsidRPr="00956FA1" w:rsidRDefault="003A009E" w:rsidP="00C34132">
            <w:pPr>
              <w:jc w:val="both"/>
              <w:rPr>
                <w:sz w:val="20"/>
              </w:rPr>
            </w:pPr>
          </w:p>
        </w:tc>
      </w:tr>
    </w:tbl>
    <w:p w:rsidR="00662169" w:rsidRPr="00956FA1" w:rsidRDefault="00662169">
      <w:r w:rsidRPr="00956FA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A009E" w:rsidRPr="00956FA1" w:rsidTr="00C34132">
        <w:tc>
          <w:tcPr>
            <w:tcW w:w="2427" w:type="pct"/>
          </w:tcPr>
          <w:p w:rsidR="003A009E" w:rsidRPr="00956FA1" w:rsidRDefault="003A009E" w:rsidP="00C34132">
            <w:pPr>
              <w:jc w:val="both"/>
              <w:rPr>
                <w:sz w:val="20"/>
              </w:rPr>
            </w:pPr>
            <w:r w:rsidRPr="00956FA1">
              <w:rPr>
                <w:sz w:val="20"/>
              </w:rPr>
              <w:t>January 13, 2021</w:t>
            </w:r>
          </w:p>
          <w:p w:rsidR="003A009E" w:rsidRPr="00956FA1" w:rsidRDefault="003A009E" w:rsidP="00C34132">
            <w:pPr>
              <w:jc w:val="both"/>
              <w:rPr>
                <w:sz w:val="20"/>
              </w:rPr>
            </w:pPr>
            <w:r w:rsidRPr="00956FA1">
              <w:rPr>
                <w:sz w:val="20"/>
              </w:rPr>
              <w:t>Federal Court of Appeal</w:t>
            </w:r>
          </w:p>
          <w:p w:rsidR="003A009E" w:rsidRPr="00956FA1" w:rsidRDefault="003A009E" w:rsidP="00C34132">
            <w:pPr>
              <w:jc w:val="both"/>
              <w:rPr>
                <w:sz w:val="20"/>
              </w:rPr>
            </w:pPr>
            <w:r w:rsidRPr="00956FA1">
              <w:rPr>
                <w:sz w:val="20"/>
              </w:rPr>
              <w:t>(Stratas, Laskin and Mactavish JJ.A.)</w:t>
            </w:r>
          </w:p>
          <w:p w:rsidR="003A009E" w:rsidRPr="00956FA1" w:rsidRDefault="00956FA1" w:rsidP="00C34132">
            <w:pPr>
              <w:jc w:val="both"/>
              <w:rPr>
                <w:sz w:val="20"/>
              </w:rPr>
            </w:pPr>
            <w:hyperlink r:id="rId43" w:history="1">
              <w:r w:rsidR="003A009E" w:rsidRPr="00956FA1">
                <w:rPr>
                  <w:rStyle w:val="Hyperlink"/>
                  <w:sz w:val="20"/>
                </w:rPr>
                <w:t>2021 FCA 1</w:t>
              </w:r>
            </w:hyperlink>
          </w:p>
          <w:p w:rsidR="003A009E" w:rsidRPr="00956FA1" w:rsidRDefault="003A009E" w:rsidP="00C34132">
            <w:pPr>
              <w:jc w:val="both"/>
              <w:rPr>
                <w:sz w:val="20"/>
              </w:rPr>
            </w:pP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rPr>
            </w:pPr>
            <w:r w:rsidRPr="00956FA1">
              <w:rPr>
                <w:sz w:val="20"/>
              </w:rPr>
              <w:t>Applicants’ appeal dismissed as moot</w:t>
            </w:r>
          </w:p>
          <w:p w:rsidR="003A009E" w:rsidRPr="00956FA1" w:rsidRDefault="003A009E" w:rsidP="00C34132">
            <w:pPr>
              <w:jc w:val="both"/>
              <w:rPr>
                <w:sz w:val="20"/>
              </w:rPr>
            </w:pPr>
          </w:p>
        </w:tc>
      </w:tr>
      <w:tr w:rsidR="003A009E" w:rsidRPr="00956FA1" w:rsidTr="00C34132">
        <w:tc>
          <w:tcPr>
            <w:tcW w:w="2427" w:type="pct"/>
          </w:tcPr>
          <w:p w:rsidR="003A009E" w:rsidRPr="00956FA1" w:rsidRDefault="003A009E" w:rsidP="00C34132">
            <w:pPr>
              <w:jc w:val="both"/>
              <w:rPr>
                <w:sz w:val="20"/>
              </w:rPr>
            </w:pPr>
            <w:r w:rsidRPr="00956FA1">
              <w:rPr>
                <w:sz w:val="20"/>
              </w:rPr>
              <w:t>March 12, 2021</w:t>
            </w:r>
          </w:p>
          <w:p w:rsidR="003A009E" w:rsidRPr="00956FA1" w:rsidRDefault="003A009E" w:rsidP="00C34132">
            <w:pPr>
              <w:jc w:val="both"/>
              <w:rPr>
                <w:sz w:val="20"/>
              </w:rPr>
            </w:pPr>
            <w:r w:rsidRPr="00956FA1">
              <w:rPr>
                <w:sz w:val="20"/>
              </w:rPr>
              <w:t>Supreme Court of Canada</w:t>
            </w: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rPr>
            </w:pPr>
            <w:r w:rsidRPr="00956FA1">
              <w:rPr>
                <w:sz w:val="20"/>
              </w:rPr>
              <w:t>Application for leave to appeal filed</w:t>
            </w:r>
          </w:p>
          <w:p w:rsidR="003A009E" w:rsidRPr="00956FA1" w:rsidRDefault="003A009E" w:rsidP="00C34132">
            <w:pPr>
              <w:jc w:val="both"/>
              <w:rPr>
                <w:sz w:val="20"/>
              </w:rPr>
            </w:pPr>
          </w:p>
        </w:tc>
      </w:tr>
    </w:tbl>
    <w:p w:rsidR="003A009E" w:rsidRPr="00956FA1" w:rsidRDefault="003A009E" w:rsidP="003A009E">
      <w:pPr>
        <w:jc w:val="both"/>
        <w:rPr>
          <w:sz w:val="20"/>
        </w:rPr>
      </w:pPr>
    </w:p>
    <w:p w:rsidR="003A009E" w:rsidRPr="00956FA1" w:rsidRDefault="00956FA1" w:rsidP="003A009E">
      <w:pPr>
        <w:jc w:val="both"/>
        <w:rPr>
          <w:sz w:val="20"/>
        </w:rPr>
      </w:pPr>
      <w:r w:rsidRPr="00956FA1">
        <w:rPr>
          <w:sz w:val="20"/>
        </w:rPr>
        <w:pict>
          <v:rect id="_x0000_i1046" style="width:2in;height:1pt" o:hrpct="0" o:hralign="center" o:hrstd="t" o:hrnoshade="t" o:hr="t" fillcolor="black [3213]" stroked="f"/>
        </w:pict>
      </w:r>
    </w:p>
    <w:p w:rsidR="003A009E" w:rsidRPr="00956FA1" w:rsidRDefault="003A009E" w:rsidP="003A009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A009E" w:rsidRPr="00956FA1" w:rsidTr="00C34132">
        <w:tc>
          <w:tcPr>
            <w:tcW w:w="543" w:type="pct"/>
          </w:tcPr>
          <w:p w:rsidR="003A009E" w:rsidRPr="00956FA1" w:rsidRDefault="003A009E" w:rsidP="00C34132">
            <w:pPr>
              <w:jc w:val="both"/>
              <w:rPr>
                <w:sz w:val="20"/>
                <w:lang w:val="fr-CA"/>
              </w:rPr>
            </w:pPr>
            <w:r w:rsidRPr="00956FA1">
              <w:rPr>
                <w:rStyle w:val="SCCFileNumberChar"/>
                <w:sz w:val="20"/>
                <w:szCs w:val="20"/>
                <w:lang w:val="fr-CA"/>
              </w:rPr>
              <w:t>39604</w:t>
            </w:r>
          </w:p>
        </w:tc>
        <w:tc>
          <w:tcPr>
            <w:tcW w:w="4457" w:type="pct"/>
          </w:tcPr>
          <w:p w:rsidR="003A009E" w:rsidRPr="00956FA1" w:rsidRDefault="009A388B" w:rsidP="00C34132">
            <w:pPr>
              <w:pStyle w:val="SCCLsocParty"/>
              <w:jc w:val="both"/>
              <w:rPr>
                <w:b/>
                <w:sz w:val="20"/>
                <w:szCs w:val="20"/>
              </w:rPr>
            </w:pPr>
            <w:r w:rsidRPr="00956FA1">
              <w:rPr>
                <w:b/>
                <w:sz w:val="20"/>
                <w:szCs w:val="20"/>
              </w:rPr>
              <w:t xml:space="preserve">Marguerite Mary (Margaret) Buck, Dorothy Anne Savard, Sylvia M. McGillis, Frances June McGillis, Florence Joyce L’Hirondelle, et Marilyn McGillis </w:t>
            </w:r>
            <w:r w:rsidR="003A009E" w:rsidRPr="00956FA1">
              <w:rPr>
                <w:b/>
                <w:sz w:val="20"/>
                <w:szCs w:val="20"/>
              </w:rPr>
              <w:t>c. Procureur général du Canada</w:t>
            </w:r>
            <w:r w:rsidRPr="00956FA1">
              <w:rPr>
                <w:b/>
                <w:sz w:val="20"/>
                <w:szCs w:val="20"/>
              </w:rPr>
              <w:t xml:space="preserve"> et</w:t>
            </w:r>
            <w:r w:rsidR="003A009E" w:rsidRPr="00956FA1">
              <w:rPr>
                <w:b/>
                <w:sz w:val="20"/>
                <w:szCs w:val="20"/>
              </w:rPr>
              <w:t xml:space="preserve"> </w:t>
            </w:r>
            <w:r w:rsidRPr="00956FA1">
              <w:rPr>
                <w:b/>
                <w:sz w:val="20"/>
                <w:szCs w:val="20"/>
              </w:rPr>
              <w:t>Enoch Cree Nation</w:t>
            </w:r>
          </w:p>
          <w:p w:rsidR="003A009E" w:rsidRPr="00956FA1" w:rsidRDefault="003A009E" w:rsidP="00C34132">
            <w:pPr>
              <w:jc w:val="both"/>
              <w:rPr>
                <w:sz w:val="20"/>
                <w:lang w:val="fr-CA"/>
              </w:rPr>
            </w:pPr>
            <w:r w:rsidRPr="00956FA1">
              <w:rPr>
                <w:sz w:val="20"/>
                <w:lang w:val="fr-CA"/>
              </w:rPr>
              <w:t>(C.F.) (Civile) (Autorisation)</w:t>
            </w:r>
          </w:p>
        </w:tc>
      </w:tr>
      <w:tr w:rsidR="003A009E" w:rsidRPr="00956FA1" w:rsidTr="00C34132">
        <w:tc>
          <w:tcPr>
            <w:tcW w:w="5000" w:type="pct"/>
            <w:gridSpan w:val="2"/>
          </w:tcPr>
          <w:p w:rsidR="003A009E" w:rsidRPr="00956FA1" w:rsidRDefault="009A388B" w:rsidP="00C34132">
            <w:pPr>
              <w:jc w:val="both"/>
              <w:rPr>
                <w:sz w:val="20"/>
                <w:szCs w:val="20"/>
                <w:lang w:val="fr-CA"/>
              </w:rPr>
            </w:pPr>
            <w:r w:rsidRPr="00956FA1">
              <w:rPr>
                <w:sz w:val="20"/>
                <w:szCs w:val="20"/>
                <w:lang w:val="fr-CA"/>
              </w:rPr>
              <w:t>La demande d’autorisation d’appel de l’arrêt de la Cour d’appel fédérale, numéro A-186-20, 2021 FCA 1, daté du 13 janvier 2021, est rejetée avec dépens.</w:t>
            </w:r>
          </w:p>
          <w:p w:rsidR="009A388B" w:rsidRPr="00956FA1" w:rsidRDefault="009A388B" w:rsidP="00C34132">
            <w:pPr>
              <w:jc w:val="both"/>
              <w:rPr>
                <w:sz w:val="20"/>
                <w:lang w:val="fr-CA"/>
              </w:rPr>
            </w:pPr>
          </w:p>
        </w:tc>
      </w:tr>
      <w:tr w:rsidR="003A009E" w:rsidRPr="00956FA1" w:rsidTr="00C34132">
        <w:tc>
          <w:tcPr>
            <w:tcW w:w="5000" w:type="pct"/>
            <w:gridSpan w:val="2"/>
          </w:tcPr>
          <w:p w:rsidR="003A009E" w:rsidRPr="00956FA1" w:rsidRDefault="003A009E" w:rsidP="00C34132">
            <w:pPr>
              <w:jc w:val="both"/>
              <w:rPr>
                <w:sz w:val="20"/>
                <w:lang w:val="fr-CA"/>
              </w:rPr>
            </w:pPr>
            <w:r w:rsidRPr="00956FA1">
              <w:rPr>
                <w:sz w:val="20"/>
                <w:lang w:val="fr-CA"/>
              </w:rPr>
              <w:t>Droit des Autochtones — Revendications territoriales — Droits issus de traités — Tribunaux — Cour fédérale — Compétence — Les demanderesses sollicitent une injonction contre la Couronne dans le cadre d’une action en dommages</w:t>
            </w:r>
            <w:r w:rsidRPr="00956FA1">
              <w:rPr>
                <w:sz w:val="20"/>
                <w:lang w:val="fr-CA"/>
              </w:rPr>
              <w:noBreakHyphen/>
              <w:t xml:space="preserve">intérêts— La Cour fédérale a conclu qu’elle n’avait pas compétence pour accorder l’injonction demandée, sauf dans le cadre d’une demande de contrôle judiciaire — Le par. 18(3) de la </w:t>
            </w:r>
            <w:r w:rsidRPr="00956FA1">
              <w:rPr>
                <w:i/>
                <w:sz w:val="20"/>
                <w:lang w:val="fr-CA"/>
              </w:rPr>
              <w:t>Loi sur les Cours fédérales</w:t>
            </w:r>
            <w:hyperlink r:id="rId44" w:history="1">
              <w:r w:rsidRPr="00956FA1">
                <w:rPr>
                  <w:sz w:val="20"/>
                  <w:lang w:val="fr-CA"/>
                </w:rPr>
                <w:t>, L.R.C. 1985, ch. F</w:t>
              </w:r>
              <w:r w:rsidRPr="00956FA1">
                <w:rPr>
                  <w:sz w:val="20"/>
                  <w:lang w:val="fr-CA"/>
                </w:rPr>
                <w:noBreakHyphen/>
                <w:t>7</w:t>
              </w:r>
            </w:hyperlink>
            <w:r w:rsidRPr="00956FA1">
              <w:rPr>
                <w:sz w:val="20"/>
                <w:lang w:val="fr-CA"/>
              </w:rPr>
              <w:t xml:space="preserve"> empêche</w:t>
            </w:r>
            <w:r w:rsidRPr="00956FA1">
              <w:rPr>
                <w:sz w:val="20"/>
                <w:lang w:val="fr-CA"/>
              </w:rPr>
              <w:noBreakHyphen/>
              <w:t>t</w:t>
            </w:r>
            <w:r w:rsidRPr="00956FA1">
              <w:rPr>
                <w:sz w:val="20"/>
                <w:lang w:val="fr-CA"/>
              </w:rPr>
              <w:noBreakHyphen/>
              <w:t>il la Cour fédérale d’accorder une injonction contre la Couronne dans le cadre d’une action? — L’art. 44 crée</w:t>
            </w:r>
            <w:r w:rsidRPr="00956FA1">
              <w:rPr>
                <w:sz w:val="20"/>
                <w:lang w:val="fr-CA"/>
              </w:rPr>
              <w:noBreakHyphen/>
              <w:t>t</w:t>
            </w:r>
            <w:r w:rsidRPr="00956FA1">
              <w:rPr>
                <w:sz w:val="20"/>
                <w:lang w:val="fr-CA"/>
              </w:rPr>
              <w:noBreakHyphen/>
              <w:t>il une compétence « indépendante » pour accorder une injonction contre la Couronne dans le cadre d’une action? — L’art. 4 confère</w:t>
            </w:r>
            <w:r w:rsidRPr="00956FA1">
              <w:rPr>
                <w:sz w:val="20"/>
                <w:lang w:val="fr-CA"/>
              </w:rPr>
              <w:noBreakHyphen/>
              <w:t>t</w:t>
            </w:r>
            <w:r w:rsidRPr="00956FA1">
              <w:rPr>
                <w:sz w:val="20"/>
                <w:lang w:val="fr-CA"/>
              </w:rPr>
              <w:noBreakHyphen/>
              <w:t>il à la Cour fédérale une compétence plénière pour accorder une injonction contre la Couronne lorsque la Couronne fait fi de la loi ou agit de mauvaise foi? — Le caractère théorique crée</w:t>
            </w:r>
            <w:r w:rsidRPr="00956FA1">
              <w:rPr>
                <w:sz w:val="20"/>
                <w:lang w:val="fr-CA"/>
              </w:rPr>
              <w:noBreakHyphen/>
              <w:t>t</w:t>
            </w:r>
            <w:r w:rsidRPr="00956FA1">
              <w:rPr>
                <w:sz w:val="20"/>
                <w:lang w:val="fr-CA"/>
              </w:rPr>
              <w:noBreakHyphen/>
              <w:t>il un empêchement à l’appel proposé?</w:t>
            </w:r>
          </w:p>
        </w:tc>
      </w:tr>
      <w:tr w:rsidR="003A009E" w:rsidRPr="00956FA1" w:rsidTr="00C34132">
        <w:tc>
          <w:tcPr>
            <w:tcW w:w="5000" w:type="pct"/>
            <w:gridSpan w:val="2"/>
          </w:tcPr>
          <w:p w:rsidR="003A009E" w:rsidRPr="00956FA1" w:rsidRDefault="003A009E" w:rsidP="00C34132">
            <w:pPr>
              <w:jc w:val="both"/>
              <w:rPr>
                <w:sz w:val="20"/>
                <w:lang w:val="fr-CA"/>
              </w:rPr>
            </w:pPr>
          </w:p>
        </w:tc>
      </w:tr>
      <w:tr w:rsidR="003A009E" w:rsidRPr="00956FA1" w:rsidTr="00C34132">
        <w:tc>
          <w:tcPr>
            <w:tcW w:w="5000" w:type="pct"/>
            <w:gridSpan w:val="2"/>
          </w:tcPr>
          <w:p w:rsidR="003A009E" w:rsidRPr="00956FA1" w:rsidRDefault="003A009E" w:rsidP="00C34132">
            <w:pPr>
              <w:pStyle w:val="paragnum"/>
              <w:jc w:val="both"/>
              <w:rPr>
                <w:sz w:val="20"/>
                <w:szCs w:val="20"/>
                <w:lang w:val="fr-CA"/>
              </w:rPr>
            </w:pPr>
            <w:r w:rsidRPr="00956FA1">
              <w:rPr>
                <w:sz w:val="20"/>
                <w:szCs w:val="20"/>
                <w:lang w:val="fr-CA"/>
              </w:rPr>
              <w:t>La nation crie d’Enoch est une Première Nation qui, en 1942, a loué une partie de ses terres de réserve au Canada pour que celui</w:t>
            </w:r>
            <w:r w:rsidRPr="00956FA1">
              <w:rPr>
                <w:sz w:val="20"/>
                <w:szCs w:val="20"/>
                <w:lang w:val="fr-CA"/>
              </w:rPr>
              <w:noBreakHyphen/>
              <w:t>ci l’utilise comme secteur d’entraînement au bombardement. En 2007, Enoch a présenté une « revendication particulière » à l’égard de son grief historique, alléguant des manquements à l’obligation fiduciaire et d’autres manquements, plus particulièrement que la Couronne avait utilisé de façon inappropriée les terres de la réserve d’Enoch sans son consentement et sans égard aux dommages qui seraient causés aux terres de la réserve.</w:t>
            </w:r>
            <w:r w:rsidRPr="00956FA1">
              <w:rPr>
                <w:rFonts w:eastAsia="Calibri"/>
                <w:sz w:val="20"/>
                <w:szCs w:val="20"/>
                <w:lang w:val="fr-CA"/>
              </w:rPr>
              <w:t xml:space="preserve"> En 2013, le Canada a accepté de négocier cette revendication particulière,</w:t>
            </w:r>
            <w:r w:rsidRPr="00956FA1">
              <w:rPr>
                <w:sz w:val="20"/>
                <w:szCs w:val="20"/>
                <w:lang w:val="fr-CA"/>
              </w:rPr>
              <w:t xml:space="preserve"> dans le but de permettre aux parties de négocier une entente de règlement définitive de la revendication particulière</w:t>
            </w:r>
            <w:r w:rsidRPr="00956FA1">
              <w:rPr>
                <w:rFonts w:eastAsia="Calibri"/>
                <w:sz w:val="20"/>
                <w:szCs w:val="20"/>
                <w:lang w:val="fr-CA"/>
              </w:rPr>
              <w:t>. Une entente de règlement proposée entre les parties a été conclue en 2018 et a été acceptée par la suite par une majorité des membres de la bande en 2020. Conformément à cette entente, le Canada acceptait de verser une indemnité monétaire à Enoch collectivement, en contrepartie de quittances relatives à toute responsabilité future en ce qui concerne ces terres de réserve.</w:t>
            </w:r>
          </w:p>
          <w:p w:rsidR="003A009E" w:rsidRPr="00956FA1" w:rsidRDefault="003A009E" w:rsidP="00C34132">
            <w:pPr>
              <w:jc w:val="both"/>
              <w:rPr>
                <w:sz w:val="20"/>
                <w:lang w:val="fr-CA"/>
              </w:rPr>
            </w:pPr>
            <w:r w:rsidRPr="00956FA1">
              <w:rPr>
                <w:sz w:val="20"/>
                <w:lang w:val="fr-CA"/>
              </w:rPr>
              <w:t>Les demanderesses sont membres de la Nation crie d’Enoch qui détenaient un certificat de possession (« CP ») à l’égard d’une partie des terres qui faisaient l’objet de l’entente de règlement proposée. Elles souhaitaient traiter directement avec le ministre relativement aux obligations juridiques de la Couronne envers les titulaires de CP comme elles. Selon la Couronne, ses négociations avec Enoch étaient confidentielles et assujetties au privilège relatif aux règlements. Les demanderesses ont fini par intenter une action en Cour fédérale contre la Couronne, sollicitant des dommages</w:t>
            </w:r>
            <w:r w:rsidRPr="00956FA1">
              <w:rPr>
                <w:sz w:val="20"/>
                <w:lang w:val="fr-CA"/>
              </w:rPr>
              <w:noBreakHyphen/>
              <w:t>intérêts, en alléguant une violation continue du droit de propriété qui aurait été causée par des débris de munitions sur les terres détenues au titre de CP. Les demanderesses ont déposé une motion sollicitant une injonction interlocutoire pour empêcher le ministre de signer l’entente de règlement. La juge siégeant en son cabinet a statué que la Cour fédérale n’avait pas compétence pour accorder l’injonction dans le cadre d’une action contre la Couronne. Après que le ministre a signé l’entente de règlement, la Cour d’appel fédérale a accueilli la requête des intimés en rejet de l’appel en raison de son caractère théorique.</w:t>
            </w:r>
          </w:p>
          <w:p w:rsidR="003A009E" w:rsidRPr="00956FA1" w:rsidRDefault="003A009E" w:rsidP="00C34132">
            <w:pPr>
              <w:jc w:val="both"/>
              <w:rPr>
                <w:sz w:val="20"/>
                <w:lang w:val="fr-CA"/>
              </w:rPr>
            </w:pPr>
          </w:p>
        </w:tc>
      </w:tr>
    </w:tbl>
    <w:p w:rsidR="00662169" w:rsidRPr="00956FA1" w:rsidRDefault="00662169">
      <w:pPr>
        <w:rPr>
          <w:lang w:val="fr-CA"/>
        </w:rPr>
      </w:pPr>
      <w:r w:rsidRPr="00956FA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A009E" w:rsidRPr="00956FA1" w:rsidTr="00C34132">
        <w:tc>
          <w:tcPr>
            <w:tcW w:w="2427" w:type="pct"/>
          </w:tcPr>
          <w:p w:rsidR="003A009E" w:rsidRPr="00956FA1" w:rsidRDefault="003A009E" w:rsidP="00C34132">
            <w:pPr>
              <w:jc w:val="both"/>
              <w:rPr>
                <w:sz w:val="20"/>
                <w:lang w:val="fr-CA"/>
              </w:rPr>
            </w:pPr>
            <w:r w:rsidRPr="00956FA1">
              <w:rPr>
                <w:sz w:val="20"/>
                <w:lang w:val="fr-CA"/>
              </w:rPr>
              <w:t>17 juillet 2020</w:t>
            </w:r>
          </w:p>
          <w:p w:rsidR="003A009E" w:rsidRPr="00956FA1" w:rsidRDefault="003A009E" w:rsidP="00C34132">
            <w:pPr>
              <w:jc w:val="both"/>
              <w:rPr>
                <w:sz w:val="20"/>
                <w:lang w:val="fr-CA"/>
              </w:rPr>
            </w:pPr>
            <w:r w:rsidRPr="00956FA1">
              <w:rPr>
                <w:sz w:val="20"/>
                <w:lang w:val="fr-CA"/>
              </w:rPr>
              <w:t>Cour fédérale</w:t>
            </w:r>
          </w:p>
          <w:p w:rsidR="003A009E" w:rsidRPr="00956FA1" w:rsidRDefault="003A009E" w:rsidP="00C34132">
            <w:pPr>
              <w:jc w:val="both"/>
              <w:rPr>
                <w:sz w:val="20"/>
                <w:lang w:val="fr-CA"/>
              </w:rPr>
            </w:pPr>
            <w:r w:rsidRPr="00956FA1">
              <w:rPr>
                <w:sz w:val="20"/>
                <w:lang w:val="fr-CA"/>
              </w:rPr>
              <w:t>(Juge Strickland)</w:t>
            </w:r>
          </w:p>
          <w:p w:rsidR="003A009E" w:rsidRPr="00956FA1" w:rsidRDefault="00956FA1" w:rsidP="00C34132">
            <w:pPr>
              <w:jc w:val="both"/>
              <w:rPr>
                <w:sz w:val="20"/>
                <w:lang w:val="fr-CA"/>
              </w:rPr>
            </w:pPr>
            <w:hyperlink r:id="rId45" w:history="1">
              <w:r w:rsidR="003A009E" w:rsidRPr="00956FA1">
                <w:rPr>
                  <w:rStyle w:val="Hyperlink"/>
                  <w:sz w:val="20"/>
                  <w:lang w:val="fr-CA"/>
                </w:rPr>
                <w:t>2020 CF 769</w:t>
              </w:r>
            </w:hyperlink>
          </w:p>
          <w:p w:rsidR="003A009E" w:rsidRPr="00956FA1" w:rsidRDefault="003A009E" w:rsidP="00C34132">
            <w:pPr>
              <w:jc w:val="both"/>
              <w:rPr>
                <w:sz w:val="20"/>
                <w:lang w:val="fr-CA"/>
              </w:rPr>
            </w:pPr>
          </w:p>
        </w:tc>
        <w:tc>
          <w:tcPr>
            <w:tcW w:w="243" w:type="pct"/>
          </w:tcPr>
          <w:p w:rsidR="003A009E" w:rsidRPr="00956FA1" w:rsidRDefault="003A009E" w:rsidP="00C34132">
            <w:pPr>
              <w:jc w:val="both"/>
              <w:rPr>
                <w:sz w:val="20"/>
                <w:lang w:val="fr-CA"/>
              </w:rPr>
            </w:pPr>
          </w:p>
        </w:tc>
        <w:tc>
          <w:tcPr>
            <w:tcW w:w="2330" w:type="pct"/>
          </w:tcPr>
          <w:p w:rsidR="003A009E" w:rsidRPr="00956FA1" w:rsidRDefault="003A009E" w:rsidP="00C34132">
            <w:pPr>
              <w:jc w:val="both"/>
              <w:rPr>
                <w:sz w:val="20"/>
                <w:lang w:val="fr-CA"/>
              </w:rPr>
            </w:pPr>
            <w:r w:rsidRPr="00956FA1">
              <w:rPr>
                <w:sz w:val="20"/>
                <w:lang w:val="fr-CA"/>
              </w:rPr>
              <w:t>Rejet de la requête des demanderesses en injonction interlocutoire contre la Couronne</w:t>
            </w:r>
          </w:p>
          <w:p w:rsidR="003A009E" w:rsidRPr="00956FA1" w:rsidRDefault="003A009E" w:rsidP="00C34132">
            <w:pPr>
              <w:jc w:val="both"/>
              <w:rPr>
                <w:sz w:val="20"/>
                <w:lang w:val="fr-CA"/>
              </w:rPr>
            </w:pPr>
          </w:p>
          <w:p w:rsidR="003A009E" w:rsidRPr="00956FA1" w:rsidRDefault="003A009E" w:rsidP="00C34132">
            <w:pPr>
              <w:jc w:val="both"/>
              <w:rPr>
                <w:sz w:val="20"/>
                <w:lang w:val="fr-CA"/>
              </w:rPr>
            </w:pPr>
          </w:p>
        </w:tc>
      </w:tr>
      <w:tr w:rsidR="003A009E" w:rsidRPr="00956FA1" w:rsidTr="00C34132">
        <w:tc>
          <w:tcPr>
            <w:tcW w:w="2427" w:type="pct"/>
          </w:tcPr>
          <w:p w:rsidR="003A009E" w:rsidRPr="00956FA1" w:rsidRDefault="003A009E" w:rsidP="00C34132">
            <w:pPr>
              <w:jc w:val="both"/>
              <w:rPr>
                <w:sz w:val="20"/>
                <w:lang w:val="fr-CA"/>
              </w:rPr>
            </w:pPr>
            <w:r w:rsidRPr="00956FA1">
              <w:rPr>
                <w:sz w:val="20"/>
                <w:lang w:val="fr-CA"/>
              </w:rPr>
              <w:t>13 janvier 2021</w:t>
            </w:r>
          </w:p>
          <w:p w:rsidR="003A009E" w:rsidRPr="00956FA1" w:rsidRDefault="003A009E" w:rsidP="00C34132">
            <w:pPr>
              <w:jc w:val="both"/>
              <w:rPr>
                <w:sz w:val="20"/>
                <w:lang w:val="fr-CA"/>
              </w:rPr>
            </w:pPr>
            <w:r w:rsidRPr="00956FA1">
              <w:rPr>
                <w:sz w:val="20"/>
                <w:lang w:val="fr-CA"/>
              </w:rPr>
              <w:t>Cour d’appel fédérale</w:t>
            </w:r>
          </w:p>
          <w:p w:rsidR="003A009E" w:rsidRPr="00956FA1" w:rsidRDefault="003A009E" w:rsidP="00C34132">
            <w:pPr>
              <w:jc w:val="both"/>
              <w:rPr>
                <w:sz w:val="20"/>
                <w:lang w:val="fr-CA"/>
              </w:rPr>
            </w:pPr>
            <w:r w:rsidRPr="00956FA1">
              <w:rPr>
                <w:sz w:val="20"/>
                <w:lang w:val="fr-CA"/>
              </w:rPr>
              <w:t>(Juges Stratas, Laskin et Mactavish)</w:t>
            </w:r>
          </w:p>
          <w:p w:rsidR="003A009E" w:rsidRPr="00956FA1" w:rsidRDefault="00956FA1" w:rsidP="00C34132">
            <w:pPr>
              <w:jc w:val="both"/>
              <w:rPr>
                <w:sz w:val="20"/>
                <w:lang w:val="fr-CA"/>
              </w:rPr>
            </w:pPr>
            <w:hyperlink r:id="rId46" w:history="1">
              <w:r w:rsidR="003A009E" w:rsidRPr="00956FA1">
                <w:rPr>
                  <w:rStyle w:val="Hyperlink"/>
                  <w:sz w:val="20"/>
                  <w:lang w:val="fr-CA"/>
                </w:rPr>
                <w:t>2021 FCA 1</w:t>
              </w:r>
            </w:hyperlink>
          </w:p>
          <w:p w:rsidR="003A009E" w:rsidRPr="00956FA1" w:rsidRDefault="003A009E" w:rsidP="00C34132">
            <w:pPr>
              <w:jc w:val="both"/>
              <w:rPr>
                <w:sz w:val="20"/>
                <w:lang w:val="fr-CA"/>
              </w:rPr>
            </w:pPr>
          </w:p>
        </w:tc>
        <w:tc>
          <w:tcPr>
            <w:tcW w:w="243" w:type="pct"/>
          </w:tcPr>
          <w:p w:rsidR="003A009E" w:rsidRPr="00956FA1" w:rsidRDefault="003A009E" w:rsidP="00C34132">
            <w:pPr>
              <w:jc w:val="both"/>
              <w:rPr>
                <w:sz w:val="20"/>
                <w:lang w:val="fr-CA"/>
              </w:rPr>
            </w:pPr>
          </w:p>
        </w:tc>
        <w:tc>
          <w:tcPr>
            <w:tcW w:w="2330" w:type="pct"/>
          </w:tcPr>
          <w:p w:rsidR="003A009E" w:rsidRPr="00956FA1" w:rsidRDefault="003A009E" w:rsidP="00C34132">
            <w:pPr>
              <w:jc w:val="both"/>
              <w:rPr>
                <w:sz w:val="20"/>
                <w:lang w:val="fr-CA"/>
              </w:rPr>
            </w:pPr>
            <w:r w:rsidRPr="00956FA1">
              <w:rPr>
                <w:sz w:val="20"/>
                <w:lang w:val="fr-CA"/>
              </w:rPr>
              <w:t>Rejet de l’appel des demanderesses en raison de son caractère théorique</w:t>
            </w:r>
          </w:p>
          <w:p w:rsidR="003A009E" w:rsidRPr="00956FA1" w:rsidRDefault="003A009E" w:rsidP="00C34132">
            <w:pPr>
              <w:jc w:val="both"/>
              <w:rPr>
                <w:sz w:val="20"/>
                <w:lang w:val="fr-CA"/>
              </w:rPr>
            </w:pPr>
          </w:p>
        </w:tc>
      </w:tr>
      <w:tr w:rsidR="003A009E" w:rsidRPr="00956FA1" w:rsidTr="00C34132">
        <w:tc>
          <w:tcPr>
            <w:tcW w:w="2427" w:type="pct"/>
          </w:tcPr>
          <w:p w:rsidR="003A009E" w:rsidRPr="00956FA1" w:rsidRDefault="003A009E" w:rsidP="00C34132">
            <w:pPr>
              <w:jc w:val="both"/>
              <w:rPr>
                <w:sz w:val="20"/>
                <w:lang w:val="fr-CA"/>
              </w:rPr>
            </w:pPr>
            <w:r w:rsidRPr="00956FA1">
              <w:rPr>
                <w:sz w:val="20"/>
                <w:lang w:val="fr-CA"/>
              </w:rPr>
              <w:t>12 mars 2021</w:t>
            </w:r>
          </w:p>
          <w:p w:rsidR="003A009E" w:rsidRPr="00956FA1" w:rsidRDefault="003A009E" w:rsidP="00C34132">
            <w:pPr>
              <w:jc w:val="both"/>
              <w:rPr>
                <w:sz w:val="20"/>
                <w:lang w:val="fr-CA"/>
              </w:rPr>
            </w:pPr>
            <w:r w:rsidRPr="00956FA1">
              <w:rPr>
                <w:sz w:val="20"/>
                <w:lang w:val="fr-CA"/>
              </w:rPr>
              <w:t>Cour suprême du Canada</w:t>
            </w:r>
          </w:p>
        </w:tc>
        <w:tc>
          <w:tcPr>
            <w:tcW w:w="243" w:type="pct"/>
          </w:tcPr>
          <w:p w:rsidR="003A009E" w:rsidRPr="00956FA1" w:rsidRDefault="003A009E" w:rsidP="00C34132">
            <w:pPr>
              <w:jc w:val="both"/>
              <w:rPr>
                <w:sz w:val="20"/>
                <w:lang w:val="fr-CA"/>
              </w:rPr>
            </w:pPr>
          </w:p>
        </w:tc>
        <w:tc>
          <w:tcPr>
            <w:tcW w:w="2330" w:type="pct"/>
          </w:tcPr>
          <w:p w:rsidR="003A009E" w:rsidRPr="00956FA1" w:rsidRDefault="003A009E" w:rsidP="00C34132">
            <w:pPr>
              <w:jc w:val="both"/>
              <w:rPr>
                <w:sz w:val="20"/>
                <w:lang w:val="fr-CA"/>
              </w:rPr>
            </w:pPr>
            <w:r w:rsidRPr="00956FA1">
              <w:rPr>
                <w:sz w:val="20"/>
                <w:lang w:val="fr-CA"/>
              </w:rPr>
              <w:t>Dépôt de la demande d’autorisation d’appel</w:t>
            </w:r>
          </w:p>
          <w:p w:rsidR="003A009E" w:rsidRPr="00956FA1" w:rsidRDefault="003A009E" w:rsidP="00C34132">
            <w:pPr>
              <w:jc w:val="both"/>
              <w:rPr>
                <w:sz w:val="20"/>
                <w:lang w:val="fr-CA"/>
              </w:rPr>
            </w:pPr>
          </w:p>
        </w:tc>
      </w:tr>
    </w:tbl>
    <w:p w:rsidR="003A009E" w:rsidRPr="00956FA1" w:rsidRDefault="003A009E" w:rsidP="003A009E">
      <w:pPr>
        <w:widowControl w:val="0"/>
        <w:jc w:val="both"/>
        <w:rPr>
          <w:sz w:val="20"/>
          <w:lang w:val="fr-CA"/>
        </w:rPr>
      </w:pPr>
    </w:p>
    <w:p w:rsidR="003A009E" w:rsidRPr="00956FA1" w:rsidRDefault="00956FA1" w:rsidP="003A009E">
      <w:pPr>
        <w:widowControl w:val="0"/>
        <w:jc w:val="both"/>
        <w:rPr>
          <w:sz w:val="20"/>
          <w:lang w:val="fr-CA"/>
        </w:rPr>
      </w:pPr>
      <w:r w:rsidRPr="00956FA1">
        <w:rPr>
          <w:sz w:val="20"/>
        </w:rPr>
        <w:pict>
          <v:rect id="_x0000_i1047" style="width:2in;height:1pt" o:hrpct="0" o:hralign="center" o:hrstd="t" o:hrnoshade="t" o:hr="t" fillcolor="black [3213]" stroked="f"/>
        </w:pict>
      </w:r>
    </w:p>
    <w:p w:rsidR="003A009E" w:rsidRPr="00956FA1" w:rsidRDefault="003A009E" w:rsidP="003A009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A009E" w:rsidRPr="00956FA1" w:rsidTr="00C34132">
        <w:tc>
          <w:tcPr>
            <w:tcW w:w="543" w:type="pct"/>
          </w:tcPr>
          <w:p w:rsidR="003A009E" w:rsidRPr="00956FA1" w:rsidRDefault="003A009E" w:rsidP="00C34132">
            <w:pPr>
              <w:jc w:val="both"/>
              <w:rPr>
                <w:sz w:val="20"/>
              </w:rPr>
            </w:pPr>
            <w:r w:rsidRPr="00956FA1">
              <w:rPr>
                <w:rStyle w:val="SCCFileNumberChar"/>
                <w:sz w:val="20"/>
                <w:szCs w:val="20"/>
              </w:rPr>
              <w:t>39623</w:t>
            </w:r>
          </w:p>
        </w:tc>
        <w:tc>
          <w:tcPr>
            <w:tcW w:w="4457" w:type="pct"/>
            <w:gridSpan w:val="3"/>
          </w:tcPr>
          <w:p w:rsidR="003A009E" w:rsidRPr="00956FA1" w:rsidRDefault="003A009E" w:rsidP="00C34132">
            <w:pPr>
              <w:pStyle w:val="SCCLsocParty"/>
              <w:jc w:val="both"/>
              <w:rPr>
                <w:b/>
                <w:sz w:val="20"/>
                <w:szCs w:val="20"/>
                <w:lang w:val="en-US"/>
              </w:rPr>
            </w:pPr>
            <w:r w:rsidRPr="00956FA1">
              <w:rPr>
                <w:b/>
                <w:sz w:val="20"/>
                <w:szCs w:val="20"/>
                <w:lang w:val="en-US"/>
              </w:rPr>
              <w:t>Her Majesty the Queen v. Terrell Ochrym</w:t>
            </w:r>
          </w:p>
          <w:p w:rsidR="003A009E" w:rsidRPr="00956FA1" w:rsidRDefault="003A009E" w:rsidP="00C34132">
            <w:pPr>
              <w:jc w:val="both"/>
              <w:rPr>
                <w:sz w:val="20"/>
              </w:rPr>
            </w:pPr>
            <w:r w:rsidRPr="00956FA1">
              <w:rPr>
                <w:sz w:val="20"/>
              </w:rPr>
              <w:t>(Ont.) (Criminal) (By Leave)</w:t>
            </w:r>
          </w:p>
        </w:tc>
      </w:tr>
      <w:tr w:rsidR="003A009E" w:rsidRPr="00956FA1" w:rsidTr="00C34132">
        <w:tc>
          <w:tcPr>
            <w:tcW w:w="5000" w:type="pct"/>
            <w:gridSpan w:val="4"/>
          </w:tcPr>
          <w:p w:rsidR="00662169" w:rsidRPr="00956FA1" w:rsidRDefault="00662169" w:rsidP="00662169">
            <w:pPr>
              <w:jc w:val="both"/>
              <w:rPr>
                <w:sz w:val="20"/>
                <w:szCs w:val="20"/>
              </w:rPr>
            </w:pPr>
            <w:r w:rsidRPr="00956FA1">
              <w:rPr>
                <w:sz w:val="20"/>
                <w:szCs w:val="20"/>
              </w:rPr>
              <w:t>The application for leave to appeal from the judgment of the Court of Appeal for Ontario, Number C67930, 2021 ONCA 48, dated January 27, 2021, is dismissed.</w:t>
            </w:r>
          </w:p>
          <w:p w:rsidR="003A009E" w:rsidRPr="00956FA1" w:rsidRDefault="003A009E" w:rsidP="00C34132">
            <w:pPr>
              <w:pStyle w:val="SCCBanSummary0"/>
              <w:rPr>
                <w:smallCaps w:val="0"/>
                <w:sz w:val="20"/>
                <w:szCs w:val="20"/>
              </w:rPr>
            </w:pPr>
          </w:p>
        </w:tc>
      </w:tr>
      <w:tr w:rsidR="003A009E" w:rsidRPr="00956FA1" w:rsidTr="00C34132">
        <w:tc>
          <w:tcPr>
            <w:tcW w:w="5000" w:type="pct"/>
            <w:gridSpan w:val="4"/>
          </w:tcPr>
          <w:p w:rsidR="003A009E" w:rsidRPr="00956FA1" w:rsidRDefault="003A009E" w:rsidP="00C34132">
            <w:pPr>
              <w:pStyle w:val="SCCBanSummary0"/>
              <w:rPr>
                <w:sz w:val="20"/>
                <w:szCs w:val="20"/>
              </w:rPr>
            </w:pPr>
            <w:r w:rsidRPr="00956FA1">
              <w:rPr>
                <w:sz w:val="20"/>
                <w:szCs w:val="20"/>
              </w:rPr>
              <w:t>(Publication ban in case) (Sealing order) (Certain information not available to the public)</w:t>
            </w:r>
          </w:p>
          <w:p w:rsidR="003A009E" w:rsidRPr="00956FA1" w:rsidRDefault="003A009E" w:rsidP="00C34132">
            <w:pPr>
              <w:jc w:val="both"/>
              <w:rPr>
                <w:sz w:val="20"/>
              </w:rPr>
            </w:pPr>
          </w:p>
          <w:p w:rsidR="003A009E" w:rsidRPr="00956FA1" w:rsidRDefault="003A009E" w:rsidP="00C34132">
            <w:pPr>
              <w:jc w:val="both"/>
              <w:rPr>
                <w:sz w:val="20"/>
              </w:rPr>
            </w:pPr>
            <w:r w:rsidRPr="00956FA1">
              <w:rPr>
                <w:sz w:val="20"/>
              </w:rPr>
              <w:t xml:space="preserve">Criminal law — Offences — Elements of offences — Procuring sexual services of another for consideration — Advertising sexual services for consideration — Interpretation of “exercise influence” and whether coordination of another person’s movements is insufficient to prove </w:t>
            </w:r>
            <w:r w:rsidRPr="00956FA1">
              <w:rPr>
                <w:i/>
                <w:sz w:val="20"/>
              </w:rPr>
              <w:t>actus reus</w:t>
            </w:r>
            <w:r w:rsidRPr="00956FA1">
              <w:rPr>
                <w:sz w:val="20"/>
              </w:rPr>
              <w:t xml:space="preserve"> of offence of </w:t>
            </w:r>
            <w:r w:rsidRPr="00956FA1">
              <w:rPr>
                <w:sz w:val="20"/>
                <w:lang w:val="en"/>
              </w:rPr>
              <w:t xml:space="preserve">procuring — Whether </w:t>
            </w:r>
            <w:r w:rsidRPr="00956FA1">
              <w:rPr>
                <w:sz w:val="20"/>
              </w:rPr>
              <w:t>trial judge ought to have expressly elaborated the nature of the relationship between accused and complainant to conclude whether accused’s actions influenced complainant’s movements — Whether trial judge’s consideration of alternate theory of liability denied the accused a fair trial?</w:t>
            </w:r>
          </w:p>
        </w:tc>
      </w:tr>
      <w:tr w:rsidR="003A009E" w:rsidRPr="00956FA1" w:rsidTr="00C34132">
        <w:tc>
          <w:tcPr>
            <w:tcW w:w="5000" w:type="pct"/>
            <w:gridSpan w:val="4"/>
          </w:tcPr>
          <w:p w:rsidR="003A009E" w:rsidRPr="00956FA1" w:rsidRDefault="003A009E" w:rsidP="00C34132">
            <w:pPr>
              <w:jc w:val="both"/>
              <w:rPr>
                <w:sz w:val="20"/>
              </w:rPr>
            </w:pPr>
          </w:p>
        </w:tc>
      </w:tr>
      <w:tr w:rsidR="003A009E" w:rsidRPr="00956FA1" w:rsidTr="00C34132">
        <w:tc>
          <w:tcPr>
            <w:tcW w:w="5000" w:type="pct"/>
            <w:gridSpan w:val="4"/>
          </w:tcPr>
          <w:p w:rsidR="003A009E" w:rsidRPr="00956FA1" w:rsidRDefault="003A009E" w:rsidP="00C34132">
            <w:pPr>
              <w:jc w:val="both"/>
              <w:rPr>
                <w:sz w:val="20"/>
              </w:rPr>
            </w:pPr>
            <w:r w:rsidRPr="00956FA1">
              <w:rPr>
                <w:sz w:val="20"/>
                <w:lang w:val="en"/>
              </w:rPr>
              <w:t>A complainant and her romantic partner solicited the assistance of Mr. Ochrym in a scheme to provide her sexual services for consideration in motels. Mr. Ochrym drove the complainant from her home to the motel, brought her to the motel room using back entrances, and left. He brought her food or necessities when asked. He either gave his phone to the complainant’s partner to post ads online or posted ads online himself. He was convicted of procuring another person to provide sexual services for consideration and of advertising sexual services for consideration. The Court of Appeal allowed an appeal, set aside the convictions and ordered a new trial.</w:t>
            </w:r>
          </w:p>
          <w:p w:rsidR="003A009E" w:rsidRPr="00956FA1" w:rsidRDefault="003A009E" w:rsidP="00C34132">
            <w:pPr>
              <w:jc w:val="both"/>
              <w:rPr>
                <w:sz w:val="20"/>
              </w:rPr>
            </w:pPr>
          </w:p>
        </w:tc>
      </w:tr>
      <w:tr w:rsidR="003A009E" w:rsidRPr="00956FA1" w:rsidTr="00C34132">
        <w:tc>
          <w:tcPr>
            <w:tcW w:w="2427" w:type="pct"/>
            <w:gridSpan w:val="2"/>
          </w:tcPr>
          <w:p w:rsidR="003A009E" w:rsidRPr="00956FA1" w:rsidRDefault="003A009E" w:rsidP="00C34132">
            <w:pPr>
              <w:jc w:val="both"/>
              <w:rPr>
                <w:sz w:val="20"/>
              </w:rPr>
            </w:pPr>
            <w:r w:rsidRPr="00956FA1">
              <w:rPr>
                <w:sz w:val="20"/>
              </w:rPr>
              <w:t>August 21, 2019</w:t>
            </w:r>
          </w:p>
          <w:p w:rsidR="003A009E" w:rsidRPr="00956FA1" w:rsidRDefault="003A009E" w:rsidP="00C34132">
            <w:pPr>
              <w:jc w:val="both"/>
              <w:rPr>
                <w:sz w:val="20"/>
              </w:rPr>
            </w:pPr>
            <w:r w:rsidRPr="00956FA1">
              <w:rPr>
                <w:sz w:val="20"/>
              </w:rPr>
              <w:t>Ontario Superior Court of Justice</w:t>
            </w:r>
          </w:p>
          <w:p w:rsidR="003A009E" w:rsidRPr="00956FA1" w:rsidRDefault="003A009E" w:rsidP="00C34132">
            <w:pPr>
              <w:jc w:val="both"/>
              <w:rPr>
                <w:sz w:val="20"/>
              </w:rPr>
            </w:pPr>
            <w:r w:rsidRPr="00956FA1">
              <w:rPr>
                <w:sz w:val="20"/>
              </w:rPr>
              <w:t>(Sosna J.)(Unreported)</w:t>
            </w:r>
          </w:p>
          <w:p w:rsidR="003A009E" w:rsidRPr="00956FA1" w:rsidRDefault="003A009E" w:rsidP="00C34132">
            <w:pPr>
              <w:jc w:val="both"/>
              <w:rPr>
                <w:sz w:val="20"/>
                <w:lang w:val="en"/>
              </w:rPr>
            </w:pPr>
            <w:r w:rsidRPr="00956FA1">
              <w:rPr>
                <w:sz w:val="20"/>
                <w:lang w:val="en"/>
              </w:rPr>
              <w:t>2019 ONSC 4864</w:t>
            </w:r>
          </w:p>
          <w:p w:rsidR="003A009E" w:rsidRPr="00956FA1" w:rsidRDefault="003A009E" w:rsidP="00C34132">
            <w:pPr>
              <w:jc w:val="both"/>
              <w:rPr>
                <w:sz w:val="20"/>
              </w:rPr>
            </w:pPr>
            <w:r w:rsidRPr="00956FA1">
              <w:rPr>
                <w:sz w:val="20"/>
              </w:rPr>
              <w:t xml:space="preserve"> </w:t>
            </w: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widowControl w:val="0"/>
              <w:jc w:val="both"/>
              <w:rPr>
                <w:sz w:val="20"/>
                <w:lang w:val="en"/>
              </w:rPr>
            </w:pPr>
            <w:r w:rsidRPr="00956FA1">
              <w:rPr>
                <w:sz w:val="20"/>
                <w:lang w:val="en"/>
              </w:rPr>
              <w:t>Convictions for procuring another person to offer or provide sexual services for consideration and for knowingly advertising sexual services for consideration</w:t>
            </w:r>
          </w:p>
          <w:p w:rsidR="003A009E" w:rsidRPr="00956FA1" w:rsidRDefault="003A009E" w:rsidP="00C34132">
            <w:pPr>
              <w:jc w:val="both"/>
              <w:rPr>
                <w:sz w:val="20"/>
              </w:rPr>
            </w:pPr>
            <w:r w:rsidRPr="00956FA1">
              <w:rPr>
                <w:sz w:val="20"/>
                <w:lang w:val="en"/>
              </w:rPr>
              <w:t xml:space="preserve"> </w:t>
            </w:r>
          </w:p>
        </w:tc>
      </w:tr>
      <w:tr w:rsidR="003A009E" w:rsidRPr="00956FA1" w:rsidTr="00C34132">
        <w:tc>
          <w:tcPr>
            <w:tcW w:w="2427" w:type="pct"/>
            <w:gridSpan w:val="2"/>
          </w:tcPr>
          <w:p w:rsidR="003A009E" w:rsidRPr="00956FA1" w:rsidRDefault="003A009E" w:rsidP="00C34132">
            <w:pPr>
              <w:jc w:val="both"/>
              <w:rPr>
                <w:sz w:val="20"/>
              </w:rPr>
            </w:pPr>
            <w:r w:rsidRPr="00956FA1">
              <w:rPr>
                <w:sz w:val="20"/>
              </w:rPr>
              <w:t>January 27, 2021</w:t>
            </w:r>
          </w:p>
          <w:p w:rsidR="003A009E" w:rsidRPr="00956FA1" w:rsidRDefault="003A009E" w:rsidP="00C34132">
            <w:pPr>
              <w:jc w:val="both"/>
              <w:rPr>
                <w:sz w:val="20"/>
              </w:rPr>
            </w:pPr>
            <w:r w:rsidRPr="00956FA1">
              <w:rPr>
                <w:sz w:val="20"/>
              </w:rPr>
              <w:t>Court of Appeal for Ontario</w:t>
            </w:r>
          </w:p>
          <w:p w:rsidR="003A009E" w:rsidRPr="00956FA1" w:rsidRDefault="003A009E" w:rsidP="00C34132">
            <w:pPr>
              <w:jc w:val="both"/>
              <w:rPr>
                <w:sz w:val="20"/>
              </w:rPr>
            </w:pPr>
            <w:r w:rsidRPr="00956FA1">
              <w:rPr>
                <w:sz w:val="20"/>
              </w:rPr>
              <w:t>(Hoy, Trotter, Paciocco JJ.A.)</w:t>
            </w:r>
          </w:p>
          <w:p w:rsidR="003A009E" w:rsidRPr="00956FA1" w:rsidRDefault="00956FA1" w:rsidP="00C34132">
            <w:pPr>
              <w:jc w:val="both"/>
              <w:rPr>
                <w:sz w:val="20"/>
                <w:lang w:val="en"/>
              </w:rPr>
            </w:pPr>
            <w:hyperlink r:id="rId47" w:history="1">
              <w:r w:rsidR="003A009E" w:rsidRPr="00956FA1">
                <w:rPr>
                  <w:rStyle w:val="Hyperlink"/>
                  <w:sz w:val="20"/>
                </w:rPr>
                <w:t>2021 ONCA 48</w:t>
              </w:r>
            </w:hyperlink>
            <w:r w:rsidR="003A009E" w:rsidRPr="00956FA1">
              <w:rPr>
                <w:color w:val="000000"/>
                <w:sz w:val="20"/>
              </w:rPr>
              <w:t>; C67930</w:t>
            </w:r>
          </w:p>
          <w:p w:rsidR="003A009E" w:rsidRPr="00956FA1" w:rsidRDefault="003A009E" w:rsidP="00C34132">
            <w:pPr>
              <w:jc w:val="both"/>
              <w:rPr>
                <w:sz w:val="20"/>
              </w:rPr>
            </w:pP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rPr>
            </w:pPr>
            <w:r w:rsidRPr="00956FA1">
              <w:rPr>
                <w:sz w:val="20"/>
              </w:rPr>
              <w:t>Appeal allowed, convictions overturned, new trial ordered</w:t>
            </w:r>
          </w:p>
          <w:p w:rsidR="003A009E" w:rsidRPr="00956FA1" w:rsidRDefault="003A009E" w:rsidP="00C34132">
            <w:pPr>
              <w:jc w:val="both"/>
              <w:rPr>
                <w:sz w:val="20"/>
              </w:rPr>
            </w:pPr>
          </w:p>
        </w:tc>
      </w:tr>
      <w:tr w:rsidR="003A009E" w:rsidRPr="00956FA1" w:rsidTr="00C34132">
        <w:tc>
          <w:tcPr>
            <w:tcW w:w="2427" w:type="pct"/>
            <w:gridSpan w:val="2"/>
          </w:tcPr>
          <w:p w:rsidR="003A009E" w:rsidRPr="00956FA1" w:rsidRDefault="003A009E" w:rsidP="00C34132">
            <w:pPr>
              <w:jc w:val="both"/>
              <w:rPr>
                <w:sz w:val="20"/>
              </w:rPr>
            </w:pPr>
            <w:r w:rsidRPr="00956FA1">
              <w:rPr>
                <w:sz w:val="20"/>
              </w:rPr>
              <w:t>March 29, 2021</w:t>
            </w:r>
          </w:p>
          <w:p w:rsidR="003A009E" w:rsidRPr="00956FA1" w:rsidRDefault="003A009E" w:rsidP="00C34132">
            <w:pPr>
              <w:jc w:val="both"/>
              <w:rPr>
                <w:sz w:val="20"/>
              </w:rPr>
            </w:pPr>
            <w:r w:rsidRPr="00956FA1">
              <w:rPr>
                <w:sz w:val="20"/>
              </w:rPr>
              <w:t>Supreme Court of Canada</w:t>
            </w: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rPr>
            </w:pPr>
            <w:r w:rsidRPr="00956FA1">
              <w:rPr>
                <w:sz w:val="20"/>
              </w:rPr>
              <w:t>Application for leave to appeal filed</w:t>
            </w:r>
          </w:p>
          <w:p w:rsidR="003A009E" w:rsidRPr="00956FA1" w:rsidRDefault="003A009E" w:rsidP="00C34132">
            <w:pPr>
              <w:jc w:val="both"/>
              <w:rPr>
                <w:sz w:val="20"/>
              </w:rPr>
            </w:pPr>
          </w:p>
        </w:tc>
      </w:tr>
    </w:tbl>
    <w:p w:rsidR="003A009E" w:rsidRPr="00956FA1" w:rsidRDefault="003A009E" w:rsidP="003A009E">
      <w:pPr>
        <w:jc w:val="both"/>
        <w:rPr>
          <w:sz w:val="20"/>
        </w:rPr>
      </w:pPr>
    </w:p>
    <w:p w:rsidR="003A009E" w:rsidRPr="00956FA1" w:rsidRDefault="00956FA1" w:rsidP="003A009E">
      <w:pPr>
        <w:jc w:val="both"/>
        <w:rPr>
          <w:sz w:val="20"/>
        </w:rPr>
      </w:pPr>
      <w:r w:rsidRPr="00956FA1">
        <w:rPr>
          <w:sz w:val="20"/>
        </w:rPr>
        <w:pict>
          <v:rect id="_x0000_i1048" style="width:2in;height:1pt" o:hrpct="0" o:hralign="center" o:hrstd="t" o:hrnoshade="t" o:hr="t" fillcolor="black [3213]" stroked="f"/>
        </w:pict>
      </w:r>
    </w:p>
    <w:p w:rsidR="003A009E" w:rsidRPr="00956FA1" w:rsidRDefault="003A009E" w:rsidP="003A009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A009E" w:rsidRPr="00956FA1" w:rsidTr="00C34132">
        <w:tc>
          <w:tcPr>
            <w:tcW w:w="543" w:type="pct"/>
          </w:tcPr>
          <w:p w:rsidR="003A009E" w:rsidRPr="00956FA1" w:rsidRDefault="003A009E" w:rsidP="00C34132">
            <w:pPr>
              <w:jc w:val="both"/>
              <w:rPr>
                <w:sz w:val="20"/>
                <w:lang w:val="fr-CA"/>
              </w:rPr>
            </w:pPr>
            <w:r w:rsidRPr="00956FA1">
              <w:rPr>
                <w:rStyle w:val="SCCFileNumberChar"/>
                <w:sz w:val="20"/>
                <w:szCs w:val="20"/>
                <w:lang w:val="fr-CA"/>
              </w:rPr>
              <w:t>39623</w:t>
            </w:r>
          </w:p>
        </w:tc>
        <w:tc>
          <w:tcPr>
            <w:tcW w:w="4457" w:type="pct"/>
            <w:gridSpan w:val="3"/>
          </w:tcPr>
          <w:p w:rsidR="003A009E" w:rsidRPr="00956FA1" w:rsidRDefault="003A009E" w:rsidP="00C34132">
            <w:pPr>
              <w:pStyle w:val="SCCLsocParty"/>
              <w:jc w:val="both"/>
              <w:rPr>
                <w:b/>
                <w:sz w:val="20"/>
                <w:szCs w:val="20"/>
              </w:rPr>
            </w:pPr>
            <w:r w:rsidRPr="00956FA1">
              <w:rPr>
                <w:b/>
                <w:sz w:val="20"/>
                <w:szCs w:val="20"/>
              </w:rPr>
              <w:t>Sa Majesté la Reine c. Terrell Ochrym</w:t>
            </w:r>
          </w:p>
          <w:p w:rsidR="003A009E" w:rsidRPr="00956FA1" w:rsidRDefault="003A009E" w:rsidP="00C34132">
            <w:pPr>
              <w:jc w:val="both"/>
              <w:rPr>
                <w:sz w:val="20"/>
                <w:lang w:val="fr-CA"/>
              </w:rPr>
            </w:pPr>
            <w:r w:rsidRPr="00956FA1">
              <w:rPr>
                <w:sz w:val="20"/>
                <w:lang w:val="fr-CA"/>
              </w:rPr>
              <w:t>(Ont.) (Criminelle) (Autorisation)</w:t>
            </w:r>
          </w:p>
        </w:tc>
      </w:tr>
      <w:tr w:rsidR="003A009E" w:rsidRPr="00956FA1" w:rsidTr="00C34132">
        <w:tc>
          <w:tcPr>
            <w:tcW w:w="5000" w:type="pct"/>
            <w:gridSpan w:val="4"/>
          </w:tcPr>
          <w:p w:rsidR="003A009E" w:rsidRPr="00956FA1" w:rsidRDefault="00662169" w:rsidP="00C34132">
            <w:pPr>
              <w:pStyle w:val="SCCBanSummary0"/>
              <w:rPr>
                <w:smallCaps w:val="0"/>
                <w:sz w:val="20"/>
                <w:szCs w:val="20"/>
                <w:lang w:val="fr-CA"/>
              </w:rPr>
            </w:pPr>
            <w:r w:rsidRPr="00956FA1">
              <w:rPr>
                <w:smallCaps w:val="0"/>
                <w:sz w:val="20"/>
                <w:szCs w:val="20"/>
                <w:lang w:val="fr-CA"/>
              </w:rPr>
              <w:t>La demande d’autorisation d’appel de l’arrêt de la Cour d’appel de l’Ontario, numéro C67930, 2021 ONCA 48, daté du 27 janvier 2021, est rejetée.</w:t>
            </w:r>
          </w:p>
          <w:p w:rsidR="00662169" w:rsidRPr="00956FA1" w:rsidRDefault="00662169" w:rsidP="00662169">
            <w:pPr>
              <w:rPr>
                <w:lang w:val="fr-CA"/>
              </w:rPr>
            </w:pPr>
          </w:p>
        </w:tc>
      </w:tr>
      <w:tr w:rsidR="003A009E" w:rsidRPr="00956FA1" w:rsidTr="00C34132">
        <w:tc>
          <w:tcPr>
            <w:tcW w:w="5000" w:type="pct"/>
            <w:gridSpan w:val="4"/>
          </w:tcPr>
          <w:p w:rsidR="003A009E" w:rsidRPr="00956FA1" w:rsidRDefault="003A009E" w:rsidP="00C34132">
            <w:pPr>
              <w:pStyle w:val="SCCBanSummary0"/>
              <w:rPr>
                <w:sz w:val="20"/>
                <w:szCs w:val="20"/>
                <w:lang w:val="fr-CA"/>
              </w:rPr>
            </w:pPr>
            <w:r w:rsidRPr="00956FA1">
              <w:rPr>
                <w:sz w:val="20"/>
                <w:szCs w:val="20"/>
                <w:lang w:val="fr-CA"/>
              </w:rPr>
              <w:t>(Ordonnance de non</w:t>
            </w:r>
            <w:r w:rsidRPr="00956FA1">
              <w:rPr>
                <w:sz w:val="20"/>
                <w:szCs w:val="20"/>
                <w:lang w:val="fr-CA"/>
              </w:rPr>
              <w:noBreakHyphen/>
              <w:t>publication dans le dossier) (Ordonnance de mise sous scellés) (Le public n’est pas autorisé à prendre connaissance de certains renseignements)</w:t>
            </w:r>
          </w:p>
          <w:p w:rsidR="003A009E" w:rsidRPr="00956FA1" w:rsidRDefault="003A009E" w:rsidP="00C34132">
            <w:pPr>
              <w:jc w:val="both"/>
              <w:rPr>
                <w:sz w:val="20"/>
                <w:lang w:val="fr-CA"/>
              </w:rPr>
            </w:pPr>
          </w:p>
          <w:p w:rsidR="003A009E" w:rsidRPr="00956FA1" w:rsidRDefault="003A009E" w:rsidP="00C34132">
            <w:pPr>
              <w:jc w:val="both"/>
              <w:rPr>
                <w:sz w:val="20"/>
                <w:lang w:val="fr-CA"/>
              </w:rPr>
            </w:pPr>
            <w:r w:rsidRPr="00956FA1">
              <w:rPr>
                <w:sz w:val="20"/>
                <w:lang w:val="fr-CA"/>
              </w:rPr>
              <w:t>Droit criminel — Infractions — Éléments des infractions — Proxénétisme — Faire de la publicité de services sexuels moyennant rétribution — Interprétation de l’expression « exerce une influence » et la coordination des mouvements de quelqu’un d’autre est</w:t>
            </w:r>
            <w:r w:rsidRPr="00956FA1">
              <w:rPr>
                <w:sz w:val="20"/>
                <w:lang w:val="fr-CA"/>
              </w:rPr>
              <w:noBreakHyphen/>
              <w:t>il insuffisant pour prouver l’</w:t>
            </w:r>
            <w:r w:rsidRPr="00956FA1">
              <w:rPr>
                <w:i/>
                <w:sz w:val="20"/>
                <w:lang w:val="fr-CA"/>
              </w:rPr>
              <w:t>actus reus</w:t>
            </w:r>
            <w:r w:rsidRPr="00956FA1">
              <w:rPr>
                <w:sz w:val="20"/>
                <w:lang w:val="fr-CA"/>
              </w:rPr>
              <w:t xml:space="preserve"> de l’infraction de proxénétisme? — Y aurait</w:t>
            </w:r>
            <w:r w:rsidRPr="00956FA1">
              <w:rPr>
                <w:sz w:val="20"/>
                <w:lang w:val="fr-CA"/>
              </w:rPr>
              <w:noBreakHyphen/>
              <w:t>il fallu que le juge du procès formule expressément la nature de la relation entre l’accusé et la plaignante pour tirer une conclusion sur la question de savoir si les gestes de l’accusé ont influencé les mouvements de la plaignante? — L’examen par le juge du procès de l’autre thèse de responsabilité a</w:t>
            </w:r>
            <w:r w:rsidRPr="00956FA1">
              <w:rPr>
                <w:sz w:val="20"/>
                <w:lang w:val="fr-CA"/>
              </w:rPr>
              <w:noBreakHyphen/>
              <w:t>t</w:t>
            </w:r>
            <w:r w:rsidRPr="00956FA1">
              <w:rPr>
                <w:sz w:val="20"/>
                <w:lang w:val="fr-CA"/>
              </w:rPr>
              <w:noBreakHyphen/>
              <w:t>il privé l’accusé d’un procès équitable?</w:t>
            </w:r>
          </w:p>
        </w:tc>
      </w:tr>
      <w:tr w:rsidR="003A009E" w:rsidRPr="00956FA1" w:rsidTr="00C34132">
        <w:tc>
          <w:tcPr>
            <w:tcW w:w="5000" w:type="pct"/>
            <w:gridSpan w:val="4"/>
          </w:tcPr>
          <w:p w:rsidR="003A009E" w:rsidRPr="00956FA1" w:rsidRDefault="003A009E" w:rsidP="00C34132">
            <w:pPr>
              <w:jc w:val="both"/>
              <w:rPr>
                <w:sz w:val="20"/>
                <w:lang w:val="fr-CA"/>
              </w:rPr>
            </w:pPr>
          </w:p>
        </w:tc>
      </w:tr>
      <w:tr w:rsidR="003A009E" w:rsidRPr="00956FA1" w:rsidTr="00C34132">
        <w:tc>
          <w:tcPr>
            <w:tcW w:w="5000" w:type="pct"/>
            <w:gridSpan w:val="4"/>
          </w:tcPr>
          <w:p w:rsidR="003A009E" w:rsidRPr="00956FA1" w:rsidRDefault="003A009E" w:rsidP="00C34132">
            <w:pPr>
              <w:jc w:val="both"/>
              <w:rPr>
                <w:sz w:val="20"/>
                <w:lang w:val="fr-CA"/>
              </w:rPr>
            </w:pPr>
            <w:r w:rsidRPr="00956FA1">
              <w:rPr>
                <w:sz w:val="20"/>
                <w:lang w:val="fr-CA"/>
              </w:rPr>
              <w:t>Une plaignante et son amoureux ont sollicité l’aide de M. Ochrym dans le cadre d’un stratagème visant à fournir les services sexuels de la plaignante moyennant rétribution dans des motels. Monsieur Ochrym conduisait la plaignante de chez elle jusqu’au motel, l’emmenait à la chambre du motel en passant par les entrées arrière et quittait les lieux. Il lui apportait de la nourriture ou des nécessités lorsqu’on le lui demandait. Il donnait son téléphone à l’amoureux de la plaignante pour qu’il affiche des annonces en ligne ou bien il affichait lui</w:t>
            </w:r>
            <w:r w:rsidRPr="00956FA1">
              <w:rPr>
                <w:sz w:val="20"/>
                <w:lang w:val="fr-CA"/>
              </w:rPr>
              <w:noBreakHyphen/>
              <w:t>même des annonces en ligne. Il a été déclaré coupable de proxénétisme et d’avoir fait de la publicité de services sexuels moyennant rétribution. La Cour d’appel a accueilli l’appel, annulé les déclarations de culpabilité et ordonné la tenue d’un nouveau procès.</w:t>
            </w:r>
          </w:p>
          <w:p w:rsidR="003A009E" w:rsidRPr="00956FA1" w:rsidRDefault="003A009E" w:rsidP="00C34132">
            <w:pPr>
              <w:jc w:val="both"/>
              <w:rPr>
                <w:sz w:val="20"/>
                <w:lang w:val="fr-CA"/>
              </w:rPr>
            </w:pPr>
          </w:p>
        </w:tc>
      </w:tr>
      <w:tr w:rsidR="003A009E" w:rsidRPr="00956FA1" w:rsidTr="00C34132">
        <w:tc>
          <w:tcPr>
            <w:tcW w:w="2427" w:type="pct"/>
            <w:gridSpan w:val="2"/>
          </w:tcPr>
          <w:p w:rsidR="003A009E" w:rsidRPr="00956FA1" w:rsidRDefault="003A009E" w:rsidP="00C34132">
            <w:pPr>
              <w:jc w:val="both"/>
              <w:rPr>
                <w:sz w:val="20"/>
                <w:lang w:val="fr-CA"/>
              </w:rPr>
            </w:pPr>
            <w:r w:rsidRPr="00956FA1">
              <w:rPr>
                <w:sz w:val="20"/>
                <w:lang w:val="fr-CA"/>
              </w:rPr>
              <w:t>21 août 2019</w:t>
            </w:r>
          </w:p>
          <w:p w:rsidR="003A009E" w:rsidRPr="00956FA1" w:rsidRDefault="003A009E" w:rsidP="00C34132">
            <w:pPr>
              <w:jc w:val="both"/>
              <w:rPr>
                <w:sz w:val="20"/>
                <w:lang w:val="fr-CA"/>
              </w:rPr>
            </w:pPr>
            <w:r w:rsidRPr="00956FA1">
              <w:rPr>
                <w:sz w:val="20"/>
                <w:lang w:val="fr-CA"/>
              </w:rPr>
              <w:t>Cour supérieure de justice de l’Ontario</w:t>
            </w:r>
          </w:p>
          <w:p w:rsidR="003A009E" w:rsidRPr="00956FA1" w:rsidRDefault="003A009E" w:rsidP="00C34132">
            <w:pPr>
              <w:jc w:val="both"/>
              <w:rPr>
                <w:sz w:val="20"/>
                <w:lang w:val="fr-CA"/>
              </w:rPr>
            </w:pPr>
            <w:r w:rsidRPr="00956FA1">
              <w:rPr>
                <w:sz w:val="20"/>
                <w:lang w:val="fr-CA"/>
              </w:rPr>
              <w:t>(Juge Sosna)(Non publié)</w:t>
            </w:r>
          </w:p>
          <w:p w:rsidR="003A009E" w:rsidRPr="00956FA1" w:rsidRDefault="003A009E" w:rsidP="00C34132">
            <w:pPr>
              <w:jc w:val="both"/>
              <w:rPr>
                <w:sz w:val="20"/>
                <w:lang w:val="fr-CA"/>
              </w:rPr>
            </w:pPr>
            <w:r w:rsidRPr="00956FA1">
              <w:rPr>
                <w:sz w:val="20"/>
                <w:lang w:val="fr-CA"/>
              </w:rPr>
              <w:t>2019 ONSC 4864</w:t>
            </w:r>
          </w:p>
          <w:p w:rsidR="003A009E" w:rsidRPr="00956FA1" w:rsidRDefault="003A009E" w:rsidP="00C34132">
            <w:pPr>
              <w:jc w:val="both"/>
              <w:rPr>
                <w:sz w:val="20"/>
                <w:lang w:val="fr-CA"/>
              </w:rPr>
            </w:pPr>
            <w:r w:rsidRPr="00956FA1">
              <w:rPr>
                <w:sz w:val="20"/>
                <w:lang w:val="fr-CA"/>
              </w:rPr>
              <w:t xml:space="preserve"> </w:t>
            </w:r>
          </w:p>
        </w:tc>
        <w:tc>
          <w:tcPr>
            <w:tcW w:w="243" w:type="pct"/>
          </w:tcPr>
          <w:p w:rsidR="003A009E" w:rsidRPr="00956FA1" w:rsidRDefault="003A009E" w:rsidP="00C34132">
            <w:pPr>
              <w:jc w:val="both"/>
              <w:rPr>
                <w:sz w:val="20"/>
                <w:lang w:val="fr-CA"/>
              </w:rPr>
            </w:pPr>
          </w:p>
        </w:tc>
        <w:tc>
          <w:tcPr>
            <w:tcW w:w="2330" w:type="pct"/>
          </w:tcPr>
          <w:p w:rsidR="003A009E" w:rsidRPr="00956FA1" w:rsidRDefault="003A009E" w:rsidP="00C34132">
            <w:pPr>
              <w:widowControl w:val="0"/>
              <w:jc w:val="both"/>
              <w:rPr>
                <w:sz w:val="20"/>
                <w:lang w:val="fr-CA"/>
              </w:rPr>
            </w:pPr>
            <w:r w:rsidRPr="00956FA1">
              <w:rPr>
                <w:sz w:val="20"/>
                <w:lang w:val="fr-CA"/>
              </w:rPr>
              <w:t>Déclarations de culpabilité pour proxénétisme et pour avoir sciemment fait de la publicité de services sexuels moyennant rétribution</w:t>
            </w:r>
          </w:p>
          <w:p w:rsidR="003A009E" w:rsidRPr="00956FA1" w:rsidRDefault="003A009E" w:rsidP="00C34132">
            <w:pPr>
              <w:jc w:val="both"/>
              <w:rPr>
                <w:sz w:val="20"/>
                <w:lang w:val="fr-CA"/>
              </w:rPr>
            </w:pPr>
            <w:r w:rsidRPr="00956FA1">
              <w:rPr>
                <w:sz w:val="20"/>
                <w:lang w:val="fr-CA"/>
              </w:rPr>
              <w:t xml:space="preserve"> </w:t>
            </w:r>
          </w:p>
        </w:tc>
      </w:tr>
      <w:tr w:rsidR="003A009E" w:rsidRPr="00956FA1" w:rsidTr="00C34132">
        <w:tc>
          <w:tcPr>
            <w:tcW w:w="2427" w:type="pct"/>
            <w:gridSpan w:val="2"/>
          </w:tcPr>
          <w:p w:rsidR="003A009E" w:rsidRPr="00956FA1" w:rsidRDefault="003A009E" w:rsidP="00C34132">
            <w:pPr>
              <w:jc w:val="both"/>
              <w:rPr>
                <w:sz w:val="20"/>
                <w:lang w:val="fr-CA"/>
              </w:rPr>
            </w:pPr>
            <w:r w:rsidRPr="00956FA1">
              <w:rPr>
                <w:sz w:val="20"/>
                <w:lang w:val="fr-CA"/>
              </w:rPr>
              <w:t>27 janvier 2021</w:t>
            </w:r>
          </w:p>
          <w:p w:rsidR="003A009E" w:rsidRPr="00956FA1" w:rsidRDefault="003A009E" w:rsidP="00C34132">
            <w:pPr>
              <w:jc w:val="both"/>
              <w:rPr>
                <w:sz w:val="20"/>
                <w:lang w:val="fr-CA"/>
              </w:rPr>
            </w:pPr>
            <w:r w:rsidRPr="00956FA1">
              <w:rPr>
                <w:sz w:val="20"/>
                <w:lang w:val="fr-CA"/>
              </w:rPr>
              <w:t>Cour d’appel de l’Ontario</w:t>
            </w:r>
          </w:p>
          <w:p w:rsidR="003A009E" w:rsidRPr="00956FA1" w:rsidRDefault="003A009E" w:rsidP="00C34132">
            <w:pPr>
              <w:jc w:val="both"/>
              <w:rPr>
                <w:sz w:val="20"/>
                <w:lang w:val="fr-CA"/>
              </w:rPr>
            </w:pPr>
            <w:r w:rsidRPr="00956FA1">
              <w:rPr>
                <w:sz w:val="20"/>
                <w:lang w:val="fr-CA"/>
              </w:rPr>
              <w:t>(Juges Hoy, Trotter et Paciocco)</w:t>
            </w:r>
          </w:p>
          <w:p w:rsidR="003A009E" w:rsidRPr="00956FA1" w:rsidRDefault="00956FA1" w:rsidP="00C34132">
            <w:pPr>
              <w:jc w:val="both"/>
              <w:rPr>
                <w:sz w:val="20"/>
                <w:lang w:val="fr-CA"/>
              </w:rPr>
            </w:pPr>
            <w:hyperlink r:id="rId48" w:history="1">
              <w:r w:rsidR="003A009E" w:rsidRPr="00956FA1">
                <w:rPr>
                  <w:rStyle w:val="Hyperlink"/>
                  <w:sz w:val="20"/>
                  <w:lang w:val="fr-CA"/>
                </w:rPr>
                <w:t>2021 ONCA 48</w:t>
              </w:r>
            </w:hyperlink>
            <w:r w:rsidR="003A009E" w:rsidRPr="00956FA1">
              <w:rPr>
                <w:color w:val="000000"/>
                <w:sz w:val="20"/>
                <w:lang w:val="fr-CA"/>
              </w:rPr>
              <w:t>; C67930</w:t>
            </w:r>
          </w:p>
          <w:p w:rsidR="003A009E" w:rsidRPr="00956FA1" w:rsidRDefault="003A009E" w:rsidP="00C34132">
            <w:pPr>
              <w:jc w:val="both"/>
              <w:rPr>
                <w:sz w:val="20"/>
                <w:lang w:val="fr-CA"/>
              </w:rPr>
            </w:pPr>
          </w:p>
        </w:tc>
        <w:tc>
          <w:tcPr>
            <w:tcW w:w="243" w:type="pct"/>
          </w:tcPr>
          <w:p w:rsidR="003A009E" w:rsidRPr="00956FA1" w:rsidRDefault="003A009E" w:rsidP="00C34132">
            <w:pPr>
              <w:jc w:val="both"/>
              <w:rPr>
                <w:sz w:val="20"/>
                <w:lang w:val="fr-CA"/>
              </w:rPr>
            </w:pPr>
          </w:p>
        </w:tc>
        <w:tc>
          <w:tcPr>
            <w:tcW w:w="2330" w:type="pct"/>
          </w:tcPr>
          <w:p w:rsidR="003A009E" w:rsidRPr="00956FA1" w:rsidRDefault="003A009E" w:rsidP="00C34132">
            <w:pPr>
              <w:jc w:val="both"/>
              <w:rPr>
                <w:sz w:val="20"/>
                <w:lang w:val="fr-CA"/>
              </w:rPr>
            </w:pPr>
            <w:r w:rsidRPr="00956FA1">
              <w:rPr>
                <w:sz w:val="20"/>
                <w:lang w:val="fr-CA"/>
              </w:rPr>
              <w:t>Arrêt accueillant l’appel, infirmant les déclarations de culpabilité et ordonnant la tenue d’un nouveau procès</w:t>
            </w:r>
          </w:p>
          <w:p w:rsidR="003A009E" w:rsidRPr="00956FA1" w:rsidRDefault="003A009E" w:rsidP="00C34132">
            <w:pPr>
              <w:jc w:val="both"/>
              <w:rPr>
                <w:sz w:val="20"/>
                <w:lang w:val="fr-CA"/>
              </w:rPr>
            </w:pPr>
          </w:p>
        </w:tc>
      </w:tr>
      <w:tr w:rsidR="003A009E" w:rsidRPr="00956FA1" w:rsidTr="00C34132">
        <w:tc>
          <w:tcPr>
            <w:tcW w:w="2427" w:type="pct"/>
            <w:gridSpan w:val="2"/>
          </w:tcPr>
          <w:p w:rsidR="003A009E" w:rsidRPr="00956FA1" w:rsidRDefault="003A009E" w:rsidP="00C34132">
            <w:pPr>
              <w:jc w:val="both"/>
              <w:rPr>
                <w:sz w:val="20"/>
                <w:lang w:val="fr-CA"/>
              </w:rPr>
            </w:pPr>
            <w:r w:rsidRPr="00956FA1">
              <w:rPr>
                <w:sz w:val="20"/>
                <w:lang w:val="fr-CA"/>
              </w:rPr>
              <w:t>29 mars 2021</w:t>
            </w:r>
          </w:p>
          <w:p w:rsidR="003A009E" w:rsidRPr="00956FA1" w:rsidRDefault="003A009E" w:rsidP="00C34132">
            <w:pPr>
              <w:jc w:val="both"/>
              <w:rPr>
                <w:sz w:val="20"/>
                <w:lang w:val="fr-CA"/>
              </w:rPr>
            </w:pPr>
            <w:r w:rsidRPr="00956FA1">
              <w:rPr>
                <w:sz w:val="20"/>
                <w:lang w:val="fr-CA"/>
              </w:rPr>
              <w:t>Cour suprême du Canada</w:t>
            </w:r>
          </w:p>
        </w:tc>
        <w:tc>
          <w:tcPr>
            <w:tcW w:w="243" w:type="pct"/>
          </w:tcPr>
          <w:p w:rsidR="003A009E" w:rsidRPr="00956FA1" w:rsidRDefault="003A009E" w:rsidP="00C34132">
            <w:pPr>
              <w:jc w:val="both"/>
              <w:rPr>
                <w:sz w:val="20"/>
                <w:lang w:val="fr-CA"/>
              </w:rPr>
            </w:pPr>
          </w:p>
        </w:tc>
        <w:tc>
          <w:tcPr>
            <w:tcW w:w="2330" w:type="pct"/>
          </w:tcPr>
          <w:p w:rsidR="003A009E" w:rsidRPr="00956FA1" w:rsidRDefault="003A009E" w:rsidP="00C34132">
            <w:pPr>
              <w:jc w:val="both"/>
              <w:rPr>
                <w:sz w:val="20"/>
                <w:lang w:val="fr-CA"/>
              </w:rPr>
            </w:pPr>
            <w:r w:rsidRPr="00956FA1">
              <w:rPr>
                <w:sz w:val="20"/>
                <w:lang w:val="fr-CA"/>
              </w:rPr>
              <w:t>Dépôt de la demande d’autorisation d’appel</w:t>
            </w:r>
          </w:p>
          <w:p w:rsidR="003A009E" w:rsidRPr="00956FA1" w:rsidRDefault="003A009E" w:rsidP="00C34132">
            <w:pPr>
              <w:jc w:val="both"/>
              <w:rPr>
                <w:sz w:val="20"/>
                <w:lang w:val="fr-CA"/>
              </w:rPr>
            </w:pPr>
          </w:p>
        </w:tc>
      </w:tr>
    </w:tbl>
    <w:p w:rsidR="003A009E" w:rsidRPr="00956FA1" w:rsidRDefault="003A009E" w:rsidP="003A009E">
      <w:pPr>
        <w:jc w:val="both"/>
        <w:rPr>
          <w:sz w:val="20"/>
          <w:lang w:val="fr-CA"/>
        </w:rPr>
      </w:pPr>
    </w:p>
    <w:p w:rsidR="003A009E" w:rsidRPr="00956FA1" w:rsidRDefault="00956FA1" w:rsidP="003A009E">
      <w:pPr>
        <w:widowControl w:val="0"/>
        <w:jc w:val="both"/>
        <w:rPr>
          <w:sz w:val="20"/>
          <w:lang w:val="fr-CA"/>
        </w:rPr>
      </w:pPr>
      <w:r w:rsidRPr="00956FA1">
        <w:rPr>
          <w:sz w:val="20"/>
        </w:rPr>
        <w:pict>
          <v:rect id="_x0000_i1049" style="width:2in;height:1pt" o:hrpct="0" o:hralign="center" o:hrstd="t" o:hrnoshade="t" o:hr="t" fillcolor="black [3213]" stroked="f"/>
        </w:pict>
      </w:r>
    </w:p>
    <w:p w:rsidR="003A009E" w:rsidRPr="00956FA1" w:rsidRDefault="003A009E" w:rsidP="003A009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A009E" w:rsidRPr="00956FA1" w:rsidTr="00C34132">
        <w:tc>
          <w:tcPr>
            <w:tcW w:w="543" w:type="pct"/>
          </w:tcPr>
          <w:p w:rsidR="003A009E" w:rsidRPr="00956FA1" w:rsidRDefault="003A009E" w:rsidP="00C34132">
            <w:pPr>
              <w:jc w:val="both"/>
              <w:rPr>
                <w:sz w:val="20"/>
              </w:rPr>
            </w:pPr>
            <w:r w:rsidRPr="00956FA1">
              <w:rPr>
                <w:rStyle w:val="SCCFileNumberChar"/>
                <w:sz w:val="20"/>
                <w:szCs w:val="20"/>
              </w:rPr>
              <w:t>39607</w:t>
            </w:r>
          </w:p>
        </w:tc>
        <w:tc>
          <w:tcPr>
            <w:tcW w:w="4457" w:type="pct"/>
            <w:gridSpan w:val="3"/>
          </w:tcPr>
          <w:p w:rsidR="003A009E" w:rsidRPr="00956FA1" w:rsidRDefault="00662169" w:rsidP="00662169">
            <w:pPr>
              <w:pStyle w:val="SCCLsocParty"/>
              <w:jc w:val="both"/>
              <w:rPr>
                <w:b/>
                <w:sz w:val="20"/>
                <w:szCs w:val="20"/>
                <w:lang w:val="en-US"/>
              </w:rPr>
            </w:pPr>
            <w:r w:rsidRPr="00956FA1">
              <w:rPr>
                <w:b/>
                <w:sz w:val="20"/>
                <w:szCs w:val="20"/>
                <w:lang w:val="en-US"/>
              </w:rPr>
              <w:t>Canadian Broadcasting Corporation, Charlsie Agro, Kathleen Coughlin and Eric Szeto</w:t>
            </w:r>
            <w:r w:rsidR="003A009E" w:rsidRPr="00956FA1">
              <w:rPr>
                <w:b/>
                <w:sz w:val="20"/>
                <w:szCs w:val="20"/>
                <w:lang w:val="en-US"/>
              </w:rPr>
              <w:t xml:space="preserve"> v. </w:t>
            </w:r>
            <w:r w:rsidRPr="00956FA1">
              <w:rPr>
                <w:b/>
                <w:sz w:val="20"/>
                <w:szCs w:val="20"/>
                <w:lang w:val="en-US"/>
              </w:rPr>
              <w:t>Subway Franchise Systems of Canada Inc., Subway IP Inc. and Doctors Associates Inc.</w:t>
            </w:r>
          </w:p>
          <w:p w:rsidR="003A009E" w:rsidRPr="00956FA1" w:rsidRDefault="003A009E" w:rsidP="00C34132">
            <w:pPr>
              <w:jc w:val="both"/>
              <w:rPr>
                <w:sz w:val="20"/>
              </w:rPr>
            </w:pPr>
            <w:r w:rsidRPr="00956FA1">
              <w:rPr>
                <w:sz w:val="20"/>
              </w:rPr>
              <w:t>(Ont.) (Civil) (By Leave)</w:t>
            </w:r>
          </w:p>
        </w:tc>
      </w:tr>
      <w:tr w:rsidR="003A009E" w:rsidRPr="00956FA1" w:rsidTr="00C34132">
        <w:tc>
          <w:tcPr>
            <w:tcW w:w="5000" w:type="pct"/>
            <w:gridSpan w:val="4"/>
          </w:tcPr>
          <w:p w:rsidR="00662169" w:rsidRPr="00956FA1" w:rsidRDefault="00662169" w:rsidP="00662169">
            <w:pPr>
              <w:jc w:val="both"/>
              <w:rPr>
                <w:sz w:val="20"/>
                <w:szCs w:val="20"/>
              </w:rPr>
            </w:pPr>
            <w:r w:rsidRPr="00956FA1">
              <w:rPr>
                <w:sz w:val="20"/>
                <w:szCs w:val="20"/>
              </w:rPr>
              <w:t>The application for leave to appeal from the judgment of the Court of Appeal for Ontario, Number C67852, 2021 ONCA 26, dated January 18, 2021, is dismissed with costs.</w:t>
            </w:r>
          </w:p>
          <w:p w:rsidR="003A009E" w:rsidRPr="00956FA1" w:rsidRDefault="003A009E" w:rsidP="00C34132">
            <w:pPr>
              <w:jc w:val="both"/>
              <w:rPr>
                <w:sz w:val="20"/>
              </w:rPr>
            </w:pPr>
          </w:p>
        </w:tc>
      </w:tr>
      <w:tr w:rsidR="003A009E" w:rsidRPr="00956FA1" w:rsidTr="00C34132">
        <w:tc>
          <w:tcPr>
            <w:tcW w:w="5000" w:type="pct"/>
            <w:gridSpan w:val="4"/>
          </w:tcPr>
          <w:p w:rsidR="003A009E" w:rsidRPr="00956FA1" w:rsidRDefault="003A009E" w:rsidP="00C34132">
            <w:pPr>
              <w:jc w:val="both"/>
              <w:rPr>
                <w:sz w:val="20"/>
                <w:lang w:val="en"/>
              </w:rPr>
            </w:pPr>
            <w:r w:rsidRPr="00956FA1">
              <w:rPr>
                <w:sz w:val="20"/>
                <w:lang w:val="en"/>
              </w:rPr>
              <w:t xml:space="preserve">Courts — Dismissal of proceeding that limits debate — Freedom of expression — Matters of public interest — Application of Ontario’s framework for dismissal of strategic lawsuits against public participation (SLAPPs) to defamation claim — </w:t>
            </w:r>
            <w:r w:rsidRPr="00956FA1">
              <w:rPr>
                <w:sz w:val="20"/>
              </w:rPr>
              <w:t>How should courts approach a responsible communication defence raised by media on an anti</w:t>
            </w:r>
            <w:r w:rsidRPr="00956FA1">
              <w:rPr>
                <w:sz w:val="20"/>
              </w:rPr>
              <w:noBreakHyphen/>
              <w:t xml:space="preserve">SLAPP motion </w:t>
            </w:r>
            <w:r w:rsidRPr="00956FA1">
              <w:rPr>
                <w:sz w:val="20"/>
                <w:lang w:val="en"/>
              </w:rPr>
              <w:t>—</w:t>
            </w:r>
            <w:r w:rsidRPr="00956FA1">
              <w:rPr>
                <w:sz w:val="20"/>
              </w:rPr>
              <w:t xml:space="preserve"> When, if ever, should courts consider post</w:t>
            </w:r>
            <w:r w:rsidRPr="00956FA1">
              <w:rPr>
                <w:sz w:val="20"/>
              </w:rPr>
              <w:noBreakHyphen/>
              <w:t xml:space="preserve">publication content when assessing the responsible communication defence </w:t>
            </w:r>
            <w:r w:rsidRPr="00956FA1">
              <w:rPr>
                <w:sz w:val="20"/>
                <w:lang w:val="en"/>
              </w:rPr>
              <w:t>—</w:t>
            </w:r>
            <w:r w:rsidRPr="00956FA1">
              <w:rPr>
                <w:sz w:val="20"/>
              </w:rPr>
              <w:t xml:space="preserve"> </w:t>
            </w:r>
            <w:r w:rsidRPr="00956FA1">
              <w:rPr>
                <w:i/>
                <w:sz w:val="20"/>
              </w:rPr>
              <w:t>1704604 Ontario Ltd. v. Pointes Protection Association</w:t>
            </w:r>
            <w:r w:rsidRPr="00956FA1">
              <w:rPr>
                <w:sz w:val="20"/>
              </w:rPr>
              <w:t xml:space="preserve">, 2020 SCC 22 </w:t>
            </w:r>
            <w:r w:rsidRPr="00956FA1">
              <w:rPr>
                <w:sz w:val="20"/>
                <w:lang w:val="en"/>
              </w:rPr>
              <w:t>—</w:t>
            </w:r>
            <w:r w:rsidRPr="00956FA1">
              <w:rPr>
                <w:sz w:val="20"/>
              </w:rPr>
              <w:t xml:space="preserve"> </w:t>
            </w:r>
            <w:r w:rsidRPr="00956FA1">
              <w:rPr>
                <w:i/>
                <w:sz w:val="20"/>
              </w:rPr>
              <w:t>Bent v. Platnick</w:t>
            </w:r>
            <w:r w:rsidRPr="00956FA1">
              <w:rPr>
                <w:sz w:val="20"/>
              </w:rPr>
              <w:t xml:space="preserve">, 2020 SCC 23 </w:t>
            </w:r>
            <w:r w:rsidRPr="00956FA1">
              <w:rPr>
                <w:sz w:val="20"/>
                <w:lang w:val="en"/>
              </w:rPr>
              <w:t xml:space="preserve">— </w:t>
            </w:r>
            <w:r w:rsidRPr="00956FA1">
              <w:rPr>
                <w:i/>
                <w:sz w:val="20"/>
                <w:lang w:val="en"/>
              </w:rPr>
              <w:t>Courts of Justice Act</w:t>
            </w:r>
            <w:r w:rsidRPr="00956FA1">
              <w:rPr>
                <w:sz w:val="20"/>
                <w:lang w:val="en"/>
              </w:rPr>
              <w:t>, RSO 1990, c C.43, s. 137.1 (“</w:t>
            </w:r>
            <w:r w:rsidRPr="00956FA1">
              <w:rPr>
                <w:i/>
                <w:sz w:val="20"/>
                <w:lang w:val="en"/>
              </w:rPr>
              <w:t>CJA</w:t>
            </w:r>
            <w:r w:rsidRPr="00956FA1">
              <w:rPr>
                <w:sz w:val="20"/>
                <w:lang w:val="en"/>
              </w:rPr>
              <w:t>”).</w:t>
            </w:r>
          </w:p>
        </w:tc>
      </w:tr>
      <w:tr w:rsidR="003A009E" w:rsidRPr="00956FA1" w:rsidTr="00C34132">
        <w:tc>
          <w:tcPr>
            <w:tcW w:w="5000" w:type="pct"/>
            <w:gridSpan w:val="4"/>
          </w:tcPr>
          <w:p w:rsidR="003A009E" w:rsidRPr="00956FA1" w:rsidRDefault="003A009E" w:rsidP="00C34132">
            <w:pPr>
              <w:jc w:val="both"/>
              <w:rPr>
                <w:sz w:val="20"/>
              </w:rPr>
            </w:pPr>
          </w:p>
          <w:p w:rsidR="003A009E" w:rsidRPr="00956FA1" w:rsidRDefault="003A009E" w:rsidP="00C34132">
            <w:pPr>
              <w:jc w:val="both"/>
              <w:rPr>
                <w:sz w:val="20"/>
              </w:rPr>
            </w:pPr>
            <w:r w:rsidRPr="00956FA1">
              <w:rPr>
                <w:sz w:val="20"/>
              </w:rPr>
              <w:t>In its Marketplace television program, online media report and Twitter posts to the public, the applicants (“CBC”) reported that only approximately 50% of the DNA in Subway chicken was chicken DNA. The investigative report compared the contents of chicken sandwiches sold by five fast food chains in Canada. The percentage of chicken reported to be in the Subway sandwiches was substantially below those sold by the other chains. The report was based on test samples conducted by Trent University’s Natural Resources DNA Profiling &amp; Forensic Centre (“Trent”). The respondents (“Subway”) brought an action for defamation against CBC and Trent, and also brought an action in negligence against Trent.</w:t>
            </w:r>
          </w:p>
          <w:p w:rsidR="003A009E" w:rsidRPr="00956FA1" w:rsidRDefault="003A009E" w:rsidP="00C34132">
            <w:pPr>
              <w:jc w:val="both"/>
              <w:rPr>
                <w:sz w:val="20"/>
              </w:rPr>
            </w:pPr>
          </w:p>
          <w:p w:rsidR="003A009E" w:rsidRPr="00956FA1" w:rsidRDefault="003A009E" w:rsidP="00C34132">
            <w:pPr>
              <w:jc w:val="both"/>
              <w:rPr>
                <w:sz w:val="20"/>
              </w:rPr>
            </w:pPr>
            <w:r w:rsidRPr="00956FA1">
              <w:rPr>
                <w:sz w:val="20"/>
              </w:rPr>
              <w:t xml:space="preserve">CBC and Trent brought motions to dismiss under s. 137.1 of the </w:t>
            </w:r>
            <w:r w:rsidRPr="00956FA1">
              <w:rPr>
                <w:i/>
                <w:sz w:val="20"/>
              </w:rPr>
              <w:t>CJA</w:t>
            </w:r>
            <w:r w:rsidRPr="00956FA1">
              <w:rPr>
                <w:sz w:val="20"/>
              </w:rPr>
              <w:t>, on the basis that</w:t>
            </w:r>
            <w:r w:rsidRPr="00956FA1">
              <w:rPr>
                <w:i/>
                <w:sz w:val="20"/>
              </w:rPr>
              <w:t xml:space="preserve"> </w:t>
            </w:r>
            <w:r w:rsidRPr="00956FA1">
              <w:rPr>
                <w:sz w:val="20"/>
              </w:rPr>
              <w:t>the lawsuits were</w:t>
            </w:r>
            <w:r w:rsidRPr="00956FA1">
              <w:rPr>
                <w:sz w:val="20"/>
                <w:lang w:val="en"/>
              </w:rPr>
              <w:t xml:space="preserve"> strategically aimed at discouraging freedom of expression on a matter of public interest.</w:t>
            </w:r>
            <w:r w:rsidRPr="00956FA1">
              <w:rPr>
                <w:sz w:val="20"/>
              </w:rPr>
              <w:t xml:space="preserve"> CBC sought to dismiss Subway’s defamation action against it, whereas Trent only sought to dismiss the respondents’ claim in negligence. A motion judge of the Ontario Superior Court of Justice granted the CBC’s motion and dismissed the defamation action against CBC, but dismissed Trent’s motion and allowed the negligence action against Trent to proceed. On appeal, the Court of Appeal for Ontario allowed Subway’s appeal against CBC, set aside the lower court decision, and allowed the defamation action against CBC to continue. In a separate appeal, the appellate court allowed Trent’s appeal and dismissed Subway’s action in negligence against Trent.</w:t>
            </w:r>
          </w:p>
        </w:tc>
      </w:tr>
      <w:tr w:rsidR="003A009E" w:rsidRPr="00956FA1" w:rsidTr="00C34132">
        <w:tc>
          <w:tcPr>
            <w:tcW w:w="5000" w:type="pct"/>
            <w:gridSpan w:val="4"/>
          </w:tcPr>
          <w:p w:rsidR="003A009E" w:rsidRPr="00956FA1" w:rsidRDefault="003A009E" w:rsidP="00C34132">
            <w:pPr>
              <w:jc w:val="both"/>
              <w:rPr>
                <w:sz w:val="20"/>
              </w:rPr>
            </w:pPr>
          </w:p>
        </w:tc>
      </w:tr>
      <w:tr w:rsidR="003A009E" w:rsidRPr="00956FA1" w:rsidTr="00C34132">
        <w:tc>
          <w:tcPr>
            <w:tcW w:w="2427" w:type="pct"/>
            <w:gridSpan w:val="2"/>
          </w:tcPr>
          <w:p w:rsidR="003A009E" w:rsidRPr="00956FA1" w:rsidRDefault="003A009E" w:rsidP="00C34132">
            <w:pPr>
              <w:jc w:val="both"/>
              <w:rPr>
                <w:sz w:val="20"/>
              </w:rPr>
            </w:pPr>
            <w:r w:rsidRPr="00956FA1">
              <w:rPr>
                <w:sz w:val="20"/>
              </w:rPr>
              <w:t>November 22, 2019</w:t>
            </w:r>
          </w:p>
          <w:p w:rsidR="003A009E" w:rsidRPr="00956FA1" w:rsidRDefault="003A009E" w:rsidP="00C34132">
            <w:pPr>
              <w:jc w:val="both"/>
              <w:rPr>
                <w:sz w:val="20"/>
              </w:rPr>
            </w:pPr>
            <w:r w:rsidRPr="00956FA1">
              <w:rPr>
                <w:sz w:val="20"/>
              </w:rPr>
              <w:t>Ontario Superior Court of Justice</w:t>
            </w:r>
          </w:p>
          <w:p w:rsidR="003A009E" w:rsidRPr="00956FA1" w:rsidRDefault="003A009E" w:rsidP="00C34132">
            <w:pPr>
              <w:jc w:val="both"/>
              <w:rPr>
                <w:sz w:val="20"/>
              </w:rPr>
            </w:pPr>
            <w:r w:rsidRPr="00956FA1">
              <w:rPr>
                <w:sz w:val="20"/>
              </w:rPr>
              <w:t>(Morgan J.)</w:t>
            </w:r>
          </w:p>
          <w:p w:rsidR="003A009E" w:rsidRPr="00956FA1" w:rsidRDefault="00956FA1" w:rsidP="00C34132">
            <w:pPr>
              <w:jc w:val="both"/>
              <w:rPr>
                <w:sz w:val="20"/>
              </w:rPr>
            </w:pPr>
            <w:hyperlink r:id="rId49" w:history="1">
              <w:r w:rsidR="003A009E" w:rsidRPr="00956FA1">
                <w:rPr>
                  <w:rStyle w:val="Hyperlink"/>
                  <w:sz w:val="20"/>
                </w:rPr>
                <w:t>2019 ONSC 6758</w:t>
              </w:r>
            </w:hyperlink>
          </w:p>
          <w:p w:rsidR="003A009E" w:rsidRPr="00956FA1" w:rsidRDefault="003A009E" w:rsidP="00C34132">
            <w:pPr>
              <w:jc w:val="both"/>
              <w:rPr>
                <w:sz w:val="20"/>
              </w:rPr>
            </w:pP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rPr>
            </w:pPr>
            <w:r w:rsidRPr="00956FA1">
              <w:rPr>
                <w:sz w:val="20"/>
              </w:rPr>
              <w:t xml:space="preserve">Applicant’s motion to dismiss action pursuant to s. 137.1 of the </w:t>
            </w:r>
            <w:r w:rsidRPr="00956FA1">
              <w:rPr>
                <w:i/>
                <w:sz w:val="20"/>
              </w:rPr>
              <w:t>Courts of Justice Act</w:t>
            </w:r>
            <w:r w:rsidRPr="00956FA1">
              <w:rPr>
                <w:sz w:val="20"/>
              </w:rPr>
              <w:t xml:space="preserve"> granted; respondent’s action in defamation against CBC dismissed.</w:t>
            </w:r>
          </w:p>
          <w:p w:rsidR="003A009E" w:rsidRPr="00956FA1" w:rsidRDefault="003A009E" w:rsidP="00C34132">
            <w:pPr>
              <w:jc w:val="both"/>
              <w:rPr>
                <w:sz w:val="20"/>
              </w:rPr>
            </w:pPr>
          </w:p>
        </w:tc>
      </w:tr>
      <w:tr w:rsidR="003A009E" w:rsidRPr="00956FA1" w:rsidTr="00C34132">
        <w:tc>
          <w:tcPr>
            <w:tcW w:w="2427" w:type="pct"/>
            <w:gridSpan w:val="2"/>
          </w:tcPr>
          <w:p w:rsidR="003A009E" w:rsidRPr="00956FA1" w:rsidRDefault="003A009E" w:rsidP="00C34132">
            <w:pPr>
              <w:jc w:val="both"/>
              <w:rPr>
                <w:sz w:val="20"/>
              </w:rPr>
            </w:pPr>
            <w:r w:rsidRPr="00956FA1">
              <w:rPr>
                <w:sz w:val="20"/>
              </w:rPr>
              <w:t>January 18, 2021</w:t>
            </w:r>
          </w:p>
          <w:p w:rsidR="003A009E" w:rsidRPr="00956FA1" w:rsidRDefault="003A009E" w:rsidP="00C34132">
            <w:pPr>
              <w:jc w:val="both"/>
              <w:rPr>
                <w:sz w:val="20"/>
              </w:rPr>
            </w:pPr>
            <w:r w:rsidRPr="00956FA1">
              <w:rPr>
                <w:sz w:val="20"/>
              </w:rPr>
              <w:t>Court of Appeal for Ontario</w:t>
            </w:r>
          </w:p>
          <w:p w:rsidR="003A009E" w:rsidRPr="00956FA1" w:rsidRDefault="003A009E" w:rsidP="00C34132">
            <w:pPr>
              <w:jc w:val="both"/>
              <w:rPr>
                <w:sz w:val="20"/>
              </w:rPr>
            </w:pPr>
            <w:r w:rsidRPr="00956FA1">
              <w:rPr>
                <w:sz w:val="20"/>
              </w:rPr>
              <w:t>(Brown, Zarnett and Thorburn JJ.A.)</w:t>
            </w:r>
          </w:p>
          <w:p w:rsidR="003A009E" w:rsidRPr="00956FA1" w:rsidRDefault="00956FA1" w:rsidP="00C34132">
            <w:pPr>
              <w:jc w:val="both"/>
              <w:rPr>
                <w:rStyle w:val="Hyperlink"/>
                <w:sz w:val="20"/>
              </w:rPr>
            </w:pPr>
            <w:hyperlink r:id="rId50" w:history="1">
              <w:r w:rsidR="003A009E" w:rsidRPr="00956FA1">
                <w:rPr>
                  <w:rStyle w:val="Hyperlink"/>
                  <w:sz w:val="20"/>
                </w:rPr>
                <w:t>2021 ONCA 26</w:t>
              </w:r>
            </w:hyperlink>
          </w:p>
          <w:p w:rsidR="003A009E" w:rsidRPr="00956FA1" w:rsidRDefault="003A009E" w:rsidP="00C34132">
            <w:pPr>
              <w:jc w:val="both"/>
              <w:rPr>
                <w:sz w:val="20"/>
              </w:rPr>
            </w:pP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rPr>
            </w:pPr>
            <w:r w:rsidRPr="00956FA1">
              <w:rPr>
                <w:sz w:val="20"/>
              </w:rPr>
              <w:t>Appeal allowed, action in defamation allowed to proceed.</w:t>
            </w:r>
          </w:p>
          <w:p w:rsidR="003A009E" w:rsidRPr="00956FA1" w:rsidRDefault="003A009E" w:rsidP="00C34132">
            <w:pPr>
              <w:jc w:val="both"/>
              <w:rPr>
                <w:sz w:val="20"/>
              </w:rPr>
            </w:pPr>
          </w:p>
        </w:tc>
      </w:tr>
      <w:tr w:rsidR="003A009E" w:rsidRPr="00956FA1" w:rsidTr="00C34132">
        <w:tc>
          <w:tcPr>
            <w:tcW w:w="2427" w:type="pct"/>
            <w:gridSpan w:val="2"/>
          </w:tcPr>
          <w:p w:rsidR="003A009E" w:rsidRPr="00956FA1" w:rsidRDefault="003A009E" w:rsidP="00C34132">
            <w:pPr>
              <w:jc w:val="both"/>
              <w:rPr>
                <w:sz w:val="20"/>
              </w:rPr>
            </w:pPr>
            <w:r w:rsidRPr="00956FA1">
              <w:rPr>
                <w:sz w:val="20"/>
              </w:rPr>
              <w:t>March 19, 2021</w:t>
            </w:r>
          </w:p>
          <w:p w:rsidR="003A009E" w:rsidRPr="00956FA1" w:rsidRDefault="003A009E" w:rsidP="00C34132">
            <w:pPr>
              <w:jc w:val="both"/>
              <w:rPr>
                <w:sz w:val="20"/>
              </w:rPr>
            </w:pPr>
            <w:r w:rsidRPr="00956FA1">
              <w:rPr>
                <w:sz w:val="20"/>
              </w:rPr>
              <w:t>Supreme Court of Canada</w:t>
            </w: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rPr>
            </w:pPr>
            <w:r w:rsidRPr="00956FA1">
              <w:rPr>
                <w:sz w:val="20"/>
              </w:rPr>
              <w:t>Application for leave to appeal filed.</w:t>
            </w:r>
          </w:p>
        </w:tc>
      </w:tr>
    </w:tbl>
    <w:p w:rsidR="003A009E" w:rsidRPr="00956FA1" w:rsidRDefault="003A009E" w:rsidP="003A009E">
      <w:pPr>
        <w:jc w:val="both"/>
        <w:rPr>
          <w:sz w:val="20"/>
        </w:rPr>
      </w:pPr>
    </w:p>
    <w:p w:rsidR="003A009E" w:rsidRPr="00956FA1" w:rsidRDefault="00956FA1" w:rsidP="003A009E">
      <w:pPr>
        <w:jc w:val="both"/>
        <w:rPr>
          <w:sz w:val="20"/>
        </w:rPr>
      </w:pPr>
      <w:r w:rsidRPr="00956FA1">
        <w:rPr>
          <w:sz w:val="20"/>
        </w:rPr>
        <w:pict>
          <v:rect id="_x0000_i1050" style="width:2in;height:1pt" o:hrpct="0" o:hralign="center" o:hrstd="t" o:hrnoshade="t" o:hr="t" fillcolor="black [3213]" stroked="f"/>
        </w:pict>
      </w:r>
    </w:p>
    <w:p w:rsidR="003A009E" w:rsidRPr="00956FA1" w:rsidRDefault="003A009E" w:rsidP="003A009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A009E" w:rsidRPr="00956FA1" w:rsidTr="00C34132">
        <w:tc>
          <w:tcPr>
            <w:tcW w:w="543" w:type="pct"/>
          </w:tcPr>
          <w:p w:rsidR="003A009E" w:rsidRPr="00956FA1" w:rsidRDefault="003A009E" w:rsidP="00C34132">
            <w:pPr>
              <w:jc w:val="both"/>
              <w:rPr>
                <w:sz w:val="20"/>
                <w:lang w:val="fr-CA"/>
              </w:rPr>
            </w:pPr>
            <w:r w:rsidRPr="00956FA1">
              <w:rPr>
                <w:rStyle w:val="SCCFileNumberChar"/>
                <w:sz w:val="20"/>
                <w:szCs w:val="20"/>
                <w:lang w:val="fr-CA"/>
              </w:rPr>
              <w:t>39607</w:t>
            </w:r>
          </w:p>
        </w:tc>
        <w:tc>
          <w:tcPr>
            <w:tcW w:w="4457" w:type="pct"/>
          </w:tcPr>
          <w:p w:rsidR="003A009E" w:rsidRPr="00956FA1" w:rsidRDefault="00662169" w:rsidP="00662169">
            <w:pPr>
              <w:pStyle w:val="SCCLsocParty"/>
              <w:jc w:val="both"/>
              <w:rPr>
                <w:b/>
                <w:sz w:val="20"/>
                <w:szCs w:val="20"/>
              </w:rPr>
            </w:pPr>
            <w:r w:rsidRPr="00956FA1">
              <w:rPr>
                <w:b/>
                <w:sz w:val="20"/>
                <w:szCs w:val="20"/>
              </w:rPr>
              <w:t>Société Radio-Canada, Charlsie Agro, Kathleen Coughlin et Eric Szeto</w:t>
            </w:r>
            <w:r w:rsidR="003A009E" w:rsidRPr="00956FA1">
              <w:rPr>
                <w:b/>
                <w:sz w:val="20"/>
                <w:szCs w:val="20"/>
              </w:rPr>
              <w:t xml:space="preserve"> c. </w:t>
            </w:r>
            <w:r w:rsidRPr="00956FA1">
              <w:rPr>
                <w:b/>
                <w:sz w:val="20"/>
                <w:szCs w:val="20"/>
              </w:rPr>
              <w:t>Subway Franchise Systems of Canada Inc., Subway IP Inc. et Doctors Associates Inc.</w:t>
            </w:r>
          </w:p>
          <w:p w:rsidR="003A009E" w:rsidRPr="00956FA1" w:rsidRDefault="003A009E" w:rsidP="00C34132">
            <w:pPr>
              <w:jc w:val="both"/>
              <w:rPr>
                <w:sz w:val="20"/>
                <w:lang w:val="fr-CA"/>
              </w:rPr>
            </w:pPr>
            <w:r w:rsidRPr="00956FA1">
              <w:rPr>
                <w:sz w:val="20"/>
                <w:lang w:val="fr-CA"/>
              </w:rPr>
              <w:t>(Ont.) (Civile) (Autorisation)</w:t>
            </w:r>
          </w:p>
        </w:tc>
      </w:tr>
      <w:tr w:rsidR="003A009E" w:rsidRPr="00956FA1" w:rsidTr="00C34132">
        <w:tc>
          <w:tcPr>
            <w:tcW w:w="5000" w:type="pct"/>
            <w:gridSpan w:val="2"/>
          </w:tcPr>
          <w:p w:rsidR="003A009E" w:rsidRPr="00956FA1" w:rsidRDefault="00662169" w:rsidP="00C34132">
            <w:pPr>
              <w:jc w:val="both"/>
              <w:rPr>
                <w:sz w:val="20"/>
                <w:szCs w:val="20"/>
                <w:lang w:val="fr-CA"/>
              </w:rPr>
            </w:pPr>
            <w:r w:rsidRPr="00956FA1">
              <w:rPr>
                <w:sz w:val="20"/>
                <w:szCs w:val="20"/>
                <w:lang w:val="fr-CA"/>
              </w:rPr>
              <w:t>La demande d’autorisation d’appel de l’arrêt de la Cour d’appel de l’Ontario, numéro C67852, 2021 ONCA 26, daté du 18 janvier 2021, est rejetée avec dépens.</w:t>
            </w:r>
          </w:p>
          <w:p w:rsidR="00662169" w:rsidRPr="00956FA1" w:rsidRDefault="00662169" w:rsidP="00C34132">
            <w:pPr>
              <w:jc w:val="both"/>
              <w:rPr>
                <w:sz w:val="20"/>
                <w:lang w:val="fr-CA"/>
              </w:rPr>
            </w:pPr>
          </w:p>
        </w:tc>
      </w:tr>
      <w:tr w:rsidR="003A009E" w:rsidRPr="00956FA1" w:rsidTr="00C34132">
        <w:tc>
          <w:tcPr>
            <w:tcW w:w="5000" w:type="pct"/>
            <w:gridSpan w:val="2"/>
          </w:tcPr>
          <w:p w:rsidR="003A009E" w:rsidRPr="00956FA1" w:rsidRDefault="003A009E" w:rsidP="00C34132">
            <w:pPr>
              <w:jc w:val="both"/>
              <w:rPr>
                <w:sz w:val="20"/>
                <w:lang w:val="fr-CA"/>
              </w:rPr>
            </w:pPr>
            <w:r w:rsidRPr="00956FA1">
              <w:rPr>
                <w:sz w:val="20"/>
                <w:lang w:val="fr-CA"/>
              </w:rPr>
              <w:t>Tribunaux — Rejet d’une instance limitant les débats — Liberté d’expression — Affaires d’intérêt public — Application du cadre d’analyse ontarien relatif au rejet des poursuites stratégiques contre la mobilisation publique (poursuite</w:t>
            </w:r>
            <w:r w:rsidRPr="00956FA1">
              <w:rPr>
                <w:sz w:val="20"/>
                <w:lang w:val="fr-CA"/>
              </w:rPr>
              <w:noBreakHyphen/>
              <w:t>bâillon ou SLAPP) à une action en diffamation — Comment les tribunaux saisis d’une motion contre les poursuites-bâillons  doivent</w:t>
            </w:r>
            <w:r w:rsidRPr="00956FA1">
              <w:rPr>
                <w:sz w:val="20"/>
                <w:lang w:val="fr-CA"/>
              </w:rPr>
              <w:noBreakHyphen/>
              <w:t>ils aborder la défense de communication responsable soulevée par les médias? — Dans quelles situations, s’il en est, les tribunaux doivent</w:t>
            </w:r>
            <w:r w:rsidRPr="00956FA1">
              <w:rPr>
                <w:sz w:val="20"/>
                <w:lang w:val="fr-CA"/>
              </w:rPr>
              <w:noBreakHyphen/>
              <w:t>ils examiner le contenu post</w:t>
            </w:r>
            <w:r w:rsidRPr="00956FA1">
              <w:rPr>
                <w:sz w:val="20"/>
                <w:lang w:val="fr-CA"/>
              </w:rPr>
              <w:noBreakHyphen/>
              <w:t xml:space="preserve">publication lorsqu’ils apprécient la défense de communication responsable? — </w:t>
            </w:r>
            <w:r w:rsidRPr="00956FA1">
              <w:rPr>
                <w:i/>
                <w:sz w:val="20"/>
                <w:lang w:val="fr-CA"/>
              </w:rPr>
              <w:t>1704604 Ontario Ltd. c. Pointes Protection Association</w:t>
            </w:r>
            <w:r w:rsidRPr="00956FA1">
              <w:rPr>
                <w:sz w:val="20"/>
                <w:lang w:val="fr-CA"/>
              </w:rPr>
              <w:t xml:space="preserve">, 2020 CSC 22 — </w:t>
            </w:r>
            <w:r w:rsidRPr="00956FA1">
              <w:rPr>
                <w:i/>
                <w:sz w:val="20"/>
                <w:lang w:val="fr-CA"/>
              </w:rPr>
              <w:t>Bent c. Platnick</w:t>
            </w:r>
            <w:r w:rsidRPr="00956FA1">
              <w:rPr>
                <w:sz w:val="20"/>
                <w:lang w:val="fr-CA"/>
              </w:rPr>
              <w:t xml:space="preserve">, 2020 CSC 23 — </w:t>
            </w:r>
            <w:r w:rsidRPr="00956FA1">
              <w:rPr>
                <w:i/>
                <w:sz w:val="20"/>
                <w:lang w:val="fr-CA"/>
              </w:rPr>
              <w:t>Lois sur les tribunaux judiciaires</w:t>
            </w:r>
            <w:r w:rsidRPr="00956FA1">
              <w:rPr>
                <w:sz w:val="20"/>
                <w:lang w:val="fr-CA"/>
              </w:rPr>
              <w:t>, LRO 1990, ch. C.43, art. 137.1 (« </w:t>
            </w:r>
            <w:r w:rsidRPr="00956FA1">
              <w:rPr>
                <w:i/>
                <w:sz w:val="20"/>
                <w:lang w:val="fr-CA"/>
              </w:rPr>
              <w:t>LTJ </w:t>
            </w:r>
            <w:r w:rsidRPr="00956FA1">
              <w:rPr>
                <w:iCs/>
                <w:sz w:val="20"/>
                <w:lang w:val="fr-CA"/>
              </w:rPr>
              <w:t>»</w:t>
            </w:r>
            <w:r w:rsidRPr="00956FA1">
              <w:rPr>
                <w:sz w:val="20"/>
                <w:lang w:val="fr-CA"/>
              </w:rPr>
              <w:t>).</w:t>
            </w:r>
          </w:p>
          <w:p w:rsidR="00662169" w:rsidRPr="00956FA1" w:rsidRDefault="00662169" w:rsidP="00C34132">
            <w:pPr>
              <w:jc w:val="both"/>
              <w:rPr>
                <w:sz w:val="20"/>
                <w:lang w:val="fr-CA"/>
              </w:rPr>
            </w:pPr>
          </w:p>
        </w:tc>
      </w:tr>
    </w:tbl>
    <w:p w:rsidR="00662169" w:rsidRPr="00956FA1" w:rsidRDefault="00662169">
      <w:r w:rsidRPr="00956FA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A009E" w:rsidRPr="00956FA1" w:rsidTr="00C34132">
        <w:tc>
          <w:tcPr>
            <w:tcW w:w="5000" w:type="pct"/>
            <w:gridSpan w:val="3"/>
          </w:tcPr>
          <w:p w:rsidR="003A009E" w:rsidRPr="00956FA1" w:rsidRDefault="003A009E" w:rsidP="00C34132">
            <w:pPr>
              <w:jc w:val="both"/>
              <w:rPr>
                <w:sz w:val="20"/>
                <w:lang w:val="fr-CA"/>
              </w:rPr>
            </w:pPr>
            <w:r w:rsidRPr="00956FA1">
              <w:rPr>
                <w:sz w:val="20"/>
                <w:lang w:val="fr-CA"/>
              </w:rPr>
              <w:t>Dans son émission de télévision « Marketplace », un reportage médiatique en ligne et des messages Twitter au public, la demanderesse (« SRC ») a rapporté que seulement environ 50 % l’ADN du poulet de Subway était de l’ADN de poulet. L’enquête</w:t>
            </w:r>
            <w:r w:rsidRPr="00956FA1">
              <w:rPr>
                <w:sz w:val="20"/>
                <w:lang w:val="fr-CA"/>
              </w:rPr>
              <w:noBreakHyphen/>
              <w:t>reportage comparait le contenu des sandwiches au poulet vendus par cinq chaînes de restauration rapide au Canada. Selon le reportage, le pourcentage de poulet des sandwiches de Subway était considérablement moindre que ceux vendus par les autres chaînes. Le reportage s’appuyait sur des échantillons d’analyses prélevés par le Natural Resources DNA Profiling &amp; Forensic Centre du l’Université Trent (« Trent »). Les intimées (« Subway ») ont intenté une action en diffamation contre la SRC et Trent, et elles ont également intenté une action en négligence contre Trent.</w:t>
            </w:r>
          </w:p>
          <w:p w:rsidR="003A009E" w:rsidRPr="00956FA1" w:rsidRDefault="003A009E" w:rsidP="00C34132">
            <w:pPr>
              <w:jc w:val="both"/>
              <w:rPr>
                <w:sz w:val="20"/>
                <w:lang w:val="fr-CA"/>
              </w:rPr>
            </w:pPr>
          </w:p>
          <w:p w:rsidR="003A009E" w:rsidRPr="00956FA1" w:rsidRDefault="003A009E" w:rsidP="00C34132">
            <w:pPr>
              <w:jc w:val="both"/>
              <w:rPr>
                <w:sz w:val="20"/>
                <w:lang w:val="fr-CA"/>
              </w:rPr>
            </w:pPr>
            <w:r w:rsidRPr="00956FA1">
              <w:rPr>
                <w:sz w:val="20"/>
                <w:lang w:val="fr-CA"/>
              </w:rPr>
              <w:t xml:space="preserve">La SRC et Trent ont présenté des motions en rejet en application de l’art. 137.1 de la </w:t>
            </w:r>
            <w:r w:rsidRPr="00956FA1">
              <w:rPr>
                <w:i/>
                <w:sz w:val="20"/>
                <w:lang w:val="fr-CA"/>
              </w:rPr>
              <w:t>LTJ</w:t>
            </w:r>
            <w:r w:rsidRPr="00956FA1">
              <w:rPr>
                <w:sz w:val="20"/>
                <w:lang w:val="fr-CA"/>
              </w:rPr>
              <w:t>, faisant valoir que les poursuites visaient stratégiquement à décourager la liberté d’expression sur une affaire d’intérêt public. La SRC a demandé le rejet de l’action en diffamation de Subway contre elle, alors que Trent n’a demandé que le rejet de l’action des intimées en négligence. Un juge des motions de la Cour supérieure de justice de l’Ontario a accueilli la motion de la SCR et a rejeté l’action en diffamation contre la SRC, mais a rejeté la motion de Trent et a permis que l’action en négligence contre Trent suive son cours. En appel, la Cour d’appel de l’Ontario a accueilli l’appel de Subway contre la SRC, annulé le jugement de la juridiction inférieure et permis que l’action en diffamation contre la SRC suive son cours. Dans un appel distinct, la Cour d’appel a accueilli l’appel de Trent et a rejeté l’action de Subway en négligence contre Trent.</w:t>
            </w:r>
          </w:p>
        </w:tc>
      </w:tr>
      <w:tr w:rsidR="003A009E" w:rsidRPr="00956FA1" w:rsidTr="00C34132">
        <w:tc>
          <w:tcPr>
            <w:tcW w:w="5000" w:type="pct"/>
            <w:gridSpan w:val="3"/>
          </w:tcPr>
          <w:p w:rsidR="003A009E" w:rsidRPr="00956FA1" w:rsidRDefault="003A009E" w:rsidP="00C34132">
            <w:pPr>
              <w:jc w:val="both"/>
              <w:rPr>
                <w:sz w:val="20"/>
                <w:lang w:val="fr-CA"/>
              </w:rPr>
            </w:pPr>
          </w:p>
        </w:tc>
      </w:tr>
      <w:tr w:rsidR="003A009E" w:rsidRPr="00956FA1" w:rsidTr="00C34132">
        <w:tc>
          <w:tcPr>
            <w:tcW w:w="2427" w:type="pct"/>
          </w:tcPr>
          <w:p w:rsidR="003A009E" w:rsidRPr="00956FA1" w:rsidRDefault="003A009E" w:rsidP="00C34132">
            <w:pPr>
              <w:jc w:val="both"/>
              <w:rPr>
                <w:sz w:val="20"/>
                <w:lang w:val="fr-CA"/>
              </w:rPr>
            </w:pPr>
            <w:r w:rsidRPr="00956FA1">
              <w:rPr>
                <w:sz w:val="20"/>
                <w:lang w:val="fr-CA"/>
              </w:rPr>
              <w:t>22 novembre 2019</w:t>
            </w:r>
          </w:p>
          <w:p w:rsidR="003A009E" w:rsidRPr="00956FA1" w:rsidRDefault="003A009E" w:rsidP="00C34132">
            <w:pPr>
              <w:jc w:val="both"/>
              <w:rPr>
                <w:sz w:val="20"/>
                <w:lang w:val="fr-CA"/>
              </w:rPr>
            </w:pPr>
            <w:r w:rsidRPr="00956FA1">
              <w:rPr>
                <w:sz w:val="20"/>
                <w:lang w:val="fr-CA"/>
              </w:rPr>
              <w:t>Cour supérieure de justice de l’Ontario</w:t>
            </w:r>
          </w:p>
          <w:p w:rsidR="003A009E" w:rsidRPr="00956FA1" w:rsidRDefault="003A009E" w:rsidP="00C34132">
            <w:pPr>
              <w:jc w:val="both"/>
              <w:rPr>
                <w:sz w:val="20"/>
                <w:lang w:val="fr-CA"/>
              </w:rPr>
            </w:pPr>
            <w:r w:rsidRPr="00956FA1">
              <w:rPr>
                <w:sz w:val="20"/>
                <w:lang w:val="fr-CA"/>
              </w:rPr>
              <w:t>(Juge Morgan)</w:t>
            </w:r>
          </w:p>
          <w:p w:rsidR="003A009E" w:rsidRPr="00956FA1" w:rsidRDefault="00956FA1" w:rsidP="00C34132">
            <w:pPr>
              <w:jc w:val="both"/>
              <w:rPr>
                <w:sz w:val="20"/>
                <w:lang w:val="fr-CA"/>
              </w:rPr>
            </w:pPr>
            <w:hyperlink r:id="rId51" w:history="1">
              <w:r w:rsidR="003A009E" w:rsidRPr="00956FA1">
                <w:rPr>
                  <w:rStyle w:val="Hyperlink"/>
                  <w:sz w:val="20"/>
                  <w:lang w:val="fr-CA"/>
                </w:rPr>
                <w:t>2019 ONSC 6758</w:t>
              </w:r>
            </w:hyperlink>
          </w:p>
          <w:p w:rsidR="003A009E" w:rsidRPr="00956FA1" w:rsidRDefault="003A009E" w:rsidP="00C34132">
            <w:pPr>
              <w:jc w:val="both"/>
              <w:rPr>
                <w:sz w:val="20"/>
                <w:lang w:val="fr-CA"/>
              </w:rPr>
            </w:pPr>
          </w:p>
        </w:tc>
        <w:tc>
          <w:tcPr>
            <w:tcW w:w="243" w:type="pct"/>
          </w:tcPr>
          <w:p w:rsidR="003A009E" w:rsidRPr="00956FA1" w:rsidRDefault="003A009E" w:rsidP="00C34132">
            <w:pPr>
              <w:jc w:val="both"/>
              <w:rPr>
                <w:sz w:val="20"/>
                <w:lang w:val="fr-CA"/>
              </w:rPr>
            </w:pPr>
          </w:p>
        </w:tc>
        <w:tc>
          <w:tcPr>
            <w:tcW w:w="2330" w:type="pct"/>
          </w:tcPr>
          <w:p w:rsidR="003A009E" w:rsidRPr="00956FA1" w:rsidRDefault="003A009E" w:rsidP="00C34132">
            <w:pPr>
              <w:jc w:val="both"/>
              <w:rPr>
                <w:sz w:val="20"/>
                <w:lang w:val="fr-CA"/>
              </w:rPr>
            </w:pPr>
            <w:r w:rsidRPr="00956FA1">
              <w:rPr>
                <w:sz w:val="20"/>
                <w:lang w:val="fr-CA"/>
              </w:rPr>
              <w:t xml:space="preserve">Jugement accueillant la motion de la demanderesse en rejet de l’action en application de l’art. 137.1 de la </w:t>
            </w:r>
            <w:r w:rsidRPr="00956FA1">
              <w:rPr>
                <w:i/>
                <w:sz w:val="20"/>
                <w:lang w:val="fr-CA"/>
              </w:rPr>
              <w:t>Loi sur les tribunaux judiciaires</w:t>
            </w:r>
            <w:r w:rsidRPr="00956FA1">
              <w:rPr>
                <w:sz w:val="20"/>
                <w:lang w:val="fr-CA"/>
              </w:rPr>
              <w:t xml:space="preserve"> et rejetant l’action en diffamation de l’intimée contre la SRC.</w:t>
            </w:r>
          </w:p>
          <w:p w:rsidR="003A009E" w:rsidRPr="00956FA1" w:rsidRDefault="003A009E" w:rsidP="00C34132">
            <w:pPr>
              <w:jc w:val="both"/>
              <w:rPr>
                <w:sz w:val="20"/>
                <w:lang w:val="fr-CA"/>
              </w:rPr>
            </w:pPr>
          </w:p>
        </w:tc>
      </w:tr>
      <w:tr w:rsidR="003A009E" w:rsidRPr="00956FA1" w:rsidTr="00C34132">
        <w:tc>
          <w:tcPr>
            <w:tcW w:w="2427" w:type="pct"/>
          </w:tcPr>
          <w:p w:rsidR="003A009E" w:rsidRPr="00956FA1" w:rsidRDefault="003A009E" w:rsidP="00C34132">
            <w:pPr>
              <w:jc w:val="both"/>
              <w:rPr>
                <w:sz w:val="20"/>
                <w:lang w:val="fr-CA"/>
              </w:rPr>
            </w:pPr>
            <w:r w:rsidRPr="00956FA1">
              <w:rPr>
                <w:sz w:val="20"/>
                <w:lang w:val="fr-CA"/>
              </w:rPr>
              <w:t>18 janvier 2021</w:t>
            </w:r>
          </w:p>
          <w:p w:rsidR="003A009E" w:rsidRPr="00956FA1" w:rsidRDefault="003A009E" w:rsidP="00C34132">
            <w:pPr>
              <w:jc w:val="both"/>
              <w:rPr>
                <w:sz w:val="20"/>
                <w:lang w:val="fr-CA"/>
              </w:rPr>
            </w:pPr>
            <w:r w:rsidRPr="00956FA1">
              <w:rPr>
                <w:sz w:val="20"/>
                <w:lang w:val="fr-CA"/>
              </w:rPr>
              <w:t>Cour d’appel de l’Ontario</w:t>
            </w:r>
          </w:p>
          <w:p w:rsidR="003A009E" w:rsidRPr="00956FA1" w:rsidRDefault="003A009E" w:rsidP="00C34132">
            <w:pPr>
              <w:jc w:val="both"/>
              <w:rPr>
                <w:sz w:val="20"/>
                <w:lang w:val="fr-CA"/>
              </w:rPr>
            </w:pPr>
            <w:r w:rsidRPr="00956FA1">
              <w:rPr>
                <w:sz w:val="20"/>
                <w:lang w:val="fr-CA"/>
              </w:rPr>
              <w:t>(Juges Brown, Zarnett et Thorburn)</w:t>
            </w:r>
          </w:p>
          <w:p w:rsidR="003A009E" w:rsidRPr="00956FA1" w:rsidRDefault="00956FA1" w:rsidP="00C34132">
            <w:pPr>
              <w:jc w:val="both"/>
              <w:rPr>
                <w:rStyle w:val="Hyperlink"/>
                <w:sz w:val="20"/>
                <w:lang w:val="fr-CA"/>
              </w:rPr>
            </w:pPr>
            <w:hyperlink r:id="rId52" w:history="1">
              <w:r w:rsidR="003A009E" w:rsidRPr="00956FA1">
                <w:rPr>
                  <w:rStyle w:val="Hyperlink"/>
                  <w:sz w:val="20"/>
                  <w:lang w:val="fr-CA"/>
                </w:rPr>
                <w:t>2021 ONCA 26</w:t>
              </w:r>
            </w:hyperlink>
          </w:p>
          <w:p w:rsidR="003A009E" w:rsidRPr="00956FA1" w:rsidRDefault="003A009E" w:rsidP="00C34132">
            <w:pPr>
              <w:jc w:val="both"/>
              <w:rPr>
                <w:sz w:val="20"/>
                <w:lang w:val="fr-CA"/>
              </w:rPr>
            </w:pPr>
          </w:p>
        </w:tc>
        <w:tc>
          <w:tcPr>
            <w:tcW w:w="243" w:type="pct"/>
          </w:tcPr>
          <w:p w:rsidR="003A009E" w:rsidRPr="00956FA1" w:rsidRDefault="003A009E" w:rsidP="00C34132">
            <w:pPr>
              <w:jc w:val="both"/>
              <w:rPr>
                <w:sz w:val="20"/>
                <w:lang w:val="fr-CA"/>
              </w:rPr>
            </w:pPr>
          </w:p>
        </w:tc>
        <w:tc>
          <w:tcPr>
            <w:tcW w:w="2330" w:type="pct"/>
          </w:tcPr>
          <w:p w:rsidR="003A009E" w:rsidRPr="00956FA1" w:rsidRDefault="003A009E" w:rsidP="00C34132">
            <w:pPr>
              <w:jc w:val="both"/>
              <w:rPr>
                <w:sz w:val="20"/>
                <w:lang w:val="fr-CA"/>
              </w:rPr>
            </w:pPr>
            <w:r w:rsidRPr="00956FA1">
              <w:rPr>
                <w:sz w:val="20"/>
                <w:lang w:val="fr-CA"/>
              </w:rPr>
              <w:t>Arrêt accueillant l’appel et permettant à l’action en diffamation de suivre son cours.</w:t>
            </w:r>
          </w:p>
          <w:p w:rsidR="003A009E" w:rsidRPr="00956FA1" w:rsidRDefault="003A009E" w:rsidP="00C34132">
            <w:pPr>
              <w:jc w:val="both"/>
              <w:rPr>
                <w:sz w:val="20"/>
                <w:lang w:val="fr-CA"/>
              </w:rPr>
            </w:pPr>
          </w:p>
        </w:tc>
      </w:tr>
      <w:tr w:rsidR="003A009E" w:rsidRPr="00956FA1" w:rsidTr="00C34132">
        <w:tc>
          <w:tcPr>
            <w:tcW w:w="2427" w:type="pct"/>
          </w:tcPr>
          <w:p w:rsidR="003A009E" w:rsidRPr="00956FA1" w:rsidRDefault="003A009E" w:rsidP="00C34132">
            <w:pPr>
              <w:jc w:val="both"/>
              <w:rPr>
                <w:sz w:val="20"/>
                <w:lang w:val="fr-CA"/>
              </w:rPr>
            </w:pPr>
            <w:r w:rsidRPr="00956FA1">
              <w:rPr>
                <w:sz w:val="20"/>
                <w:lang w:val="fr-CA"/>
              </w:rPr>
              <w:t>19 mars 2021</w:t>
            </w:r>
          </w:p>
          <w:p w:rsidR="003A009E" w:rsidRPr="00956FA1" w:rsidRDefault="003A009E" w:rsidP="00C34132">
            <w:pPr>
              <w:jc w:val="both"/>
              <w:rPr>
                <w:sz w:val="20"/>
                <w:lang w:val="fr-CA"/>
              </w:rPr>
            </w:pPr>
            <w:r w:rsidRPr="00956FA1">
              <w:rPr>
                <w:sz w:val="20"/>
                <w:lang w:val="fr-CA"/>
              </w:rPr>
              <w:t>Cour suprême du Canada</w:t>
            </w:r>
          </w:p>
        </w:tc>
        <w:tc>
          <w:tcPr>
            <w:tcW w:w="243" w:type="pct"/>
          </w:tcPr>
          <w:p w:rsidR="003A009E" w:rsidRPr="00956FA1" w:rsidRDefault="003A009E" w:rsidP="00C34132">
            <w:pPr>
              <w:jc w:val="both"/>
              <w:rPr>
                <w:sz w:val="20"/>
                <w:lang w:val="fr-CA"/>
              </w:rPr>
            </w:pPr>
          </w:p>
        </w:tc>
        <w:tc>
          <w:tcPr>
            <w:tcW w:w="2330" w:type="pct"/>
          </w:tcPr>
          <w:p w:rsidR="003A009E" w:rsidRPr="00956FA1" w:rsidRDefault="003A009E" w:rsidP="00C34132">
            <w:pPr>
              <w:jc w:val="both"/>
              <w:rPr>
                <w:sz w:val="20"/>
                <w:lang w:val="fr-CA"/>
              </w:rPr>
            </w:pPr>
            <w:r w:rsidRPr="00956FA1">
              <w:rPr>
                <w:sz w:val="20"/>
                <w:lang w:val="fr-CA"/>
              </w:rPr>
              <w:t>Dépôt de la demande d’autorisation d’appel.</w:t>
            </w:r>
          </w:p>
        </w:tc>
      </w:tr>
    </w:tbl>
    <w:p w:rsidR="003A009E" w:rsidRPr="00956FA1" w:rsidRDefault="003A009E" w:rsidP="003A009E">
      <w:pPr>
        <w:jc w:val="both"/>
        <w:rPr>
          <w:sz w:val="20"/>
          <w:lang w:val="fr-CA"/>
        </w:rPr>
      </w:pPr>
    </w:p>
    <w:p w:rsidR="003A009E" w:rsidRPr="00956FA1" w:rsidRDefault="00956FA1" w:rsidP="003A009E">
      <w:pPr>
        <w:jc w:val="both"/>
        <w:rPr>
          <w:sz w:val="20"/>
          <w:lang w:val="fr-CA"/>
        </w:rPr>
      </w:pPr>
      <w:r w:rsidRPr="00956FA1">
        <w:rPr>
          <w:sz w:val="20"/>
        </w:rPr>
        <w:pict>
          <v:rect id="_x0000_i1051" style="width:2in;height:1pt" o:hrpct="0" o:hralign="center" o:hrstd="t" o:hrnoshade="t" o:hr="t" fillcolor="black [3213]" stroked="f"/>
        </w:pict>
      </w:r>
    </w:p>
    <w:p w:rsidR="003A009E" w:rsidRPr="00956FA1" w:rsidRDefault="003A009E" w:rsidP="003A009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A009E" w:rsidRPr="00956FA1" w:rsidTr="00C34132">
        <w:tc>
          <w:tcPr>
            <w:tcW w:w="543" w:type="pct"/>
          </w:tcPr>
          <w:p w:rsidR="003A009E" w:rsidRPr="00956FA1" w:rsidRDefault="003A009E" w:rsidP="00C34132">
            <w:pPr>
              <w:jc w:val="both"/>
              <w:rPr>
                <w:sz w:val="20"/>
              </w:rPr>
            </w:pPr>
            <w:r w:rsidRPr="00956FA1">
              <w:rPr>
                <w:rStyle w:val="SCCFileNumberChar"/>
                <w:sz w:val="20"/>
                <w:szCs w:val="20"/>
              </w:rPr>
              <w:t>39611</w:t>
            </w:r>
          </w:p>
        </w:tc>
        <w:tc>
          <w:tcPr>
            <w:tcW w:w="4457" w:type="pct"/>
          </w:tcPr>
          <w:p w:rsidR="003A009E" w:rsidRPr="00956FA1" w:rsidRDefault="00662169" w:rsidP="00C34132">
            <w:pPr>
              <w:pStyle w:val="SCCLsocParty"/>
              <w:jc w:val="both"/>
              <w:rPr>
                <w:b/>
                <w:sz w:val="20"/>
                <w:szCs w:val="20"/>
                <w:lang w:val="en-US"/>
              </w:rPr>
            </w:pPr>
            <w:r w:rsidRPr="00956FA1">
              <w:rPr>
                <w:b/>
                <w:sz w:val="20"/>
                <w:szCs w:val="20"/>
                <w:lang w:val="en-US"/>
              </w:rPr>
              <w:t>Subway Franchise Systems of Canada Inc., Subway IP Inc. and Doctors Associates Inc.</w:t>
            </w:r>
            <w:r w:rsidR="003A009E" w:rsidRPr="00956FA1">
              <w:rPr>
                <w:b/>
                <w:sz w:val="20"/>
                <w:szCs w:val="20"/>
                <w:lang w:val="en-US"/>
              </w:rPr>
              <w:t xml:space="preserve"> v. Trent University</w:t>
            </w:r>
          </w:p>
          <w:p w:rsidR="003A009E" w:rsidRPr="00956FA1" w:rsidRDefault="003A009E" w:rsidP="00C34132">
            <w:pPr>
              <w:jc w:val="both"/>
              <w:rPr>
                <w:sz w:val="20"/>
              </w:rPr>
            </w:pPr>
            <w:r w:rsidRPr="00956FA1">
              <w:rPr>
                <w:sz w:val="20"/>
              </w:rPr>
              <w:t>(Ont.) (Civil) (By Leave)</w:t>
            </w:r>
          </w:p>
        </w:tc>
      </w:tr>
      <w:tr w:rsidR="003A009E" w:rsidRPr="00956FA1" w:rsidTr="00C34132">
        <w:tc>
          <w:tcPr>
            <w:tcW w:w="5000" w:type="pct"/>
            <w:gridSpan w:val="2"/>
          </w:tcPr>
          <w:p w:rsidR="00662169" w:rsidRPr="00956FA1" w:rsidRDefault="00662169" w:rsidP="00662169">
            <w:pPr>
              <w:jc w:val="both"/>
              <w:rPr>
                <w:sz w:val="20"/>
                <w:szCs w:val="20"/>
              </w:rPr>
            </w:pPr>
            <w:r w:rsidRPr="00956FA1">
              <w:rPr>
                <w:sz w:val="20"/>
                <w:szCs w:val="20"/>
              </w:rPr>
              <w:t>The application for leave to appeal from the judgment of the Court of Appeal for Ontario, Number C67850, 2021 ONCA 25, dated January 18, 2021, is dismissed with costs.</w:t>
            </w:r>
          </w:p>
          <w:p w:rsidR="003A009E" w:rsidRPr="00956FA1" w:rsidRDefault="003A009E" w:rsidP="00662169">
            <w:pPr>
              <w:tabs>
                <w:tab w:val="left" w:pos="3227"/>
              </w:tabs>
              <w:jc w:val="both"/>
              <w:rPr>
                <w:sz w:val="20"/>
              </w:rPr>
            </w:pPr>
          </w:p>
        </w:tc>
      </w:tr>
      <w:tr w:rsidR="003A009E" w:rsidRPr="00956FA1" w:rsidTr="00C34132">
        <w:tc>
          <w:tcPr>
            <w:tcW w:w="5000" w:type="pct"/>
            <w:gridSpan w:val="2"/>
          </w:tcPr>
          <w:p w:rsidR="003A009E" w:rsidRPr="00956FA1" w:rsidRDefault="003A009E" w:rsidP="00C34132">
            <w:pPr>
              <w:jc w:val="both"/>
              <w:rPr>
                <w:sz w:val="20"/>
                <w:lang w:val="en"/>
              </w:rPr>
            </w:pPr>
            <w:r w:rsidRPr="00956FA1">
              <w:rPr>
                <w:sz w:val="20"/>
                <w:lang w:val="en"/>
              </w:rPr>
              <w:t xml:space="preserve">Courts — Dismissal of proceeding that limits debate — Freedom of expression — Matters of public interest — Whether the proceeding has substantial merit — Application of Ontario’s framework for dismissal of strategic lawsuits against public participation (SLAPPs) to negligence claim — </w:t>
            </w:r>
            <w:r w:rsidRPr="00956FA1">
              <w:rPr>
                <w:iCs/>
                <w:sz w:val="20"/>
                <w:lang w:val="en"/>
              </w:rPr>
              <w:t xml:space="preserve">Torts </w:t>
            </w:r>
            <w:r w:rsidRPr="00956FA1">
              <w:rPr>
                <w:sz w:val="20"/>
                <w:lang w:val="en"/>
              </w:rPr>
              <w:t>—</w:t>
            </w:r>
            <w:r w:rsidRPr="00956FA1">
              <w:rPr>
                <w:iCs/>
                <w:sz w:val="20"/>
                <w:lang w:val="en"/>
              </w:rPr>
              <w:t xml:space="preserve"> Negligence </w:t>
            </w:r>
            <w:r w:rsidRPr="00956FA1">
              <w:rPr>
                <w:sz w:val="20"/>
                <w:lang w:val="en"/>
              </w:rPr>
              <w:t>—</w:t>
            </w:r>
            <w:r w:rsidRPr="00956FA1">
              <w:rPr>
                <w:iCs/>
                <w:sz w:val="20"/>
                <w:lang w:val="en"/>
              </w:rPr>
              <w:t xml:space="preserve"> Duty of care </w:t>
            </w:r>
            <w:r w:rsidRPr="00956FA1">
              <w:rPr>
                <w:sz w:val="20"/>
                <w:lang w:val="en"/>
              </w:rPr>
              <w:t>—</w:t>
            </w:r>
            <w:r w:rsidRPr="00956FA1">
              <w:rPr>
                <w:iCs/>
                <w:sz w:val="20"/>
                <w:lang w:val="en"/>
              </w:rPr>
              <w:t xml:space="preserve"> Pure economic loss </w:t>
            </w:r>
            <w:r w:rsidRPr="00956FA1">
              <w:rPr>
                <w:sz w:val="20"/>
                <w:lang w:val="en"/>
              </w:rPr>
              <w:t>—</w:t>
            </w:r>
            <w:r w:rsidRPr="00956FA1">
              <w:rPr>
                <w:iCs/>
                <w:sz w:val="20"/>
                <w:lang w:val="en"/>
              </w:rPr>
              <w:t xml:space="preserve"> Proximity </w:t>
            </w:r>
            <w:r w:rsidRPr="00956FA1">
              <w:rPr>
                <w:sz w:val="20"/>
                <w:lang w:val="en"/>
              </w:rPr>
              <w:t xml:space="preserve">— </w:t>
            </w:r>
            <w:r w:rsidRPr="00956FA1">
              <w:rPr>
                <w:iCs/>
                <w:sz w:val="20"/>
                <w:lang w:val="en"/>
              </w:rPr>
              <w:t>Novel duty of care</w:t>
            </w:r>
            <w:r w:rsidRPr="00956FA1">
              <w:rPr>
                <w:i/>
                <w:iCs/>
                <w:sz w:val="20"/>
                <w:lang w:val="en"/>
              </w:rPr>
              <w:t xml:space="preserve"> </w:t>
            </w:r>
            <w:r w:rsidRPr="00956FA1">
              <w:rPr>
                <w:sz w:val="20"/>
                <w:lang w:val="en"/>
              </w:rPr>
              <w:t>—</w:t>
            </w:r>
            <w:r w:rsidRPr="00956FA1">
              <w:rPr>
                <w:sz w:val="20"/>
              </w:rPr>
              <w:t xml:space="preserve"> Three</w:t>
            </w:r>
            <w:r w:rsidRPr="00956FA1">
              <w:rPr>
                <w:sz w:val="20"/>
              </w:rPr>
              <w:noBreakHyphen/>
              <w:t xml:space="preserve">party relationships </w:t>
            </w:r>
            <w:r w:rsidRPr="00956FA1">
              <w:rPr>
                <w:sz w:val="20"/>
                <w:lang w:val="en"/>
              </w:rPr>
              <w:t>— Does an entity (A), such as a laboratory, that undertakes a test or investigation of another entity or its products (B) for the benefit of a third</w:t>
            </w:r>
            <w:r w:rsidRPr="00956FA1">
              <w:rPr>
                <w:sz w:val="20"/>
                <w:lang w:val="en"/>
              </w:rPr>
              <w:noBreakHyphen/>
              <w:t xml:space="preserve">party (C) owe a duty of care to the subjects of its tests or investigations (B) — </w:t>
            </w:r>
            <w:r w:rsidRPr="00956FA1">
              <w:rPr>
                <w:sz w:val="20"/>
              </w:rPr>
              <w:t xml:space="preserve">Whether defendants can use anti-SLAPP provisions to reverse the onus on motions to strike pleadings </w:t>
            </w:r>
            <w:r w:rsidRPr="00956FA1">
              <w:rPr>
                <w:sz w:val="20"/>
                <w:lang w:val="en"/>
              </w:rPr>
              <w:t xml:space="preserve">— </w:t>
            </w:r>
            <w:r w:rsidRPr="00956FA1">
              <w:rPr>
                <w:i/>
                <w:sz w:val="20"/>
              </w:rPr>
              <w:t xml:space="preserve">1688782 Ontario Inc. </w:t>
            </w:r>
            <w:r w:rsidRPr="00956FA1">
              <w:rPr>
                <w:i/>
                <w:iCs/>
                <w:sz w:val="20"/>
              </w:rPr>
              <w:t>v.</w:t>
            </w:r>
            <w:r w:rsidRPr="00956FA1">
              <w:rPr>
                <w:i/>
                <w:sz w:val="20"/>
              </w:rPr>
              <w:t xml:space="preserve"> Maple Leaf Foods Inc</w:t>
            </w:r>
            <w:r w:rsidRPr="00956FA1">
              <w:rPr>
                <w:sz w:val="20"/>
              </w:rPr>
              <w:t xml:space="preserve">., 2020 SCC 35 </w:t>
            </w:r>
            <w:r w:rsidRPr="00956FA1">
              <w:rPr>
                <w:sz w:val="20"/>
                <w:lang w:val="en"/>
              </w:rPr>
              <w:t xml:space="preserve">— </w:t>
            </w:r>
            <w:r w:rsidRPr="00956FA1">
              <w:rPr>
                <w:i/>
                <w:sz w:val="20"/>
                <w:lang w:val="en"/>
              </w:rPr>
              <w:t>Courts of Justice Act</w:t>
            </w:r>
            <w:r w:rsidRPr="00956FA1">
              <w:rPr>
                <w:sz w:val="20"/>
                <w:lang w:val="en"/>
              </w:rPr>
              <w:t>, RSO 1990, c C.43, s. 137.1 (“</w:t>
            </w:r>
            <w:r w:rsidRPr="00956FA1">
              <w:rPr>
                <w:i/>
                <w:sz w:val="20"/>
                <w:lang w:val="en"/>
              </w:rPr>
              <w:t>CJA</w:t>
            </w:r>
            <w:r w:rsidRPr="00956FA1">
              <w:rPr>
                <w:sz w:val="20"/>
                <w:lang w:val="en"/>
              </w:rPr>
              <w:t>”).</w:t>
            </w:r>
          </w:p>
          <w:p w:rsidR="003A009E" w:rsidRPr="00956FA1" w:rsidRDefault="003A009E" w:rsidP="00C34132">
            <w:pPr>
              <w:jc w:val="both"/>
              <w:rPr>
                <w:sz w:val="20"/>
              </w:rPr>
            </w:pPr>
          </w:p>
        </w:tc>
      </w:tr>
    </w:tbl>
    <w:p w:rsidR="00662169" w:rsidRPr="00956FA1" w:rsidRDefault="00662169">
      <w:r w:rsidRPr="00956FA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A009E" w:rsidRPr="00956FA1" w:rsidTr="00C34132">
        <w:tc>
          <w:tcPr>
            <w:tcW w:w="5000" w:type="pct"/>
            <w:gridSpan w:val="3"/>
          </w:tcPr>
          <w:p w:rsidR="003A009E" w:rsidRPr="00956FA1" w:rsidRDefault="003A009E" w:rsidP="00C34132">
            <w:pPr>
              <w:jc w:val="both"/>
              <w:rPr>
                <w:sz w:val="20"/>
              </w:rPr>
            </w:pPr>
            <w:r w:rsidRPr="00956FA1">
              <w:rPr>
                <w:sz w:val="20"/>
              </w:rPr>
              <w:t>In its Marketplace television program, online media report and Twitter posts to the public, the Canadian Broadcasting Corporation (“CBC”) reported that only approximately 50% of the DNA in Subway chicken was chicken DNA. The investigative report compared the contents of chicken sandwiches sold by five fast food chains in Canada. The percentage of chicken reported to be in Subway sandwiches was substantially below those sold by the other chains. The report was based on test samples conducted by the respondent Trent University’s Natural Resources DNA Profiling &amp; Forensic Centre (“Trent”).</w:t>
            </w:r>
          </w:p>
          <w:p w:rsidR="003A009E" w:rsidRPr="00956FA1" w:rsidRDefault="003A009E" w:rsidP="00C34132">
            <w:pPr>
              <w:jc w:val="both"/>
              <w:rPr>
                <w:sz w:val="20"/>
              </w:rPr>
            </w:pPr>
          </w:p>
          <w:p w:rsidR="003A009E" w:rsidRPr="00956FA1" w:rsidRDefault="003A009E" w:rsidP="00662169">
            <w:pPr>
              <w:jc w:val="both"/>
              <w:rPr>
                <w:sz w:val="20"/>
              </w:rPr>
            </w:pPr>
            <w:r w:rsidRPr="00956FA1">
              <w:rPr>
                <w:sz w:val="20"/>
              </w:rPr>
              <w:t xml:space="preserve">The applicants (“Subway”) brought an action for defamation against the CBC and Trent and an action in negligence against Trent. CBC and Trent each brought a motion to dismiss under s. 137.1 of the </w:t>
            </w:r>
            <w:r w:rsidRPr="00956FA1">
              <w:rPr>
                <w:i/>
                <w:sz w:val="20"/>
              </w:rPr>
              <w:t xml:space="preserve">CJA </w:t>
            </w:r>
            <w:r w:rsidRPr="00956FA1">
              <w:rPr>
                <w:sz w:val="20"/>
              </w:rPr>
              <w:t>on the basis that</w:t>
            </w:r>
            <w:r w:rsidRPr="00956FA1">
              <w:rPr>
                <w:i/>
                <w:sz w:val="20"/>
              </w:rPr>
              <w:t xml:space="preserve"> </w:t>
            </w:r>
            <w:r w:rsidRPr="00956FA1">
              <w:rPr>
                <w:sz w:val="20"/>
              </w:rPr>
              <w:t>the lawsuits were</w:t>
            </w:r>
            <w:r w:rsidRPr="00956FA1">
              <w:rPr>
                <w:sz w:val="20"/>
                <w:lang w:val="en"/>
              </w:rPr>
              <w:t xml:space="preserve"> strategically aimed at discouraging freedom of expression on a matter of public interest</w:t>
            </w:r>
            <w:r w:rsidRPr="00956FA1">
              <w:rPr>
                <w:sz w:val="20"/>
              </w:rPr>
              <w:t>. CBC sought to dismiss the applicants’ defamation action against it, while Trent only sought to dismiss Subway’s claim in negligence. The Ontario Superior Court of Justice granted CBC’s motion and dismissed the action against CBC, but dismissed Trent’s motion and allowed the negligence action against it to proceed. In two separate appeals, the Court of Appeal for Ontario allowed Subway’s appeal against the CBC, and allowed Trent’s appeal against Subway. The court granted Trent’s s. 137.1 motion and dismissed Subway’s action in negligence against it. Subway’s defamation action against Trent can continue.</w:t>
            </w:r>
          </w:p>
        </w:tc>
      </w:tr>
      <w:tr w:rsidR="003A009E" w:rsidRPr="00956FA1" w:rsidTr="00C34132">
        <w:tc>
          <w:tcPr>
            <w:tcW w:w="5000" w:type="pct"/>
            <w:gridSpan w:val="3"/>
          </w:tcPr>
          <w:p w:rsidR="003A009E" w:rsidRPr="00956FA1" w:rsidRDefault="003A009E" w:rsidP="00C34132">
            <w:pPr>
              <w:jc w:val="both"/>
              <w:rPr>
                <w:sz w:val="20"/>
              </w:rPr>
            </w:pPr>
          </w:p>
        </w:tc>
      </w:tr>
      <w:tr w:rsidR="003A009E" w:rsidRPr="00956FA1" w:rsidTr="00C34132">
        <w:tc>
          <w:tcPr>
            <w:tcW w:w="2427" w:type="pct"/>
          </w:tcPr>
          <w:p w:rsidR="003A009E" w:rsidRPr="00956FA1" w:rsidRDefault="003A009E" w:rsidP="00C34132">
            <w:pPr>
              <w:jc w:val="both"/>
              <w:rPr>
                <w:sz w:val="20"/>
              </w:rPr>
            </w:pPr>
            <w:r w:rsidRPr="00956FA1">
              <w:rPr>
                <w:sz w:val="20"/>
              </w:rPr>
              <w:t>November 22, 2019</w:t>
            </w:r>
          </w:p>
          <w:p w:rsidR="003A009E" w:rsidRPr="00956FA1" w:rsidRDefault="003A009E" w:rsidP="00C34132">
            <w:pPr>
              <w:jc w:val="both"/>
              <w:rPr>
                <w:sz w:val="20"/>
              </w:rPr>
            </w:pPr>
            <w:r w:rsidRPr="00956FA1">
              <w:rPr>
                <w:sz w:val="20"/>
              </w:rPr>
              <w:t>Ontario Superior Court of Justice</w:t>
            </w:r>
          </w:p>
          <w:p w:rsidR="003A009E" w:rsidRPr="00956FA1" w:rsidRDefault="003A009E" w:rsidP="00C34132">
            <w:pPr>
              <w:jc w:val="both"/>
              <w:rPr>
                <w:sz w:val="20"/>
              </w:rPr>
            </w:pPr>
            <w:r w:rsidRPr="00956FA1">
              <w:rPr>
                <w:sz w:val="20"/>
              </w:rPr>
              <w:t>(Morgan J.)</w:t>
            </w:r>
          </w:p>
          <w:p w:rsidR="003A009E" w:rsidRPr="00956FA1" w:rsidRDefault="00956FA1" w:rsidP="00C34132">
            <w:pPr>
              <w:jc w:val="both"/>
              <w:rPr>
                <w:sz w:val="20"/>
              </w:rPr>
            </w:pPr>
            <w:hyperlink r:id="rId53" w:history="1">
              <w:r w:rsidR="003A009E" w:rsidRPr="00956FA1">
                <w:rPr>
                  <w:rStyle w:val="Hyperlink"/>
                  <w:sz w:val="20"/>
                </w:rPr>
                <w:t>2019 ONSC 6758</w:t>
              </w:r>
            </w:hyperlink>
          </w:p>
          <w:p w:rsidR="003A009E" w:rsidRPr="00956FA1" w:rsidRDefault="003A009E" w:rsidP="00C34132">
            <w:pPr>
              <w:jc w:val="both"/>
              <w:rPr>
                <w:sz w:val="20"/>
              </w:rPr>
            </w:pP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rPr>
            </w:pPr>
            <w:r w:rsidRPr="00956FA1">
              <w:rPr>
                <w:sz w:val="20"/>
              </w:rPr>
              <w:t xml:space="preserve">Respondent’s motion to dismiss action pursuant to s. 137.1 of the </w:t>
            </w:r>
            <w:r w:rsidRPr="00956FA1">
              <w:rPr>
                <w:i/>
                <w:sz w:val="20"/>
              </w:rPr>
              <w:t>Courts of Justice Act</w:t>
            </w:r>
            <w:r w:rsidRPr="00956FA1">
              <w:rPr>
                <w:sz w:val="20"/>
              </w:rPr>
              <w:t xml:space="preserve"> dismissed; applicants’ action in negligence against Trent allowed to proceed.</w:t>
            </w:r>
          </w:p>
          <w:p w:rsidR="003A009E" w:rsidRPr="00956FA1" w:rsidRDefault="003A009E" w:rsidP="00C34132">
            <w:pPr>
              <w:jc w:val="both"/>
              <w:rPr>
                <w:sz w:val="20"/>
              </w:rPr>
            </w:pPr>
          </w:p>
        </w:tc>
      </w:tr>
      <w:tr w:rsidR="003A009E" w:rsidRPr="00956FA1" w:rsidTr="00C34132">
        <w:tc>
          <w:tcPr>
            <w:tcW w:w="2427" w:type="pct"/>
          </w:tcPr>
          <w:p w:rsidR="003A009E" w:rsidRPr="00956FA1" w:rsidRDefault="003A009E" w:rsidP="00C34132">
            <w:pPr>
              <w:jc w:val="both"/>
              <w:rPr>
                <w:sz w:val="20"/>
              </w:rPr>
            </w:pPr>
            <w:r w:rsidRPr="00956FA1">
              <w:rPr>
                <w:sz w:val="20"/>
              </w:rPr>
              <w:t>January 18, 2021</w:t>
            </w:r>
          </w:p>
          <w:p w:rsidR="003A009E" w:rsidRPr="00956FA1" w:rsidRDefault="003A009E" w:rsidP="00C34132">
            <w:pPr>
              <w:jc w:val="both"/>
              <w:rPr>
                <w:sz w:val="20"/>
              </w:rPr>
            </w:pPr>
            <w:r w:rsidRPr="00956FA1">
              <w:rPr>
                <w:sz w:val="20"/>
              </w:rPr>
              <w:t>Court of Appeal for Ontario</w:t>
            </w:r>
          </w:p>
          <w:p w:rsidR="003A009E" w:rsidRPr="00956FA1" w:rsidRDefault="003A009E" w:rsidP="00C34132">
            <w:pPr>
              <w:jc w:val="both"/>
              <w:rPr>
                <w:sz w:val="20"/>
              </w:rPr>
            </w:pPr>
            <w:r w:rsidRPr="00956FA1">
              <w:rPr>
                <w:sz w:val="20"/>
              </w:rPr>
              <w:t>(Brown, Zarnett and Thorburn JJ.A.)</w:t>
            </w:r>
          </w:p>
          <w:p w:rsidR="003A009E" w:rsidRPr="00956FA1" w:rsidRDefault="00956FA1" w:rsidP="00C34132">
            <w:pPr>
              <w:jc w:val="both"/>
              <w:rPr>
                <w:rStyle w:val="Hyperlink"/>
                <w:sz w:val="20"/>
              </w:rPr>
            </w:pPr>
            <w:hyperlink r:id="rId54" w:history="1">
              <w:r w:rsidR="003A009E" w:rsidRPr="00956FA1">
                <w:rPr>
                  <w:rStyle w:val="Hyperlink"/>
                  <w:sz w:val="20"/>
                </w:rPr>
                <w:t>2021 ONCA 25</w:t>
              </w:r>
            </w:hyperlink>
          </w:p>
          <w:p w:rsidR="003A009E" w:rsidRPr="00956FA1" w:rsidRDefault="003A009E" w:rsidP="00C34132">
            <w:pPr>
              <w:jc w:val="both"/>
              <w:rPr>
                <w:sz w:val="20"/>
              </w:rPr>
            </w:pP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rPr>
            </w:pPr>
            <w:r w:rsidRPr="00956FA1">
              <w:rPr>
                <w:sz w:val="20"/>
              </w:rPr>
              <w:t>Appeal allowed; lower court decision set aside and applicants’ action in negligence against respondent dismissed.</w:t>
            </w:r>
          </w:p>
          <w:p w:rsidR="003A009E" w:rsidRPr="00956FA1" w:rsidRDefault="003A009E" w:rsidP="00C34132">
            <w:pPr>
              <w:jc w:val="both"/>
              <w:rPr>
                <w:sz w:val="20"/>
              </w:rPr>
            </w:pPr>
          </w:p>
        </w:tc>
      </w:tr>
      <w:tr w:rsidR="003A009E" w:rsidRPr="00956FA1" w:rsidTr="00C34132">
        <w:tc>
          <w:tcPr>
            <w:tcW w:w="2427" w:type="pct"/>
          </w:tcPr>
          <w:p w:rsidR="003A009E" w:rsidRPr="00956FA1" w:rsidRDefault="003A009E" w:rsidP="00C34132">
            <w:pPr>
              <w:jc w:val="both"/>
              <w:rPr>
                <w:sz w:val="20"/>
              </w:rPr>
            </w:pPr>
            <w:r w:rsidRPr="00956FA1">
              <w:rPr>
                <w:sz w:val="20"/>
              </w:rPr>
              <w:t>March 19, 2021</w:t>
            </w:r>
          </w:p>
          <w:p w:rsidR="003A009E" w:rsidRPr="00956FA1" w:rsidRDefault="003A009E" w:rsidP="00C34132">
            <w:pPr>
              <w:jc w:val="both"/>
              <w:rPr>
                <w:sz w:val="20"/>
              </w:rPr>
            </w:pPr>
            <w:r w:rsidRPr="00956FA1">
              <w:rPr>
                <w:sz w:val="20"/>
              </w:rPr>
              <w:t>Supreme Court of Canada</w:t>
            </w:r>
          </w:p>
        </w:tc>
        <w:tc>
          <w:tcPr>
            <w:tcW w:w="243" w:type="pct"/>
          </w:tcPr>
          <w:p w:rsidR="003A009E" w:rsidRPr="00956FA1" w:rsidRDefault="003A009E" w:rsidP="00C34132">
            <w:pPr>
              <w:jc w:val="both"/>
              <w:rPr>
                <w:sz w:val="20"/>
              </w:rPr>
            </w:pPr>
          </w:p>
        </w:tc>
        <w:tc>
          <w:tcPr>
            <w:tcW w:w="2330" w:type="pct"/>
          </w:tcPr>
          <w:p w:rsidR="003A009E" w:rsidRPr="00956FA1" w:rsidRDefault="003A009E" w:rsidP="00C34132">
            <w:pPr>
              <w:jc w:val="both"/>
              <w:rPr>
                <w:sz w:val="20"/>
              </w:rPr>
            </w:pPr>
            <w:r w:rsidRPr="00956FA1">
              <w:rPr>
                <w:sz w:val="20"/>
              </w:rPr>
              <w:t>Application for leave to appeal filed.</w:t>
            </w:r>
          </w:p>
          <w:p w:rsidR="003A009E" w:rsidRPr="00956FA1" w:rsidRDefault="003A009E" w:rsidP="00C34132">
            <w:pPr>
              <w:jc w:val="both"/>
              <w:rPr>
                <w:sz w:val="20"/>
              </w:rPr>
            </w:pPr>
          </w:p>
        </w:tc>
      </w:tr>
    </w:tbl>
    <w:p w:rsidR="003A009E" w:rsidRPr="00956FA1" w:rsidRDefault="003A009E" w:rsidP="003A009E">
      <w:pPr>
        <w:jc w:val="both"/>
        <w:rPr>
          <w:sz w:val="20"/>
        </w:rPr>
      </w:pPr>
    </w:p>
    <w:p w:rsidR="003A009E" w:rsidRPr="00956FA1" w:rsidRDefault="00956FA1" w:rsidP="003A009E">
      <w:pPr>
        <w:jc w:val="both"/>
        <w:rPr>
          <w:sz w:val="20"/>
        </w:rPr>
      </w:pPr>
      <w:r w:rsidRPr="00956FA1">
        <w:rPr>
          <w:sz w:val="20"/>
        </w:rPr>
        <w:pict>
          <v:rect id="_x0000_i1052" style="width:2in;height:1pt" o:hrpct="0" o:hralign="center" o:hrstd="t" o:hrnoshade="t" o:hr="t" fillcolor="black [3213]" stroked="f"/>
        </w:pict>
      </w:r>
    </w:p>
    <w:p w:rsidR="003A009E" w:rsidRPr="00956FA1" w:rsidRDefault="003A009E" w:rsidP="003A009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A009E" w:rsidRPr="00956FA1" w:rsidTr="00C34132">
        <w:tc>
          <w:tcPr>
            <w:tcW w:w="543" w:type="pct"/>
          </w:tcPr>
          <w:p w:rsidR="003A009E" w:rsidRPr="00956FA1" w:rsidRDefault="003A009E" w:rsidP="00C34132">
            <w:pPr>
              <w:jc w:val="both"/>
              <w:rPr>
                <w:sz w:val="20"/>
                <w:lang w:val="fr-CA"/>
              </w:rPr>
            </w:pPr>
            <w:r w:rsidRPr="00956FA1">
              <w:rPr>
                <w:rStyle w:val="SCCFileNumberChar"/>
                <w:sz w:val="20"/>
                <w:szCs w:val="20"/>
                <w:lang w:val="fr-CA"/>
              </w:rPr>
              <w:t>39611</w:t>
            </w:r>
          </w:p>
        </w:tc>
        <w:tc>
          <w:tcPr>
            <w:tcW w:w="4457" w:type="pct"/>
          </w:tcPr>
          <w:p w:rsidR="003A009E" w:rsidRPr="00956FA1" w:rsidRDefault="00662169" w:rsidP="00C34132">
            <w:pPr>
              <w:pStyle w:val="SCCLsocParty"/>
              <w:jc w:val="both"/>
              <w:rPr>
                <w:b/>
                <w:sz w:val="20"/>
                <w:szCs w:val="20"/>
                <w:lang w:val="en-US"/>
              </w:rPr>
            </w:pPr>
            <w:r w:rsidRPr="00956FA1">
              <w:rPr>
                <w:b/>
                <w:sz w:val="20"/>
                <w:szCs w:val="20"/>
                <w:lang w:val="en-US"/>
              </w:rPr>
              <w:t xml:space="preserve">Subway Franchise Systems of Canada Inc., Subway IP Inc. </w:t>
            </w:r>
            <w:proofErr w:type="spellStart"/>
            <w:r w:rsidRPr="00956FA1">
              <w:rPr>
                <w:b/>
                <w:sz w:val="20"/>
                <w:szCs w:val="20"/>
                <w:lang w:val="en-US"/>
              </w:rPr>
              <w:t>et</w:t>
            </w:r>
            <w:proofErr w:type="spellEnd"/>
            <w:r w:rsidRPr="00956FA1">
              <w:rPr>
                <w:b/>
                <w:sz w:val="20"/>
                <w:szCs w:val="20"/>
                <w:lang w:val="en-US"/>
              </w:rPr>
              <w:t xml:space="preserve"> Doctors Associates Inc.</w:t>
            </w:r>
            <w:r w:rsidR="003A009E" w:rsidRPr="00956FA1">
              <w:rPr>
                <w:b/>
                <w:sz w:val="20"/>
                <w:szCs w:val="20"/>
                <w:lang w:val="en-US"/>
              </w:rPr>
              <w:t xml:space="preserve"> c. Trent University</w:t>
            </w:r>
          </w:p>
          <w:p w:rsidR="003A009E" w:rsidRPr="00956FA1" w:rsidRDefault="003A009E" w:rsidP="00C34132">
            <w:pPr>
              <w:jc w:val="both"/>
              <w:rPr>
                <w:sz w:val="20"/>
                <w:lang w:val="fr-CA"/>
              </w:rPr>
            </w:pPr>
            <w:r w:rsidRPr="00956FA1">
              <w:rPr>
                <w:sz w:val="20"/>
                <w:lang w:val="fr-CA"/>
              </w:rPr>
              <w:t>(Ont.) (Civile) (Autorisation)</w:t>
            </w:r>
          </w:p>
        </w:tc>
      </w:tr>
      <w:tr w:rsidR="003A009E" w:rsidRPr="00956FA1" w:rsidTr="00C34132">
        <w:tc>
          <w:tcPr>
            <w:tcW w:w="5000" w:type="pct"/>
            <w:gridSpan w:val="2"/>
          </w:tcPr>
          <w:p w:rsidR="003A009E" w:rsidRPr="00956FA1" w:rsidRDefault="00662169" w:rsidP="00C34132">
            <w:pPr>
              <w:jc w:val="both"/>
              <w:rPr>
                <w:sz w:val="20"/>
                <w:szCs w:val="20"/>
                <w:lang w:val="fr-CA"/>
              </w:rPr>
            </w:pPr>
            <w:r w:rsidRPr="00956FA1">
              <w:rPr>
                <w:sz w:val="20"/>
                <w:szCs w:val="20"/>
                <w:lang w:val="fr-CA"/>
              </w:rPr>
              <w:t>La demande d’autorisation d’appel de l’arrêt de la Cour d’appel de l’Ontario, numéro C67850, 2021 ONCA 25, daté du 18 janvier 2021, est rejetée avec dépens.</w:t>
            </w:r>
          </w:p>
          <w:p w:rsidR="00662169" w:rsidRPr="00956FA1" w:rsidRDefault="00662169" w:rsidP="00C34132">
            <w:pPr>
              <w:jc w:val="both"/>
              <w:rPr>
                <w:sz w:val="20"/>
                <w:lang w:val="fr-CA"/>
              </w:rPr>
            </w:pPr>
          </w:p>
        </w:tc>
      </w:tr>
      <w:tr w:rsidR="003A009E" w:rsidRPr="00956FA1" w:rsidTr="00C34132">
        <w:tc>
          <w:tcPr>
            <w:tcW w:w="5000" w:type="pct"/>
            <w:gridSpan w:val="2"/>
          </w:tcPr>
          <w:p w:rsidR="003A009E" w:rsidRPr="00956FA1" w:rsidRDefault="003A009E" w:rsidP="00C34132">
            <w:pPr>
              <w:jc w:val="both"/>
              <w:rPr>
                <w:sz w:val="20"/>
                <w:lang w:val="fr-CA"/>
              </w:rPr>
            </w:pPr>
            <w:r w:rsidRPr="00956FA1">
              <w:rPr>
                <w:sz w:val="20"/>
                <w:lang w:val="fr-CA"/>
              </w:rPr>
              <w:t>Tribunaux — Rejet d’une instance limitant les débats — Liberté d’expression — Affaires d’intérêt public — Le bien</w:t>
            </w:r>
            <w:r w:rsidRPr="00956FA1">
              <w:rPr>
                <w:sz w:val="20"/>
                <w:lang w:val="fr-CA"/>
              </w:rPr>
              <w:noBreakHyphen/>
              <w:t>fondé de l’instance est</w:t>
            </w:r>
            <w:r w:rsidRPr="00956FA1">
              <w:rPr>
                <w:sz w:val="20"/>
                <w:lang w:val="fr-CA"/>
              </w:rPr>
              <w:noBreakHyphen/>
              <w:t>il substantiel? — Application du cadre d’analyse ontarien relatif au rejet des poursuites stratégiques contre la mobilisation publique (poursuite‑bâillon ou SLAPP) à une action en négligence — Responsabilité délictuelle —Négligence — Obligation de diligence — Perte purement financière — Lien de proximité — Nouvelle obligation de diligence — Relations entre trois parties — Une entité (A), par exemple un laboratoire, qui entreprend un essai ou une analyse d’une autre entité ou de ses produits (B) pour autrui (C) a</w:t>
            </w:r>
            <w:r w:rsidRPr="00956FA1">
              <w:rPr>
                <w:sz w:val="20"/>
                <w:lang w:val="fr-CA"/>
              </w:rPr>
              <w:noBreakHyphen/>
              <w:t>t</w:t>
            </w:r>
            <w:r w:rsidRPr="00956FA1">
              <w:rPr>
                <w:sz w:val="20"/>
                <w:lang w:val="fr-CA"/>
              </w:rPr>
              <w:noBreakHyphen/>
              <w:t>elle une obligation de diligence envers (B) quant aux objets de ses essais ou analyses? — Les défenderesses peuvent</w:t>
            </w:r>
            <w:r w:rsidRPr="00956FA1">
              <w:rPr>
                <w:sz w:val="20"/>
                <w:lang w:val="fr-CA"/>
              </w:rPr>
              <w:noBreakHyphen/>
              <w:t>elles s’appuyer sur les dispositions contre les poursuites</w:t>
            </w:r>
            <w:r w:rsidRPr="00956FA1">
              <w:rPr>
                <w:sz w:val="20"/>
                <w:lang w:val="fr-CA"/>
              </w:rPr>
              <w:noBreakHyphen/>
              <w:t xml:space="preserve">bâillons pour inverser le fardeau en ce qui concerne les motions en radiation d’actes de procédure? — </w:t>
            </w:r>
            <w:r w:rsidRPr="00956FA1">
              <w:rPr>
                <w:i/>
                <w:sz w:val="20"/>
                <w:lang w:val="fr-CA"/>
              </w:rPr>
              <w:t>1688782 Ontario Inc. c. Aliments Maple Leaf Inc.</w:t>
            </w:r>
            <w:r w:rsidRPr="00956FA1">
              <w:rPr>
                <w:sz w:val="20"/>
                <w:lang w:val="fr-CA"/>
              </w:rPr>
              <w:t xml:space="preserve">, 2020 CSC 35 — </w:t>
            </w:r>
            <w:r w:rsidRPr="00956FA1">
              <w:rPr>
                <w:i/>
                <w:sz w:val="20"/>
                <w:lang w:val="fr-CA"/>
              </w:rPr>
              <w:t>Lois sur les tribunaux judiciaires</w:t>
            </w:r>
            <w:r w:rsidRPr="00956FA1">
              <w:rPr>
                <w:sz w:val="20"/>
                <w:lang w:val="fr-CA"/>
              </w:rPr>
              <w:t>, LRO 1990, ch. C.43, art. 137.1 (« </w:t>
            </w:r>
            <w:r w:rsidRPr="00956FA1">
              <w:rPr>
                <w:i/>
                <w:sz w:val="20"/>
                <w:lang w:val="fr-CA"/>
              </w:rPr>
              <w:t>LTJ </w:t>
            </w:r>
            <w:r w:rsidRPr="00956FA1">
              <w:rPr>
                <w:iCs/>
                <w:sz w:val="20"/>
                <w:lang w:val="fr-CA"/>
              </w:rPr>
              <w:t>»</w:t>
            </w:r>
            <w:r w:rsidRPr="00956FA1">
              <w:rPr>
                <w:sz w:val="20"/>
                <w:lang w:val="fr-CA"/>
              </w:rPr>
              <w:t>).</w:t>
            </w:r>
          </w:p>
          <w:p w:rsidR="007F30C7" w:rsidRPr="00956FA1" w:rsidRDefault="007F30C7" w:rsidP="00C34132">
            <w:pPr>
              <w:jc w:val="both"/>
              <w:rPr>
                <w:sz w:val="20"/>
                <w:lang w:val="fr-CA"/>
              </w:rPr>
            </w:pPr>
          </w:p>
        </w:tc>
      </w:tr>
    </w:tbl>
    <w:p w:rsidR="007F30C7" w:rsidRPr="00956FA1" w:rsidRDefault="007F30C7">
      <w:r w:rsidRPr="00956FA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A009E" w:rsidRPr="00956FA1" w:rsidTr="00C34132">
        <w:tc>
          <w:tcPr>
            <w:tcW w:w="5000" w:type="pct"/>
            <w:gridSpan w:val="3"/>
          </w:tcPr>
          <w:p w:rsidR="003A009E" w:rsidRPr="00956FA1" w:rsidRDefault="003A009E" w:rsidP="00C34132">
            <w:pPr>
              <w:jc w:val="both"/>
              <w:rPr>
                <w:sz w:val="20"/>
                <w:lang w:val="fr-CA"/>
              </w:rPr>
            </w:pPr>
            <w:r w:rsidRPr="00956FA1">
              <w:rPr>
                <w:sz w:val="20"/>
                <w:lang w:val="fr-CA"/>
              </w:rPr>
              <w:t>Dans son émission de télévision « Marketplace », un reportage médiatique en ligne et des messages Twitter au public, la Société Radio</w:t>
            </w:r>
            <w:r w:rsidRPr="00956FA1">
              <w:rPr>
                <w:sz w:val="20"/>
                <w:lang w:val="fr-CA"/>
              </w:rPr>
              <w:noBreakHyphen/>
              <w:t>Canada (« SRC ») a rapporté que seulement environ 50 % l’ADN du poulet de Subway était de l’ADN de poulet. L’enquête</w:t>
            </w:r>
            <w:r w:rsidRPr="00956FA1">
              <w:rPr>
                <w:sz w:val="20"/>
                <w:lang w:val="fr-CA"/>
              </w:rPr>
              <w:noBreakHyphen/>
              <w:t>reportage comparait le contenu des sandwiches au poulet vendus par cinq chaînes de restauration rapide au Canada. Selon le reportage, le pourcentage de poulet des sandwiches de Subway était considérablement moindre que ceux vendus par les autres chaînes. Le reportage s’appuyait sur des échantillons d’analyses prélevés par l’intimé, Natural Resources DNA Profiling &amp; Forensic Centre de l’Université Trent (« Trent »).</w:t>
            </w:r>
          </w:p>
          <w:p w:rsidR="003A009E" w:rsidRPr="00956FA1" w:rsidRDefault="003A009E" w:rsidP="00C34132">
            <w:pPr>
              <w:jc w:val="both"/>
              <w:rPr>
                <w:sz w:val="20"/>
                <w:lang w:val="fr-CA"/>
              </w:rPr>
            </w:pPr>
          </w:p>
          <w:p w:rsidR="003A009E" w:rsidRPr="00956FA1" w:rsidRDefault="003A009E" w:rsidP="00C34132">
            <w:pPr>
              <w:jc w:val="both"/>
              <w:rPr>
                <w:sz w:val="20"/>
                <w:lang w:val="fr-CA"/>
              </w:rPr>
            </w:pPr>
            <w:r w:rsidRPr="00956FA1">
              <w:rPr>
                <w:sz w:val="20"/>
                <w:lang w:val="fr-CA"/>
              </w:rPr>
              <w:t xml:space="preserve">Les demanderesses (« Subway ») ont intenté une action en diffamation contre la SRC et Trent, et une action en négligence contre Trent. La SRC et Trent ont chacune présenté une motion en rejet en application de l’art. 137.1 de la </w:t>
            </w:r>
            <w:r w:rsidRPr="00956FA1">
              <w:rPr>
                <w:i/>
                <w:sz w:val="20"/>
                <w:lang w:val="fr-CA"/>
              </w:rPr>
              <w:t>LTJ</w:t>
            </w:r>
            <w:r w:rsidRPr="00956FA1">
              <w:rPr>
                <w:sz w:val="20"/>
                <w:lang w:val="fr-CA"/>
              </w:rPr>
              <w:t>, faisant valoir que les poursuites visaient stratégiquement à décourager la liberté d’expression sur une affaire d’intérêt public. La SRC a demandé le rejet de l’action en diffamation des demanderesses contre elle, alors que Trent n’a demandé que le rejet de l’action de Subway en négligence. La Cour supérieure de justice de l’Ontario a accueilli la motion de la SCR et a rejeté l’action contre la SRC, mais a rejeté la motion de Trent et a permis que l’action en négligence contre elle suive son cours. Dans deux appels distincts, la Cour d’appel de l’Ontario a accueilli l’appel de Subway contre la SRC, et a accueilli l’appel de Trent contre Subway. La cour a accueilli la motion de Trent fondée sur l’art. 137.1 et a rejeté l’action de Subway en négligence contre elle. L’action en diffamation de Subway contre Trent peut suivre son cours.</w:t>
            </w:r>
          </w:p>
        </w:tc>
      </w:tr>
      <w:tr w:rsidR="003A009E" w:rsidRPr="00956FA1" w:rsidTr="00C34132">
        <w:tc>
          <w:tcPr>
            <w:tcW w:w="5000" w:type="pct"/>
            <w:gridSpan w:val="3"/>
          </w:tcPr>
          <w:p w:rsidR="003A009E" w:rsidRPr="00956FA1" w:rsidRDefault="003A009E" w:rsidP="00C34132">
            <w:pPr>
              <w:jc w:val="both"/>
              <w:rPr>
                <w:sz w:val="20"/>
                <w:lang w:val="fr-CA"/>
              </w:rPr>
            </w:pPr>
          </w:p>
        </w:tc>
      </w:tr>
      <w:tr w:rsidR="003A009E" w:rsidRPr="00956FA1" w:rsidTr="00C34132">
        <w:tc>
          <w:tcPr>
            <w:tcW w:w="2427" w:type="pct"/>
          </w:tcPr>
          <w:p w:rsidR="003A009E" w:rsidRPr="00956FA1" w:rsidRDefault="003A009E" w:rsidP="00C34132">
            <w:pPr>
              <w:jc w:val="both"/>
              <w:rPr>
                <w:sz w:val="20"/>
                <w:lang w:val="fr-CA"/>
              </w:rPr>
            </w:pPr>
            <w:r w:rsidRPr="00956FA1">
              <w:rPr>
                <w:sz w:val="20"/>
                <w:lang w:val="fr-CA"/>
              </w:rPr>
              <w:t>22 novembre 2019</w:t>
            </w:r>
          </w:p>
          <w:p w:rsidR="003A009E" w:rsidRPr="00956FA1" w:rsidRDefault="003A009E" w:rsidP="00C34132">
            <w:pPr>
              <w:jc w:val="both"/>
              <w:rPr>
                <w:sz w:val="20"/>
                <w:lang w:val="fr-CA"/>
              </w:rPr>
            </w:pPr>
            <w:r w:rsidRPr="00956FA1">
              <w:rPr>
                <w:sz w:val="20"/>
                <w:lang w:val="fr-CA"/>
              </w:rPr>
              <w:t>Cour supérieure de justice de l’Ontario</w:t>
            </w:r>
          </w:p>
          <w:p w:rsidR="003A009E" w:rsidRPr="00956FA1" w:rsidRDefault="003A009E" w:rsidP="00C34132">
            <w:pPr>
              <w:jc w:val="both"/>
              <w:rPr>
                <w:sz w:val="20"/>
                <w:lang w:val="fr-CA"/>
              </w:rPr>
            </w:pPr>
            <w:r w:rsidRPr="00956FA1">
              <w:rPr>
                <w:sz w:val="20"/>
                <w:lang w:val="fr-CA"/>
              </w:rPr>
              <w:t>(Juge Morgan)</w:t>
            </w:r>
          </w:p>
          <w:p w:rsidR="003A009E" w:rsidRPr="00956FA1" w:rsidRDefault="00956FA1" w:rsidP="00C34132">
            <w:pPr>
              <w:jc w:val="both"/>
              <w:rPr>
                <w:sz w:val="20"/>
                <w:lang w:val="fr-CA"/>
              </w:rPr>
            </w:pPr>
            <w:hyperlink r:id="rId55" w:history="1">
              <w:r w:rsidR="003A009E" w:rsidRPr="00956FA1">
                <w:rPr>
                  <w:rStyle w:val="Hyperlink"/>
                  <w:sz w:val="20"/>
                  <w:lang w:val="fr-CA"/>
                </w:rPr>
                <w:t>2019 ONSC 6758</w:t>
              </w:r>
            </w:hyperlink>
          </w:p>
          <w:p w:rsidR="003A009E" w:rsidRPr="00956FA1" w:rsidRDefault="003A009E" w:rsidP="00C34132">
            <w:pPr>
              <w:jc w:val="both"/>
              <w:rPr>
                <w:sz w:val="20"/>
                <w:lang w:val="fr-CA"/>
              </w:rPr>
            </w:pPr>
          </w:p>
        </w:tc>
        <w:tc>
          <w:tcPr>
            <w:tcW w:w="243" w:type="pct"/>
          </w:tcPr>
          <w:p w:rsidR="003A009E" w:rsidRPr="00956FA1" w:rsidRDefault="003A009E" w:rsidP="00C34132">
            <w:pPr>
              <w:jc w:val="both"/>
              <w:rPr>
                <w:sz w:val="20"/>
                <w:lang w:val="fr-CA"/>
              </w:rPr>
            </w:pPr>
          </w:p>
        </w:tc>
        <w:tc>
          <w:tcPr>
            <w:tcW w:w="2330" w:type="pct"/>
          </w:tcPr>
          <w:p w:rsidR="003A009E" w:rsidRPr="00956FA1" w:rsidRDefault="003A009E" w:rsidP="00C34132">
            <w:pPr>
              <w:jc w:val="both"/>
              <w:rPr>
                <w:sz w:val="20"/>
                <w:lang w:val="fr-CA"/>
              </w:rPr>
            </w:pPr>
            <w:r w:rsidRPr="00956FA1">
              <w:rPr>
                <w:sz w:val="20"/>
                <w:lang w:val="fr-CA"/>
              </w:rPr>
              <w:t xml:space="preserve">Jugement rejetant la motion de l’intimée en rejet de l’action en application de l’art. 137.1 de la </w:t>
            </w:r>
            <w:r w:rsidRPr="00956FA1">
              <w:rPr>
                <w:i/>
                <w:sz w:val="20"/>
                <w:lang w:val="fr-CA"/>
              </w:rPr>
              <w:t>Loi sur les tribunaux judiciaires</w:t>
            </w:r>
            <w:r w:rsidRPr="00956FA1">
              <w:rPr>
                <w:sz w:val="20"/>
                <w:lang w:val="fr-CA"/>
              </w:rPr>
              <w:t xml:space="preserve"> et permettant à l’action des demanderesses en négligence contre Trent de suivre son cours.</w:t>
            </w:r>
          </w:p>
          <w:p w:rsidR="003A009E" w:rsidRPr="00956FA1" w:rsidRDefault="003A009E" w:rsidP="00C34132">
            <w:pPr>
              <w:jc w:val="both"/>
              <w:rPr>
                <w:sz w:val="20"/>
                <w:lang w:val="fr-CA"/>
              </w:rPr>
            </w:pPr>
          </w:p>
        </w:tc>
      </w:tr>
      <w:tr w:rsidR="003A009E" w:rsidRPr="00956FA1" w:rsidTr="00C34132">
        <w:tc>
          <w:tcPr>
            <w:tcW w:w="2427" w:type="pct"/>
          </w:tcPr>
          <w:p w:rsidR="003A009E" w:rsidRPr="00956FA1" w:rsidRDefault="003A009E" w:rsidP="00C34132">
            <w:pPr>
              <w:jc w:val="both"/>
              <w:rPr>
                <w:sz w:val="20"/>
                <w:lang w:val="fr-CA"/>
              </w:rPr>
            </w:pPr>
            <w:r w:rsidRPr="00956FA1">
              <w:rPr>
                <w:sz w:val="20"/>
                <w:lang w:val="fr-CA"/>
              </w:rPr>
              <w:t>18 janvier 2021</w:t>
            </w:r>
          </w:p>
          <w:p w:rsidR="003A009E" w:rsidRPr="00956FA1" w:rsidRDefault="003A009E" w:rsidP="00C34132">
            <w:pPr>
              <w:jc w:val="both"/>
              <w:rPr>
                <w:sz w:val="20"/>
                <w:lang w:val="fr-CA"/>
              </w:rPr>
            </w:pPr>
            <w:r w:rsidRPr="00956FA1">
              <w:rPr>
                <w:sz w:val="20"/>
                <w:lang w:val="fr-CA"/>
              </w:rPr>
              <w:t>Cour d’appel de l’Ontario</w:t>
            </w:r>
          </w:p>
          <w:p w:rsidR="003A009E" w:rsidRPr="00956FA1" w:rsidRDefault="003A009E" w:rsidP="00C34132">
            <w:pPr>
              <w:jc w:val="both"/>
              <w:rPr>
                <w:sz w:val="20"/>
                <w:lang w:val="fr-CA"/>
              </w:rPr>
            </w:pPr>
            <w:r w:rsidRPr="00956FA1">
              <w:rPr>
                <w:sz w:val="20"/>
                <w:lang w:val="fr-CA"/>
              </w:rPr>
              <w:t>(Juges Brown, Zarnett et Thorburn)</w:t>
            </w:r>
          </w:p>
          <w:p w:rsidR="003A009E" w:rsidRPr="00956FA1" w:rsidRDefault="00956FA1" w:rsidP="00C34132">
            <w:pPr>
              <w:jc w:val="both"/>
              <w:rPr>
                <w:rStyle w:val="Hyperlink"/>
                <w:sz w:val="20"/>
                <w:lang w:val="fr-CA"/>
              </w:rPr>
            </w:pPr>
            <w:hyperlink r:id="rId56" w:history="1">
              <w:r w:rsidR="003A009E" w:rsidRPr="00956FA1">
                <w:rPr>
                  <w:rStyle w:val="Hyperlink"/>
                  <w:sz w:val="20"/>
                  <w:lang w:val="fr-CA"/>
                </w:rPr>
                <w:t>2021 ONCA 25</w:t>
              </w:r>
            </w:hyperlink>
          </w:p>
          <w:p w:rsidR="003A009E" w:rsidRPr="00956FA1" w:rsidRDefault="003A009E" w:rsidP="00C34132">
            <w:pPr>
              <w:jc w:val="both"/>
              <w:rPr>
                <w:sz w:val="20"/>
                <w:lang w:val="fr-CA"/>
              </w:rPr>
            </w:pPr>
          </w:p>
        </w:tc>
        <w:tc>
          <w:tcPr>
            <w:tcW w:w="243" w:type="pct"/>
          </w:tcPr>
          <w:p w:rsidR="003A009E" w:rsidRPr="00956FA1" w:rsidRDefault="003A009E" w:rsidP="00C34132">
            <w:pPr>
              <w:jc w:val="both"/>
              <w:rPr>
                <w:sz w:val="20"/>
                <w:lang w:val="fr-CA"/>
              </w:rPr>
            </w:pPr>
          </w:p>
        </w:tc>
        <w:tc>
          <w:tcPr>
            <w:tcW w:w="2330" w:type="pct"/>
          </w:tcPr>
          <w:p w:rsidR="003A009E" w:rsidRPr="00956FA1" w:rsidRDefault="003A009E" w:rsidP="00C34132">
            <w:pPr>
              <w:jc w:val="both"/>
              <w:rPr>
                <w:sz w:val="20"/>
                <w:lang w:val="fr-CA"/>
              </w:rPr>
            </w:pPr>
            <w:r w:rsidRPr="00956FA1">
              <w:rPr>
                <w:sz w:val="20"/>
                <w:lang w:val="fr-CA"/>
              </w:rPr>
              <w:t>Arrêt accueillant l’appel, annulant le jugement de la juridiction inférieure et rejetant l’action en négligence contre l’intimée.</w:t>
            </w:r>
          </w:p>
          <w:p w:rsidR="003A009E" w:rsidRPr="00956FA1" w:rsidRDefault="003A009E" w:rsidP="00C34132">
            <w:pPr>
              <w:jc w:val="both"/>
              <w:rPr>
                <w:sz w:val="20"/>
                <w:lang w:val="fr-CA"/>
              </w:rPr>
            </w:pPr>
          </w:p>
        </w:tc>
      </w:tr>
      <w:tr w:rsidR="003A009E" w:rsidRPr="00956FA1" w:rsidTr="00C34132">
        <w:tc>
          <w:tcPr>
            <w:tcW w:w="2427" w:type="pct"/>
          </w:tcPr>
          <w:p w:rsidR="003A009E" w:rsidRPr="00956FA1" w:rsidRDefault="003A009E" w:rsidP="00C34132">
            <w:pPr>
              <w:jc w:val="both"/>
              <w:rPr>
                <w:sz w:val="20"/>
                <w:lang w:val="fr-CA"/>
              </w:rPr>
            </w:pPr>
            <w:r w:rsidRPr="00956FA1">
              <w:rPr>
                <w:sz w:val="20"/>
                <w:lang w:val="fr-CA"/>
              </w:rPr>
              <w:t>19 mars 2021</w:t>
            </w:r>
          </w:p>
          <w:p w:rsidR="003A009E" w:rsidRPr="00956FA1" w:rsidRDefault="003A009E" w:rsidP="00C34132">
            <w:pPr>
              <w:jc w:val="both"/>
              <w:rPr>
                <w:sz w:val="20"/>
                <w:lang w:val="fr-CA"/>
              </w:rPr>
            </w:pPr>
            <w:r w:rsidRPr="00956FA1">
              <w:rPr>
                <w:sz w:val="20"/>
                <w:lang w:val="fr-CA"/>
              </w:rPr>
              <w:t>Cour suprême du Canada</w:t>
            </w:r>
          </w:p>
        </w:tc>
        <w:tc>
          <w:tcPr>
            <w:tcW w:w="243" w:type="pct"/>
          </w:tcPr>
          <w:p w:rsidR="003A009E" w:rsidRPr="00956FA1" w:rsidRDefault="003A009E" w:rsidP="00C34132">
            <w:pPr>
              <w:jc w:val="both"/>
              <w:rPr>
                <w:sz w:val="20"/>
                <w:lang w:val="fr-CA"/>
              </w:rPr>
            </w:pPr>
          </w:p>
        </w:tc>
        <w:tc>
          <w:tcPr>
            <w:tcW w:w="2330" w:type="pct"/>
          </w:tcPr>
          <w:p w:rsidR="003A009E" w:rsidRPr="00956FA1" w:rsidRDefault="003A009E" w:rsidP="00C34132">
            <w:pPr>
              <w:jc w:val="both"/>
              <w:rPr>
                <w:sz w:val="20"/>
                <w:lang w:val="fr-CA"/>
              </w:rPr>
            </w:pPr>
            <w:r w:rsidRPr="00956FA1">
              <w:rPr>
                <w:sz w:val="20"/>
                <w:lang w:val="fr-CA"/>
              </w:rPr>
              <w:t>Dépôt de la demande d’autorisation d’appel.</w:t>
            </w:r>
          </w:p>
        </w:tc>
      </w:tr>
    </w:tbl>
    <w:p w:rsidR="004B2E86" w:rsidRPr="00956FA1" w:rsidRDefault="004B2E86" w:rsidP="004B2E86">
      <w:pPr>
        <w:jc w:val="both"/>
        <w:rPr>
          <w:sz w:val="20"/>
          <w:szCs w:val="20"/>
          <w:lang w:val="fr-CA"/>
        </w:rPr>
      </w:pPr>
    </w:p>
    <w:p w:rsidR="00102792" w:rsidRPr="00956FA1" w:rsidRDefault="00956FA1" w:rsidP="004B2E86">
      <w:pPr>
        <w:jc w:val="both"/>
        <w:rPr>
          <w:sz w:val="20"/>
          <w:szCs w:val="20"/>
          <w:lang w:val="fr-CA"/>
        </w:rPr>
      </w:pPr>
      <w:r w:rsidRPr="00956FA1">
        <w:rPr>
          <w:sz w:val="20"/>
          <w:szCs w:val="20"/>
        </w:rPr>
        <w:pict>
          <v:rect id="_x0000_i1053" style="width:2in;height:1pt" o:hrpct="0" o:hralign="center" o:hrstd="t" o:hrnoshade="t" o:hr="t" fillcolor="black" stroked="f"/>
        </w:pict>
      </w:r>
    </w:p>
    <w:p w:rsidR="00E06F20" w:rsidRPr="00956FA1" w:rsidRDefault="00E06F20" w:rsidP="00102792">
      <w:pPr>
        <w:jc w:val="both"/>
        <w:rPr>
          <w:sz w:val="20"/>
          <w:lang w:val="fr-CA"/>
        </w:rPr>
      </w:pPr>
    </w:p>
    <w:p w:rsidR="00890FEB" w:rsidRPr="00956FA1" w:rsidRDefault="00890FEB" w:rsidP="008D292F">
      <w:pPr>
        <w:rPr>
          <w:sz w:val="20"/>
          <w:szCs w:val="20"/>
          <w:lang w:val="fr-CA"/>
        </w:rPr>
      </w:pPr>
    </w:p>
    <w:p w:rsidR="00890FEB" w:rsidRPr="00956FA1" w:rsidRDefault="00890FEB" w:rsidP="008D292F">
      <w:pPr>
        <w:rPr>
          <w:b/>
          <w:sz w:val="20"/>
          <w:szCs w:val="20"/>
          <w:lang w:val="fr-CA"/>
        </w:rPr>
        <w:sectPr w:rsidR="00890FEB" w:rsidRPr="00956FA1" w:rsidSect="008D292F">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720" w:footer="965" w:gutter="0"/>
          <w:cols w:space="720"/>
          <w:titlePg/>
          <w:docGrid w:linePitch="326"/>
        </w:sectPr>
      </w:pPr>
    </w:p>
    <w:p w:rsidR="00693C38" w:rsidRPr="00956FA1" w:rsidRDefault="00DD0BDC" w:rsidP="00567602">
      <w:pPr>
        <w:pStyle w:val="Header1StyleE"/>
        <w:pBdr>
          <w:bottom w:val="single" w:sz="12" w:space="1" w:color="auto"/>
        </w:pBdr>
        <w:rPr>
          <w:lang w:val="fr-CA"/>
        </w:rPr>
      </w:pPr>
      <w:bookmarkStart w:id="10" w:name="_Toc77172333"/>
      <w:r w:rsidRPr="00956FA1">
        <w:rPr>
          <w:lang w:val="fr-CA"/>
        </w:rPr>
        <w:t>Motions</w:t>
      </w:r>
      <w:r w:rsidR="00271E1E" w:rsidRPr="00956FA1">
        <w:rPr>
          <w:lang w:val="fr-CA"/>
        </w:rPr>
        <w:t xml:space="preserve"> / </w:t>
      </w:r>
      <w:r w:rsidR="00693C38" w:rsidRPr="00956FA1">
        <w:rPr>
          <w:lang w:val="fr-CA"/>
        </w:rPr>
        <w:br/>
      </w:r>
      <w:r w:rsidRPr="00956FA1">
        <w:rPr>
          <w:lang w:val="fr-CA"/>
        </w:rPr>
        <w:t>Requêtes</w:t>
      </w:r>
      <w:bookmarkEnd w:id="10"/>
    </w:p>
    <w:p w:rsidR="00890FEB" w:rsidRPr="00956FA1" w:rsidRDefault="00890FEB" w:rsidP="00890FEB">
      <w:pPr>
        <w:rPr>
          <w:sz w:val="20"/>
          <w:szCs w:val="20"/>
          <w:lang w:val="fr-CA"/>
        </w:rPr>
      </w:pPr>
    </w:p>
    <w:p w:rsidR="008859F1" w:rsidRPr="00956FA1" w:rsidRDefault="009B36BA" w:rsidP="008859F1">
      <w:pPr>
        <w:rPr>
          <w:b/>
          <w:sz w:val="20"/>
          <w:szCs w:val="20"/>
          <w:lang w:val="fr-CA"/>
        </w:rPr>
      </w:pPr>
      <w:r w:rsidRPr="00956FA1">
        <w:rPr>
          <w:b/>
          <w:sz w:val="20"/>
          <w:szCs w:val="20"/>
          <w:lang w:val="fr-CA"/>
        </w:rPr>
        <w:t>J</w:t>
      </w:r>
      <w:r w:rsidR="00660D57" w:rsidRPr="00956FA1">
        <w:rPr>
          <w:b/>
          <w:sz w:val="20"/>
          <w:szCs w:val="20"/>
          <w:lang w:val="fr-CA"/>
        </w:rPr>
        <w:t>ULY</w:t>
      </w:r>
      <w:r w:rsidR="008859F1" w:rsidRPr="00956FA1">
        <w:rPr>
          <w:b/>
          <w:sz w:val="20"/>
          <w:szCs w:val="20"/>
          <w:lang w:val="fr-CA"/>
        </w:rPr>
        <w:t xml:space="preserve"> </w:t>
      </w:r>
      <w:r w:rsidR="00691D1D" w:rsidRPr="00956FA1">
        <w:rPr>
          <w:b/>
          <w:sz w:val="20"/>
          <w:szCs w:val="20"/>
          <w:lang w:val="fr-CA"/>
        </w:rPr>
        <w:t>1</w:t>
      </w:r>
      <w:r w:rsidR="00660D57" w:rsidRPr="00956FA1">
        <w:rPr>
          <w:b/>
          <w:sz w:val="20"/>
          <w:szCs w:val="20"/>
          <w:lang w:val="fr-CA"/>
        </w:rPr>
        <w:t>3</w:t>
      </w:r>
      <w:r w:rsidR="008859F1" w:rsidRPr="00956FA1">
        <w:rPr>
          <w:b/>
          <w:sz w:val="20"/>
          <w:szCs w:val="20"/>
          <w:lang w:val="fr-CA"/>
        </w:rPr>
        <w:t>, 20</w:t>
      </w:r>
      <w:r w:rsidR="005967EF" w:rsidRPr="00956FA1">
        <w:rPr>
          <w:b/>
          <w:sz w:val="20"/>
          <w:szCs w:val="20"/>
          <w:lang w:val="fr-CA"/>
        </w:rPr>
        <w:t>2</w:t>
      </w:r>
      <w:r w:rsidRPr="00956FA1">
        <w:rPr>
          <w:b/>
          <w:sz w:val="20"/>
          <w:szCs w:val="20"/>
          <w:lang w:val="fr-CA"/>
        </w:rPr>
        <w:t>1</w:t>
      </w:r>
      <w:r w:rsidR="008859F1" w:rsidRPr="00956FA1">
        <w:rPr>
          <w:b/>
          <w:sz w:val="20"/>
          <w:szCs w:val="20"/>
          <w:lang w:val="fr-CA"/>
        </w:rPr>
        <w:t xml:space="preserve"> / LE </w:t>
      </w:r>
      <w:r w:rsidR="00691D1D" w:rsidRPr="00956FA1">
        <w:rPr>
          <w:b/>
          <w:sz w:val="20"/>
          <w:szCs w:val="20"/>
          <w:lang w:val="fr-CA"/>
        </w:rPr>
        <w:t>1</w:t>
      </w:r>
      <w:r w:rsidR="00660D57" w:rsidRPr="00956FA1">
        <w:rPr>
          <w:b/>
          <w:sz w:val="20"/>
          <w:szCs w:val="20"/>
          <w:lang w:val="fr-CA"/>
        </w:rPr>
        <w:t>3</w:t>
      </w:r>
      <w:r w:rsidR="008859F1" w:rsidRPr="00956FA1">
        <w:rPr>
          <w:b/>
          <w:sz w:val="20"/>
          <w:szCs w:val="20"/>
          <w:lang w:val="fr-CA"/>
        </w:rPr>
        <w:t xml:space="preserve"> </w:t>
      </w:r>
      <w:r w:rsidRPr="00956FA1">
        <w:rPr>
          <w:b/>
          <w:sz w:val="20"/>
          <w:szCs w:val="20"/>
          <w:lang w:val="fr-CA"/>
        </w:rPr>
        <w:t>J</w:t>
      </w:r>
      <w:r w:rsidR="00660D57" w:rsidRPr="00956FA1">
        <w:rPr>
          <w:b/>
          <w:sz w:val="20"/>
          <w:szCs w:val="20"/>
          <w:lang w:val="fr-CA"/>
        </w:rPr>
        <w:t>UILLET</w:t>
      </w:r>
      <w:r w:rsidR="008859F1" w:rsidRPr="00956FA1">
        <w:rPr>
          <w:b/>
          <w:sz w:val="20"/>
          <w:szCs w:val="20"/>
          <w:lang w:val="fr-CA"/>
        </w:rPr>
        <w:t xml:space="preserve"> 20</w:t>
      </w:r>
      <w:r w:rsidR="005967EF" w:rsidRPr="00956FA1">
        <w:rPr>
          <w:b/>
          <w:sz w:val="20"/>
          <w:szCs w:val="20"/>
          <w:lang w:val="fr-CA"/>
        </w:rPr>
        <w:t>2</w:t>
      </w:r>
      <w:r w:rsidRPr="00956FA1">
        <w:rPr>
          <w:b/>
          <w:sz w:val="20"/>
          <w:szCs w:val="20"/>
          <w:lang w:val="fr-CA"/>
        </w:rPr>
        <w:t>1</w:t>
      </w:r>
    </w:p>
    <w:p w:rsidR="00102792" w:rsidRPr="00956FA1"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956FA1" w:rsidTr="00691D1D">
        <w:tc>
          <w:tcPr>
            <w:tcW w:w="4410" w:type="dxa"/>
            <w:tcBorders>
              <w:top w:val="nil"/>
              <w:left w:val="nil"/>
              <w:bottom w:val="nil"/>
              <w:right w:val="nil"/>
            </w:tcBorders>
          </w:tcPr>
          <w:p w:rsidR="00D93A6C" w:rsidRPr="00956FA1" w:rsidRDefault="00D93A6C" w:rsidP="00660D57">
            <w:pPr>
              <w:jc w:val="both"/>
              <w:rPr>
                <w:rFonts w:cs="Times New Roman"/>
                <w:b/>
                <w:bCs/>
                <w:sz w:val="20"/>
                <w:szCs w:val="20"/>
                <w:lang w:val="en-US"/>
              </w:rPr>
            </w:pPr>
            <w:r w:rsidRPr="00956FA1">
              <w:rPr>
                <w:rFonts w:eastAsia="Times New Roman" w:cs="Times New Roman"/>
                <w:b/>
                <w:sz w:val="20"/>
                <w:szCs w:val="20"/>
                <w:lang w:val="en-US" w:eastAsia="en-CA"/>
              </w:rPr>
              <w:t xml:space="preserve">Motion </w:t>
            </w:r>
            <w:r w:rsidR="00660D57" w:rsidRPr="00956FA1">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D93A6C" w:rsidRPr="00956FA1"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956FA1" w:rsidRDefault="00660D57" w:rsidP="00691D1D">
            <w:pPr>
              <w:jc w:val="both"/>
              <w:rPr>
                <w:rFonts w:cs="Times New Roman"/>
                <w:b/>
                <w:bCs/>
                <w:sz w:val="20"/>
                <w:szCs w:val="20"/>
                <w:lang w:val="fr-CA"/>
              </w:rPr>
            </w:pPr>
            <w:r w:rsidRPr="00956FA1">
              <w:rPr>
                <w:rFonts w:eastAsia="Times New Roman" w:cs="Times New Roman"/>
                <w:b/>
                <w:sz w:val="20"/>
                <w:szCs w:val="20"/>
                <w:lang w:val="fr-CA" w:eastAsia="en-CA"/>
              </w:rPr>
              <w:t>Requête en autorisation d'intervention</w:t>
            </w:r>
          </w:p>
        </w:tc>
      </w:tr>
    </w:tbl>
    <w:p w:rsidR="00D93A6C" w:rsidRPr="00956FA1" w:rsidRDefault="00D93A6C" w:rsidP="00102792">
      <w:pPr>
        <w:tabs>
          <w:tab w:val="left" w:pos="-1440"/>
          <w:tab w:val="left" w:pos="-720"/>
        </w:tabs>
        <w:jc w:val="both"/>
        <w:rPr>
          <w:rFonts w:eastAsia="Times New Roman" w:cs="Times New Roman"/>
          <w:sz w:val="20"/>
          <w:szCs w:val="20"/>
          <w:lang w:val="fr-CA" w:eastAsia="en-CA"/>
        </w:rPr>
      </w:pPr>
    </w:p>
    <w:p w:rsidR="00660D57" w:rsidRPr="00956FA1" w:rsidRDefault="00660D57" w:rsidP="00660D57">
      <w:pPr>
        <w:pStyle w:val="scclsocparty1"/>
        <w:jc w:val="both"/>
        <w:rPr>
          <w:b/>
          <w:bCs/>
          <w:sz w:val="20"/>
          <w:szCs w:val="20"/>
        </w:rPr>
      </w:pPr>
      <w:r w:rsidRPr="00956FA1">
        <w:rPr>
          <w:b/>
          <w:bCs/>
          <w:caps/>
          <w:sz w:val="20"/>
          <w:szCs w:val="20"/>
        </w:rPr>
        <w:t xml:space="preserve">HER MAJESTY THE QUEEN </w:t>
      </w:r>
      <w:r w:rsidRPr="00956FA1">
        <w:rPr>
          <w:b/>
          <w:bCs/>
          <w:sz w:val="20"/>
          <w:szCs w:val="20"/>
        </w:rPr>
        <w:t xml:space="preserve">v. </w:t>
      </w:r>
      <w:r w:rsidRPr="00956FA1">
        <w:rPr>
          <w:b/>
          <w:bCs/>
          <w:caps/>
          <w:sz w:val="20"/>
          <w:szCs w:val="20"/>
        </w:rPr>
        <w:t>RUSSELL STEVEN TESSIER</w:t>
      </w:r>
    </w:p>
    <w:p w:rsidR="00660D57" w:rsidRPr="00956FA1" w:rsidRDefault="00660D57" w:rsidP="00660D57">
      <w:pPr>
        <w:rPr>
          <w:rFonts w:cs="Times New Roman"/>
          <w:bCs/>
          <w:sz w:val="20"/>
          <w:szCs w:val="20"/>
        </w:rPr>
      </w:pPr>
      <w:r w:rsidRPr="00956FA1">
        <w:rPr>
          <w:rFonts w:cs="Times New Roman"/>
          <w:bCs/>
          <w:sz w:val="20"/>
          <w:szCs w:val="20"/>
        </w:rPr>
        <w:t xml:space="preserve">(Alta.) (39350) </w:t>
      </w:r>
    </w:p>
    <w:p w:rsidR="00660D57" w:rsidRPr="00956FA1" w:rsidRDefault="00660D57" w:rsidP="00660D57">
      <w:pPr>
        <w:rPr>
          <w:rFonts w:cs="Times New Roman"/>
          <w:sz w:val="20"/>
          <w:szCs w:val="20"/>
        </w:rPr>
      </w:pPr>
    </w:p>
    <w:p w:rsidR="00660D57" w:rsidRPr="00956FA1" w:rsidRDefault="00660D57" w:rsidP="00660D57">
      <w:pPr>
        <w:rPr>
          <w:rFonts w:eastAsia="Times New Roman" w:cs="Times New Roman"/>
          <w:sz w:val="20"/>
          <w:szCs w:val="20"/>
          <w:lang w:eastAsia="en-CA"/>
        </w:rPr>
      </w:pPr>
      <w:r w:rsidRPr="00956FA1">
        <w:rPr>
          <w:rFonts w:eastAsia="Times New Roman" w:cs="Times New Roman"/>
          <w:b/>
          <w:bCs/>
          <w:caps/>
          <w:sz w:val="20"/>
          <w:szCs w:val="20"/>
          <w:u w:val="single"/>
          <w:lang w:eastAsia="en-CA"/>
        </w:rPr>
        <w:t>THE CHIEF JUSTICE</w:t>
      </w:r>
      <w:r w:rsidRPr="00956FA1">
        <w:rPr>
          <w:rFonts w:eastAsia="Times New Roman" w:cs="Times New Roman"/>
          <w:b/>
          <w:bCs/>
          <w:sz w:val="20"/>
          <w:szCs w:val="20"/>
          <w:lang w:eastAsia="en-CA"/>
        </w:rPr>
        <w:t>:</w:t>
      </w:r>
    </w:p>
    <w:p w:rsidR="00660D57" w:rsidRPr="00956FA1" w:rsidRDefault="00660D57" w:rsidP="00660D57">
      <w:pPr>
        <w:rPr>
          <w:rFonts w:eastAsiaTheme="minorEastAsia" w:cs="Times New Roman"/>
          <w:sz w:val="20"/>
          <w:szCs w:val="20"/>
        </w:rPr>
      </w:pPr>
    </w:p>
    <w:p w:rsidR="00660D57" w:rsidRPr="00956FA1" w:rsidRDefault="00660D57" w:rsidP="00660D57">
      <w:pPr>
        <w:rPr>
          <w:rFonts w:eastAsia="Times New Roman" w:cs="Times New Roman"/>
          <w:sz w:val="20"/>
          <w:szCs w:val="20"/>
          <w:lang w:eastAsia="en-CA"/>
        </w:rPr>
      </w:pPr>
      <w:r w:rsidRPr="00956FA1">
        <w:rPr>
          <w:rFonts w:eastAsia="Times New Roman" w:cs="Times New Roman"/>
          <w:b/>
          <w:bCs/>
          <w:sz w:val="20"/>
          <w:szCs w:val="20"/>
          <w:lang w:eastAsia="en-CA"/>
        </w:rPr>
        <w:t>UPON APPLICATIONS</w:t>
      </w:r>
      <w:r w:rsidRPr="00956FA1">
        <w:rPr>
          <w:rFonts w:eastAsia="Times New Roman" w:cs="Times New Roman"/>
          <w:sz w:val="20"/>
          <w:szCs w:val="20"/>
          <w:lang w:eastAsia="en-CA"/>
        </w:rPr>
        <w:t xml:space="preserve"> by the Attorney General of Ontario, the Attorney General of New Brunswick, and the Canadian Civil Liberties Association for leave to intervene in the above appeal;</w:t>
      </w:r>
    </w:p>
    <w:p w:rsidR="00660D57" w:rsidRPr="00956FA1" w:rsidRDefault="00660D57" w:rsidP="00660D57">
      <w:pPr>
        <w:rPr>
          <w:rFonts w:eastAsia="Times New Roman" w:cs="Times New Roman"/>
          <w:sz w:val="20"/>
          <w:szCs w:val="20"/>
          <w:lang w:eastAsia="en-CA"/>
        </w:rPr>
      </w:pPr>
    </w:p>
    <w:p w:rsidR="00660D57" w:rsidRPr="00956FA1" w:rsidRDefault="00660D57" w:rsidP="00660D57">
      <w:pPr>
        <w:spacing w:line="232" w:lineRule="auto"/>
        <w:rPr>
          <w:rFonts w:eastAsiaTheme="minorEastAsia" w:cs="Times New Roman"/>
          <w:sz w:val="20"/>
          <w:szCs w:val="20"/>
          <w:lang w:val="en-US"/>
        </w:rPr>
      </w:pPr>
      <w:r w:rsidRPr="00956FA1">
        <w:rPr>
          <w:rFonts w:cs="Times New Roman"/>
          <w:b/>
          <w:bCs/>
          <w:sz w:val="20"/>
          <w:szCs w:val="20"/>
        </w:rPr>
        <w:t>AND THE MATERIAL FILED</w:t>
      </w:r>
      <w:r w:rsidRPr="00956FA1">
        <w:rPr>
          <w:rFonts w:cs="Times New Roman"/>
          <w:sz w:val="20"/>
          <w:szCs w:val="20"/>
        </w:rPr>
        <w:t xml:space="preserve"> having been read;</w:t>
      </w:r>
    </w:p>
    <w:p w:rsidR="00660D57" w:rsidRPr="00956FA1" w:rsidRDefault="00660D57" w:rsidP="00660D57">
      <w:pPr>
        <w:spacing w:line="232" w:lineRule="auto"/>
        <w:rPr>
          <w:rFonts w:cs="Times New Roman"/>
          <w:sz w:val="20"/>
          <w:szCs w:val="20"/>
        </w:rPr>
      </w:pPr>
    </w:p>
    <w:p w:rsidR="00660D57" w:rsidRPr="00956FA1" w:rsidRDefault="00660D57" w:rsidP="00660D57">
      <w:pPr>
        <w:spacing w:line="232" w:lineRule="auto"/>
        <w:rPr>
          <w:rFonts w:cs="Times New Roman"/>
          <w:b/>
          <w:bCs/>
          <w:sz w:val="20"/>
          <w:szCs w:val="20"/>
        </w:rPr>
      </w:pPr>
      <w:r w:rsidRPr="00956FA1">
        <w:rPr>
          <w:rFonts w:cs="Times New Roman"/>
          <w:b/>
          <w:bCs/>
          <w:sz w:val="20"/>
          <w:szCs w:val="20"/>
        </w:rPr>
        <w:t>IT IS HEREBY ORDERED THAT:</w:t>
      </w:r>
    </w:p>
    <w:p w:rsidR="00660D57" w:rsidRPr="00956FA1" w:rsidRDefault="00660D57" w:rsidP="00660D57">
      <w:pPr>
        <w:spacing w:line="232" w:lineRule="auto"/>
        <w:rPr>
          <w:rFonts w:cs="Times New Roman"/>
          <w:sz w:val="20"/>
          <w:szCs w:val="20"/>
        </w:rPr>
      </w:pPr>
    </w:p>
    <w:p w:rsidR="00660D57" w:rsidRPr="00956FA1" w:rsidRDefault="00660D57" w:rsidP="00660D57">
      <w:pPr>
        <w:spacing w:line="232" w:lineRule="auto"/>
        <w:rPr>
          <w:rFonts w:cs="Times New Roman"/>
          <w:sz w:val="20"/>
          <w:szCs w:val="20"/>
        </w:rPr>
      </w:pPr>
      <w:r w:rsidRPr="00956FA1">
        <w:rPr>
          <w:rFonts w:cs="Times New Roman"/>
          <w:sz w:val="20"/>
          <w:szCs w:val="20"/>
        </w:rPr>
        <w:t xml:space="preserve">The motions for leave to intervene </w:t>
      </w:r>
      <w:r w:rsidRPr="00956FA1">
        <w:rPr>
          <w:rFonts w:eastAsia="Times New Roman" w:cs="Times New Roman"/>
          <w:sz w:val="20"/>
          <w:szCs w:val="20"/>
          <w:lang w:eastAsia="en-CA"/>
        </w:rPr>
        <w:t>are</w:t>
      </w:r>
      <w:r w:rsidRPr="00956FA1">
        <w:rPr>
          <w:rFonts w:cs="Times New Roman"/>
          <w:sz w:val="20"/>
          <w:szCs w:val="20"/>
        </w:rPr>
        <w:t xml:space="preserve"> granted and the said three (3) interveners shall be entitled to each serve and file a single factum not to exceed ten (10) pages in length, and book of authorities, if any, on or before August 24, 2021. </w:t>
      </w:r>
    </w:p>
    <w:p w:rsidR="00660D57" w:rsidRPr="00956FA1" w:rsidRDefault="00660D57" w:rsidP="00660D57">
      <w:pPr>
        <w:spacing w:line="232" w:lineRule="auto"/>
        <w:rPr>
          <w:rFonts w:cs="Times New Roman"/>
          <w:sz w:val="20"/>
          <w:szCs w:val="20"/>
        </w:rPr>
      </w:pPr>
    </w:p>
    <w:p w:rsidR="00660D57" w:rsidRPr="00956FA1" w:rsidRDefault="00660D57" w:rsidP="00660D57">
      <w:pPr>
        <w:spacing w:line="232" w:lineRule="auto"/>
        <w:rPr>
          <w:rFonts w:cs="Times New Roman"/>
          <w:sz w:val="20"/>
          <w:szCs w:val="20"/>
        </w:rPr>
      </w:pPr>
      <w:r w:rsidRPr="00956FA1">
        <w:rPr>
          <w:rFonts w:cs="Times New Roman"/>
          <w:sz w:val="20"/>
          <w:szCs w:val="20"/>
        </w:rPr>
        <w:t>The Attorney General of Ontario and the Attorney General of New Brunswick are each granted permission to present oral argument not exceeding ten (10) minutes at the hearing of the appeal.</w:t>
      </w:r>
    </w:p>
    <w:p w:rsidR="00660D57" w:rsidRPr="00956FA1" w:rsidRDefault="00660D57" w:rsidP="00660D57">
      <w:pPr>
        <w:spacing w:line="232" w:lineRule="auto"/>
        <w:rPr>
          <w:rFonts w:cs="Times New Roman"/>
          <w:sz w:val="20"/>
          <w:szCs w:val="20"/>
        </w:rPr>
      </w:pPr>
    </w:p>
    <w:p w:rsidR="00660D57" w:rsidRPr="00956FA1" w:rsidRDefault="00660D57" w:rsidP="00660D57">
      <w:pPr>
        <w:rPr>
          <w:rFonts w:cs="Times New Roman"/>
          <w:sz w:val="20"/>
          <w:szCs w:val="20"/>
        </w:rPr>
      </w:pPr>
      <w:r w:rsidRPr="00956FA1">
        <w:rPr>
          <w:rFonts w:cs="Times New Roman"/>
          <w:sz w:val="20"/>
          <w:szCs w:val="20"/>
        </w:rPr>
        <w:t>The Canadian Civil Liberties Association is granted permission to present oral argument not exceeding five (5) minutes at the hearing of the appeal.</w:t>
      </w:r>
    </w:p>
    <w:p w:rsidR="00660D57" w:rsidRPr="00956FA1" w:rsidRDefault="00660D57" w:rsidP="00660D57">
      <w:pPr>
        <w:rPr>
          <w:rFonts w:cs="Times New Roman"/>
          <w:sz w:val="20"/>
          <w:szCs w:val="20"/>
        </w:rPr>
      </w:pPr>
    </w:p>
    <w:p w:rsidR="00660D57" w:rsidRPr="00956FA1" w:rsidRDefault="00660D57" w:rsidP="00660D57">
      <w:pPr>
        <w:spacing w:line="232" w:lineRule="auto"/>
        <w:rPr>
          <w:rFonts w:cs="Times New Roman"/>
          <w:b/>
          <w:sz w:val="20"/>
          <w:szCs w:val="20"/>
        </w:rPr>
      </w:pPr>
      <w:r w:rsidRPr="00956FA1">
        <w:rPr>
          <w:rFonts w:cs="Times New Roman"/>
          <w:b/>
          <w:sz w:val="20"/>
          <w:szCs w:val="20"/>
        </w:rPr>
        <w:t xml:space="preserve">The interveners are not entitled to raise new issues or to adduce further evidence or otherwise to supplement the record of the parties. </w:t>
      </w:r>
    </w:p>
    <w:p w:rsidR="00660D57" w:rsidRPr="00956FA1" w:rsidRDefault="00660D57" w:rsidP="00660D57">
      <w:pPr>
        <w:spacing w:line="232" w:lineRule="auto"/>
        <w:rPr>
          <w:rFonts w:cs="Times New Roman"/>
          <w:sz w:val="20"/>
          <w:szCs w:val="20"/>
        </w:rPr>
      </w:pPr>
    </w:p>
    <w:p w:rsidR="00660D57" w:rsidRPr="00956FA1" w:rsidRDefault="00660D57" w:rsidP="00660D57">
      <w:pPr>
        <w:spacing w:line="232" w:lineRule="auto"/>
        <w:rPr>
          <w:rFonts w:cs="Times New Roman"/>
          <w:sz w:val="20"/>
          <w:szCs w:val="20"/>
        </w:rPr>
      </w:pPr>
      <w:r w:rsidRPr="00956FA1">
        <w:rPr>
          <w:rFonts w:cs="Times New Roman"/>
          <w:sz w:val="20"/>
          <w:szCs w:val="20"/>
        </w:rPr>
        <w:t>Pursuant to Rule 59(1</w:t>
      </w:r>
      <w:proofErr w:type="gramStart"/>
      <w:r w:rsidRPr="00956FA1">
        <w:rPr>
          <w:rFonts w:cs="Times New Roman"/>
          <w:sz w:val="20"/>
          <w:szCs w:val="20"/>
        </w:rPr>
        <w:t>)(</w:t>
      </w:r>
      <w:proofErr w:type="gramEnd"/>
      <w:r w:rsidRPr="00956FA1">
        <w:rPr>
          <w:rFonts w:cs="Times New Roman"/>
          <w:i/>
          <w:iCs/>
          <w:sz w:val="20"/>
          <w:szCs w:val="20"/>
        </w:rPr>
        <w:t>a</w:t>
      </w:r>
      <w:r w:rsidRPr="00956FA1">
        <w:rPr>
          <w:rFonts w:cs="Times New Roman"/>
          <w:sz w:val="20"/>
          <w:szCs w:val="20"/>
        </w:rPr>
        <w:t xml:space="preserve">) of the </w:t>
      </w:r>
      <w:r w:rsidRPr="00956FA1">
        <w:rPr>
          <w:rFonts w:cs="Times New Roman"/>
          <w:i/>
          <w:iCs/>
          <w:sz w:val="20"/>
          <w:szCs w:val="20"/>
        </w:rPr>
        <w:t>Rules of the Supreme Court of Canada</w:t>
      </w:r>
      <w:r w:rsidRPr="00956FA1">
        <w:rPr>
          <w:rFonts w:cs="Times New Roman"/>
          <w:sz w:val="20"/>
          <w:szCs w:val="20"/>
        </w:rPr>
        <w:t>, the interveners shall pay to the appellant and respondent any additional disbursements resulting from their interventions.</w:t>
      </w:r>
    </w:p>
    <w:p w:rsidR="00660D57" w:rsidRPr="00956FA1" w:rsidRDefault="00660D57" w:rsidP="00660D57">
      <w:pPr>
        <w:rPr>
          <w:rFonts w:cs="Times New Roman"/>
          <w:sz w:val="20"/>
          <w:szCs w:val="20"/>
        </w:rPr>
      </w:pPr>
    </w:p>
    <w:p w:rsidR="00660D57" w:rsidRPr="00956FA1" w:rsidRDefault="00660D57" w:rsidP="00660D57">
      <w:pPr>
        <w:rPr>
          <w:rFonts w:cs="Times New Roman"/>
          <w:sz w:val="20"/>
          <w:szCs w:val="20"/>
        </w:rPr>
      </w:pPr>
    </w:p>
    <w:p w:rsidR="00660D57" w:rsidRPr="00956FA1" w:rsidRDefault="00660D57" w:rsidP="00660D57">
      <w:pPr>
        <w:rPr>
          <w:rFonts w:cs="Times New Roman"/>
          <w:sz w:val="20"/>
          <w:szCs w:val="20"/>
          <w:lang w:val="fr-CA"/>
        </w:rPr>
      </w:pPr>
      <w:r w:rsidRPr="00956FA1">
        <w:rPr>
          <w:rFonts w:cs="Times New Roman"/>
          <w:b/>
          <w:sz w:val="20"/>
          <w:szCs w:val="20"/>
          <w:lang w:val="fr-CA"/>
        </w:rPr>
        <w:t>À LA SUITE DES DEMANDES</w:t>
      </w:r>
      <w:r w:rsidRPr="00956FA1">
        <w:rPr>
          <w:rFonts w:cs="Times New Roman"/>
          <w:sz w:val="20"/>
          <w:szCs w:val="20"/>
          <w:lang w:val="fr-CA"/>
        </w:rPr>
        <w:t xml:space="preserve"> présentées par le procureur général de l’Ontario, le procureur général du Nouveau-Brunswick et l’Association canadienne des libertés civiles, en vue d’intervenir dans l’appel;</w:t>
      </w:r>
    </w:p>
    <w:p w:rsidR="00660D57" w:rsidRPr="00956FA1" w:rsidRDefault="00660D57" w:rsidP="00660D57">
      <w:pPr>
        <w:rPr>
          <w:rFonts w:cs="Times New Roman"/>
          <w:sz w:val="20"/>
          <w:szCs w:val="20"/>
          <w:lang w:val="fr-CA"/>
        </w:rPr>
      </w:pPr>
    </w:p>
    <w:p w:rsidR="00660D57" w:rsidRPr="00956FA1" w:rsidRDefault="00660D57" w:rsidP="00660D57">
      <w:pPr>
        <w:rPr>
          <w:rFonts w:cs="Times New Roman"/>
          <w:sz w:val="20"/>
          <w:szCs w:val="20"/>
          <w:lang w:val="fr-CA"/>
        </w:rPr>
      </w:pPr>
      <w:r w:rsidRPr="00956FA1">
        <w:rPr>
          <w:rFonts w:cs="Times New Roman"/>
          <w:b/>
          <w:sz w:val="20"/>
          <w:szCs w:val="20"/>
          <w:lang w:val="fr-CA"/>
        </w:rPr>
        <w:t>ET APRÈS EXAMEN</w:t>
      </w:r>
      <w:r w:rsidRPr="00956FA1">
        <w:rPr>
          <w:rFonts w:cs="Times New Roman"/>
          <w:sz w:val="20"/>
          <w:szCs w:val="20"/>
          <w:lang w:val="fr-CA"/>
        </w:rPr>
        <w:t xml:space="preserve"> des documents déposés;</w:t>
      </w:r>
    </w:p>
    <w:p w:rsidR="00660D57" w:rsidRPr="00956FA1" w:rsidRDefault="00660D57" w:rsidP="00660D57">
      <w:pPr>
        <w:rPr>
          <w:rFonts w:cs="Times New Roman"/>
          <w:sz w:val="20"/>
          <w:szCs w:val="20"/>
          <w:lang w:val="fr-CA"/>
        </w:rPr>
      </w:pPr>
    </w:p>
    <w:p w:rsidR="00660D57" w:rsidRPr="00956FA1" w:rsidRDefault="00660D57" w:rsidP="00660D57">
      <w:pPr>
        <w:rPr>
          <w:rFonts w:cs="Times New Roman"/>
          <w:b/>
          <w:sz w:val="20"/>
          <w:szCs w:val="20"/>
          <w:lang w:val="fr-CA"/>
        </w:rPr>
      </w:pPr>
      <w:r w:rsidRPr="00956FA1">
        <w:rPr>
          <w:rFonts w:cs="Times New Roman"/>
          <w:b/>
          <w:sz w:val="20"/>
          <w:szCs w:val="20"/>
          <w:lang w:val="fr-CA"/>
        </w:rPr>
        <w:t>IL EST ORDONNÉ CE QUI SUIT :</w:t>
      </w:r>
    </w:p>
    <w:p w:rsidR="00660D57" w:rsidRPr="00956FA1" w:rsidRDefault="00660D57" w:rsidP="00660D57">
      <w:pPr>
        <w:rPr>
          <w:rFonts w:cs="Times New Roman"/>
          <w:sz w:val="20"/>
          <w:szCs w:val="20"/>
          <w:lang w:val="fr-CA"/>
        </w:rPr>
      </w:pPr>
    </w:p>
    <w:p w:rsidR="00660D57" w:rsidRPr="00956FA1" w:rsidRDefault="00660D57" w:rsidP="00660D57">
      <w:pPr>
        <w:rPr>
          <w:rFonts w:cs="Times New Roman"/>
          <w:sz w:val="20"/>
          <w:szCs w:val="20"/>
          <w:lang w:val="fr-CA"/>
        </w:rPr>
      </w:pPr>
      <w:r w:rsidRPr="00956FA1">
        <w:rPr>
          <w:rFonts w:cs="Times New Roman"/>
          <w:sz w:val="20"/>
          <w:szCs w:val="20"/>
          <w:lang w:val="fr-CA"/>
        </w:rPr>
        <w:t>Les requêtes en autorisation d’intervenir sont accueillies et les trois (3) intervenants pourront chacun signifier et déposer un mémoire d’au plus dix (10) pages et un recueil de sources, le cas échéant, au plus tard le 24 août 2021.</w:t>
      </w:r>
    </w:p>
    <w:p w:rsidR="00660D57" w:rsidRPr="00956FA1" w:rsidRDefault="00660D57" w:rsidP="00660D57">
      <w:pPr>
        <w:rPr>
          <w:rFonts w:cs="Times New Roman"/>
          <w:sz w:val="20"/>
          <w:szCs w:val="20"/>
          <w:lang w:val="fr-CA"/>
        </w:rPr>
      </w:pPr>
    </w:p>
    <w:p w:rsidR="00660D57" w:rsidRPr="00956FA1" w:rsidRDefault="00660D57" w:rsidP="00660D57">
      <w:pPr>
        <w:spacing w:line="232" w:lineRule="auto"/>
        <w:rPr>
          <w:rFonts w:cs="Times New Roman"/>
          <w:sz w:val="20"/>
          <w:szCs w:val="20"/>
          <w:lang w:val="fr-CA"/>
        </w:rPr>
      </w:pPr>
      <w:r w:rsidRPr="00956FA1">
        <w:rPr>
          <w:rFonts w:cs="Times New Roman"/>
          <w:sz w:val="20"/>
          <w:szCs w:val="20"/>
          <w:lang w:val="fr-CA"/>
        </w:rPr>
        <w:t>Le procureur général de l’Ontario et le procureur général du Nouveau-Brunswick sont chacun autorisés à présenter une plaidoirie orale d’au plus dix (10) minutes lors de l’audition de l’appel.</w:t>
      </w:r>
    </w:p>
    <w:p w:rsidR="00660D57" w:rsidRPr="00956FA1" w:rsidRDefault="00660D57" w:rsidP="00660D57">
      <w:pPr>
        <w:spacing w:line="232" w:lineRule="auto"/>
        <w:rPr>
          <w:rFonts w:cs="Times New Roman"/>
          <w:sz w:val="20"/>
          <w:szCs w:val="20"/>
          <w:lang w:val="fr-CA"/>
        </w:rPr>
      </w:pPr>
    </w:p>
    <w:p w:rsidR="00660D57" w:rsidRPr="00956FA1" w:rsidRDefault="00660D57" w:rsidP="00660D57">
      <w:pPr>
        <w:spacing w:line="232" w:lineRule="auto"/>
        <w:rPr>
          <w:rFonts w:cs="Times New Roman"/>
          <w:sz w:val="20"/>
          <w:szCs w:val="20"/>
          <w:lang w:val="fr-CA"/>
        </w:rPr>
      </w:pPr>
      <w:r w:rsidRPr="00956FA1">
        <w:rPr>
          <w:rFonts w:cs="Times New Roman"/>
          <w:sz w:val="20"/>
          <w:szCs w:val="20"/>
          <w:lang w:val="fr-CA"/>
        </w:rPr>
        <w:t>L’Association canadienne des libertés civiles est autorisée à présenter une plaidoirie orale d’au plus cinq (5) minutes lors de l’audition de l’appel.</w:t>
      </w:r>
    </w:p>
    <w:p w:rsidR="00660D57" w:rsidRPr="00956FA1" w:rsidRDefault="00660D57" w:rsidP="00660D57">
      <w:pPr>
        <w:rPr>
          <w:rFonts w:cs="Times New Roman"/>
          <w:sz w:val="20"/>
          <w:szCs w:val="20"/>
          <w:lang w:val="fr-CA"/>
        </w:rPr>
      </w:pPr>
    </w:p>
    <w:p w:rsidR="00660D57" w:rsidRPr="00956FA1" w:rsidRDefault="00660D57" w:rsidP="00660D57">
      <w:pPr>
        <w:rPr>
          <w:rFonts w:cs="Times New Roman"/>
          <w:sz w:val="20"/>
          <w:szCs w:val="20"/>
          <w:lang w:val="fr-CA"/>
        </w:rPr>
      </w:pPr>
      <w:r w:rsidRPr="00956FA1">
        <w:rPr>
          <w:rFonts w:cs="Times New Roman"/>
          <w:b/>
          <w:sz w:val="20"/>
          <w:szCs w:val="20"/>
          <w:lang w:val="fr-CA"/>
        </w:rPr>
        <w:t>Les intervenants n’ont pas le droit de soulever de nouvelles questions, de produire d’autres éléments de preuve, ni de compléter de quelque autre façon le dossier des parties.</w:t>
      </w:r>
    </w:p>
    <w:p w:rsidR="00660D57" w:rsidRPr="00956FA1" w:rsidRDefault="00660D57" w:rsidP="00660D57">
      <w:pPr>
        <w:rPr>
          <w:rFonts w:cs="Times New Roman"/>
          <w:sz w:val="20"/>
          <w:szCs w:val="20"/>
          <w:lang w:val="fr-CA"/>
        </w:rPr>
      </w:pPr>
    </w:p>
    <w:p w:rsidR="00660D57" w:rsidRPr="00956FA1" w:rsidRDefault="00660D57" w:rsidP="00660D57">
      <w:pPr>
        <w:rPr>
          <w:rFonts w:cs="Times New Roman"/>
          <w:sz w:val="20"/>
          <w:szCs w:val="20"/>
          <w:lang w:val="fr-CA"/>
        </w:rPr>
      </w:pPr>
      <w:r w:rsidRPr="00956FA1">
        <w:rPr>
          <w:rFonts w:cs="Times New Roman"/>
          <w:sz w:val="20"/>
          <w:szCs w:val="20"/>
          <w:lang w:val="fr-CA"/>
        </w:rPr>
        <w:t>Conformément à l’alinéa 59(1)</w:t>
      </w:r>
      <w:r w:rsidRPr="00956FA1">
        <w:rPr>
          <w:rFonts w:cs="Times New Roman"/>
          <w:i/>
          <w:sz w:val="20"/>
          <w:szCs w:val="20"/>
          <w:lang w:val="fr-CA"/>
        </w:rPr>
        <w:t>a</w:t>
      </w:r>
      <w:r w:rsidRPr="00956FA1">
        <w:rPr>
          <w:rFonts w:cs="Times New Roman"/>
          <w:sz w:val="20"/>
          <w:szCs w:val="20"/>
          <w:lang w:val="fr-CA"/>
        </w:rPr>
        <w:t xml:space="preserve">) des </w:t>
      </w:r>
      <w:r w:rsidRPr="00956FA1">
        <w:rPr>
          <w:rFonts w:cs="Times New Roman"/>
          <w:i/>
          <w:sz w:val="20"/>
          <w:szCs w:val="20"/>
          <w:lang w:val="fr-CA"/>
        </w:rPr>
        <w:t>Règles de la Cour suprême du Canada</w:t>
      </w:r>
      <w:r w:rsidRPr="00956FA1">
        <w:rPr>
          <w:rFonts w:cs="Times New Roman"/>
          <w:sz w:val="20"/>
          <w:szCs w:val="20"/>
          <w:lang w:val="fr-CA"/>
        </w:rPr>
        <w:t>, les intervenants paieront à l’appelante et à l’intimé tous dépens supplémentaires résultant de leur intervention.</w:t>
      </w:r>
    </w:p>
    <w:p w:rsidR="00102792" w:rsidRPr="00956FA1" w:rsidRDefault="00102792" w:rsidP="00102792">
      <w:pPr>
        <w:spacing w:line="232" w:lineRule="auto"/>
        <w:rPr>
          <w:rFonts w:cs="Times New Roman"/>
          <w:sz w:val="20"/>
          <w:lang w:val="fr-CA"/>
        </w:rPr>
      </w:pPr>
    </w:p>
    <w:p w:rsidR="00890FEB" w:rsidRPr="00956FA1" w:rsidRDefault="00956FA1" w:rsidP="00660D57">
      <w:pPr>
        <w:widowControl w:val="0"/>
        <w:rPr>
          <w:rFonts w:eastAsia="Times New Roman" w:cs="Times New Roman"/>
          <w:sz w:val="20"/>
          <w:szCs w:val="20"/>
          <w:lang w:val="fr-CA" w:eastAsia="en-CA"/>
        </w:rPr>
      </w:pPr>
      <w:r w:rsidRPr="00956FA1">
        <w:rPr>
          <w:rFonts w:eastAsia="Times New Roman" w:cs="Times New Roman"/>
          <w:sz w:val="20"/>
          <w:szCs w:val="20"/>
          <w:lang w:val="fr-CA" w:eastAsia="en-CA"/>
        </w:rPr>
        <w:pict>
          <v:rect id="_x0000_i1056" style="width:2in;height:1pt" o:hrpct="0" o:hralign="center" o:hrstd="t" o:hrnoshade="t" o:hr="t" fillcolor="black [3213]" stroked="f"/>
        </w:pict>
      </w:r>
    </w:p>
    <w:p w:rsidR="00831CA9" w:rsidRPr="00956FA1" w:rsidRDefault="00831CA9" w:rsidP="00831CA9">
      <w:pPr>
        <w:jc w:val="both"/>
        <w:rPr>
          <w:sz w:val="20"/>
          <w:szCs w:val="20"/>
          <w:lang w:val="fr-CA"/>
        </w:rPr>
        <w:sectPr w:rsidR="00831CA9" w:rsidRPr="00956FA1" w:rsidSect="00831CA9">
          <w:headerReference w:type="even" r:id="rId63"/>
          <w:headerReference w:type="default" r:id="rId64"/>
          <w:footerReference w:type="even" r:id="rId65"/>
          <w:footerReference w:type="default" r:id="rId66"/>
          <w:headerReference w:type="first" r:id="rId67"/>
          <w:footerReference w:type="first" r:id="rId68"/>
          <w:pgSz w:w="12240" w:h="15840"/>
          <w:pgMar w:top="720" w:right="965" w:bottom="1080" w:left="1656" w:header="720" w:footer="965" w:gutter="0"/>
          <w:cols w:space="720"/>
          <w:titlePg/>
          <w:docGrid w:linePitch="326"/>
        </w:sectPr>
      </w:pPr>
    </w:p>
    <w:p w:rsidR="00567602" w:rsidRPr="00956FA1" w:rsidRDefault="001434B9" w:rsidP="00567602">
      <w:pPr>
        <w:pStyle w:val="Header1StyleE"/>
        <w:pBdr>
          <w:bottom w:val="single" w:sz="12" w:space="1" w:color="auto"/>
        </w:pBdr>
        <w:rPr>
          <w:sz w:val="20"/>
          <w:lang w:val="en-US"/>
        </w:rPr>
      </w:pPr>
      <w:bookmarkStart w:id="11" w:name="_Toc77172334"/>
      <w:r w:rsidRPr="00956FA1">
        <w:t>Notices of appeal filed since the last issue</w:t>
      </w:r>
      <w:r w:rsidR="00271E1E" w:rsidRPr="00956FA1">
        <w:t xml:space="preserve"> / </w:t>
      </w:r>
      <w:r w:rsidR="00567602" w:rsidRPr="00956FA1">
        <w:br/>
      </w:r>
      <w:r w:rsidRPr="00956FA1">
        <w:rPr>
          <w:lang w:val="fr-CA"/>
        </w:rPr>
        <w:t>Avis d’appel déposés depuis la dernière parution</w:t>
      </w:r>
      <w:bookmarkEnd w:id="11"/>
    </w:p>
    <w:p w:rsidR="00FB1DB6" w:rsidRPr="00956FA1"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956FA1" w:rsidTr="005F1ED8">
        <w:trPr>
          <w:cantSplit/>
        </w:trPr>
        <w:tc>
          <w:tcPr>
            <w:tcW w:w="2206" w:type="pct"/>
            <w:tcMar>
              <w:left w:w="0" w:type="dxa"/>
              <w:right w:w="0" w:type="dxa"/>
            </w:tcMar>
          </w:tcPr>
          <w:p w:rsidR="0086340B" w:rsidRPr="00956FA1" w:rsidRDefault="00D079BD" w:rsidP="005F1ED8">
            <w:pPr>
              <w:rPr>
                <w:sz w:val="20"/>
                <w:szCs w:val="20"/>
              </w:rPr>
            </w:pPr>
            <w:r w:rsidRPr="00956FA1">
              <w:rPr>
                <w:sz w:val="20"/>
                <w:szCs w:val="20"/>
              </w:rPr>
              <w:t>May</w:t>
            </w:r>
            <w:r w:rsidR="008859F1" w:rsidRPr="00956FA1">
              <w:rPr>
                <w:sz w:val="20"/>
                <w:szCs w:val="20"/>
              </w:rPr>
              <w:t xml:space="preserve"> </w:t>
            </w:r>
            <w:r w:rsidRPr="00956FA1">
              <w:rPr>
                <w:sz w:val="20"/>
                <w:szCs w:val="20"/>
              </w:rPr>
              <w:t>25</w:t>
            </w:r>
            <w:r w:rsidR="008859F1" w:rsidRPr="00956FA1">
              <w:rPr>
                <w:sz w:val="20"/>
                <w:szCs w:val="20"/>
              </w:rPr>
              <w:t>, 20</w:t>
            </w:r>
            <w:r w:rsidR="005967EF" w:rsidRPr="00956FA1">
              <w:rPr>
                <w:sz w:val="20"/>
                <w:szCs w:val="20"/>
              </w:rPr>
              <w:t>2</w:t>
            </w:r>
            <w:r w:rsidR="009B36BA" w:rsidRPr="00956FA1">
              <w:rPr>
                <w:sz w:val="20"/>
                <w:szCs w:val="20"/>
              </w:rPr>
              <w:t>1</w:t>
            </w:r>
          </w:p>
          <w:p w:rsidR="0034657E" w:rsidRPr="00956FA1" w:rsidRDefault="0034657E" w:rsidP="005F1ED8">
            <w:pPr>
              <w:rPr>
                <w:sz w:val="20"/>
                <w:szCs w:val="20"/>
              </w:rPr>
            </w:pPr>
          </w:p>
          <w:p w:rsidR="0086340B" w:rsidRPr="00956FA1" w:rsidRDefault="00D079BD" w:rsidP="005F1ED8">
            <w:pPr>
              <w:rPr>
                <w:b/>
                <w:sz w:val="20"/>
                <w:szCs w:val="20"/>
              </w:rPr>
            </w:pPr>
            <w:r w:rsidRPr="00956FA1">
              <w:rPr>
                <w:b/>
                <w:sz w:val="20"/>
                <w:szCs w:val="20"/>
              </w:rPr>
              <w:t>Society of Composers, Authors and Music Publishers of Canada</w:t>
            </w:r>
          </w:p>
          <w:p w:rsidR="0086340B" w:rsidRPr="00956FA1" w:rsidRDefault="0086340B" w:rsidP="005F1ED8">
            <w:pPr>
              <w:rPr>
                <w:sz w:val="20"/>
                <w:szCs w:val="20"/>
              </w:rPr>
            </w:pPr>
          </w:p>
          <w:p w:rsidR="0086340B" w:rsidRPr="00956FA1" w:rsidRDefault="0086340B" w:rsidP="005F1ED8">
            <w:pPr>
              <w:rPr>
                <w:b/>
                <w:sz w:val="20"/>
                <w:szCs w:val="20"/>
              </w:rPr>
            </w:pPr>
            <w:r w:rsidRPr="00956FA1">
              <w:rPr>
                <w:b/>
                <w:sz w:val="20"/>
                <w:szCs w:val="20"/>
              </w:rPr>
              <w:tab/>
              <w:t>v. (3</w:t>
            </w:r>
            <w:r w:rsidR="00D079BD" w:rsidRPr="00956FA1">
              <w:rPr>
                <w:b/>
                <w:sz w:val="20"/>
                <w:szCs w:val="20"/>
              </w:rPr>
              <w:t>9418</w:t>
            </w:r>
            <w:r w:rsidRPr="00956FA1">
              <w:rPr>
                <w:b/>
                <w:sz w:val="20"/>
                <w:szCs w:val="20"/>
              </w:rPr>
              <w:t>)</w:t>
            </w:r>
          </w:p>
          <w:p w:rsidR="0086340B" w:rsidRPr="00956FA1" w:rsidRDefault="0086340B" w:rsidP="005F1ED8">
            <w:pPr>
              <w:rPr>
                <w:sz w:val="20"/>
                <w:szCs w:val="20"/>
              </w:rPr>
            </w:pPr>
          </w:p>
          <w:p w:rsidR="0086340B" w:rsidRPr="00956FA1" w:rsidRDefault="00D079BD" w:rsidP="005F1ED8">
            <w:pPr>
              <w:rPr>
                <w:b/>
                <w:sz w:val="20"/>
                <w:szCs w:val="20"/>
              </w:rPr>
            </w:pPr>
            <w:r w:rsidRPr="00956FA1">
              <w:rPr>
                <w:b/>
                <w:sz w:val="20"/>
                <w:szCs w:val="20"/>
              </w:rPr>
              <w:t xml:space="preserve">Entertainment Software Association, et al. </w:t>
            </w:r>
            <w:r w:rsidR="0086340B" w:rsidRPr="00956FA1">
              <w:rPr>
                <w:b/>
                <w:sz w:val="20"/>
                <w:szCs w:val="20"/>
              </w:rPr>
              <w:t>(</w:t>
            </w:r>
            <w:r w:rsidRPr="00956FA1">
              <w:rPr>
                <w:b/>
                <w:sz w:val="20"/>
                <w:szCs w:val="20"/>
              </w:rPr>
              <w:t>F</w:t>
            </w:r>
            <w:r w:rsidR="0086340B" w:rsidRPr="00956FA1">
              <w:rPr>
                <w:b/>
                <w:sz w:val="20"/>
                <w:szCs w:val="20"/>
              </w:rPr>
              <w:t>.</w:t>
            </w:r>
            <w:r w:rsidRPr="00956FA1">
              <w:rPr>
                <w:b/>
                <w:sz w:val="20"/>
                <w:szCs w:val="20"/>
              </w:rPr>
              <w:t>C</w:t>
            </w:r>
            <w:r w:rsidR="0086340B" w:rsidRPr="00956FA1">
              <w:rPr>
                <w:b/>
                <w:sz w:val="20"/>
                <w:szCs w:val="20"/>
              </w:rPr>
              <w:t>.)</w:t>
            </w:r>
          </w:p>
          <w:p w:rsidR="0086340B" w:rsidRPr="00956FA1" w:rsidRDefault="0086340B" w:rsidP="005F1ED8">
            <w:pPr>
              <w:rPr>
                <w:sz w:val="20"/>
                <w:szCs w:val="20"/>
              </w:rPr>
            </w:pPr>
          </w:p>
          <w:p w:rsidR="0086340B" w:rsidRPr="00956FA1" w:rsidRDefault="0086340B" w:rsidP="005F1ED8">
            <w:pPr>
              <w:rPr>
                <w:sz w:val="20"/>
                <w:szCs w:val="20"/>
              </w:rPr>
            </w:pPr>
            <w:r w:rsidRPr="00956FA1">
              <w:rPr>
                <w:sz w:val="20"/>
                <w:szCs w:val="20"/>
              </w:rPr>
              <w:t>(By Leave)</w:t>
            </w:r>
          </w:p>
          <w:p w:rsidR="0086340B" w:rsidRPr="00956FA1" w:rsidRDefault="0086340B" w:rsidP="005F1ED8">
            <w:pPr>
              <w:rPr>
                <w:sz w:val="20"/>
                <w:szCs w:val="20"/>
              </w:rPr>
            </w:pPr>
          </w:p>
          <w:p w:rsidR="0086340B" w:rsidRPr="00956FA1" w:rsidRDefault="00956FA1" w:rsidP="005F1ED8">
            <w:pPr>
              <w:rPr>
                <w:sz w:val="20"/>
                <w:szCs w:val="20"/>
                <w:lang w:val="fr-CA"/>
              </w:rPr>
            </w:pPr>
            <w:r w:rsidRPr="00956FA1">
              <w:rPr>
                <w:sz w:val="20"/>
                <w:szCs w:val="20"/>
                <w:lang w:val="fr-CA"/>
              </w:rPr>
              <w:pict>
                <v:rect id="_x0000_i1059" style="width:106.1pt;height:1pt" o:hrpct="500" o:hrstd="t" o:hrnoshade="t" o:hr="t" fillcolor="black [3213]" stroked="f"/>
              </w:pict>
            </w:r>
          </w:p>
        </w:tc>
        <w:tc>
          <w:tcPr>
            <w:tcW w:w="588" w:type="pct"/>
          </w:tcPr>
          <w:p w:rsidR="0086340B" w:rsidRPr="00956FA1" w:rsidRDefault="0086340B" w:rsidP="005F1ED8">
            <w:pPr>
              <w:jc w:val="center"/>
              <w:rPr>
                <w:sz w:val="20"/>
                <w:szCs w:val="20"/>
              </w:rPr>
            </w:pPr>
          </w:p>
          <w:p w:rsidR="0086340B" w:rsidRPr="00956FA1" w:rsidRDefault="0086340B" w:rsidP="005F1ED8">
            <w:pPr>
              <w:jc w:val="center"/>
              <w:rPr>
                <w:sz w:val="20"/>
                <w:szCs w:val="20"/>
              </w:rPr>
            </w:pPr>
          </w:p>
          <w:p w:rsidR="0086340B" w:rsidRPr="00956FA1" w:rsidRDefault="0086340B" w:rsidP="005F1ED8">
            <w:pPr>
              <w:jc w:val="center"/>
              <w:rPr>
                <w:sz w:val="20"/>
                <w:szCs w:val="20"/>
              </w:rPr>
            </w:pPr>
          </w:p>
          <w:p w:rsidR="0086340B" w:rsidRPr="00956FA1" w:rsidRDefault="0086340B" w:rsidP="005F1ED8">
            <w:pPr>
              <w:jc w:val="center"/>
              <w:rPr>
                <w:sz w:val="20"/>
                <w:szCs w:val="20"/>
              </w:rPr>
            </w:pPr>
          </w:p>
          <w:p w:rsidR="0086340B" w:rsidRPr="00956FA1" w:rsidRDefault="0086340B" w:rsidP="005F1ED8">
            <w:pPr>
              <w:jc w:val="center"/>
              <w:rPr>
                <w:sz w:val="20"/>
                <w:szCs w:val="20"/>
              </w:rPr>
            </w:pPr>
          </w:p>
          <w:p w:rsidR="0086340B" w:rsidRPr="00956FA1" w:rsidRDefault="0086340B" w:rsidP="005F1ED8">
            <w:pPr>
              <w:jc w:val="center"/>
              <w:rPr>
                <w:sz w:val="20"/>
                <w:szCs w:val="20"/>
              </w:rPr>
            </w:pPr>
          </w:p>
          <w:p w:rsidR="0086340B" w:rsidRPr="00956FA1" w:rsidRDefault="0086340B" w:rsidP="005F1ED8">
            <w:pPr>
              <w:jc w:val="center"/>
              <w:rPr>
                <w:sz w:val="20"/>
                <w:szCs w:val="20"/>
              </w:rPr>
            </w:pPr>
          </w:p>
          <w:p w:rsidR="0086340B" w:rsidRPr="00956FA1" w:rsidRDefault="0086340B" w:rsidP="005F1ED8">
            <w:pPr>
              <w:jc w:val="center"/>
              <w:rPr>
                <w:sz w:val="20"/>
                <w:szCs w:val="20"/>
              </w:rPr>
            </w:pPr>
          </w:p>
          <w:p w:rsidR="0086340B" w:rsidRPr="00956FA1" w:rsidRDefault="0086340B" w:rsidP="005F1ED8">
            <w:pPr>
              <w:jc w:val="center"/>
              <w:rPr>
                <w:sz w:val="20"/>
                <w:szCs w:val="20"/>
              </w:rPr>
            </w:pPr>
          </w:p>
          <w:p w:rsidR="0086340B" w:rsidRPr="00956FA1" w:rsidRDefault="0086340B" w:rsidP="005F1ED8">
            <w:pPr>
              <w:jc w:val="center"/>
              <w:rPr>
                <w:sz w:val="20"/>
                <w:szCs w:val="20"/>
              </w:rPr>
            </w:pPr>
          </w:p>
          <w:p w:rsidR="0086340B" w:rsidRPr="00956FA1" w:rsidRDefault="0086340B" w:rsidP="005F1ED8">
            <w:pPr>
              <w:jc w:val="center"/>
              <w:rPr>
                <w:sz w:val="20"/>
                <w:szCs w:val="20"/>
              </w:rPr>
            </w:pPr>
          </w:p>
          <w:p w:rsidR="00E06F20" w:rsidRPr="00956FA1" w:rsidRDefault="00E06F20" w:rsidP="005F1ED8">
            <w:pPr>
              <w:jc w:val="center"/>
              <w:rPr>
                <w:sz w:val="20"/>
                <w:szCs w:val="20"/>
              </w:rPr>
            </w:pPr>
          </w:p>
          <w:p w:rsidR="0086340B" w:rsidRPr="00956FA1" w:rsidRDefault="0086340B" w:rsidP="005F1ED8">
            <w:pPr>
              <w:jc w:val="center"/>
              <w:rPr>
                <w:sz w:val="20"/>
                <w:szCs w:val="20"/>
              </w:rPr>
            </w:pPr>
          </w:p>
        </w:tc>
        <w:tc>
          <w:tcPr>
            <w:tcW w:w="2206" w:type="pct"/>
          </w:tcPr>
          <w:p w:rsidR="00D079BD" w:rsidRPr="00956FA1" w:rsidRDefault="00D079BD" w:rsidP="00D079BD">
            <w:pPr>
              <w:rPr>
                <w:sz w:val="20"/>
                <w:szCs w:val="20"/>
              </w:rPr>
            </w:pPr>
            <w:r w:rsidRPr="00956FA1">
              <w:rPr>
                <w:sz w:val="20"/>
                <w:szCs w:val="20"/>
              </w:rPr>
              <w:t>May 25, 2021</w:t>
            </w:r>
          </w:p>
          <w:p w:rsidR="00D079BD" w:rsidRPr="00956FA1" w:rsidRDefault="00D079BD" w:rsidP="00D079BD">
            <w:pPr>
              <w:rPr>
                <w:sz w:val="20"/>
                <w:szCs w:val="20"/>
              </w:rPr>
            </w:pPr>
          </w:p>
          <w:p w:rsidR="00D079BD" w:rsidRPr="00956FA1" w:rsidRDefault="00D079BD" w:rsidP="00D079BD">
            <w:pPr>
              <w:rPr>
                <w:b/>
                <w:sz w:val="20"/>
                <w:szCs w:val="20"/>
              </w:rPr>
            </w:pPr>
            <w:r w:rsidRPr="00956FA1">
              <w:rPr>
                <w:b/>
                <w:sz w:val="20"/>
                <w:szCs w:val="20"/>
              </w:rPr>
              <w:t>Music Canada</w:t>
            </w:r>
          </w:p>
          <w:p w:rsidR="00D079BD" w:rsidRPr="00956FA1" w:rsidRDefault="00D079BD" w:rsidP="00D079BD">
            <w:pPr>
              <w:rPr>
                <w:sz w:val="20"/>
                <w:szCs w:val="20"/>
              </w:rPr>
            </w:pPr>
          </w:p>
          <w:p w:rsidR="00D079BD" w:rsidRPr="00956FA1" w:rsidRDefault="00D079BD" w:rsidP="00D079BD">
            <w:pPr>
              <w:rPr>
                <w:b/>
                <w:sz w:val="20"/>
                <w:szCs w:val="20"/>
              </w:rPr>
            </w:pPr>
            <w:r w:rsidRPr="00956FA1">
              <w:rPr>
                <w:b/>
                <w:sz w:val="20"/>
                <w:szCs w:val="20"/>
              </w:rPr>
              <w:tab/>
              <w:t>v. (39418)</w:t>
            </w:r>
          </w:p>
          <w:p w:rsidR="00D079BD" w:rsidRPr="00956FA1" w:rsidRDefault="00D079BD" w:rsidP="00D079BD">
            <w:pPr>
              <w:rPr>
                <w:sz w:val="20"/>
                <w:szCs w:val="20"/>
              </w:rPr>
            </w:pPr>
          </w:p>
          <w:p w:rsidR="00D079BD" w:rsidRPr="00956FA1" w:rsidRDefault="00D079BD" w:rsidP="00D079BD">
            <w:pPr>
              <w:rPr>
                <w:b/>
                <w:sz w:val="20"/>
                <w:szCs w:val="20"/>
              </w:rPr>
            </w:pPr>
            <w:r w:rsidRPr="00956FA1">
              <w:rPr>
                <w:b/>
                <w:sz w:val="20"/>
                <w:szCs w:val="20"/>
              </w:rPr>
              <w:t>Entertainment Software Association, et al. (F.C.)</w:t>
            </w:r>
          </w:p>
          <w:p w:rsidR="00D079BD" w:rsidRPr="00956FA1" w:rsidRDefault="00D079BD" w:rsidP="00D079BD">
            <w:pPr>
              <w:rPr>
                <w:sz w:val="20"/>
                <w:szCs w:val="20"/>
              </w:rPr>
            </w:pPr>
          </w:p>
          <w:p w:rsidR="00D079BD" w:rsidRPr="00956FA1" w:rsidRDefault="00D079BD" w:rsidP="00D079BD">
            <w:pPr>
              <w:rPr>
                <w:sz w:val="20"/>
                <w:szCs w:val="20"/>
              </w:rPr>
            </w:pPr>
            <w:r w:rsidRPr="00956FA1">
              <w:rPr>
                <w:sz w:val="20"/>
                <w:szCs w:val="20"/>
              </w:rPr>
              <w:t>(By Leave)</w:t>
            </w:r>
          </w:p>
          <w:p w:rsidR="0086340B" w:rsidRPr="00956FA1" w:rsidRDefault="0086340B" w:rsidP="005F1ED8">
            <w:pPr>
              <w:rPr>
                <w:sz w:val="20"/>
                <w:szCs w:val="20"/>
              </w:rPr>
            </w:pPr>
          </w:p>
          <w:p w:rsidR="0086340B" w:rsidRPr="00956FA1" w:rsidRDefault="00956FA1" w:rsidP="005F1ED8">
            <w:pPr>
              <w:rPr>
                <w:sz w:val="20"/>
                <w:szCs w:val="20"/>
              </w:rPr>
            </w:pPr>
            <w:r w:rsidRPr="00956FA1">
              <w:rPr>
                <w:sz w:val="20"/>
                <w:szCs w:val="20"/>
                <w:lang w:val="fr-CA"/>
              </w:rPr>
              <w:pict>
                <v:rect id="_x0000_i1060" style="width:106.1pt;height:1pt" o:hrpct="500" o:hrstd="t" o:hrnoshade="t" o:hr="t" fillcolor="black [3213]" stroked="f"/>
              </w:pict>
            </w:r>
          </w:p>
        </w:tc>
      </w:tr>
      <w:tr w:rsidR="00F30446" w:rsidRPr="00956FA1" w:rsidTr="005F1ED8">
        <w:trPr>
          <w:cantSplit/>
        </w:trPr>
        <w:tc>
          <w:tcPr>
            <w:tcW w:w="2206" w:type="pct"/>
            <w:tcMar>
              <w:left w:w="0" w:type="dxa"/>
              <w:right w:w="0" w:type="dxa"/>
            </w:tcMar>
          </w:tcPr>
          <w:p w:rsidR="00F30446" w:rsidRPr="00956FA1" w:rsidRDefault="00F30446" w:rsidP="00F30446">
            <w:pPr>
              <w:rPr>
                <w:sz w:val="20"/>
                <w:szCs w:val="20"/>
                <w:lang w:val="fr-CA"/>
              </w:rPr>
            </w:pPr>
            <w:r w:rsidRPr="00956FA1">
              <w:rPr>
                <w:sz w:val="20"/>
                <w:szCs w:val="20"/>
                <w:lang w:val="fr-CA"/>
              </w:rPr>
              <w:t>Ju</w:t>
            </w:r>
            <w:r w:rsidR="00D079BD" w:rsidRPr="00956FA1">
              <w:rPr>
                <w:sz w:val="20"/>
                <w:szCs w:val="20"/>
                <w:lang w:val="fr-CA"/>
              </w:rPr>
              <w:t>ne</w:t>
            </w:r>
            <w:r w:rsidRPr="00956FA1">
              <w:rPr>
                <w:sz w:val="20"/>
                <w:szCs w:val="20"/>
                <w:lang w:val="fr-CA"/>
              </w:rPr>
              <w:t xml:space="preserve"> 14, 2021</w:t>
            </w:r>
          </w:p>
          <w:p w:rsidR="00F30446" w:rsidRPr="00956FA1" w:rsidRDefault="00F30446" w:rsidP="00D079BD">
            <w:pPr>
              <w:rPr>
                <w:sz w:val="20"/>
                <w:szCs w:val="20"/>
                <w:lang w:val="fr-CA"/>
              </w:rPr>
            </w:pPr>
          </w:p>
          <w:p w:rsidR="00F30446" w:rsidRPr="00956FA1" w:rsidRDefault="00D079BD" w:rsidP="00D079BD">
            <w:pPr>
              <w:rPr>
                <w:b/>
                <w:sz w:val="20"/>
                <w:szCs w:val="20"/>
                <w:lang w:val="fr-CA"/>
              </w:rPr>
            </w:pPr>
            <w:r w:rsidRPr="00956FA1">
              <w:rPr>
                <w:b/>
                <w:sz w:val="20"/>
                <w:szCs w:val="20"/>
                <w:lang w:val="fr-CA"/>
              </w:rPr>
              <w:t>Ashley Suzanne Barendregt</w:t>
            </w:r>
          </w:p>
          <w:p w:rsidR="00F30446" w:rsidRPr="00956FA1" w:rsidRDefault="00F30446" w:rsidP="00D079BD">
            <w:pPr>
              <w:rPr>
                <w:sz w:val="20"/>
                <w:szCs w:val="20"/>
                <w:lang w:val="fr-CA"/>
              </w:rPr>
            </w:pPr>
          </w:p>
          <w:p w:rsidR="00F30446" w:rsidRPr="00956FA1" w:rsidRDefault="00F30446" w:rsidP="00D079BD">
            <w:pPr>
              <w:rPr>
                <w:b/>
                <w:sz w:val="20"/>
                <w:szCs w:val="20"/>
                <w:lang w:val="fr-CA"/>
              </w:rPr>
            </w:pPr>
            <w:r w:rsidRPr="00956FA1">
              <w:rPr>
                <w:b/>
                <w:sz w:val="20"/>
                <w:szCs w:val="20"/>
                <w:lang w:val="fr-CA"/>
              </w:rPr>
              <w:t>v. (39</w:t>
            </w:r>
            <w:r w:rsidR="00D079BD" w:rsidRPr="00956FA1">
              <w:rPr>
                <w:b/>
                <w:sz w:val="20"/>
                <w:szCs w:val="20"/>
                <w:lang w:val="fr-CA"/>
              </w:rPr>
              <w:t>533</w:t>
            </w:r>
            <w:r w:rsidRPr="00956FA1">
              <w:rPr>
                <w:b/>
                <w:sz w:val="20"/>
                <w:szCs w:val="20"/>
                <w:lang w:val="fr-CA"/>
              </w:rPr>
              <w:t>)</w:t>
            </w:r>
          </w:p>
          <w:p w:rsidR="00F30446" w:rsidRPr="00956FA1" w:rsidRDefault="00F30446" w:rsidP="00D079BD">
            <w:pPr>
              <w:rPr>
                <w:sz w:val="20"/>
                <w:szCs w:val="20"/>
                <w:lang w:val="fr-CA"/>
              </w:rPr>
            </w:pPr>
          </w:p>
          <w:p w:rsidR="00F30446" w:rsidRPr="00956FA1" w:rsidRDefault="00D079BD" w:rsidP="00D079BD">
            <w:pPr>
              <w:rPr>
                <w:b/>
                <w:sz w:val="20"/>
                <w:szCs w:val="20"/>
              </w:rPr>
            </w:pPr>
            <w:r w:rsidRPr="00956FA1">
              <w:rPr>
                <w:b/>
                <w:sz w:val="20"/>
                <w:szCs w:val="20"/>
              </w:rPr>
              <w:t>Geoff Bradley Grebliunas</w:t>
            </w:r>
            <w:r w:rsidR="00F30446" w:rsidRPr="00956FA1">
              <w:rPr>
                <w:b/>
                <w:sz w:val="20"/>
                <w:szCs w:val="20"/>
              </w:rPr>
              <w:t xml:space="preserve"> (</w:t>
            </w:r>
            <w:r w:rsidRPr="00956FA1">
              <w:rPr>
                <w:b/>
                <w:sz w:val="20"/>
                <w:szCs w:val="20"/>
              </w:rPr>
              <w:t>B</w:t>
            </w:r>
            <w:r w:rsidR="00F30446" w:rsidRPr="00956FA1">
              <w:rPr>
                <w:b/>
                <w:sz w:val="20"/>
                <w:szCs w:val="20"/>
              </w:rPr>
              <w:t>.</w:t>
            </w:r>
            <w:r w:rsidRPr="00956FA1">
              <w:rPr>
                <w:b/>
                <w:sz w:val="20"/>
                <w:szCs w:val="20"/>
              </w:rPr>
              <w:t>C</w:t>
            </w:r>
            <w:r w:rsidR="00F30446" w:rsidRPr="00956FA1">
              <w:rPr>
                <w:b/>
                <w:sz w:val="20"/>
                <w:szCs w:val="20"/>
              </w:rPr>
              <w:t>.)</w:t>
            </w:r>
          </w:p>
          <w:p w:rsidR="00F30446" w:rsidRPr="00956FA1" w:rsidRDefault="00F30446" w:rsidP="00D079BD">
            <w:pPr>
              <w:rPr>
                <w:sz w:val="20"/>
                <w:szCs w:val="20"/>
              </w:rPr>
            </w:pPr>
          </w:p>
          <w:p w:rsidR="00F30446" w:rsidRPr="00956FA1" w:rsidRDefault="00F30446" w:rsidP="00D079BD">
            <w:pPr>
              <w:rPr>
                <w:sz w:val="20"/>
                <w:szCs w:val="20"/>
              </w:rPr>
            </w:pPr>
            <w:r w:rsidRPr="00956FA1">
              <w:rPr>
                <w:sz w:val="20"/>
                <w:szCs w:val="20"/>
              </w:rPr>
              <w:t>(By Leave)</w:t>
            </w:r>
          </w:p>
          <w:p w:rsidR="00F30446" w:rsidRPr="00956FA1" w:rsidRDefault="00F30446" w:rsidP="00F30446">
            <w:pPr>
              <w:rPr>
                <w:sz w:val="20"/>
                <w:szCs w:val="20"/>
              </w:rPr>
            </w:pPr>
          </w:p>
          <w:p w:rsidR="00F30446" w:rsidRPr="00956FA1" w:rsidRDefault="00956FA1" w:rsidP="00F30446">
            <w:pPr>
              <w:rPr>
                <w:sz w:val="20"/>
                <w:szCs w:val="20"/>
              </w:rPr>
            </w:pPr>
            <w:r w:rsidRPr="00956FA1">
              <w:rPr>
                <w:sz w:val="20"/>
                <w:szCs w:val="20"/>
                <w:lang w:val="fr-CA"/>
              </w:rPr>
              <w:pict>
                <v:rect id="_x0000_i1061" style="width:106.1pt;height:1pt" o:hrpct="500" o:hrstd="t" o:hrnoshade="t" o:hr="t" fillcolor="black [3213]" stroked="f"/>
              </w:pict>
            </w:r>
          </w:p>
        </w:tc>
        <w:tc>
          <w:tcPr>
            <w:tcW w:w="588" w:type="pct"/>
          </w:tcPr>
          <w:p w:rsidR="00F30446" w:rsidRPr="00956FA1" w:rsidRDefault="00F30446" w:rsidP="005F1ED8">
            <w:pPr>
              <w:jc w:val="center"/>
              <w:rPr>
                <w:sz w:val="20"/>
                <w:szCs w:val="20"/>
              </w:rPr>
            </w:pPr>
          </w:p>
          <w:p w:rsidR="00F30446" w:rsidRPr="00956FA1" w:rsidRDefault="00F30446" w:rsidP="005F1ED8">
            <w:pPr>
              <w:jc w:val="center"/>
              <w:rPr>
                <w:sz w:val="20"/>
                <w:szCs w:val="20"/>
              </w:rPr>
            </w:pPr>
          </w:p>
          <w:p w:rsidR="00F30446" w:rsidRPr="00956FA1" w:rsidRDefault="00F30446" w:rsidP="005F1ED8">
            <w:pPr>
              <w:jc w:val="center"/>
              <w:rPr>
                <w:sz w:val="20"/>
                <w:szCs w:val="20"/>
              </w:rPr>
            </w:pPr>
          </w:p>
          <w:p w:rsidR="00F30446" w:rsidRPr="00956FA1" w:rsidRDefault="00F30446" w:rsidP="005F1ED8">
            <w:pPr>
              <w:jc w:val="center"/>
              <w:rPr>
                <w:sz w:val="20"/>
                <w:szCs w:val="20"/>
              </w:rPr>
            </w:pPr>
          </w:p>
          <w:p w:rsidR="00F30446" w:rsidRPr="00956FA1" w:rsidRDefault="00F30446" w:rsidP="005F1ED8">
            <w:pPr>
              <w:jc w:val="center"/>
              <w:rPr>
                <w:sz w:val="20"/>
                <w:szCs w:val="20"/>
              </w:rPr>
            </w:pPr>
          </w:p>
          <w:p w:rsidR="00F30446" w:rsidRPr="00956FA1" w:rsidRDefault="00F30446" w:rsidP="005F1ED8">
            <w:pPr>
              <w:jc w:val="center"/>
              <w:rPr>
                <w:sz w:val="20"/>
                <w:szCs w:val="20"/>
              </w:rPr>
            </w:pPr>
          </w:p>
          <w:p w:rsidR="00F30446" w:rsidRPr="00956FA1" w:rsidRDefault="00F30446" w:rsidP="005F1ED8">
            <w:pPr>
              <w:jc w:val="center"/>
              <w:rPr>
                <w:sz w:val="20"/>
                <w:szCs w:val="20"/>
              </w:rPr>
            </w:pPr>
          </w:p>
          <w:p w:rsidR="00F30446" w:rsidRPr="00956FA1" w:rsidRDefault="00F30446" w:rsidP="005F1ED8">
            <w:pPr>
              <w:jc w:val="center"/>
              <w:rPr>
                <w:sz w:val="20"/>
                <w:szCs w:val="20"/>
              </w:rPr>
            </w:pPr>
          </w:p>
          <w:p w:rsidR="00F30446" w:rsidRPr="00956FA1" w:rsidRDefault="00F30446" w:rsidP="005F1ED8">
            <w:pPr>
              <w:jc w:val="center"/>
              <w:rPr>
                <w:sz w:val="20"/>
                <w:szCs w:val="20"/>
              </w:rPr>
            </w:pPr>
          </w:p>
          <w:p w:rsidR="00F30446" w:rsidRPr="00956FA1" w:rsidRDefault="00F30446" w:rsidP="005F1ED8">
            <w:pPr>
              <w:jc w:val="center"/>
              <w:rPr>
                <w:sz w:val="20"/>
                <w:szCs w:val="20"/>
              </w:rPr>
            </w:pPr>
          </w:p>
          <w:p w:rsidR="00F30446" w:rsidRPr="00956FA1" w:rsidRDefault="00F30446" w:rsidP="005F1ED8">
            <w:pPr>
              <w:jc w:val="center"/>
              <w:rPr>
                <w:sz w:val="20"/>
                <w:szCs w:val="20"/>
              </w:rPr>
            </w:pPr>
          </w:p>
          <w:p w:rsidR="00F30446" w:rsidRPr="00956FA1" w:rsidRDefault="00F30446" w:rsidP="005F1ED8">
            <w:pPr>
              <w:jc w:val="center"/>
              <w:rPr>
                <w:sz w:val="20"/>
                <w:szCs w:val="20"/>
              </w:rPr>
            </w:pPr>
          </w:p>
        </w:tc>
        <w:tc>
          <w:tcPr>
            <w:tcW w:w="2206" w:type="pct"/>
          </w:tcPr>
          <w:p w:rsidR="00F30446" w:rsidRPr="00956FA1" w:rsidRDefault="00F30446" w:rsidP="005F1ED8">
            <w:pPr>
              <w:rPr>
                <w:sz w:val="20"/>
                <w:szCs w:val="20"/>
                <w:lang w:val="fr-CA"/>
              </w:rPr>
            </w:pPr>
          </w:p>
        </w:tc>
      </w:tr>
    </w:tbl>
    <w:p w:rsidR="008277C4" w:rsidRPr="00956FA1" w:rsidRDefault="008277C4" w:rsidP="00F40249">
      <w:pPr>
        <w:rPr>
          <w:sz w:val="20"/>
          <w:szCs w:val="20"/>
        </w:rPr>
      </w:pPr>
    </w:p>
    <w:p w:rsidR="008277C4" w:rsidRPr="00956FA1" w:rsidRDefault="008277C4" w:rsidP="00F40249">
      <w:pPr>
        <w:rPr>
          <w:sz w:val="20"/>
          <w:szCs w:val="20"/>
        </w:rPr>
      </w:pPr>
    </w:p>
    <w:p w:rsidR="0010587F" w:rsidRPr="00956FA1" w:rsidRDefault="0010587F" w:rsidP="00F40249">
      <w:pPr>
        <w:rPr>
          <w:sz w:val="20"/>
          <w:szCs w:val="20"/>
        </w:rPr>
      </w:pPr>
    </w:p>
    <w:p w:rsidR="00EB2B90" w:rsidRPr="00956FA1" w:rsidRDefault="00EB2B90" w:rsidP="00F40249">
      <w:pPr>
        <w:rPr>
          <w:sz w:val="20"/>
          <w:szCs w:val="20"/>
        </w:rPr>
        <w:sectPr w:rsidR="00EB2B90" w:rsidRPr="00956FA1" w:rsidSect="00F40249">
          <w:headerReference w:type="even" r:id="rId69"/>
          <w:headerReference w:type="default" r:id="rId70"/>
          <w:footerReference w:type="even" r:id="rId71"/>
          <w:footerReference w:type="default" r:id="rId72"/>
          <w:headerReference w:type="first" r:id="rId73"/>
          <w:footerReference w:type="first" r:id="rId74"/>
          <w:pgSz w:w="12240" w:h="15840"/>
          <w:pgMar w:top="720" w:right="965" w:bottom="1080" w:left="1656" w:header="720" w:footer="965" w:gutter="0"/>
          <w:cols w:space="720"/>
          <w:titlePg/>
          <w:docGrid w:linePitch="326"/>
        </w:sectPr>
      </w:pPr>
    </w:p>
    <w:p w:rsidR="00567602" w:rsidRPr="00956FA1" w:rsidRDefault="001434B9" w:rsidP="00567602">
      <w:pPr>
        <w:pStyle w:val="Header1StyleE"/>
        <w:pBdr>
          <w:bottom w:val="single" w:sz="12" w:space="1" w:color="auto"/>
        </w:pBdr>
        <w:rPr>
          <w:lang w:val="fr-CA"/>
        </w:rPr>
      </w:pPr>
      <w:bookmarkStart w:id="12" w:name="_Toc77172335"/>
      <w:r w:rsidRPr="00956FA1">
        <w:rPr>
          <w:lang w:val="fr-CA"/>
        </w:rPr>
        <w:t>Pronouncements of reserved</w:t>
      </w:r>
      <w:r w:rsidR="00271E1E" w:rsidRPr="00956FA1">
        <w:rPr>
          <w:lang w:val="fr-CA"/>
        </w:rPr>
        <w:t xml:space="preserve"> appeals / </w:t>
      </w:r>
      <w:r w:rsidR="00567602" w:rsidRPr="00956FA1">
        <w:rPr>
          <w:lang w:val="fr-CA"/>
        </w:rPr>
        <w:br/>
      </w:r>
      <w:r w:rsidRPr="00956FA1">
        <w:rPr>
          <w:lang w:val="fr-CA"/>
        </w:rPr>
        <w:t>Jugements rendus sur les appels en délibéré</w:t>
      </w:r>
      <w:bookmarkEnd w:id="12"/>
    </w:p>
    <w:p w:rsidR="00FF6EEC" w:rsidRPr="00956FA1" w:rsidRDefault="00FF6EEC" w:rsidP="00FF6EEC">
      <w:pPr>
        <w:rPr>
          <w:sz w:val="20"/>
          <w:szCs w:val="20"/>
          <w:lang w:val="fr-CA"/>
        </w:rPr>
      </w:pPr>
    </w:p>
    <w:p w:rsidR="00102792" w:rsidRPr="00956FA1" w:rsidRDefault="009B36BA" w:rsidP="00102792">
      <w:pPr>
        <w:rPr>
          <w:b/>
          <w:sz w:val="20"/>
          <w:szCs w:val="20"/>
          <w:lang w:val="en-US"/>
        </w:rPr>
      </w:pPr>
      <w:r w:rsidRPr="00956FA1">
        <w:rPr>
          <w:b/>
          <w:sz w:val="20"/>
          <w:szCs w:val="20"/>
          <w:lang w:val="en-US"/>
        </w:rPr>
        <w:t>J</w:t>
      </w:r>
      <w:r w:rsidR="001A0EF1" w:rsidRPr="00956FA1">
        <w:rPr>
          <w:b/>
          <w:sz w:val="20"/>
          <w:szCs w:val="20"/>
          <w:lang w:val="en-US"/>
        </w:rPr>
        <w:t>ULY</w:t>
      </w:r>
      <w:r w:rsidR="00102792" w:rsidRPr="00956FA1">
        <w:rPr>
          <w:b/>
          <w:sz w:val="20"/>
          <w:szCs w:val="20"/>
          <w:lang w:val="en-US"/>
        </w:rPr>
        <w:t xml:space="preserve"> </w:t>
      </w:r>
      <w:r w:rsidR="001A0EF1" w:rsidRPr="00956FA1">
        <w:rPr>
          <w:b/>
          <w:sz w:val="20"/>
          <w:szCs w:val="20"/>
          <w:lang w:val="en-US"/>
        </w:rPr>
        <w:t>16</w:t>
      </w:r>
      <w:r w:rsidR="00102792" w:rsidRPr="00956FA1">
        <w:rPr>
          <w:b/>
          <w:sz w:val="20"/>
          <w:szCs w:val="20"/>
          <w:lang w:val="en-US"/>
        </w:rPr>
        <w:t xml:space="preserve">, </w:t>
      </w:r>
      <w:r w:rsidR="0034657E" w:rsidRPr="00956FA1">
        <w:rPr>
          <w:b/>
          <w:sz w:val="20"/>
          <w:szCs w:val="20"/>
          <w:lang w:val="en-US"/>
        </w:rPr>
        <w:t>20</w:t>
      </w:r>
      <w:r w:rsidR="00172473" w:rsidRPr="00956FA1">
        <w:rPr>
          <w:b/>
          <w:sz w:val="20"/>
          <w:szCs w:val="20"/>
          <w:lang w:val="en-US"/>
        </w:rPr>
        <w:t>2</w:t>
      </w:r>
      <w:r w:rsidRPr="00956FA1">
        <w:rPr>
          <w:b/>
          <w:sz w:val="20"/>
          <w:szCs w:val="20"/>
          <w:lang w:val="en-US"/>
        </w:rPr>
        <w:t>1</w:t>
      </w:r>
      <w:r w:rsidR="00102792" w:rsidRPr="00956FA1">
        <w:rPr>
          <w:b/>
          <w:sz w:val="20"/>
          <w:szCs w:val="20"/>
          <w:lang w:val="en-US"/>
        </w:rPr>
        <w:t xml:space="preserve"> / LE </w:t>
      </w:r>
      <w:r w:rsidR="001A0EF1" w:rsidRPr="00956FA1">
        <w:rPr>
          <w:b/>
          <w:sz w:val="20"/>
          <w:szCs w:val="20"/>
          <w:lang w:val="en-US"/>
        </w:rPr>
        <w:t>16</w:t>
      </w:r>
      <w:r w:rsidR="00102792" w:rsidRPr="00956FA1">
        <w:rPr>
          <w:b/>
          <w:sz w:val="20"/>
          <w:szCs w:val="20"/>
          <w:lang w:val="en-US"/>
        </w:rPr>
        <w:t xml:space="preserve"> </w:t>
      </w:r>
      <w:r w:rsidRPr="00956FA1">
        <w:rPr>
          <w:b/>
          <w:sz w:val="20"/>
          <w:szCs w:val="20"/>
          <w:lang w:val="en-US"/>
        </w:rPr>
        <w:t>J</w:t>
      </w:r>
      <w:r w:rsidR="001A0EF1" w:rsidRPr="00956FA1">
        <w:rPr>
          <w:b/>
          <w:sz w:val="20"/>
          <w:szCs w:val="20"/>
          <w:lang w:val="en-US"/>
        </w:rPr>
        <w:t>UILLET</w:t>
      </w:r>
    </w:p>
    <w:p w:rsidR="00102792" w:rsidRPr="00956FA1" w:rsidRDefault="00102792" w:rsidP="00102792">
      <w:pPr>
        <w:rPr>
          <w:sz w:val="20"/>
          <w:szCs w:val="20"/>
          <w:lang w:val="en-US"/>
        </w:rPr>
      </w:pPr>
    </w:p>
    <w:p w:rsidR="00102792" w:rsidRPr="00956FA1" w:rsidRDefault="00102792" w:rsidP="00102792">
      <w:pPr>
        <w:ind w:left="1440" w:hanging="1440"/>
        <w:jc w:val="both"/>
        <w:rPr>
          <w:rFonts w:eastAsia="Times New Roman" w:cs="Times New Roman"/>
          <w:color w:val="000000"/>
          <w:sz w:val="20"/>
          <w:szCs w:val="20"/>
          <w:lang w:val="en-US"/>
        </w:rPr>
      </w:pPr>
      <w:r w:rsidRPr="00956FA1">
        <w:rPr>
          <w:rFonts w:eastAsia="Times New Roman" w:cs="Times New Roman"/>
          <w:b/>
          <w:bCs/>
          <w:color w:val="000000"/>
          <w:sz w:val="20"/>
          <w:szCs w:val="20"/>
          <w:lang w:val="en-US"/>
        </w:rPr>
        <w:t>3</w:t>
      </w:r>
      <w:r w:rsidR="001A0EF1" w:rsidRPr="00956FA1">
        <w:rPr>
          <w:rFonts w:eastAsia="Times New Roman" w:cs="Times New Roman"/>
          <w:b/>
          <w:bCs/>
          <w:color w:val="000000"/>
          <w:sz w:val="20"/>
          <w:szCs w:val="20"/>
          <w:lang w:val="en-US"/>
        </w:rPr>
        <w:t>8</w:t>
      </w:r>
      <w:r w:rsidRPr="00956FA1">
        <w:rPr>
          <w:rFonts w:eastAsia="Times New Roman" w:cs="Times New Roman"/>
          <w:b/>
          <w:bCs/>
          <w:color w:val="000000"/>
          <w:sz w:val="20"/>
          <w:szCs w:val="20"/>
          <w:lang w:val="en-US"/>
        </w:rPr>
        <w:t>7</w:t>
      </w:r>
      <w:r w:rsidR="001A0EF1" w:rsidRPr="00956FA1">
        <w:rPr>
          <w:rFonts w:eastAsia="Times New Roman" w:cs="Times New Roman"/>
          <w:b/>
          <w:bCs/>
          <w:color w:val="000000"/>
          <w:sz w:val="20"/>
          <w:szCs w:val="20"/>
          <w:lang w:val="en-US"/>
        </w:rPr>
        <w:t>95</w:t>
      </w:r>
      <w:r w:rsidR="00172473" w:rsidRPr="00956FA1">
        <w:rPr>
          <w:rFonts w:eastAsia="Times New Roman" w:cs="Times New Roman"/>
          <w:b/>
          <w:bCs/>
          <w:color w:val="000000"/>
          <w:sz w:val="20"/>
          <w:szCs w:val="20"/>
          <w:lang w:val="en-US"/>
        </w:rPr>
        <w:tab/>
      </w:r>
      <w:r w:rsidR="00E873E5" w:rsidRPr="00956FA1">
        <w:rPr>
          <w:b/>
          <w:bCs/>
          <w:color w:val="000000"/>
          <w:sz w:val="20"/>
        </w:rPr>
        <w:t>Roger Southwind, for himself, and on behalf of the members of the Lac Seul Band of Indians and Lac Seul First Nation v. Her Majesty the Queen in Right of Canada - and - Attorney General of Saskatchewan, Assembly of Manitoba Chiefs, Tseshaht First Nation, Manitoba Keewatinowi Okimakanak Inc., Treaty Land Entitlement Committee of Manitoba Inc., Anishinabek Nation, Wauzhushk Onigum Nation, Big Grassy First Nation, Onigaming First Nation, Naotkamegwanning First Nation, Niisaachewan First Nation, Coalition of the Union of British Columbia Indian Chiefs, Penticton Indian Band, Williams Lake First Nation, Federation of Sovereign Indigenous Nations, Atikameksheng Anishnawbek First Nation, Kwantlen First Nation, Assembly of First Nations, Assembly of First Nations Quebec-Labrador, Grand Council Treaty #3, Mohawk Council of Kahnawà:ke, Elsipogtog First Nation, Chemawawin Cree Nation and West Moberly First Nations</w:t>
      </w:r>
      <w:r w:rsidR="00281DA2" w:rsidRPr="00956FA1">
        <w:rPr>
          <w:rFonts w:eastAsia="Times New Roman" w:cs="Times New Roman"/>
          <w:b/>
          <w:bCs/>
          <w:color w:val="000000"/>
          <w:sz w:val="20"/>
          <w:szCs w:val="20"/>
          <w:lang w:val="en-US"/>
        </w:rPr>
        <w:t xml:space="preserve"> </w:t>
      </w:r>
      <w:r w:rsidRPr="00956FA1">
        <w:rPr>
          <w:rFonts w:eastAsia="Times New Roman" w:cs="Times New Roman"/>
          <w:color w:val="000000"/>
          <w:sz w:val="20"/>
          <w:szCs w:val="20"/>
          <w:lang w:val="en-US"/>
        </w:rPr>
        <w:t>(F.C.)</w:t>
      </w:r>
    </w:p>
    <w:p w:rsidR="00102792" w:rsidRPr="00956FA1" w:rsidRDefault="00102792" w:rsidP="00102792">
      <w:pPr>
        <w:ind w:left="1440"/>
        <w:jc w:val="both"/>
        <w:rPr>
          <w:rFonts w:eastAsia="Times New Roman" w:cs="Times New Roman"/>
          <w:color w:val="000000"/>
          <w:sz w:val="20"/>
          <w:szCs w:val="20"/>
          <w:lang w:val="en-US"/>
        </w:rPr>
      </w:pPr>
      <w:r w:rsidRPr="00956FA1">
        <w:rPr>
          <w:rFonts w:eastAsia="Times New Roman" w:cs="Times New Roman"/>
          <w:b/>
          <w:bCs/>
          <w:color w:val="000000"/>
          <w:sz w:val="20"/>
          <w:szCs w:val="20"/>
          <w:lang w:val="en-US"/>
        </w:rPr>
        <w:t>20</w:t>
      </w:r>
      <w:r w:rsidR="00172473" w:rsidRPr="00956FA1">
        <w:rPr>
          <w:rFonts w:eastAsia="Times New Roman" w:cs="Times New Roman"/>
          <w:b/>
          <w:bCs/>
          <w:color w:val="000000"/>
          <w:sz w:val="20"/>
          <w:szCs w:val="20"/>
          <w:lang w:val="en-US"/>
        </w:rPr>
        <w:t>2</w:t>
      </w:r>
      <w:r w:rsidR="009B36BA" w:rsidRPr="00956FA1">
        <w:rPr>
          <w:rFonts w:eastAsia="Times New Roman" w:cs="Times New Roman"/>
          <w:b/>
          <w:bCs/>
          <w:color w:val="000000"/>
          <w:sz w:val="20"/>
          <w:szCs w:val="20"/>
          <w:lang w:val="en-US"/>
        </w:rPr>
        <w:t>1</w:t>
      </w:r>
      <w:r w:rsidRPr="00956FA1">
        <w:rPr>
          <w:rFonts w:eastAsia="Times New Roman" w:cs="Times New Roman"/>
          <w:b/>
          <w:bCs/>
          <w:color w:val="000000"/>
          <w:sz w:val="20"/>
          <w:szCs w:val="20"/>
          <w:lang w:val="en-US"/>
        </w:rPr>
        <w:t xml:space="preserve"> SCC </w:t>
      </w:r>
      <w:r w:rsidR="001A0EF1" w:rsidRPr="00956FA1">
        <w:rPr>
          <w:rFonts w:eastAsia="Times New Roman" w:cs="Times New Roman"/>
          <w:b/>
          <w:bCs/>
          <w:color w:val="000000"/>
          <w:sz w:val="20"/>
          <w:szCs w:val="20"/>
          <w:lang w:val="en-US"/>
        </w:rPr>
        <w:t>28</w:t>
      </w:r>
      <w:r w:rsidRPr="00956FA1">
        <w:rPr>
          <w:rFonts w:eastAsia="Times New Roman" w:cs="Times New Roman"/>
          <w:b/>
          <w:bCs/>
          <w:color w:val="000000"/>
          <w:sz w:val="20"/>
          <w:szCs w:val="20"/>
          <w:lang w:val="en-US"/>
        </w:rPr>
        <w:t xml:space="preserve"> / 20</w:t>
      </w:r>
      <w:r w:rsidR="00172473" w:rsidRPr="00956FA1">
        <w:rPr>
          <w:rFonts w:eastAsia="Times New Roman" w:cs="Times New Roman"/>
          <w:b/>
          <w:bCs/>
          <w:color w:val="000000"/>
          <w:sz w:val="20"/>
          <w:szCs w:val="20"/>
          <w:lang w:val="en-US"/>
        </w:rPr>
        <w:t>2</w:t>
      </w:r>
      <w:r w:rsidR="009B36BA" w:rsidRPr="00956FA1">
        <w:rPr>
          <w:rFonts w:eastAsia="Times New Roman" w:cs="Times New Roman"/>
          <w:b/>
          <w:bCs/>
          <w:color w:val="000000"/>
          <w:sz w:val="20"/>
          <w:szCs w:val="20"/>
          <w:lang w:val="en-US"/>
        </w:rPr>
        <w:t>1</w:t>
      </w:r>
      <w:r w:rsidRPr="00956FA1">
        <w:rPr>
          <w:rFonts w:eastAsia="Times New Roman" w:cs="Times New Roman"/>
          <w:b/>
          <w:bCs/>
          <w:color w:val="000000"/>
          <w:sz w:val="20"/>
          <w:szCs w:val="20"/>
          <w:lang w:val="en-US"/>
        </w:rPr>
        <w:t xml:space="preserve"> CSC </w:t>
      </w:r>
      <w:r w:rsidR="001A0EF1" w:rsidRPr="00956FA1">
        <w:rPr>
          <w:rFonts w:eastAsia="Times New Roman" w:cs="Times New Roman"/>
          <w:b/>
          <w:bCs/>
          <w:color w:val="000000"/>
          <w:sz w:val="20"/>
          <w:szCs w:val="20"/>
          <w:lang w:val="en-US"/>
        </w:rPr>
        <w:t>28</w:t>
      </w:r>
    </w:p>
    <w:p w:rsidR="00102792" w:rsidRPr="00956FA1" w:rsidRDefault="00102792" w:rsidP="00102792">
      <w:pPr>
        <w:jc w:val="both"/>
        <w:rPr>
          <w:rFonts w:eastAsia="Times New Roman" w:cs="Times New Roman"/>
          <w:color w:val="000000"/>
          <w:sz w:val="20"/>
          <w:szCs w:val="20"/>
          <w:lang w:val="en-US"/>
        </w:rPr>
      </w:pPr>
    </w:p>
    <w:p w:rsidR="00102792" w:rsidRPr="00956FA1" w:rsidRDefault="00172473" w:rsidP="00102792">
      <w:pPr>
        <w:ind w:left="1440" w:hanging="1440"/>
        <w:rPr>
          <w:rFonts w:eastAsia="Times New Roman" w:cs="Times New Roman"/>
          <w:color w:val="000000"/>
          <w:sz w:val="20"/>
          <w:szCs w:val="20"/>
          <w:lang w:val="en-US"/>
        </w:rPr>
      </w:pPr>
      <w:r w:rsidRPr="00956FA1">
        <w:rPr>
          <w:rFonts w:eastAsia="Times New Roman" w:cs="Times New Roman"/>
          <w:color w:val="000000"/>
          <w:sz w:val="20"/>
          <w:szCs w:val="20"/>
          <w:lang w:val="en-US"/>
        </w:rPr>
        <w:t>Coram:</w:t>
      </w:r>
      <w:r w:rsidRPr="00956FA1">
        <w:rPr>
          <w:rFonts w:eastAsia="Times New Roman" w:cs="Times New Roman"/>
          <w:color w:val="000000"/>
          <w:sz w:val="20"/>
          <w:szCs w:val="20"/>
          <w:lang w:val="en-US"/>
        </w:rPr>
        <w:tab/>
      </w:r>
      <w:r w:rsidR="00102792" w:rsidRPr="00956FA1">
        <w:rPr>
          <w:rFonts w:eastAsia="Times New Roman" w:cs="Times New Roman"/>
          <w:color w:val="000000"/>
          <w:sz w:val="20"/>
          <w:szCs w:val="20"/>
          <w:lang w:val="en-US"/>
        </w:rPr>
        <w:t>Wagner C.J. and Abella, Moldaver, Karakatsanis, Côté, Brown, Rowe</w:t>
      </w:r>
      <w:r w:rsidRPr="00956FA1">
        <w:rPr>
          <w:rFonts w:eastAsia="Times New Roman" w:cs="Times New Roman"/>
          <w:color w:val="000000"/>
          <w:sz w:val="20"/>
          <w:szCs w:val="20"/>
          <w:lang w:val="en-US"/>
        </w:rPr>
        <w:t xml:space="preserve">, </w:t>
      </w:r>
      <w:r w:rsidR="00102792" w:rsidRPr="00956FA1">
        <w:rPr>
          <w:rFonts w:eastAsia="Times New Roman" w:cs="Times New Roman"/>
          <w:color w:val="000000"/>
          <w:sz w:val="20"/>
          <w:szCs w:val="20"/>
          <w:lang w:val="en-US"/>
        </w:rPr>
        <w:t>Martin</w:t>
      </w:r>
      <w:r w:rsidRPr="00956FA1">
        <w:rPr>
          <w:rFonts w:eastAsia="Times New Roman" w:cs="Times New Roman"/>
          <w:color w:val="000000"/>
          <w:sz w:val="20"/>
          <w:szCs w:val="20"/>
          <w:lang w:val="en-US"/>
        </w:rPr>
        <w:t xml:space="preserve"> and Kasirer</w:t>
      </w:r>
      <w:r w:rsidR="00102792" w:rsidRPr="00956FA1">
        <w:rPr>
          <w:rFonts w:eastAsia="Times New Roman" w:cs="Times New Roman"/>
          <w:color w:val="000000"/>
          <w:sz w:val="20"/>
          <w:szCs w:val="20"/>
          <w:lang w:val="en-US"/>
        </w:rPr>
        <w:t xml:space="preserve"> JJ.</w:t>
      </w:r>
    </w:p>
    <w:p w:rsidR="00102792" w:rsidRPr="00956FA1" w:rsidRDefault="00102792" w:rsidP="00102792">
      <w:pPr>
        <w:ind w:left="1440" w:hanging="1440"/>
        <w:rPr>
          <w:rFonts w:eastAsia="Times New Roman" w:cs="Times New Roman"/>
          <w:color w:val="000000"/>
          <w:sz w:val="20"/>
          <w:szCs w:val="20"/>
          <w:lang w:val="en-US"/>
        </w:rPr>
      </w:pPr>
    </w:p>
    <w:p w:rsidR="00E873E5" w:rsidRPr="00956FA1" w:rsidRDefault="00E873E5" w:rsidP="00E873E5">
      <w:pPr>
        <w:jc w:val="both"/>
        <w:rPr>
          <w:sz w:val="20"/>
          <w:lang w:val="fr-CA"/>
        </w:rPr>
      </w:pPr>
      <w:r w:rsidRPr="00956FA1">
        <w:rPr>
          <w:sz w:val="20"/>
        </w:rPr>
        <w:t xml:space="preserve">The appeal from the judgment of the Federal Court of Appeal, Number A-337-17, 2019 FCA 171, dated June 10, 2019, heard on December 8, 2020, is allowed with costs throughout. The judgment of the Court of Appeal and the Federal Court’s award of equitable damages are set aside. The valuation of equitable compensation is returned to the Federal Court for reassessment in accordance with these reasons. </w:t>
      </w:r>
      <w:r w:rsidRPr="00956FA1">
        <w:rPr>
          <w:sz w:val="20"/>
          <w:lang w:val="fr-CA"/>
        </w:rPr>
        <w:t>Côté J. dissents.</w:t>
      </w:r>
    </w:p>
    <w:p w:rsidR="00E873E5" w:rsidRPr="00956FA1" w:rsidRDefault="00E873E5" w:rsidP="00E873E5">
      <w:pPr>
        <w:jc w:val="both"/>
        <w:rPr>
          <w:sz w:val="20"/>
          <w:lang w:val="fr-CA"/>
        </w:rPr>
      </w:pPr>
    </w:p>
    <w:p w:rsidR="00E873E5" w:rsidRPr="00956FA1" w:rsidRDefault="00E873E5" w:rsidP="00E873E5">
      <w:pPr>
        <w:jc w:val="both"/>
        <w:rPr>
          <w:sz w:val="20"/>
          <w:lang w:val="fr-CA"/>
        </w:rPr>
      </w:pPr>
      <w:r w:rsidRPr="00956FA1">
        <w:rPr>
          <w:sz w:val="20"/>
          <w:lang w:val="fr-CA"/>
        </w:rPr>
        <w:t xml:space="preserve">L’appel interjeté contre l’arrêt de la Cour d’appel fédérale, numéro A-337-17, 2019 CAF 171, daté du 10 juin 2019, entendu le 8 décembre 2020, est accueilli avec dépens devant toutes les cours. Le jugement de la Cour d’appel et l’octroi par la Cour fédérale des dommages-intérêts en equity sont annulés. L’évaluation de l’indemnité en equity est renvoyée à la Cour fédérale </w:t>
      </w:r>
      <w:r w:rsidRPr="00956FA1">
        <w:rPr>
          <w:sz w:val="20"/>
          <w:lang w:val="fr-FR"/>
        </w:rPr>
        <w:t xml:space="preserve">pour qu’elle en fasse une nouvelle évaluation conformément aux présents motifs. </w:t>
      </w:r>
      <w:r w:rsidRPr="00956FA1">
        <w:rPr>
          <w:sz w:val="20"/>
          <w:lang w:val="fr-CA"/>
        </w:rPr>
        <w:t>La juge Côté est dissidente.</w:t>
      </w:r>
    </w:p>
    <w:p w:rsidR="00102792" w:rsidRPr="00956FA1" w:rsidRDefault="00102792" w:rsidP="00102792">
      <w:pPr>
        <w:rPr>
          <w:sz w:val="20"/>
          <w:szCs w:val="20"/>
          <w:lang w:val="fr-CA"/>
        </w:rPr>
      </w:pPr>
    </w:p>
    <w:p w:rsidR="00102792" w:rsidRPr="00956FA1" w:rsidRDefault="00956FA1" w:rsidP="00102792">
      <w:pPr>
        <w:rPr>
          <w:sz w:val="20"/>
          <w:szCs w:val="20"/>
          <w:lang w:val="fr-CA"/>
        </w:rPr>
      </w:pPr>
      <w:hyperlink r:id="rId75" w:history="1">
        <w:r w:rsidR="00506BE1" w:rsidRPr="00956FA1">
          <w:rPr>
            <w:rStyle w:val="Hyperlink"/>
            <w:sz w:val="20"/>
            <w:szCs w:val="20"/>
            <w:lang w:val="fr-CA"/>
          </w:rPr>
          <w:t xml:space="preserve">LINK TO </w:t>
        </w:r>
        <w:r w:rsidR="00D82BFF" w:rsidRPr="00956FA1">
          <w:rPr>
            <w:rStyle w:val="Hyperlink"/>
            <w:sz w:val="20"/>
            <w:szCs w:val="20"/>
            <w:lang w:val="fr-CA"/>
          </w:rPr>
          <w:t>REASONS</w:t>
        </w:r>
      </w:hyperlink>
      <w:r w:rsidR="00102792" w:rsidRPr="00956FA1">
        <w:rPr>
          <w:sz w:val="20"/>
          <w:szCs w:val="20"/>
          <w:lang w:val="fr-CA"/>
        </w:rPr>
        <w:t xml:space="preserve"> / </w:t>
      </w:r>
      <w:hyperlink r:id="rId76" w:history="1">
        <w:r w:rsidR="00D82BFF" w:rsidRPr="00956FA1">
          <w:rPr>
            <w:rStyle w:val="Hyperlink"/>
            <w:sz w:val="20"/>
            <w:szCs w:val="20"/>
            <w:lang w:val="fr-CA"/>
          </w:rPr>
          <w:t>LIEN VERS LES MOTIFS</w:t>
        </w:r>
      </w:hyperlink>
    </w:p>
    <w:p w:rsidR="00102792" w:rsidRPr="00956FA1" w:rsidRDefault="00102792" w:rsidP="00102792">
      <w:pPr>
        <w:rPr>
          <w:sz w:val="20"/>
          <w:szCs w:val="20"/>
          <w:lang w:val="fr-CA"/>
        </w:rPr>
      </w:pPr>
    </w:p>
    <w:p w:rsidR="00D004FC" w:rsidRPr="00956FA1" w:rsidRDefault="00956FA1" w:rsidP="00102792">
      <w:pPr>
        <w:jc w:val="both"/>
        <w:rPr>
          <w:rFonts w:cs="Times New Roman"/>
          <w:b/>
          <w:sz w:val="20"/>
          <w:szCs w:val="20"/>
        </w:rPr>
      </w:pPr>
      <w:r w:rsidRPr="00956FA1">
        <w:rPr>
          <w:b/>
          <w:sz w:val="20"/>
          <w:szCs w:val="20"/>
        </w:rPr>
        <w:pict>
          <v:rect id="_x0000_i1064" style="width:144.3pt;height:1pt" o:hrpct="300" o:hralign="center" o:hrstd="t" o:hrnoshade="t" o:hr="t" fillcolor="black [3213]" stroked="f"/>
        </w:pict>
      </w:r>
    </w:p>
    <w:p w:rsidR="00D004FC" w:rsidRPr="00956FA1" w:rsidRDefault="00D004FC" w:rsidP="00D004FC">
      <w:pPr>
        <w:jc w:val="both"/>
        <w:rPr>
          <w:rFonts w:cs="Times New Roman"/>
          <w:sz w:val="20"/>
          <w:szCs w:val="20"/>
        </w:rPr>
      </w:pPr>
    </w:p>
    <w:p w:rsidR="00281DA2" w:rsidRPr="00956FA1" w:rsidRDefault="00281DA2" w:rsidP="00D004FC">
      <w:pPr>
        <w:jc w:val="both"/>
        <w:rPr>
          <w:rFonts w:cs="Times New Roman"/>
          <w:sz w:val="20"/>
          <w:szCs w:val="20"/>
        </w:rPr>
      </w:pPr>
    </w:p>
    <w:p w:rsidR="0056248C" w:rsidRPr="00956FA1" w:rsidRDefault="0056248C" w:rsidP="00091BA6">
      <w:pPr>
        <w:rPr>
          <w:sz w:val="20"/>
          <w:szCs w:val="20"/>
          <w:lang w:val="fr-CA"/>
        </w:rPr>
      </w:pPr>
    </w:p>
    <w:p w:rsidR="00102926" w:rsidRPr="00956FA1" w:rsidRDefault="00102926" w:rsidP="00782AE4">
      <w:pPr>
        <w:jc w:val="both"/>
        <w:rPr>
          <w:sz w:val="20"/>
          <w:szCs w:val="20"/>
        </w:rPr>
        <w:sectPr w:rsidR="00102926" w:rsidRPr="00956FA1" w:rsidSect="00782AE4">
          <w:headerReference w:type="even" r:id="rId77"/>
          <w:headerReference w:type="default" r:id="rId78"/>
          <w:footerReference w:type="even" r:id="rId79"/>
          <w:footerReference w:type="default" r:id="rId80"/>
          <w:headerReference w:type="first" r:id="rId81"/>
          <w:footerReference w:type="first" r:id="rId82"/>
          <w:pgSz w:w="12240" w:h="15840"/>
          <w:pgMar w:top="720" w:right="965" w:bottom="1080" w:left="1656" w:header="576" w:footer="960" w:gutter="0"/>
          <w:cols w:space="720"/>
          <w:titlePg/>
          <w:docGrid w:linePitch="272"/>
        </w:sectPr>
      </w:pPr>
    </w:p>
    <w:p w:rsidR="00113336" w:rsidRPr="00956FA1" w:rsidRDefault="00113336" w:rsidP="00113336">
      <w:pPr>
        <w:tabs>
          <w:tab w:val="center" w:pos="5220"/>
          <w:tab w:val="right" w:pos="10800"/>
        </w:tabs>
        <w:jc w:val="center"/>
        <w:rPr>
          <w:rFonts w:ascii="Arial" w:hAnsi="Arial" w:cs="Arial"/>
          <w:sz w:val="22"/>
          <w:lang w:val="fr-CA"/>
        </w:rPr>
      </w:pPr>
      <w:bookmarkStart w:id="13" w:name="1"/>
      <w:bookmarkStart w:id="14" w:name="QuickMark"/>
      <w:bookmarkEnd w:id="13"/>
      <w:bookmarkEnd w:id="14"/>
      <w:r w:rsidRPr="00956FA1">
        <w:rPr>
          <w:rFonts w:ascii="Arial" w:hAnsi="Arial" w:cs="Arial"/>
          <w:b/>
          <w:sz w:val="22"/>
          <w:lang w:val="fr-FR"/>
        </w:rPr>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956FA1" w:rsidTr="009B36BA">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lang w:val="fr-FR"/>
              </w:rPr>
            </w:pPr>
            <w:r w:rsidRPr="00956FA1">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956FA1" w:rsidRDefault="00113336" w:rsidP="009B36B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lang w:val="fr-FR"/>
              </w:rPr>
            </w:pPr>
            <w:r w:rsidRPr="00956FA1">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956FA1" w:rsidRDefault="00113336" w:rsidP="009B36BA">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lang w:val="fr-FR"/>
              </w:rPr>
            </w:pPr>
            <w:r w:rsidRPr="00956FA1">
              <w:rPr>
                <w:rFonts w:ascii="Arial" w:hAnsi="Arial" w:cs="Arial"/>
                <w:b/>
                <w:sz w:val="13"/>
                <w:szCs w:val="13"/>
                <w:lang w:val="fr-FR"/>
              </w:rPr>
              <w:t>DECEMBER – DÉCEMBRE</w:t>
            </w:r>
          </w:p>
        </w:tc>
      </w:tr>
      <w:tr w:rsidR="00113336" w:rsidRPr="00956FA1"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4"/>
                <w:szCs w:val="14"/>
                <w:lang w:val="fr-FR"/>
              </w:rPr>
            </w:pPr>
            <w:r w:rsidRPr="00956FA1">
              <w:rPr>
                <w:rFonts w:ascii="Arial" w:hAnsi="Arial" w:cs="Arial"/>
                <w:b/>
                <w:sz w:val="14"/>
                <w:szCs w:val="14"/>
                <w:lang w:val="fr-FR"/>
              </w:rPr>
              <w:t>S</w:t>
            </w:r>
          </w:p>
          <w:p w:rsidR="00113336" w:rsidRPr="00956FA1" w:rsidRDefault="00113336" w:rsidP="009B36BA">
            <w:pPr>
              <w:tabs>
                <w:tab w:val="center" w:pos="5220"/>
                <w:tab w:val="right" w:pos="10440"/>
              </w:tabs>
              <w:jc w:val="center"/>
              <w:rPr>
                <w:rFonts w:ascii="Arial" w:hAnsi="Arial" w:cs="Arial"/>
                <w:b/>
                <w:sz w:val="14"/>
                <w:szCs w:val="14"/>
                <w:lang w:val="fr-FR"/>
              </w:rPr>
            </w:pPr>
            <w:r w:rsidRPr="00956FA1">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lang w:val="fr-FR"/>
              </w:rPr>
            </w:pPr>
            <w:r w:rsidRPr="00956FA1">
              <w:rPr>
                <w:rFonts w:ascii="Arial" w:hAnsi="Arial" w:cs="Arial"/>
                <w:b/>
                <w:sz w:val="13"/>
                <w:szCs w:val="13"/>
                <w:lang w:val="fr-FR"/>
              </w:rPr>
              <w:t>M</w:t>
            </w:r>
          </w:p>
          <w:p w:rsidR="00113336" w:rsidRPr="00956FA1" w:rsidRDefault="00113336" w:rsidP="009B36BA">
            <w:pPr>
              <w:tabs>
                <w:tab w:val="center" w:pos="5220"/>
                <w:tab w:val="right" w:pos="10440"/>
              </w:tabs>
              <w:jc w:val="center"/>
              <w:rPr>
                <w:rFonts w:ascii="Arial" w:hAnsi="Arial" w:cs="Arial"/>
                <w:b/>
                <w:sz w:val="13"/>
                <w:szCs w:val="13"/>
                <w:lang w:val="fr-FR"/>
              </w:rPr>
            </w:pPr>
            <w:r w:rsidRPr="00956FA1">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lang w:val="fr-FR"/>
              </w:rPr>
            </w:pPr>
            <w:r w:rsidRPr="00956FA1">
              <w:rPr>
                <w:rFonts w:ascii="Arial" w:hAnsi="Arial" w:cs="Arial"/>
                <w:b/>
                <w:sz w:val="13"/>
                <w:szCs w:val="13"/>
                <w:lang w:val="fr-FR"/>
              </w:rPr>
              <w:t>T</w:t>
            </w:r>
          </w:p>
          <w:p w:rsidR="00113336" w:rsidRPr="00956FA1" w:rsidRDefault="00113336" w:rsidP="009B36BA">
            <w:pPr>
              <w:tabs>
                <w:tab w:val="center" w:pos="5220"/>
                <w:tab w:val="right" w:pos="10440"/>
              </w:tabs>
              <w:jc w:val="center"/>
              <w:rPr>
                <w:rFonts w:ascii="Arial" w:hAnsi="Arial" w:cs="Arial"/>
                <w:b/>
                <w:sz w:val="13"/>
                <w:szCs w:val="13"/>
                <w:lang w:val="fr-FR"/>
              </w:rPr>
            </w:pPr>
            <w:r w:rsidRPr="00956FA1">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lang w:val="fr-FR"/>
              </w:rPr>
            </w:pPr>
            <w:r w:rsidRPr="00956FA1">
              <w:rPr>
                <w:rFonts w:ascii="Arial" w:hAnsi="Arial" w:cs="Arial"/>
                <w:b/>
                <w:sz w:val="13"/>
                <w:szCs w:val="13"/>
                <w:lang w:val="fr-FR"/>
              </w:rPr>
              <w:t>W</w:t>
            </w:r>
          </w:p>
          <w:p w:rsidR="00113336" w:rsidRPr="00956FA1" w:rsidRDefault="00113336" w:rsidP="009B36BA">
            <w:pPr>
              <w:tabs>
                <w:tab w:val="center" w:pos="5220"/>
                <w:tab w:val="right" w:pos="10440"/>
              </w:tabs>
              <w:jc w:val="center"/>
              <w:rPr>
                <w:rFonts w:ascii="Arial" w:hAnsi="Arial" w:cs="Arial"/>
                <w:b/>
                <w:sz w:val="13"/>
                <w:szCs w:val="13"/>
                <w:lang w:val="fr-FR"/>
              </w:rPr>
            </w:pPr>
            <w:r w:rsidRPr="00956FA1">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lang w:val="fr-FR"/>
              </w:rPr>
            </w:pPr>
            <w:r w:rsidRPr="00956FA1">
              <w:rPr>
                <w:rFonts w:ascii="Arial" w:hAnsi="Arial" w:cs="Arial"/>
                <w:b/>
                <w:sz w:val="13"/>
                <w:szCs w:val="13"/>
                <w:lang w:val="fr-FR"/>
              </w:rPr>
              <w:t>T</w:t>
            </w:r>
          </w:p>
          <w:p w:rsidR="00113336" w:rsidRPr="00956FA1" w:rsidRDefault="00113336" w:rsidP="009B36BA">
            <w:pPr>
              <w:tabs>
                <w:tab w:val="center" w:pos="5220"/>
                <w:tab w:val="right" w:pos="10440"/>
              </w:tabs>
              <w:jc w:val="center"/>
              <w:rPr>
                <w:rFonts w:ascii="Arial" w:hAnsi="Arial" w:cs="Arial"/>
                <w:b/>
                <w:sz w:val="13"/>
                <w:szCs w:val="13"/>
                <w:lang w:val="fr-FR"/>
              </w:rPr>
            </w:pPr>
            <w:r w:rsidRPr="00956FA1">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lang w:val="fr-FR"/>
              </w:rPr>
            </w:pPr>
            <w:r w:rsidRPr="00956FA1">
              <w:rPr>
                <w:rFonts w:ascii="Arial" w:hAnsi="Arial" w:cs="Arial"/>
                <w:b/>
                <w:sz w:val="13"/>
                <w:szCs w:val="13"/>
                <w:lang w:val="fr-FR"/>
              </w:rPr>
              <w:t>F</w:t>
            </w:r>
          </w:p>
          <w:p w:rsidR="00113336" w:rsidRPr="00956FA1" w:rsidRDefault="00113336" w:rsidP="009B36BA">
            <w:pPr>
              <w:tabs>
                <w:tab w:val="center" w:pos="5220"/>
                <w:tab w:val="right" w:pos="10440"/>
              </w:tabs>
              <w:jc w:val="center"/>
              <w:rPr>
                <w:rFonts w:ascii="Arial" w:hAnsi="Arial" w:cs="Arial"/>
                <w:b/>
                <w:sz w:val="13"/>
                <w:szCs w:val="13"/>
                <w:lang w:val="fr-FR"/>
              </w:rPr>
            </w:pPr>
            <w:r w:rsidRPr="00956FA1">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lang w:val="fr-FR"/>
              </w:rPr>
            </w:pPr>
            <w:r w:rsidRPr="00956FA1">
              <w:rPr>
                <w:rFonts w:ascii="Arial" w:hAnsi="Arial" w:cs="Arial"/>
                <w:b/>
                <w:sz w:val="13"/>
                <w:szCs w:val="13"/>
                <w:lang w:val="fr-FR"/>
              </w:rPr>
              <w:t>S</w:t>
            </w:r>
          </w:p>
          <w:p w:rsidR="00113336" w:rsidRPr="00956FA1" w:rsidRDefault="00113336" w:rsidP="009B36BA">
            <w:pPr>
              <w:tabs>
                <w:tab w:val="center" w:pos="5220"/>
                <w:tab w:val="right" w:pos="10440"/>
              </w:tabs>
              <w:jc w:val="center"/>
              <w:rPr>
                <w:rFonts w:ascii="Arial" w:hAnsi="Arial" w:cs="Arial"/>
                <w:b/>
                <w:sz w:val="13"/>
                <w:szCs w:val="13"/>
                <w:lang w:val="fr-FR"/>
              </w:rPr>
            </w:pPr>
            <w:r w:rsidRPr="00956FA1">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956FA1" w:rsidRDefault="00113336" w:rsidP="009B36B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lang w:val="fr-FR"/>
              </w:rPr>
            </w:pPr>
            <w:r w:rsidRPr="00956FA1">
              <w:rPr>
                <w:rFonts w:ascii="Arial" w:hAnsi="Arial" w:cs="Arial"/>
                <w:b/>
                <w:sz w:val="13"/>
                <w:szCs w:val="13"/>
                <w:lang w:val="fr-FR"/>
              </w:rPr>
              <w:t>S</w:t>
            </w:r>
          </w:p>
          <w:p w:rsidR="00113336" w:rsidRPr="00956FA1" w:rsidRDefault="00113336" w:rsidP="009B36BA">
            <w:pPr>
              <w:tabs>
                <w:tab w:val="center" w:pos="5220"/>
                <w:tab w:val="right" w:pos="10440"/>
              </w:tabs>
              <w:jc w:val="center"/>
              <w:rPr>
                <w:rFonts w:ascii="Arial" w:hAnsi="Arial" w:cs="Arial"/>
                <w:b/>
                <w:sz w:val="13"/>
                <w:szCs w:val="13"/>
                <w:lang w:val="fr-FR"/>
              </w:rPr>
            </w:pPr>
            <w:r w:rsidRPr="00956FA1">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lang w:val="fr-FR"/>
              </w:rPr>
            </w:pPr>
            <w:r w:rsidRPr="00956FA1">
              <w:rPr>
                <w:rFonts w:ascii="Arial" w:hAnsi="Arial" w:cs="Arial"/>
                <w:b/>
                <w:sz w:val="13"/>
                <w:szCs w:val="13"/>
                <w:lang w:val="fr-FR"/>
              </w:rPr>
              <w:t>M</w:t>
            </w:r>
          </w:p>
          <w:p w:rsidR="00113336" w:rsidRPr="00956FA1" w:rsidRDefault="00113336" w:rsidP="009B36BA">
            <w:pPr>
              <w:tabs>
                <w:tab w:val="center" w:pos="5220"/>
                <w:tab w:val="right" w:pos="10440"/>
              </w:tabs>
              <w:jc w:val="center"/>
              <w:rPr>
                <w:rFonts w:ascii="Arial" w:hAnsi="Arial" w:cs="Arial"/>
                <w:b/>
                <w:sz w:val="13"/>
                <w:szCs w:val="13"/>
                <w:lang w:val="fr-FR"/>
              </w:rPr>
            </w:pPr>
            <w:r w:rsidRPr="00956FA1">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lang w:val="fr-FR"/>
              </w:rPr>
            </w:pPr>
            <w:r w:rsidRPr="00956FA1">
              <w:rPr>
                <w:rFonts w:ascii="Arial" w:hAnsi="Arial" w:cs="Arial"/>
                <w:b/>
                <w:sz w:val="13"/>
                <w:szCs w:val="13"/>
                <w:lang w:val="fr-FR"/>
              </w:rPr>
              <w:t>T</w:t>
            </w:r>
          </w:p>
          <w:p w:rsidR="00113336" w:rsidRPr="00956FA1" w:rsidRDefault="00113336" w:rsidP="009B36BA">
            <w:pPr>
              <w:tabs>
                <w:tab w:val="center" w:pos="5220"/>
                <w:tab w:val="right" w:pos="10440"/>
              </w:tabs>
              <w:jc w:val="center"/>
              <w:rPr>
                <w:rFonts w:ascii="Arial" w:hAnsi="Arial" w:cs="Arial"/>
                <w:b/>
                <w:sz w:val="13"/>
                <w:szCs w:val="13"/>
                <w:lang w:val="fr-FR"/>
              </w:rPr>
            </w:pPr>
            <w:r w:rsidRPr="00956FA1">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lang w:val="fr-FR"/>
              </w:rPr>
            </w:pPr>
            <w:r w:rsidRPr="00956FA1">
              <w:rPr>
                <w:rFonts w:ascii="Arial" w:hAnsi="Arial" w:cs="Arial"/>
                <w:b/>
                <w:sz w:val="13"/>
                <w:szCs w:val="13"/>
                <w:lang w:val="fr-FR"/>
              </w:rPr>
              <w:t>W</w:t>
            </w:r>
          </w:p>
          <w:p w:rsidR="00113336" w:rsidRPr="00956FA1" w:rsidRDefault="00113336" w:rsidP="009B36BA">
            <w:pPr>
              <w:tabs>
                <w:tab w:val="center" w:pos="5220"/>
                <w:tab w:val="right" w:pos="10440"/>
              </w:tabs>
              <w:jc w:val="center"/>
              <w:rPr>
                <w:rFonts w:ascii="Arial" w:hAnsi="Arial" w:cs="Arial"/>
                <w:b/>
                <w:sz w:val="13"/>
                <w:szCs w:val="13"/>
                <w:lang w:val="fr-FR"/>
              </w:rPr>
            </w:pPr>
            <w:r w:rsidRPr="00956FA1">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lang w:val="fr-FR"/>
              </w:rPr>
            </w:pPr>
            <w:r w:rsidRPr="00956FA1">
              <w:rPr>
                <w:rFonts w:ascii="Arial" w:hAnsi="Arial" w:cs="Arial"/>
                <w:b/>
                <w:sz w:val="13"/>
                <w:szCs w:val="13"/>
                <w:lang w:val="fr-FR"/>
              </w:rPr>
              <w:t>T</w:t>
            </w:r>
          </w:p>
          <w:p w:rsidR="00113336" w:rsidRPr="00956FA1" w:rsidRDefault="00113336" w:rsidP="009B36BA">
            <w:pPr>
              <w:tabs>
                <w:tab w:val="center" w:pos="5220"/>
                <w:tab w:val="right" w:pos="10440"/>
              </w:tabs>
              <w:jc w:val="center"/>
              <w:rPr>
                <w:rFonts w:ascii="Arial" w:hAnsi="Arial" w:cs="Arial"/>
                <w:b/>
                <w:sz w:val="13"/>
                <w:szCs w:val="13"/>
                <w:lang w:val="fr-FR"/>
              </w:rPr>
            </w:pPr>
            <w:r w:rsidRPr="00956FA1">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lang w:val="fr-FR"/>
              </w:rPr>
            </w:pPr>
            <w:r w:rsidRPr="00956FA1">
              <w:rPr>
                <w:rFonts w:ascii="Arial" w:hAnsi="Arial" w:cs="Arial"/>
                <w:b/>
                <w:sz w:val="13"/>
                <w:szCs w:val="13"/>
                <w:lang w:val="fr-FR"/>
              </w:rPr>
              <w:t>F</w:t>
            </w:r>
          </w:p>
          <w:p w:rsidR="00113336" w:rsidRPr="00956FA1" w:rsidRDefault="00113336" w:rsidP="009B36BA">
            <w:pPr>
              <w:tabs>
                <w:tab w:val="center" w:pos="5220"/>
                <w:tab w:val="right" w:pos="10440"/>
              </w:tabs>
              <w:jc w:val="center"/>
              <w:rPr>
                <w:rFonts w:ascii="Arial" w:hAnsi="Arial" w:cs="Arial"/>
                <w:b/>
                <w:sz w:val="13"/>
                <w:szCs w:val="13"/>
                <w:lang w:val="fr-FR"/>
              </w:rPr>
            </w:pPr>
            <w:r w:rsidRPr="00956FA1">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lang w:val="fr-FR"/>
              </w:rPr>
            </w:pPr>
            <w:r w:rsidRPr="00956FA1">
              <w:rPr>
                <w:rFonts w:ascii="Arial" w:hAnsi="Arial" w:cs="Arial"/>
                <w:b/>
                <w:sz w:val="13"/>
                <w:szCs w:val="13"/>
                <w:lang w:val="fr-FR"/>
              </w:rPr>
              <w:t>S</w:t>
            </w:r>
          </w:p>
          <w:p w:rsidR="00113336" w:rsidRPr="00956FA1" w:rsidRDefault="00113336" w:rsidP="009B36BA">
            <w:pPr>
              <w:tabs>
                <w:tab w:val="center" w:pos="5220"/>
                <w:tab w:val="right" w:pos="10440"/>
              </w:tabs>
              <w:jc w:val="center"/>
              <w:rPr>
                <w:rFonts w:ascii="Arial" w:hAnsi="Arial" w:cs="Arial"/>
                <w:b/>
                <w:sz w:val="13"/>
                <w:szCs w:val="13"/>
                <w:lang w:val="fr-FR"/>
              </w:rPr>
            </w:pPr>
            <w:r w:rsidRPr="00956FA1">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956FA1" w:rsidRDefault="00113336" w:rsidP="009B36B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lang w:val="fr-FR"/>
              </w:rPr>
            </w:pPr>
            <w:r w:rsidRPr="00956FA1">
              <w:rPr>
                <w:rFonts w:ascii="Arial" w:hAnsi="Arial" w:cs="Arial"/>
                <w:b/>
                <w:sz w:val="13"/>
                <w:szCs w:val="13"/>
                <w:lang w:val="fr-FR"/>
              </w:rPr>
              <w:t>S</w:t>
            </w:r>
          </w:p>
          <w:p w:rsidR="00113336" w:rsidRPr="00956FA1" w:rsidRDefault="00113336" w:rsidP="009B36BA">
            <w:pPr>
              <w:tabs>
                <w:tab w:val="center" w:pos="5220"/>
                <w:tab w:val="right" w:pos="10440"/>
              </w:tabs>
              <w:jc w:val="center"/>
              <w:rPr>
                <w:rFonts w:ascii="Arial" w:hAnsi="Arial" w:cs="Arial"/>
                <w:b/>
                <w:sz w:val="13"/>
                <w:szCs w:val="13"/>
                <w:lang w:val="fr-FR"/>
              </w:rPr>
            </w:pPr>
            <w:r w:rsidRPr="00956FA1">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lang w:val="fr-FR"/>
              </w:rPr>
            </w:pPr>
            <w:r w:rsidRPr="00956FA1">
              <w:rPr>
                <w:rFonts w:ascii="Arial" w:hAnsi="Arial" w:cs="Arial"/>
                <w:b/>
                <w:sz w:val="13"/>
                <w:szCs w:val="13"/>
                <w:lang w:val="fr-FR"/>
              </w:rPr>
              <w:t>M</w:t>
            </w:r>
          </w:p>
          <w:p w:rsidR="00113336" w:rsidRPr="00956FA1" w:rsidRDefault="00113336" w:rsidP="009B36BA">
            <w:pPr>
              <w:tabs>
                <w:tab w:val="center" w:pos="5220"/>
                <w:tab w:val="right" w:pos="10440"/>
              </w:tabs>
              <w:jc w:val="center"/>
              <w:rPr>
                <w:rFonts w:ascii="Arial" w:hAnsi="Arial" w:cs="Arial"/>
                <w:b/>
                <w:sz w:val="13"/>
                <w:szCs w:val="13"/>
                <w:lang w:val="fr-FR"/>
              </w:rPr>
            </w:pPr>
            <w:r w:rsidRPr="00956FA1">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lang w:val="fr-FR"/>
              </w:rPr>
            </w:pPr>
            <w:r w:rsidRPr="00956FA1">
              <w:rPr>
                <w:rFonts w:ascii="Arial" w:hAnsi="Arial" w:cs="Arial"/>
                <w:b/>
                <w:sz w:val="13"/>
                <w:szCs w:val="13"/>
                <w:lang w:val="fr-FR"/>
              </w:rPr>
              <w:t>T</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W</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T</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F</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S</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S</w:t>
            </w:r>
          </w:p>
        </w:tc>
      </w:tr>
      <w:tr w:rsidR="00113336" w:rsidRPr="00956FA1"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956FA1" w:rsidRDefault="00113336" w:rsidP="00113336">
            <w:pPr>
              <w:jc w:val="center"/>
              <w:rPr>
                <w:rFonts w:ascii="Arial" w:hAnsi="Arial" w:cs="Arial"/>
                <w:sz w:val="13"/>
                <w:szCs w:val="13"/>
              </w:rPr>
            </w:pPr>
            <w:r w:rsidRPr="00956FA1">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956FA1" w:rsidRDefault="00113336" w:rsidP="00113336">
            <w:pPr>
              <w:jc w:val="center"/>
              <w:rPr>
                <w:rFonts w:ascii="Arial" w:hAnsi="Arial" w:cs="Arial"/>
                <w:sz w:val="13"/>
                <w:szCs w:val="13"/>
              </w:rPr>
            </w:pPr>
            <w:r w:rsidRPr="00956FA1">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b/>
                <w:sz w:val="13"/>
                <w:szCs w:val="13"/>
              </w:rPr>
              <w:t>CC</w:t>
            </w:r>
            <w:r w:rsidRPr="00956FA1">
              <w:rPr>
                <w:rFonts w:ascii="Arial" w:hAnsi="Arial" w:cs="Arial"/>
                <w:sz w:val="13"/>
                <w:szCs w:val="13"/>
              </w:rPr>
              <w:t xml:space="preserve"> </w:t>
            </w:r>
          </w:p>
          <w:p w:rsidR="00113336" w:rsidRPr="00956FA1" w:rsidRDefault="00113336" w:rsidP="009B36BA">
            <w:pPr>
              <w:jc w:val="center"/>
              <w:rPr>
                <w:rFonts w:ascii="Arial" w:hAnsi="Arial" w:cs="Arial"/>
                <w:sz w:val="13"/>
                <w:szCs w:val="13"/>
              </w:rPr>
            </w:pPr>
            <w:r w:rsidRPr="00956FA1">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5</w:t>
            </w:r>
          </w:p>
        </w:tc>
      </w:tr>
      <w:tr w:rsidR="00113336" w:rsidRPr="00956FA1"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956FA1" w:rsidRDefault="00113336" w:rsidP="00113336">
            <w:pPr>
              <w:jc w:val="center"/>
              <w:rPr>
                <w:rFonts w:ascii="Arial" w:hAnsi="Arial" w:cs="Arial"/>
                <w:sz w:val="13"/>
                <w:szCs w:val="13"/>
              </w:rPr>
            </w:pPr>
            <w:r w:rsidRPr="00956FA1">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956FA1" w:rsidRDefault="00113336" w:rsidP="009B36BA">
            <w:pPr>
              <w:jc w:val="center"/>
              <w:rPr>
                <w:rFonts w:ascii="Arial" w:hAnsi="Arial" w:cs="Arial"/>
                <w:b/>
                <w:sz w:val="13"/>
                <w:szCs w:val="13"/>
              </w:rPr>
            </w:pPr>
            <w:r w:rsidRPr="00956FA1">
              <w:rPr>
                <w:rFonts w:ascii="Arial" w:hAnsi="Arial" w:cs="Arial"/>
                <w:b/>
                <w:sz w:val="13"/>
                <w:szCs w:val="13"/>
              </w:rPr>
              <w:t>CC</w:t>
            </w:r>
          </w:p>
          <w:p w:rsidR="00113336" w:rsidRPr="00956FA1" w:rsidRDefault="00113336" w:rsidP="00113336">
            <w:pPr>
              <w:jc w:val="center"/>
              <w:rPr>
                <w:rFonts w:ascii="Arial" w:hAnsi="Arial" w:cs="Arial"/>
                <w:sz w:val="13"/>
                <w:szCs w:val="13"/>
              </w:rPr>
            </w:pPr>
            <w:r w:rsidRPr="00956FA1">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956FA1" w:rsidRDefault="00113336" w:rsidP="00113336">
            <w:pPr>
              <w:jc w:val="center"/>
              <w:rPr>
                <w:rFonts w:ascii="Arial" w:hAnsi="Arial" w:cs="Arial"/>
                <w:sz w:val="13"/>
                <w:szCs w:val="13"/>
              </w:rPr>
            </w:pPr>
            <w:r w:rsidRPr="00956FA1">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956FA1" w:rsidRDefault="00113336" w:rsidP="00113336">
            <w:pPr>
              <w:jc w:val="center"/>
              <w:rPr>
                <w:rFonts w:ascii="Arial" w:hAnsi="Arial" w:cs="Arial"/>
                <w:sz w:val="13"/>
                <w:szCs w:val="13"/>
              </w:rPr>
            </w:pPr>
            <w:r w:rsidRPr="00956FA1">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956FA1" w:rsidRDefault="005B2EA9" w:rsidP="009B36BA">
            <w:pPr>
              <w:jc w:val="center"/>
              <w:rPr>
                <w:rFonts w:ascii="Arial" w:hAnsi="Arial" w:cs="Arial"/>
                <w:b/>
                <w:sz w:val="13"/>
                <w:szCs w:val="13"/>
              </w:rPr>
            </w:pPr>
            <w:r w:rsidRPr="00956FA1">
              <w:rPr>
                <w:rFonts w:ascii="Arial" w:hAnsi="Arial" w:cs="Arial"/>
                <w:b/>
                <w:sz w:val="13"/>
                <w:szCs w:val="13"/>
              </w:rPr>
              <w:t>H</w:t>
            </w:r>
          </w:p>
          <w:p w:rsidR="00113336" w:rsidRPr="00956FA1" w:rsidRDefault="00113336" w:rsidP="009B36BA">
            <w:pPr>
              <w:jc w:val="center"/>
              <w:rPr>
                <w:rFonts w:ascii="Arial" w:hAnsi="Arial" w:cs="Arial"/>
                <w:sz w:val="13"/>
                <w:szCs w:val="13"/>
              </w:rPr>
            </w:pPr>
            <w:r w:rsidRPr="00956FA1">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113336" w:rsidP="00113336">
            <w:pPr>
              <w:jc w:val="center"/>
              <w:rPr>
                <w:rFonts w:ascii="Arial" w:hAnsi="Arial" w:cs="Arial"/>
                <w:sz w:val="13"/>
                <w:szCs w:val="13"/>
              </w:rPr>
            </w:pPr>
            <w:r w:rsidRPr="00956FA1">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12</w:t>
            </w:r>
          </w:p>
        </w:tc>
      </w:tr>
      <w:tr w:rsidR="00B4618C" w:rsidRPr="00956FA1"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956FA1" w:rsidRDefault="00113336" w:rsidP="00113336">
            <w:pPr>
              <w:jc w:val="center"/>
              <w:rPr>
                <w:rFonts w:ascii="Arial" w:hAnsi="Arial" w:cs="Arial"/>
                <w:sz w:val="13"/>
                <w:szCs w:val="13"/>
              </w:rPr>
            </w:pPr>
            <w:r w:rsidRPr="00956FA1">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956FA1" w:rsidRDefault="00113336" w:rsidP="009B36BA">
            <w:pPr>
              <w:jc w:val="center"/>
              <w:rPr>
                <w:rFonts w:ascii="Arial" w:hAnsi="Arial" w:cs="Arial"/>
                <w:b/>
                <w:sz w:val="13"/>
                <w:szCs w:val="13"/>
              </w:rPr>
            </w:pPr>
            <w:r w:rsidRPr="00956FA1">
              <w:rPr>
                <w:rFonts w:ascii="Arial" w:hAnsi="Arial" w:cs="Arial"/>
                <w:b/>
                <w:sz w:val="13"/>
                <w:szCs w:val="13"/>
              </w:rPr>
              <w:t>H</w:t>
            </w:r>
          </w:p>
          <w:p w:rsidR="00113336" w:rsidRPr="00956FA1" w:rsidRDefault="00113336" w:rsidP="00113336">
            <w:pPr>
              <w:jc w:val="center"/>
              <w:rPr>
                <w:rFonts w:ascii="Arial" w:hAnsi="Arial" w:cs="Arial"/>
                <w:sz w:val="13"/>
                <w:szCs w:val="13"/>
              </w:rPr>
            </w:pPr>
            <w:r w:rsidRPr="00956FA1">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956FA1" w:rsidRDefault="00113336" w:rsidP="00113336">
            <w:pPr>
              <w:jc w:val="center"/>
              <w:rPr>
                <w:rFonts w:ascii="Arial" w:hAnsi="Arial" w:cs="Arial"/>
                <w:sz w:val="13"/>
                <w:szCs w:val="13"/>
              </w:rPr>
            </w:pPr>
            <w:r w:rsidRPr="00956FA1">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956FA1" w:rsidRDefault="00113336" w:rsidP="00113336">
            <w:pPr>
              <w:jc w:val="center"/>
              <w:rPr>
                <w:rFonts w:ascii="Arial" w:hAnsi="Arial" w:cs="Arial"/>
                <w:sz w:val="13"/>
                <w:szCs w:val="13"/>
              </w:rPr>
            </w:pPr>
            <w:r w:rsidRPr="00956FA1">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19</w:t>
            </w:r>
          </w:p>
        </w:tc>
      </w:tr>
      <w:tr w:rsidR="00113336" w:rsidRPr="00956FA1"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956FA1" w:rsidRDefault="00113336" w:rsidP="00113336">
            <w:pPr>
              <w:jc w:val="center"/>
              <w:rPr>
                <w:rFonts w:ascii="Arial" w:hAnsi="Arial" w:cs="Arial"/>
                <w:sz w:val="13"/>
                <w:szCs w:val="13"/>
              </w:rPr>
            </w:pPr>
            <w:r w:rsidRPr="00956FA1">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956FA1" w:rsidRDefault="00113336" w:rsidP="009B36BA">
            <w:pPr>
              <w:jc w:val="center"/>
              <w:rPr>
                <w:rFonts w:ascii="Arial" w:hAnsi="Arial" w:cs="Arial"/>
                <w:sz w:val="13"/>
                <w:szCs w:val="13"/>
              </w:rPr>
            </w:pPr>
            <w:r w:rsidRPr="00956FA1">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956FA1" w:rsidRDefault="00113336" w:rsidP="00113336">
            <w:pPr>
              <w:jc w:val="center"/>
              <w:rPr>
                <w:rFonts w:ascii="Arial" w:hAnsi="Arial" w:cs="Arial"/>
                <w:sz w:val="13"/>
                <w:szCs w:val="13"/>
              </w:rPr>
            </w:pPr>
            <w:r w:rsidRPr="00956FA1">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956FA1" w:rsidRDefault="00113336" w:rsidP="00113336">
            <w:pPr>
              <w:jc w:val="center"/>
              <w:rPr>
                <w:rFonts w:ascii="Arial" w:hAnsi="Arial" w:cs="Arial"/>
                <w:sz w:val="13"/>
                <w:szCs w:val="13"/>
              </w:rPr>
            </w:pPr>
            <w:r w:rsidRPr="00956FA1">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956FA1" w:rsidRDefault="005B2EA9" w:rsidP="009B36BA">
            <w:pPr>
              <w:jc w:val="center"/>
              <w:rPr>
                <w:rFonts w:ascii="Arial" w:hAnsi="Arial" w:cs="Arial"/>
                <w:b/>
                <w:sz w:val="13"/>
                <w:szCs w:val="13"/>
              </w:rPr>
            </w:pPr>
            <w:r w:rsidRPr="00956FA1">
              <w:rPr>
                <w:rFonts w:ascii="Arial" w:hAnsi="Arial" w:cs="Arial"/>
                <w:b/>
                <w:sz w:val="13"/>
                <w:szCs w:val="13"/>
              </w:rPr>
              <w:t>H</w:t>
            </w:r>
          </w:p>
          <w:p w:rsidR="00113336" w:rsidRPr="00956FA1" w:rsidRDefault="005B2EA9" w:rsidP="009B36BA">
            <w:pPr>
              <w:jc w:val="center"/>
              <w:rPr>
                <w:rFonts w:ascii="Arial" w:hAnsi="Arial" w:cs="Arial"/>
                <w:sz w:val="13"/>
                <w:szCs w:val="13"/>
              </w:rPr>
            </w:pPr>
            <w:r w:rsidRPr="00956FA1">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26</w:t>
            </w:r>
          </w:p>
        </w:tc>
      </w:tr>
      <w:tr w:rsidR="00113336" w:rsidRPr="00956FA1"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956FA1" w:rsidRDefault="00113336" w:rsidP="00113336">
            <w:pPr>
              <w:jc w:val="center"/>
              <w:rPr>
                <w:rFonts w:ascii="Arial" w:hAnsi="Arial" w:cs="Arial"/>
                <w:sz w:val="13"/>
                <w:szCs w:val="13"/>
              </w:rPr>
            </w:pPr>
            <w:r w:rsidRPr="00956FA1">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956FA1" w:rsidRDefault="00113336" w:rsidP="00113336">
            <w:pPr>
              <w:jc w:val="center"/>
              <w:rPr>
                <w:rFonts w:ascii="Arial" w:hAnsi="Arial" w:cs="Arial"/>
                <w:sz w:val="13"/>
                <w:szCs w:val="13"/>
              </w:rPr>
            </w:pPr>
            <w:r w:rsidRPr="00956FA1">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r w:rsidRPr="00956FA1">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956FA1" w:rsidRDefault="005B2EA9" w:rsidP="009B36BA">
            <w:pPr>
              <w:jc w:val="center"/>
              <w:rPr>
                <w:rFonts w:ascii="Arial" w:hAnsi="Arial" w:cs="Arial"/>
                <w:sz w:val="13"/>
                <w:szCs w:val="13"/>
              </w:rPr>
            </w:pPr>
            <w:r w:rsidRPr="00956FA1">
              <w:rPr>
                <w:rFonts w:ascii="Arial" w:hAnsi="Arial" w:cs="Arial"/>
                <w:b/>
                <w:sz w:val="13"/>
                <w:szCs w:val="13"/>
              </w:rPr>
              <w:t>CC</w:t>
            </w:r>
          </w:p>
          <w:p w:rsidR="00113336" w:rsidRPr="00956FA1" w:rsidRDefault="00113336" w:rsidP="009B36BA">
            <w:pPr>
              <w:jc w:val="center"/>
              <w:rPr>
                <w:rFonts w:ascii="Arial" w:hAnsi="Arial" w:cs="Arial"/>
                <w:sz w:val="13"/>
                <w:szCs w:val="13"/>
              </w:rPr>
            </w:pPr>
            <w:r w:rsidRPr="00956FA1">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956FA1" w:rsidRDefault="005B2EA9" w:rsidP="009B36BA">
            <w:pPr>
              <w:jc w:val="center"/>
              <w:rPr>
                <w:rFonts w:ascii="Arial" w:hAnsi="Arial" w:cs="Arial"/>
                <w:b/>
                <w:sz w:val="13"/>
                <w:szCs w:val="13"/>
              </w:rPr>
            </w:pPr>
            <w:r w:rsidRPr="00956FA1">
              <w:rPr>
                <w:rFonts w:ascii="Arial" w:hAnsi="Arial" w:cs="Arial"/>
                <w:b/>
                <w:sz w:val="13"/>
                <w:szCs w:val="13"/>
              </w:rPr>
              <w:t>H</w:t>
            </w:r>
          </w:p>
          <w:p w:rsidR="00113336" w:rsidRPr="00956FA1" w:rsidRDefault="005B2EA9" w:rsidP="009B36BA">
            <w:pPr>
              <w:jc w:val="center"/>
              <w:rPr>
                <w:rFonts w:ascii="Arial" w:hAnsi="Arial" w:cs="Arial"/>
                <w:sz w:val="13"/>
                <w:szCs w:val="13"/>
              </w:rPr>
            </w:pPr>
            <w:r w:rsidRPr="00956FA1">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r>
    </w:tbl>
    <w:p w:rsidR="00113336" w:rsidRPr="00956FA1" w:rsidRDefault="00113336" w:rsidP="00113336">
      <w:pPr>
        <w:tabs>
          <w:tab w:val="center" w:pos="5220"/>
          <w:tab w:val="right" w:pos="10440"/>
        </w:tabs>
        <w:jc w:val="center"/>
        <w:rPr>
          <w:rFonts w:ascii="Arial" w:hAnsi="Arial" w:cs="Arial"/>
          <w:sz w:val="22"/>
        </w:rPr>
      </w:pPr>
      <w:r w:rsidRPr="00956FA1">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956FA1"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956FA1"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956FA1"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MARCH – MARS</w:t>
            </w:r>
          </w:p>
        </w:tc>
      </w:tr>
      <w:tr w:rsidR="00113336" w:rsidRPr="00956FA1"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S</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M</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T</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W</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T</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F</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S</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956FA1"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S</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M</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T</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W</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T</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F</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S</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956FA1"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S</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M</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T</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W</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T</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F</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S</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S</w:t>
            </w:r>
          </w:p>
        </w:tc>
      </w:tr>
      <w:tr w:rsidR="00113336" w:rsidRPr="00956FA1"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956FA1" w:rsidRDefault="005B2EA9" w:rsidP="009B36BA">
            <w:pPr>
              <w:jc w:val="center"/>
              <w:rPr>
                <w:rFonts w:ascii="Arial" w:hAnsi="Arial" w:cs="Arial"/>
                <w:b/>
                <w:sz w:val="13"/>
                <w:szCs w:val="13"/>
              </w:rPr>
            </w:pPr>
            <w:r w:rsidRPr="00956FA1">
              <w:rPr>
                <w:rFonts w:ascii="Arial" w:hAnsi="Arial" w:cs="Arial"/>
                <w:b/>
                <w:sz w:val="13"/>
                <w:szCs w:val="13"/>
              </w:rPr>
              <w:t>H</w:t>
            </w:r>
          </w:p>
          <w:p w:rsidR="00113336" w:rsidRPr="00956FA1" w:rsidRDefault="005B2EA9" w:rsidP="009B36BA">
            <w:pPr>
              <w:jc w:val="center"/>
              <w:rPr>
                <w:rFonts w:ascii="Arial" w:hAnsi="Arial" w:cs="Arial"/>
                <w:sz w:val="13"/>
                <w:szCs w:val="13"/>
              </w:rPr>
            </w:pPr>
            <w:r w:rsidRPr="00956FA1">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6</w:t>
            </w:r>
          </w:p>
        </w:tc>
      </w:tr>
      <w:tr w:rsidR="00113336" w:rsidRPr="00956FA1"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956FA1" w:rsidRDefault="005B2EA9" w:rsidP="009B36BA">
            <w:pPr>
              <w:jc w:val="center"/>
              <w:rPr>
                <w:rFonts w:ascii="Arial" w:hAnsi="Arial" w:cs="Arial"/>
                <w:b/>
                <w:sz w:val="13"/>
                <w:szCs w:val="13"/>
              </w:rPr>
            </w:pPr>
            <w:r w:rsidRPr="00956FA1">
              <w:rPr>
                <w:rFonts w:ascii="Arial" w:hAnsi="Arial" w:cs="Arial"/>
                <w:b/>
                <w:sz w:val="13"/>
                <w:szCs w:val="13"/>
              </w:rPr>
              <w:t>CC</w:t>
            </w:r>
          </w:p>
          <w:p w:rsidR="00113336" w:rsidRPr="00956FA1" w:rsidRDefault="005B2EA9" w:rsidP="009B36BA">
            <w:pPr>
              <w:jc w:val="center"/>
              <w:rPr>
                <w:rFonts w:ascii="Arial" w:hAnsi="Arial" w:cs="Arial"/>
                <w:sz w:val="13"/>
                <w:szCs w:val="13"/>
              </w:rPr>
            </w:pPr>
            <w:r w:rsidRPr="00956FA1">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13</w:t>
            </w:r>
          </w:p>
        </w:tc>
      </w:tr>
      <w:tr w:rsidR="00113336" w:rsidRPr="00956FA1"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956FA1" w:rsidRDefault="005B2EA9" w:rsidP="009B36BA">
            <w:pPr>
              <w:jc w:val="center"/>
              <w:rPr>
                <w:rFonts w:ascii="Arial" w:hAnsi="Arial" w:cs="Arial"/>
                <w:b/>
                <w:sz w:val="13"/>
                <w:szCs w:val="13"/>
              </w:rPr>
            </w:pPr>
            <w:r w:rsidRPr="00956FA1">
              <w:rPr>
                <w:rFonts w:ascii="Arial" w:hAnsi="Arial" w:cs="Arial"/>
                <w:b/>
                <w:sz w:val="13"/>
                <w:szCs w:val="13"/>
              </w:rPr>
              <w:t>CC</w:t>
            </w:r>
          </w:p>
          <w:p w:rsidR="00113336" w:rsidRPr="00956FA1" w:rsidRDefault="005B2EA9" w:rsidP="009B36BA">
            <w:pPr>
              <w:jc w:val="center"/>
              <w:rPr>
                <w:rFonts w:ascii="Arial" w:hAnsi="Arial" w:cs="Arial"/>
                <w:sz w:val="13"/>
                <w:szCs w:val="13"/>
              </w:rPr>
            </w:pPr>
            <w:r w:rsidRPr="00956FA1">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956FA1" w:rsidRDefault="00D04577" w:rsidP="009B36BA">
            <w:pPr>
              <w:jc w:val="center"/>
              <w:rPr>
                <w:rFonts w:ascii="Arial" w:hAnsi="Arial" w:cs="Arial"/>
                <w:b/>
                <w:sz w:val="13"/>
                <w:szCs w:val="13"/>
              </w:rPr>
            </w:pPr>
            <w:r w:rsidRPr="00956FA1">
              <w:rPr>
                <w:rFonts w:ascii="Arial" w:hAnsi="Arial" w:cs="Arial"/>
                <w:b/>
                <w:sz w:val="13"/>
                <w:szCs w:val="13"/>
              </w:rPr>
              <w:t>CC</w:t>
            </w:r>
          </w:p>
          <w:p w:rsidR="00113336" w:rsidRPr="00956FA1" w:rsidRDefault="00D04577" w:rsidP="009B36BA">
            <w:pPr>
              <w:jc w:val="center"/>
              <w:rPr>
                <w:rFonts w:ascii="Arial" w:hAnsi="Arial" w:cs="Arial"/>
                <w:sz w:val="13"/>
                <w:szCs w:val="13"/>
              </w:rPr>
            </w:pPr>
            <w:r w:rsidRPr="00956FA1">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20</w:t>
            </w:r>
          </w:p>
        </w:tc>
      </w:tr>
      <w:tr w:rsidR="00113336" w:rsidRPr="00956FA1"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27</w:t>
            </w:r>
          </w:p>
        </w:tc>
      </w:tr>
      <w:tr w:rsidR="00113336" w:rsidRPr="00956FA1"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956FA1" w:rsidRDefault="005B2EA9" w:rsidP="005B2EA9">
            <w:pPr>
              <w:rPr>
                <w:rFonts w:ascii="Arial" w:hAnsi="Arial" w:cs="Arial"/>
                <w:sz w:val="13"/>
                <w:szCs w:val="13"/>
              </w:rPr>
            </w:pPr>
            <w:r w:rsidRPr="00956FA1">
              <w:rPr>
                <w:rFonts w:ascii="Arial" w:hAnsi="Arial" w:cs="Arial"/>
                <w:sz w:val="13"/>
                <w:szCs w:val="13"/>
              </w:rPr>
              <w:t xml:space="preserve">24 </w:t>
            </w:r>
            <w:r w:rsidRPr="00956FA1">
              <w:rPr>
                <w:rFonts w:ascii="Arial" w:hAnsi="Arial" w:cs="Arial"/>
                <w:sz w:val="13"/>
                <w:szCs w:val="13"/>
                <w:lang w:val="en-US"/>
              </w:rPr>
              <w:t>/</w:t>
            </w:r>
          </w:p>
          <w:p w:rsidR="00113336" w:rsidRPr="00956FA1" w:rsidRDefault="005B2EA9" w:rsidP="005B2EA9">
            <w:pPr>
              <w:jc w:val="center"/>
              <w:rPr>
                <w:rFonts w:ascii="Arial" w:hAnsi="Arial" w:cs="Arial"/>
                <w:sz w:val="13"/>
                <w:szCs w:val="13"/>
              </w:rPr>
            </w:pPr>
            <w:r w:rsidRPr="00956FA1">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956FA1" w:rsidRDefault="005B2EA9" w:rsidP="009B36BA">
            <w:pPr>
              <w:jc w:val="center"/>
              <w:rPr>
                <w:rFonts w:ascii="Arial" w:hAnsi="Arial" w:cs="Arial"/>
                <w:sz w:val="13"/>
                <w:szCs w:val="13"/>
              </w:rPr>
            </w:pPr>
            <w:r w:rsidRPr="00956FA1">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r>
      <w:tr w:rsidR="00113336" w:rsidRPr="00956FA1"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956FA1"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956FA1"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JUNE – JUIN</w:t>
            </w:r>
          </w:p>
        </w:tc>
      </w:tr>
      <w:tr w:rsidR="00113336" w:rsidRPr="00956FA1"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S</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M</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T</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W</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T</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F</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S</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956FA1"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S</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M</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T</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W</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T</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F</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S</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956FA1"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S</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M</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T</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W</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T</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F</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S</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S</w:t>
            </w:r>
          </w:p>
        </w:tc>
      </w:tr>
      <w:tr w:rsidR="00113336" w:rsidRPr="00956FA1"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956FA1" w:rsidRDefault="00D04577" w:rsidP="009B36BA">
            <w:pPr>
              <w:jc w:val="center"/>
              <w:rPr>
                <w:rFonts w:ascii="Arial" w:hAnsi="Arial" w:cs="Arial"/>
                <w:b/>
                <w:sz w:val="13"/>
                <w:szCs w:val="13"/>
              </w:rPr>
            </w:pPr>
            <w:r w:rsidRPr="00956FA1">
              <w:rPr>
                <w:rFonts w:ascii="Arial" w:hAnsi="Arial" w:cs="Arial"/>
                <w:b/>
                <w:sz w:val="13"/>
                <w:szCs w:val="13"/>
              </w:rPr>
              <w:t>H</w:t>
            </w:r>
          </w:p>
          <w:p w:rsidR="00113336" w:rsidRPr="00956FA1" w:rsidRDefault="00D04577" w:rsidP="009B36BA">
            <w:pPr>
              <w:jc w:val="center"/>
              <w:rPr>
                <w:rFonts w:ascii="Arial" w:hAnsi="Arial" w:cs="Arial"/>
                <w:sz w:val="13"/>
                <w:szCs w:val="13"/>
              </w:rPr>
            </w:pPr>
            <w:r w:rsidRPr="00956FA1">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956FA1" w:rsidRDefault="00D04577" w:rsidP="00D04577">
            <w:pPr>
              <w:jc w:val="center"/>
              <w:rPr>
                <w:rFonts w:ascii="Arial" w:hAnsi="Arial" w:cs="Arial"/>
                <w:sz w:val="13"/>
                <w:szCs w:val="13"/>
              </w:rPr>
            </w:pPr>
            <w:r w:rsidRPr="00956FA1">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5</w:t>
            </w:r>
          </w:p>
        </w:tc>
      </w:tr>
      <w:tr w:rsidR="00113336" w:rsidRPr="00956FA1"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956FA1" w:rsidRDefault="00D04577" w:rsidP="009B36BA">
            <w:pPr>
              <w:jc w:val="center"/>
              <w:rPr>
                <w:rFonts w:ascii="Arial" w:hAnsi="Arial" w:cs="Arial"/>
                <w:b/>
                <w:sz w:val="13"/>
                <w:szCs w:val="13"/>
              </w:rPr>
            </w:pPr>
            <w:r w:rsidRPr="00956FA1">
              <w:rPr>
                <w:rFonts w:ascii="Arial" w:hAnsi="Arial" w:cs="Arial"/>
                <w:b/>
                <w:sz w:val="13"/>
                <w:szCs w:val="13"/>
              </w:rPr>
              <w:t>H</w:t>
            </w:r>
          </w:p>
          <w:p w:rsidR="00113336" w:rsidRPr="00956FA1" w:rsidRDefault="00D04577" w:rsidP="009B36BA">
            <w:pPr>
              <w:jc w:val="center"/>
              <w:rPr>
                <w:rFonts w:ascii="Arial" w:hAnsi="Arial" w:cs="Arial"/>
                <w:sz w:val="13"/>
                <w:szCs w:val="13"/>
              </w:rPr>
            </w:pPr>
            <w:r w:rsidRPr="00956FA1">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956FA1" w:rsidRDefault="00D04577" w:rsidP="009B36BA">
            <w:pPr>
              <w:jc w:val="center"/>
              <w:rPr>
                <w:rFonts w:ascii="Arial" w:hAnsi="Arial" w:cs="Arial"/>
                <w:b/>
                <w:sz w:val="13"/>
                <w:szCs w:val="13"/>
              </w:rPr>
            </w:pPr>
            <w:r w:rsidRPr="00956FA1">
              <w:rPr>
                <w:rFonts w:ascii="Arial" w:hAnsi="Arial" w:cs="Arial"/>
                <w:b/>
                <w:sz w:val="13"/>
                <w:szCs w:val="13"/>
              </w:rPr>
              <w:t>CC</w:t>
            </w:r>
          </w:p>
          <w:p w:rsidR="00113336" w:rsidRPr="00956FA1" w:rsidRDefault="00D04577" w:rsidP="009B36BA">
            <w:pPr>
              <w:jc w:val="center"/>
              <w:rPr>
                <w:rFonts w:ascii="Arial" w:hAnsi="Arial" w:cs="Arial"/>
                <w:sz w:val="13"/>
                <w:szCs w:val="13"/>
              </w:rPr>
            </w:pPr>
            <w:r w:rsidRPr="00956FA1">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12</w:t>
            </w:r>
          </w:p>
        </w:tc>
      </w:tr>
      <w:tr w:rsidR="00113336" w:rsidRPr="00956FA1"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956FA1" w:rsidRDefault="00D04577" w:rsidP="009B36BA">
            <w:pPr>
              <w:jc w:val="center"/>
              <w:rPr>
                <w:rFonts w:ascii="Arial" w:hAnsi="Arial" w:cs="Arial"/>
                <w:b/>
                <w:sz w:val="13"/>
                <w:szCs w:val="13"/>
              </w:rPr>
            </w:pPr>
            <w:r w:rsidRPr="00956FA1">
              <w:rPr>
                <w:rFonts w:ascii="Arial" w:hAnsi="Arial" w:cs="Arial"/>
                <w:b/>
                <w:sz w:val="13"/>
                <w:szCs w:val="13"/>
              </w:rPr>
              <w:t>CC</w:t>
            </w:r>
          </w:p>
          <w:p w:rsidR="00113336" w:rsidRPr="00956FA1" w:rsidRDefault="00D04577" w:rsidP="009B36BA">
            <w:pPr>
              <w:jc w:val="center"/>
              <w:rPr>
                <w:rFonts w:ascii="Arial" w:hAnsi="Arial" w:cs="Arial"/>
                <w:sz w:val="13"/>
                <w:szCs w:val="13"/>
              </w:rPr>
            </w:pPr>
            <w:r w:rsidRPr="00956FA1">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956FA1" w:rsidRDefault="00D04577" w:rsidP="009B36BA">
            <w:pPr>
              <w:jc w:val="center"/>
              <w:rPr>
                <w:rFonts w:ascii="Arial" w:hAnsi="Arial" w:cs="Arial"/>
                <w:b/>
                <w:sz w:val="13"/>
                <w:szCs w:val="13"/>
              </w:rPr>
            </w:pPr>
            <w:r w:rsidRPr="00956FA1">
              <w:rPr>
                <w:rFonts w:ascii="Arial" w:hAnsi="Arial" w:cs="Arial"/>
                <w:b/>
                <w:sz w:val="13"/>
                <w:szCs w:val="13"/>
              </w:rPr>
              <w:t>CC</w:t>
            </w:r>
          </w:p>
          <w:p w:rsidR="00113336" w:rsidRPr="00956FA1" w:rsidRDefault="00D04577" w:rsidP="009B36BA">
            <w:pPr>
              <w:jc w:val="center"/>
              <w:rPr>
                <w:rFonts w:ascii="Arial" w:hAnsi="Arial" w:cs="Arial"/>
                <w:sz w:val="13"/>
                <w:szCs w:val="13"/>
              </w:rPr>
            </w:pPr>
            <w:r w:rsidRPr="00956FA1">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19</w:t>
            </w:r>
          </w:p>
        </w:tc>
      </w:tr>
      <w:tr w:rsidR="00113336" w:rsidRPr="00956FA1"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D04577" w:rsidP="00D04577">
            <w:pPr>
              <w:jc w:val="center"/>
              <w:rPr>
                <w:rFonts w:ascii="Arial" w:hAnsi="Arial" w:cs="Arial"/>
                <w:sz w:val="13"/>
                <w:szCs w:val="13"/>
              </w:rPr>
            </w:pPr>
            <w:r w:rsidRPr="00956FA1">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D04577" w:rsidP="00D04577">
            <w:pPr>
              <w:jc w:val="center"/>
              <w:rPr>
                <w:rFonts w:ascii="Arial" w:hAnsi="Arial" w:cs="Arial"/>
                <w:sz w:val="13"/>
                <w:szCs w:val="13"/>
              </w:rPr>
            </w:pPr>
            <w:r w:rsidRPr="00956FA1">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D04577" w:rsidP="00D04577">
            <w:pPr>
              <w:jc w:val="center"/>
              <w:rPr>
                <w:rFonts w:ascii="Arial" w:hAnsi="Arial" w:cs="Arial"/>
                <w:sz w:val="13"/>
                <w:szCs w:val="13"/>
              </w:rPr>
            </w:pPr>
            <w:r w:rsidRPr="00956FA1">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D04577" w:rsidP="00D04577">
            <w:pPr>
              <w:jc w:val="center"/>
              <w:rPr>
                <w:rFonts w:ascii="Arial" w:hAnsi="Arial" w:cs="Arial"/>
                <w:sz w:val="13"/>
                <w:szCs w:val="13"/>
              </w:rPr>
            </w:pPr>
            <w:r w:rsidRPr="00956FA1">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D04577" w:rsidP="00D04577">
            <w:pPr>
              <w:jc w:val="center"/>
              <w:rPr>
                <w:rFonts w:ascii="Arial" w:hAnsi="Arial" w:cs="Arial"/>
                <w:sz w:val="13"/>
                <w:szCs w:val="13"/>
              </w:rPr>
            </w:pPr>
            <w:r w:rsidRPr="00956FA1">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956FA1" w:rsidRDefault="00D04577" w:rsidP="00D04577">
            <w:pPr>
              <w:jc w:val="center"/>
              <w:rPr>
                <w:rFonts w:ascii="Arial" w:hAnsi="Arial" w:cs="Arial"/>
                <w:sz w:val="13"/>
                <w:szCs w:val="13"/>
              </w:rPr>
            </w:pPr>
            <w:r w:rsidRPr="00956FA1">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956FA1" w:rsidRDefault="00D04577" w:rsidP="00D04577">
            <w:pPr>
              <w:jc w:val="center"/>
              <w:rPr>
                <w:rFonts w:ascii="Arial" w:hAnsi="Arial" w:cs="Arial"/>
                <w:sz w:val="13"/>
                <w:szCs w:val="13"/>
              </w:rPr>
            </w:pPr>
            <w:r w:rsidRPr="00956FA1">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26</w:t>
            </w:r>
          </w:p>
        </w:tc>
      </w:tr>
      <w:tr w:rsidR="00113336" w:rsidRPr="00956FA1"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956FA1" w:rsidRDefault="00D04577" w:rsidP="00D04577">
            <w:pPr>
              <w:jc w:val="center"/>
              <w:rPr>
                <w:rFonts w:ascii="Arial" w:hAnsi="Arial" w:cs="Arial"/>
                <w:sz w:val="13"/>
                <w:szCs w:val="13"/>
              </w:rPr>
            </w:pPr>
            <w:r w:rsidRPr="00956FA1">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956FA1" w:rsidRDefault="00D04577" w:rsidP="00D04577">
            <w:pPr>
              <w:jc w:val="center"/>
              <w:rPr>
                <w:rFonts w:ascii="Arial" w:hAnsi="Arial" w:cs="Arial"/>
                <w:sz w:val="13"/>
                <w:szCs w:val="13"/>
              </w:rPr>
            </w:pPr>
            <w:r w:rsidRPr="00956FA1">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956FA1" w:rsidRDefault="00D04577" w:rsidP="00D04577">
            <w:pPr>
              <w:jc w:val="center"/>
              <w:rPr>
                <w:rFonts w:ascii="Arial" w:hAnsi="Arial" w:cs="Arial"/>
                <w:b/>
                <w:sz w:val="13"/>
                <w:szCs w:val="13"/>
              </w:rPr>
            </w:pPr>
            <w:r w:rsidRPr="00956FA1">
              <w:rPr>
                <w:rFonts w:ascii="Arial" w:hAnsi="Arial" w:cs="Arial"/>
                <w:b/>
                <w:sz w:val="13"/>
                <w:szCs w:val="13"/>
              </w:rPr>
              <w:t>H</w:t>
            </w:r>
          </w:p>
          <w:p w:rsidR="00113336" w:rsidRPr="00956FA1" w:rsidRDefault="00D04577" w:rsidP="00D04577">
            <w:pPr>
              <w:jc w:val="center"/>
              <w:rPr>
                <w:rFonts w:ascii="Arial" w:hAnsi="Arial" w:cs="Arial"/>
                <w:sz w:val="13"/>
                <w:szCs w:val="13"/>
              </w:rPr>
            </w:pPr>
            <w:r w:rsidRPr="00956FA1">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956FA1" w:rsidRDefault="00D04577" w:rsidP="00D04577">
            <w:pPr>
              <w:jc w:val="center"/>
              <w:rPr>
                <w:rFonts w:ascii="Arial" w:hAnsi="Arial" w:cs="Arial"/>
                <w:sz w:val="13"/>
                <w:szCs w:val="13"/>
              </w:rPr>
            </w:pPr>
            <w:r w:rsidRPr="00956FA1">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956FA1" w:rsidRDefault="00D04577" w:rsidP="00D04577">
            <w:pPr>
              <w:jc w:val="center"/>
              <w:rPr>
                <w:rFonts w:ascii="Arial" w:hAnsi="Arial" w:cs="Arial"/>
                <w:sz w:val="13"/>
                <w:szCs w:val="13"/>
              </w:rPr>
            </w:pPr>
            <w:r w:rsidRPr="00956FA1">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956FA1" w:rsidRDefault="00D04577" w:rsidP="00D04577">
            <w:pPr>
              <w:jc w:val="center"/>
              <w:rPr>
                <w:rFonts w:ascii="Arial" w:hAnsi="Arial" w:cs="Arial"/>
                <w:sz w:val="13"/>
                <w:szCs w:val="13"/>
              </w:rPr>
            </w:pPr>
            <w:r w:rsidRPr="00956FA1">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956FA1" w:rsidRDefault="00D04577" w:rsidP="00D04577">
            <w:pPr>
              <w:jc w:val="center"/>
              <w:rPr>
                <w:rFonts w:ascii="Arial" w:hAnsi="Arial" w:cs="Arial"/>
                <w:sz w:val="13"/>
                <w:szCs w:val="13"/>
              </w:rPr>
            </w:pPr>
            <w:r w:rsidRPr="00956FA1">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956FA1" w:rsidRDefault="00D04577" w:rsidP="00D04577">
            <w:pPr>
              <w:jc w:val="center"/>
              <w:rPr>
                <w:rFonts w:ascii="Arial" w:hAnsi="Arial" w:cs="Arial"/>
                <w:sz w:val="13"/>
                <w:szCs w:val="13"/>
              </w:rPr>
            </w:pPr>
            <w:r w:rsidRPr="00956FA1">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956FA1" w:rsidRDefault="00D04577" w:rsidP="009B36BA">
            <w:pPr>
              <w:jc w:val="center"/>
              <w:rPr>
                <w:rFonts w:ascii="Arial" w:hAnsi="Arial" w:cs="Arial"/>
                <w:sz w:val="13"/>
                <w:szCs w:val="13"/>
              </w:rPr>
            </w:pPr>
            <w:r w:rsidRPr="00956FA1">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r>
      <w:tr w:rsidR="00D04577" w:rsidRPr="00956FA1"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956FA1"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956FA1"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956FA1"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956FA1"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956FA1"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956FA1" w:rsidRDefault="00D04577" w:rsidP="009B36BA">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956FA1" w:rsidRDefault="00D04577"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956FA1" w:rsidRDefault="00D04577" w:rsidP="009B36BA">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956FA1" w:rsidRDefault="00D04577" w:rsidP="00D04577">
            <w:pPr>
              <w:jc w:val="center"/>
              <w:rPr>
                <w:rFonts w:ascii="Arial" w:hAnsi="Arial" w:cs="Arial"/>
                <w:sz w:val="13"/>
                <w:szCs w:val="13"/>
              </w:rPr>
            </w:pPr>
            <w:r w:rsidRPr="00956FA1">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956FA1" w:rsidRDefault="00D04577" w:rsidP="00D04577">
            <w:pPr>
              <w:jc w:val="center"/>
              <w:rPr>
                <w:rFonts w:ascii="Arial" w:hAnsi="Arial" w:cs="Arial"/>
                <w:sz w:val="13"/>
                <w:szCs w:val="13"/>
              </w:rPr>
            </w:pPr>
            <w:r w:rsidRPr="00956FA1">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956FA1"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956FA1"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956FA1"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956FA1"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956FA1"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956FA1" w:rsidRDefault="00D04577" w:rsidP="009B36BA">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956FA1"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956FA1"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956FA1"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956FA1"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956FA1"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956FA1" w:rsidRDefault="00D04577" w:rsidP="009B36BA">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956FA1" w:rsidRDefault="00D04577" w:rsidP="009B36BA">
            <w:pPr>
              <w:jc w:val="center"/>
              <w:rPr>
                <w:rFonts w:ascii="Arial" w:hAnsi="Arial" w:cs="Arial"/>
                <w:sz w:val="13"/>
                <w:szCs w:val="13"/>
              </w:rPr>
            </w:pPr>
          </w:p>
        </w:tc>
      </w:tr>
      <w:tr w:rsidR="00113336" w:rsidRPr="00956FA1"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956FA1"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956FA1"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SEPTEMBER – SEPTEMBRE</w:t>
            </w:r>
          </w:p>
        </w:tc>
      </w:tr>
      <w:tr w:rsidR="00113336" w:rsidRPr="00956FA1"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S</w:t>
            </w:r>
          </w:p>
          <w:p w:rsidR="00113336" w:rsidRPr="00956FA1" w:rsidRDefault="00113336" w:rsidP="009B36BA">
            <w:pPr>
              <w:tabs>
                <w:tab w:val="center" w:pos="5220"/>
                <w:tab w:val="right" w:pos="10440"/>
              </w:tabs>
              <w:jc w:val="center"/>
              <w:rPr>
                <w:rFonts w:ascii="Arial" w:hAnsi="Arial" w:cs="Arial"/>
                <w:b/>
                <w:sz w:val="16"/>
                <w:szCs w:val="16"/>
              </w:rPr>
            </w:pPr>
            <w:r w:rsidRPr="00956FA1">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M</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T</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W</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T</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F</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S</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956FA1"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S</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M</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T</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W</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T</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F</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S</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956FA1"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S</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M</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T</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W</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T</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F</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S</w:t>
            </w:r>
          </w:p>
          <w:p w:rsidR="00113336" w:rsidRPr="00956FA1" w:rsidRDefault="00113336" w:rsidP="009B36BA">
            <w:pPr>
              <w:tabs>
                <w:tab w:val="center" w:pos="5220"/>
                <w:tab w:val="right" w:pos="10440"/>
              </w:tabs>
              <w:jc w:val="center"/>
              <w:rPr>
                <w:rFonts w:ascii="Arial" w:hAnsi="Arial" w:cs="Arial"/>
                <w:b/>
                <w:sz w:val="13"/>
                <w:szCs w:val="13"/>
              </w:rPr>
            </w:pPr>
            <w:r w:rsidRPr="00956FA1">
              <w:rPr>
                <w:rFonts w:ascii="Arial" w:hAnsi="Arial" w:cs="Arial"/>
                <w:b/>
                <w:sz w:val="13"/>
                <w:szCs w:val="13"/>
              </w:rPr>
              <w:t>S</w:t>
            </w:r>
          </w:p>
        </w:tc>
      </w:tr>
      <w:tr w:rsidR="00113336" w:rsidRPr="00956FA1"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956FA1" w:rsidRDefault="00A067B5" w:rsidP="009B36BA">
            <w:pPr>
              <w:jc w:val="center"/>
              <w:rPr>
                <w:rFonts w:ascii="Arial" w:hAnsi="Arial" w:cs="Arial"/>
                <w:b/>
                <w:sz w:val="13"/>
                <w:szCs w:val="13"/>
              </w:rPr>
            </w:pPr>
            <w:r w:rsidRPr="00956FA1">
              <w:rPr>
                <w:rFonts w:ascii="Arial" w:hAnsi="Arial" w:cs="Arial"/>
                <w:b/>
                <w:sz w:val="13"/>
                <w:szCs w:val="13"/>
              </w:rPr>
              <w:t>H</w:t>
            </w:r>
          </w:p>
          <w:p w:rsidR="00113336" w:rsidRPr="00956FA1" w:rsidRDefault="00A067B5" w:rsidP="009B36BA">
            <w:pPr>
              <w:jc w:val="center"/>
              <w:rPr>
                <w:rFonts w:ascii="Arial" w:hAnsi="Arial" w:cs="Arial"/>
                <w:sz w:val="13"/>
                <w:szCs w:val="13"/>
              </w:rPr>
            </w:pPr>
            <w:r w:rsidRPr="00956FA1">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956FA1" w:rsidRDefault="00A067B5" w:rsidP="009B36BA">
            <w:pPr>
              <w:jc w:val="center"/>
              <w:rPr>
                <w:rFonts w:ascii="Arial" w:hAnsi="Arial" w:cs="Arial"/>
                <w:b/>
                <w:sz w:val="13"/>
                <w:szCs w:val="13"/>
              </w:rPr>
            </w:pPr>
            <w:r w:rsidRPr="00956FA1">
              <w:rPr>
                <w:rFonts w:ascii="Arial" w:hAnsi="Arial" w:cs="Arial"/>
                <w:b/>
                <w:sz w:val="13"/>
                <w:szCs w:val="13"/>
              </w:rPr>
              <w:t>H</w:t>
            </w:r>
          </w:p>
          <w:p w:rsidR="00113336" w:rsidRPr="00956FA1" w:rsidRDefault="00A067B5" w:rsidP="009B36BA">
            <w:pPr>
              <w:jc w:val="center"/>
              <w:rPr>
                <w:rFonts w:ascii="Arial" w:hAnsi="Arial" w:cs="Arial"/>
                <w:sz w:val="13"/>
                <w:szCs w:val="13"/>
              </w:rPr>
            </w:pPr>
            <w:r w:rsidRPr="00956FA1">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113336" w:rsidP="009B36BA">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4</w:t>
            </w:r>
          </w:p>
        </w:tc>
      </w:tr>
      <w:tr w:rsidR="00113336" w:rsidRPr="00956FA1"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956FA1" w:rsidRDefault="00A067B5" w:rsidP="009B36BA">
            <w:pPr>
              <w:jc w:val="center"/>
              <w:rPr>
                <w:rFonts w:ascii="Arial" w:hAnsi="Arial" w:cs="Arial"/>
                <w:b/>
                <w:sz w:val="13"/>
                <w:szCs w:val="13"/>
              </w:rPr>
            </w:pPr>
            <w:r w:rsidRPr="00956FA1">
              <w:rPr>
                <w:rFonts w:ascii="Arial" w:hAnsi="Arial" w:cs="Arial"/>
                <w:b/>
                <w:sz w:val="13"/>
                <w:szCs w:val="13"/>
              </w:rPr>
              <w:t>H</w:t>
            </w:r>
          </w:p>
          <w:p w:rsidR="00113336" w:rsidRPr="00956FA1" w:rsidRDefault="00A067B5" w:rsidP="009B36BA">
            <w:pPr>
              <w:jc w:val="center"/>
              <w:rPr>
                <w:rFonts w:ascii="Arial" w:hAnsi="Arial" w:cs="Arial"/>
                <w:sz w:val="13"/>
                <w:szCs w:val="13"/>
              </w:rPr>
            </w:pPr>
            <w:r w:rsidRPr="00956FA1">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956FA1" w:rsidRDefault="00A067B5" w:rsidP="009B36BA">
            <w:pPr>
              <w:jc w:val="center"/>
              <w:rPr>
                <w:rFonts w:ascii="Arial" w:hAnsi="Arial" w:cs="Arial"/>
                <w:b/>
                <w:sz w:val="13"/>
                <w:szCs w:val="13"/>
              </w:rPr>
            </w:pPr>
            <w:r w:rsidRPr="00956FA1">
              <w:rPr>
                <w:rFonts w:ascii="Arial" w:hAnsi="Arial" w:cs="Arial"/>
                <w:b/>
                <w:sz w:val="13"/>
                <w:szCs w:val="13"/>
              </w:rPr>
              <w:t>RH</w:t>
            </w:r>
          </w:p>
          <w:p w:rsidR="00113336" w:rsidRPr="00956FA1" w:rsidRDefault="00A067B5" w:rsidP="009B36BA">
            <w:pPr>
              <w:jc w:val="center"/>
              <w:rPr>
                <w:rFonts w:ascii="Arial" w:hAnsi="Arial" w:cs="Arial"/>
                <w:sz w:val="13"/>
                <w:szCs w:val="13"/>
              </w:rPr>
            </w:pPr>
            <w:r w:rsidRPr="00956FA1">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956FA1" w:rsidRDefault="00A067B5" w:rsidP="009B36BA">
            <w:pPr>
              <w:jc w:val="center"/>
              <w:rPr>
                <w:rFonts w:ascii="Arial" w:hAnsi="Arial" w:cs="Arial"/>
                <w:b/>
                <w:sz w:val="13"/>
                <w:szCs w:val="13"/>
              </w:rPr>
            </w:pPr>
            <w:r w:rsidRPr="00956FA1">
              <w:rPr>
                <w:rFonts w:ascii="Arial" w:hAnsi="Arial" w:cs="Arial"/>
                <w:b/>
                <w:sz w:val="13"/>
                <w:szCs w:val="13"/>
              </w:rPr>
              <w:t>RH</w:t>
            </w:r>
          </w:p>
          <w:p w:rsidR="00113336" w:rsidRPr="00956FA1" w:rsidRDefault="00A067B5" w:rsidP="009B36BA">
            <w:pPr>
              <w:jc w:val="center"/>
              <w:rPr>
                <w:rFonts w:ascii="Arial" w:hAnsi="Arial" w:cs="Arial"/>
                <w:sz w:val="13"/>
                <w:szCs w:val="13"/>
              </w:rPr>
            </w:pPr>
            <w:r w:rsidRPr="00956FA1">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11</w:t>
            </w:r>
          </w:p>
        </w:tc>
      </w:tr>
      <w:tr w:rsidR="00113336" w:rsidRPr="00956FA1"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956FA1" w:rsidRDefault="00A067B5" w:rsidP="009B36BA">
            <w:pPr>
              <w:jc w:val="center"/>
              <w:rPr>
                <w:rFonts w:ascii="Arial" w:hAnsi="Arial" w:cs="Arial"/>
                <w:b/>
                <w:sz w:val="13"/>
                <w:szCs w:val="13"/>
              </w:rPr>
            </w:pPr>
            <w:r w:rsidRPr="00956FA1">
              <w:rPr>
                <w:rFonts w:ascii="Arial" w:hAnsi="Arial" w:cs="Arial"/>
                <w:b/>
                <w:sz w:val="13"/>
                <w:szCs w:val="13"/>
              </w:rPr>
              <w:t>YK</w:t>
            </w:r>
          </w:p>
          <w:p w:rsidR="00113336" w:rsidRPr="00956FA1" w:rsidRDefault="00A067B5" w:rsidP="009B36BA">
            <w:pPr>
              <w:jc w:val="center"/>
              <w:rPr>
                <w:rFonts w:ascii="Arial" w:hAnsi="Arial" w:cs="Arial"/>
                <w:sz w:val="13"/>
                <w:szCs w:val="13"/>
              </w:rPr>
            </w:pPr>
            <w:r w:rsidRPr="00956FA1">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18</w:t>
            </w:r>
          </w:p>
        </w:tc>
      </w:tr>
      <w:tr w:rsidR="00113336" w:rsidRPr="00956FA1"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25</w:t>
            </w:r>
          </w:p>
        </w:tc>
      </w:tr>
      <w:tr w:rsidR="00113336" w:rsidRPr="00956FA1"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956FA1" w:rsidRDefault="00A067B5" w:rsidP="00A067B5">
            <w:pPr>
              <w:jc w:val="center"/>
              <w:rPr>
                <w:rFonts w:ascii="Arial" w:hAnsi="Arial" w:cs="Arial"/>
                <w:sz w:val="13"/>
                <w:szCs w:val="13"/>
              </w:rPr>
            </w:pPr>
            <w:r w:rsidRPr="00956FA1">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A067B5">
            <w:pPr>
              <w:jc w:val="center"/>
              <w:rPr>
                <w:rFonts w:ascii="Arial" w:hAnsi="Arial" w:cs="Arial"/>
                <w:sz w:val="13"/>
                <w:szCs w:val="13"/>
              </w:rPr>
            </w:pPr>
            <w:r w:rsidRPr="00956FA1">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A067B5">
            <w:pPr>
              <w:jc w:val="center"/>
              <w:rPr>
                <w:rFonts w:ascii="Arial" w:hAnsi="Arial" w:cs="Arial"/>
                <w:sz w:val="13"/>
                <w:szCs w:val="13"/>
              </w:rPr>
            </w:pPr>
            <w:r w:rsidRPr="00956FA1">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956FA1"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956FA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A067B5" w:rsidP="009B36BA">
            <w:pPr>
              <w:jc w:val="center"/>
              <w:rPr>
                <w:rFonts w:ascii="Arial" w:hAnsi="Arial" w:cs="Arial"/>
                <w:sz w:val="13"/>
                <w:szCs w:val="13"/>
              </w:rPr>
            </w:pPr>
            <w:r w:rsidRPr="00956FA1">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956FA1" w:rsidRDefault="00113336" w:rsidP="009B36BA">
            <w:pPr>
              <w:jc w:val="center"/>
              <w:rPr>
                <w:rFonts w:ascii="Arial" w:hAnsi="Arial" w:cs="Arial"/>
                <w:sz w:val="13"/>
                <w:szCs w:val="13"/>
              </w:rPr>
            </w:pPr>
          </w:p>
        </w:tc>
      </w:tr>
    </w:tbl>
    <w:p w:rsidR="00113336" w:rsidRPr="00956FA1"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956FA1" w:rsidTr="00B4618C">
        <w:trPr>
          <w:trHeight w:val="445"/>
        </w:trPr>
        <w:tc>
          <w:tcPr>
            <w:tcW w:w="1890" w:type="dxa"/>
            <w:tcBorders>
              <w:top w:val="nil"/>
              <w:left w:val="nil"/>
              <w:bottom w:val="nil"/>
              <w:right w:val="single" w:sz="4" w:space="0" w:color="000000" w:themeColor="text1"/>
            </w:tcBorders>
            <w:vAlign w:val="center"/>
            <w:hideMark/>
          </w:tcPr>
          <w:p w:rsidR="00113336" w:rsidRPr="00956FA1" w:rsidRDefault="00113336" w:rsidP="009B36BA">
            <w:pPr>
              <w:rPr>
                <w:rFonts w:ascii="Arial" w:hAnsi="Arial" w:cs="Arial"/>
                <w:b/>
                <w:sz w:val="13"/>
                <w:szCs w:val="13"/>
              </w:rPr>
            </w:pPr>
            <w:r w:rsidRPr="00956FA1">
              <w:rPr>
                <w:rFonts w:ascii="Arial" w:hAnsi="Arial" w:cs="Arial"/>
                <w:b/>
                <w:sz w:val="13"/>
                <w:szCs w:val="13"/>
              </w:rPr>
              <w:t>Sitting of the Court /</w:t>
            </w:r>
          </w:p>
          <w:p w:rsidR="00113336" w:rsidRPr="00956FA1" w:rsidRDefault="00113336" w:rsidP="009B36BA">
            <w:pPr>
              <w:rPr>
                <w:rFonts w:ascii="Arial" w:hAnsi="Arial" w:cs="Arial"/>
                <w:b/>
                <w:sz w:val="13"/>
                <w:szCs w:val="13"/>
              </w:rPr>
            </w:pPr>
            <w:r w:rsidRPr="00956FA1">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956FA1" w:rsidRDefault="00113336" w:rsidP="009B36BA">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956FA1" w:rsidRDefault="00113336" w:rsidP="009B36BA">
            <w:pPr>
              <w:tabs>
                <w:tab w:val="left" w:pos="203"/>
              </w:tabs>
              <w:spacing w:after="120"/>
              <w:rPr>
                <w:rFonts w:ascii="Arial" w:hAnsi="Arial" w:cs="Arial"/>
                <w:b/>
                <w:sz w:val="13"/>
                <w:szCs w:val="13"/>
                <w:lang w:val="fr-CA"/>
              </w:rPr>
            </w:pPr>
            <w:r w:rsidRPr="00956FA1">
              <w:rPr>
                <w:rFonts w:ascii="Arial" w:hAnsi="Arial" w:cs="Arial"/>
                <w:b/>
                <w:sz w:val="13"/>
                <w:szCs w:val="13"/>
                <w:lang w:val="fr-CA"/>
              </w:rPr>
              <w:t>18</w:t>
            </w:r>
            <w:r w:rsidRPr="00956FA1">
              <w:rPr>
                <w:rFonts w:ascii="Arial" w:hAnsi="Arial" w:cs="Arial"/>
                <w:b/>
                <w:sz w:val="13"/>
                <w:szCs w:val="13"/>
                <w:lang w:val="fr-CA"/>
              </w:rPr>
              <w:tab/>
              <w:t xml:space="preserve"> sitting weeks / semaines séances de la Cour</w:t>
            </w:r>
          </w:p>
          <w:p w:rsidR="00113336" w:rsidRPr="00956FA1" w:rsidRDefault="00113336" w:rsidP="00B4618C">
            <w:pPr>
              <w:tabs>
                <w:tab w:val="left" w:pos="203"/>
              </w:tabs>
              <w:rPr>
                <w:rFonts w:ascii="Arial" w:hAnsi="Arial" w:cs="Arial"/>
                <w:b/>
                <w:sz w:val="13"/>
                <w:szCs w:val="13"/>
                <w:lang w:val="fr-CA"/>
              </w:rPr>
            </w:pPr>
            <w:r w:rsidRPr="00956FA1">
              <w:rPr>
                <w:rFonts w:ascii="Arial" w:hAnsi="Arial" w:cs="Arial"/>
                <w:b/>
                <w:sz w:val="13"/>
                <w:szCs w:val="13"/>
                <w:lang w:val="fr-CA"/>
              </w:rPr>
              <w:t>8</w:t>
            </w:r>
            <w:r w:rsidR="00B4618C" w:rsidRPr="00956FA1">
              <w:rPr>
                <w:rFonts w:ascii="Arial" w:hAnsi="Arial" w:cs="Arial"/>
                <w:b/>
                <w:sz w:val="13"/>
                <w:szCs w:val="13"/>
                <w:lang w:val="fr-CA"/>
              </w:rPr>
              <w:t>8</w:t>
            </w:r>
            <w:r w:rsidRPr="00956FA1">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956FA1" w:rsidRDefault="00113336" w:rsidP="009B36BA">
            <w:pPr>
              <w:spacing w:after="120"/>
              <w:rPr>
                <w:rFonts w:ascii="Arial" w:hAnsi="Arial" w:cs="Arial"/>
                <w:b/>
                <w:sz w:val="13"/>
                <w:szCs w:val="13"/>
                <w:lang w:val="fr-FR"/>
              </w:rPr>
            </w:pPr>
            <w:r w:rsidRPr="00956FA1">
              <w:rPr>
                <w:rFonts w:ascii="Arial" w:hAnsi="Arial" w:cs="Arial"/>
                <w:b/>
                <w:sz w:val="13"/>
                <w:szCs w:val="13"/>
                <w:lang w:val="fr-FR"/>
              </w:rPr>
              <w:t>Rosh Hashanah / Nouvel An juif</w:t>
            </w:r>
          </w:p>
          <w:p w:rsidR="00113336" w:rsidRPr="00956FA1" w:rsidRDefault="00113336" w:rsidP="00B4618C">
            <w:pPr>
              <w:rPr>
                <w:rFonts w:ascii="Arial" w:hAnsi="Arial" w:cs="Arial"/>
                <w:b/>
                <w:sz w:val="13"/>
                <w:szCs w:val="13"/>
                <w:lang w:val="fr-CA"/>
              </w:rPr>
            </w:pPr>
            <w:r w:rsidRPr="00956FA1">
              <w:rPr>
                <w:rFonts w:ascii="Arial" w:hAnsi="Arial" w:cs="Arial"/>
                <w:b/>
                <w:sz w:val="13"/>
                <w:szCs w:val="13"/>
                <w:lang w:val="fr-FR"/>
              </w:rPr>
              <w:t>Yom Kippur / Yom Kippour</w:t>
            </w:r>
          </w:p>
        </w:tc>
        <w:tc>
          <w:tcPr>
            <w:tcW w:w="567" w:type="dxa"/>
            <w:hideMark/>
          </w:tcPr>
          <w:p w:rsidR="00113336" w:rsidRPr="00956FA1" w:rsidRDefault="00113336" w:rsidP="009B36BA">
            <w:pPr>
              <w:spacing w:after="120"/>
              <w:jc w:val="center"/>
              <w:rPr>
                <w:rFonts w:ascii="Arial" w:hAnsi="Arial" w:cs="Arial"/>
                <w:b/>
                <w:sz w:val="13"/>
                <w:szCs w:val="13"/>
                <w:lang w:val="fr-CA"/>
              </w:rPr>
            </w:pPr>
            <w:r w:rsidRPr="00956FA1">
              <w:rPr>
                <w:rFonts w:ascii="Arial" w:hAnsi="Arial" w:cs="Arial"/>
                <w:b/>
                <w:sz w:val="13"/>
                <w:szCs w:val="13"/>
                <w:lang w:val="fr-CA"/>
              </w:rPr>
              <w:t>RH</w:t>
            </w:r>
          </w:p>
          <w:p w:rsidR="00113336" w:rsidRPr="00956FA1" w:rsidRDefault="00113336" w:rsidP="009B36BA">
            <w:pPr>
              <w:jc w:val="center"/>
              <w:rPr>
                <w:rFonts w:ascii="Arial" w:hAnsi="Arial" w:cs="Arial"/>
                <w:b/>
                <w:sz w:val="13"/>
                <w:szCs w:val="13"/>
                <w:lang w:val="fr-CA"/>
              </w:rPr>
            </w:pPr>
            <w:r w:rsidRPr="00956FA1">
              <w:rPr>
                <w:rFonts w:ascii="Arial" w:hAnsi="Arial" w:cs="Arial"/>
                <w:b/>
                <w:sz w:val="13"/>
                <w:szCs w:val="13"/>
                <w:lang w:val="fr-CA"/>
              </w:rPr>
              <w:t>YK</w:t>
            </w:r>
          </w:p>
        </w:tc>
      </w:tr>
      <w:tr w:rsidR="00113336" w:rsidRPr="00956FA1" w:rsidTr="00B4618C">
        <w:trPr>
          <w:trHeight w:val="390"/>
        </w:trPr>
        <w:tc>
          <w:tcPr>
            <w:tcW w:w="1890" w:type="dxa"/>
            <w:tcBorders>
              <w:top w:val="nil"/>
              <w:left w:val="nil"/>
              <w:bottom w:val="nil"/>
              <w:right w:val="double" w:sz="4" w:space="0" w:color="auto"/>
            </w:tcBorders>
            <w:vAlign w:val="center"/>
            <w:hideMark/>
          </w:tcPr>
          <w:p w:rsidR="00113336" w:rsidRPr="00956FA1" w:rsidRDefault="00113336" w:rsidP="009B36BA">
            <w:pPr>
              <w:spacing w:before="60"/>
              <w:rPr>
                <w:rFonts w:ascii="Arial" w:hAnsi="Arial" w:cs="Arial"/>
                <w:b/>
                <w:sz w:val="13"/>
                <w:szCs w:val="13"/>
                <w:lang w:val="fr-CA"/>
              </w:rPr>
            </w:pPr>
            <w:r w:rsidRPr="00956FA1">
              <w:rPr>
                <w:rFonts w:ascii="Arial" w:hAnsi="Arial" w:cs="Arial"/>
                <w:b/>
                <w:sz w:val="13"/>
                <w:szCs w:val="13"/>
                <w:lang w:val="fr-CA"/>
              </w:rPr>
              <w:t>Court conference /</w:t>
            </w:r>
          </w:p>
          <w:p w:rsidR="00113336" w:rsidRPr="00956FA1" w:rsidRDefault="00113336" w:rsidP="009B36BA">
            <w:pPr>
              <w:rPr>
                <w:rFonts w:ascii="Arial" w:hAnsi="Arial" w:cs="Arial"/>
                <w:b/>
                <w:sz w:val="13"/>
                <w:szCs w:val="13"/>
                <w:lang w:val="fr-CA"/>
              </w:rPr>
            </w:pPr>
            <w:r w:rsidRPr="00956FA1">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956FA1" w:rsidRDefault="00113336" w:rsidP="009B36BA">
            <w:pPr>
              <w:jc w:val="center"/>
              <w:rPr>
                <w:rFonts w:ascii="Arial" w:hAnsi="Arial" w:cs="Arial"/>
                <w:b/>
                <w:sz w:val="13"/>
                <w:szCs w:val="13"/>
                <w:lang w:val="fr-FR"/>
              </w:rPr>
            </w:pPr>
            <w:r w:rsidRPr="00956FA1">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956FA1" w:rsidRDefault="00113336" w:rsidP="009B36BA">
            <w:pPr>
              <w:tabs>
                <w:tab w:val="left" w:pos="203"/>
              </w:tabs>
              <w:spacing w:before="120"/>
              <w:rPr>
                <w:rFonts w:ascii="Arial" w:hAnsi="Arial" w:cs="Arial"/>
                <w:b/>
                <w:sz w:val="13"/>
                <w:szCs w:val="13"/>
                <w:lang w:val="fr-CA"/>
              </w:rPr>
            </w:pPr>
            <w:r w:rsidRPr="00956FA1">
              <w:rPr>
                <w:rFonts w:ascii="Arial" w:hAnsi="Arial" w:cs="Arial"/>
                <w:b/>
                <w:sz w:val="13"/>
                <w:szCs w:val="13"/>
                <w:lang w:val="fr-CA"/>
              </w:rPr>
              <w:t>9</w:t>
            </w:r>
            <w:r w:rsidRPr="00956FA1">
              <w:rPr>
                <w:rFonts w:ascii="Arial" w:hAnsi="Arial" w:cs="Arial"/>
                <w:b/>
                <w:sz w:val="13"/>
                <w:szCs w:val="13"/>
                <w:lang w:val="fr-CA"/>
              </w:rPr>
              <w:tab/>
              <w:t>Court conference days /</w:t>
            </w:r>
          </w:p>
          <w:p w:rsidR="00113336" w:rsidRPr="00956FA1" w:rsidRDefault="00113336" w:rsidP="00B4618C">
            <w:pPr>
              <w:tabs>
                <w:tab w:val="left" w:pos="203"/>
              </w:tabs>
              <w:rPr>
                <w:rFonts w:ascii="Arial" w:hAnsi="Arial" w:cs="Arial"/>
                <w:b/>
                <w:sz w:val="13"/>
                <w:szCs w:val="13"/>
                <w:lang w:val="fr-CA"/>
              </w:rPr>
            </w:pPr>
            <w:r w:rsidRPr="00956FA1">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956FA1" w:rsidRDefault="00113336" w:rsidP="009B36BA">
            <w:pPr>
              <w:rPr>
                <w:rFonts w:ascii="Arial" w:hAnsi="Arial" w:cs="Arial"/>
                <w:b/>
                <w:sz w:val="13"/>
                <w:szCs w:val="13"/>
                <w:lang w:val="fr-CA"/>
              </w:rPr>
            </w:pPr>
          </w:p>
        </w:tc>
        <w:tc>
          <w:tcPr>
            <w:tcW w:w="567" w:type="dxa"/>
          </w:tcPr>
          <w:p w:rsidR="00113336" w:rsidRPr="00956FA1" w:rsidRDefault="00113336" w:rsidP="009B36BA">
            <w:pPr>
              <w:jc w:val="center"/>
              <w:rPr>
                <w:rFonts w:ascii="Arial" w:hAnsi="Arial" w:cs="Arial"/>
                <w:b/>
                <w:sz w:val="13"/>
                <w:szCs w:val="13"/>
                <w:lang w:val="fr-CA"/>
              </w:rPr>
            </w:pPr>
          </w:p>
        </w:tc>
      </w:tr>
      <w:tr w:rsidR="00113336" w:rsidRPr="00956FA1" w:rsidTr="00B4618C">
        <w:trPr>
          <w:trHeight w:val="35"/>
        </w:trPr>
        <w:tc>
          <w:tcPr>
            <w:tcW w:w="1890" w:type="dxa"/>
            <w:tcBorders>
              <w:top w:val="nil"/>
              <w:left w:val="nil"/>
              <w:bottom w:val="nil"/>
              <w:right w:val="double" w:sz="4" w:space="0" w:color="auto"/>
            </w:tcBorders>
            <w:vAlign w:val="center"/>
            <w:hideMark/>
          </w:tcPr>
          <w:p w:rsidR="00113336" w:rsidRPr="00956FA1" w:rsidRDefault="00113336" w:rsidP="009B36BA">
            <w:pPr>
              <w:rPr>
                <w:rFonts w:ascii="Arial" w:hAnsi="Arial" w:cs="Arial"/>
                <w:b/>
                <w:sz w:val="13"/>
                <w:szCs w:val="13"/>
              </w:rPr>
            </w:pPr>
            <w:r w:rsidRPr="00956FA1">
              <w:rPr>
                <w:rFonts w:ascii="Arial" w:hAnsi="Arial" w:cs="Arial"/>
                <w:b/>
                <w:sz w:val="13"/>
                <w:szCs w:val="13"/>
              </w:rPr>
              <w:t xml:space="preserve">Holiday / </w:t>
            </w:r>
            <w:r w:rsidRPr="00956FA1">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956FA1" w:rsidRDefault="00113336" w:rsidP="009B36BA">
            <w:pPr>
              <w:jc w:val="center"/>
              <w:rPr>
                <w:rFonts w:ascii="Arial" w:hAnsi="Arial" w:cs="Arial"/>
                <w:b/>
                <w:sz w:val="13"/>
                <w:szCs w:val="13"/>
              </w:rPr>
            </w:pPr>
            <w:r w:rsidRPr="00956FA1">
              <w:rPr>
                <w:rFonts w:ascii="Arial" w:hAnsi="Arial" w:cs="Arial"/>
                <w:b/>
                <w:sz w:val="13"/>
                <w:szCs w:val="13"/>
              </w:rPr>
              <w:t>H</w:t>
            </w:r>
          </w:p>
        </w:tc>
        <w:tc>
          <w:tcPr>
            <w:tcW w:w="3524" w:type="dxa"/>
            <w:tcBorders>
              <w:top w:val="nil"/>
              <w:left w:val="double" w:sz="4" w:space="0" w:color="auto"/>
              <w:bottom w:val="nil"/>
              <w:right w:val="nil"/>
            </w:tcBorders>
            <w:hideMark/>
          </w:tcPr>
          <w:p w:rsidR="00113336" w:rsidRPr="00956FA1" w:rsidRDefault="00B4618C" w:rsidP="009B36BA">
            <w:pPr>
              <w:tabs>
                <w:tab w:val="left" w:pos="203"/>
              </w:tabs>
              <w:spacing w:before="120"/>
              <w:rPr>
                <w:rFonts w:ascii="Arial" w:hAnsi="Arial" w:cs="Arial"/>
                <w:b/>
                <w:sz w:val="13"/>
                <w:szCs w:val="13"/>
              </w:rPr>
            </w:pPr>
            <w:r w:rsidRPr="00956FA1">
              <w:rPr>
                <w:rFonts w:ascii="Arial" w:hAnsi="Arial" w:cs="Arial"/>
                <w:b/>
                <w:sz w:val="13"/>
                <w:szCs w:val="13"/>
              </w:rPr>
              <w:t>2</w:t>
            </w:r>
            <w:r w:rsidR="00113336" w:rsidRPr="00956FA1">
              <w:rPr>
                <w:rFonts w:ascii="Arial" w:hAnsi="Arial" w:cs="Arial"/>
                <w:b/>
                <w:sz w:val="13"/>
                <w:szCs w:val="13"/>
              </w:rPr>
              <w:tab/>
              <w:t xml:space="preserve">holidays during sitting days / </w:t>
            </w:r>
          </w:p>
          <w:p w:rsidR="00113336" w:rsidRPr="00B4618C" w:rsidRDefault="00113336" w:rsidP="009B36BA">
            <w:pPr>
              <w:tabs>
                <w:tab w:val="left" w:pos="203"/>
              </w:tabs>
              <w:rPr>
                <w:rFonts w:ascii="Arial" w:hAnsi="Arial" w:cs="Arial"/>
                <w:b/>
                <w:sz w:val="13"/>
                <w:szCs w:val="13"/>
                <w:lang w:val="fr-CA"/>
              </w:rPr>
            </w:pPr>
            <w:r w:rsidRPr="00956FA1">
              <w:rPr>
                <w:rFonts w:ascii="Arial" w:hAnsi="Arial" w:cs="Arial"/>
                <w:b/>
                <w:sz w:val="13"/>
                <w:szCs w:val="13"/>
              </w:rPr>
              <w:tab/>
            </w:r>
            <w:r w:rsidRPr="00956FA1">
              <w:rPr>
                <w:rFonts w:ascii="Arial" w:hAnsi="Arial" w:cs="Arial"/>
                <w:b/>
                <w:sz w:val="13"/>
                <w:szCs w:val="13"/>
                <w:lang w:val="fr-CA"/>
              </w:rPr>
              <w:t>jours fériés durant les séances</w:t>
            </w:r>
            <w:bookmarkStart w:id="15" w:name="_GoBack"/>
            <w:bookmarkEnd w:id="15"/>
          </w:p>
        </w:tc>
        <w:tc>
          <w:tcPr>
            <w:tcW w:w="3828" w:type="dxa"/>
            <w:tcMar>
              <w:top w:w="0" w:type="dxa"/>
              <w:left w:w="58" w:type="dxa"/>
              <w:bottom w:w="0" w:type="dxa"/>
              <w:right w:w="58" w:type="dxa"/>
            </w:tcMar>
          </w:tcPr>
          <w:p w:rsidR="00113336" w:rsidRPr="00B4618C" w:rsidRDefault="00113336" w:rsidP="009B36BA">
            <w:pPr>
              <w:rPr>
                <w:rFonts w:ascii="Arial" w:hAnsi="Arial" w:cs="Arial"/>
                <w:b/>
                <w:sz w:val="13"/>
                <w:szCs w:val="13"/>
                <w:lang w:val="fr-FR"/>
              </w:rPr>
            </w:pPr>
          </w:p>
        </w:tc>
        <w:tc>
          <w:tcPr>
            <w:tcW w:w="567" w:type="dxa"/>
          </w:tcPr>
          <w:p w:rsidR="00113336" w:rsidRPr="00B4618C" w:rsidRDefault="00113336" w:rsidP="009B36BA">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83"/>
      <w:footerReference w:type="default" r:id="rId84"/>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AFF" w:rsidRDefault="00991AFF" w:rsidP="00A87207">
      <w:r>
        <w:separator/>
      </w:r>
    </w:p>
  </w:endnote>
  <w:endnote w:type="continuationSeparator" w:id="0">
    <w:p w:rsidR="00991AFF" w:rsidRDefault="00991AFF"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AFF" w:rsidRDefault="00956FA1" w:rsidP="00A87207">
    <w:pPr>
      <w:pStyle w:val="Footer"/>
    </w:pPr>
    <w:r>
      <w:pict>
        <v:rect id="_x0000_i1028" style="width:480.95pt;height:1pt" o:hralign="center" o:hrstd="t" o:hrnoshade="t" o:hr="t" fillcolor="black [3213]" stroked="f"/>
      </w:pict>
    </w:r>
  </w:p>
  <w:p w:rsidR="00991AFF" w:rsidRPr="00B7374B" w:rsidRDefault="00991AF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AFF" w:rsidRDefault="00956F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2" style="width:480.95pt;height:1pt" o:hralign="center" o:hrstd="t" o:hrnoshade="t" o:hr="t" fillcolor="black [3213]" stroked="f"/>
      </w:pict>
    </w:r>
  </w:p>
  <w:p w:rsidR="00991AFF" w:rsidRDefault="00991AFF"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AFF" w:rsidRDefault="00956FA1">
    <w:pPr>
      <w:pStyle w:val="Footer"/>
      <w:rPr>
        <w:lang w:val="fr-CA"/>
      </w:rPr>
    </w:pPr>
    <w:r>
      <w:rPr>
        <w:lang w:val="fr-CA"/>
      </w:rPr>
      <w:pict>
        <v:rect id="_x0000_i1063" style="width:480.95pt;height:1pt" o:hralign="center" o:hrstd="t" o:hrnoshade="t" o:hr="t" fillcolor="black [3213]" stroked="f"/>
      </w:pict>
    </w:r>
  </w:p>
  <w:p w:rsidR="00991AFF" w:rsidRDefault="00991AFF" w:rsidP="00EB2B90">
    <w:pPr>
      <w:tabs>
        <w:tab w:val="center" w:pos="4680"/>
      </w:tabs>
    </w:pPr>
    <w:r>
      <w:tab/>
      <w:t xml:space="preserve">- </w:t>
    </w:r>
    <w:r>
      <w:fldChar w:fldCharType="begin"/>
    </w:r>
    <w:r>
      <w:instrText xml:space="preserve"> PAGE   \* MERGEFORMAT </w:instrText>
    </w:r>
    <w:r>
      <w:fldChar w:fldCharType="separate"/>
    </w:r>
    <w:r w:rsidR="00956FA1">
      <w:rPr>
        <w:noProof/>
      </w:rPr>
      <w:t>24</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AFF" w:rsidRDefault="00991A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91AFF" w:rsidRDefault="00991A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91AFF" w:rsidRDefault="00991AFF">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AFF" w:rsidRDefault="00991A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91AFF" w:rsidRDefault="00956F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5" style="width:480.95pt;height:1pt" o:hralign="center" o:hrstd="t" o:hrnoshade="t" o:hr="t" fillcolor="black [3213]" stroked="f"/>
      </w:pict>
    </w:r>
  </w:p>
  <w:p w:rsidR="00991AFF" w:rsidRDefault="00991AFF"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AFF" w:rsidRDefault="00956FA1" w:rsidP="00782AE4">
    <w:pPr>
      <w:tabs>
        <w:tab w:val="center" w:pos="4680"/>
      </w:tabs>
    </w:pPr>
    <w:r>
      <w:pict>
        <v:rect id="_x0000_i1066" style="width:480.95pt;height:1pt" o:hralign="center" o:hrstd="t" o:hrnoshade="t" o:hr="t" fillcolor="black [3213]" stroked="f"/>
      </w:pict>
    </w:r>
  </w:p>
  <w:p w:rsidR="00991AFF" w:rsidRDefault="00991AFF"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956FA1">
      <w:rPr>
        <w:noProof/>
        <w:szCs w:val="24"/>
      </w:rPr>
      <w:t>25</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AFF" w:rsidRPr="00924065" w:rsidRDefault="00991AFF"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AFF" w:rsidRDefault="00956FA1" w:rsidP="00755F22">
    <w:pPr>
      <w:tabs>
        <w:tab w:val="left" w:pos="-1440"/>
        <w:tab w:val="left" w:pos="-720"/>
      </w:tabs>
    </w:pPr>
    <w:r>
      <w:pict>
        <v:rect id="_x0000_i1029" style="width:480.95pt;height:1pt" o:hralign="center" o:hrstd="t" o:hrnoshade="t" o:hr="t" fillcolor="black [3213]" stroked="f"/>
      </w:pict>
    </w:r>
  </w:p>
  <w:p w:rsidR="00991AFF" w:rsidRPr="00954D22" w:rsidRDefault="00991AFF"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956FA1">
      <w:rPr>
        <w:noProof/>
        <w:szCs w:val="24"/>
      </w:rPr>
      <w:t>1</w:t>
    </w:r>
    <w:r>
      <w:rPr>
        <w:szCs w:val="24"/>
      </w:rPr>
      <w:fldChar w:fldCharType="end"/>
    </w:r>
    <w:r w:rsidRPr="00954D22">
      <w:rPr>
        <w:szCs w:val="24"/>
      </w:rPr>
      <w:t xml:space="preserve"> -</w:t>
    </w:r>
  </w:p>
  <w:p w:rsidR="00991AFF" w:rsidRDefault="00991A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AFF" w:rsidRDefault="00991A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91AFF" w:rsidRDefault="00991A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91AFF" w:rsidRDefault="00991AFF">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AFF" w:rsidRDefault="00956F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4" style="width:480.95pt;height:1pt" o:hralign="center" o:hrstd="t" o:hrnoshade="t" o:hr="t" fillcolor="black [3213]" stroked="f"/>
      </w:pict>
    </w:r>
  </w:p>
  <w:p w:rsidR="00991AFF" w:rsidRPr="0009648D" w:rsidRDefault="00991AFF" w:rsidP="00ED7E83">
    <w:pPr>
      <w:tabs>
        <w:tab w:val="center" w:pos="4680"/>
      </w:tabs>
    </w:pPr>
    <w:r>
      <w:tab/>
    </w:r>
    <w:r w:rsidRPr="0009648D">
      <w:t xml:space="preserve">- </w:t>
    </w:r>
    <w:r>
      <w:fldChar w:fldCharType="begin"/>
    </w:r>
    <w:r>
      <w:instrText xml:space="preserve"> PAGE   \* MERGEFORMAT </w:instrText>
    </w:r>
    <w:r>
      <w:fldChar w:fldCharType="separate"/>
    </w:r>
    <w:r w:rsidR="00956FA1">
      <w:rPr>
        <w:noProof/>
      </w:rPr>
      <w:t>3</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AFF" w:rsidRDefault="00956FA1">
    <w:pPr>
      <w:pStyle w:val="Footer"/>
      <w:rPr>
        <w:lang w:val="fr-CA"/>
      </w:rPr>
    </w:pPr>
    <w:r>
      <w:rPr>
        <w:lang w:val="fr-CA"/>
      </w:rPr>
      <w:pict>
        <v:rect id="_x0000_i1055" style="width:480.95pt;height:1pt" o:hralign="center" o:hrstd="t" o:hrnoshade="t" o:hr="t" fillcolor="black [3213]" stroked="f"/>
      </w:pict>
    </w:r>
  </w:p>
  <w:p w:rsidR="00991AFF" w:rsidRDefault="00991AFF" w:rsidP="00245129">
    <w:pPr>
      <w:tabs>
        <w:tab w:val="center" w:pos="4680"/>
      </w:tabs>
    </w:pPr>
    <w:r>
      <w:tab/>
    </w:r>
    <w:r w:rsidRPr="0009648D">
      <w:t xml:space="preserve">- </w:t>
    </w:r>
    <w:r>
      <w:fldChar w:fldCharType="begin"/>
    </w:r>
    <w:r>
      <w:instrText xml:space="preserve"> PAGE   \* MERGEFORMAT </w:instrText>
    </w:r>
    <w:r>
      <w:fldChar w:fldCharType="separate"/>
    </w:r>
    <w:r w:rsidR="00956FA1">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AFF" w:rsidRDefault="00991A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91AFF" w:rsidRDefault="00991A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91AFF" w:rsidRDefault="00991AFF">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AFF" w:rsidRDefault="00956FA1" w:rsidP="00755F22">
    <w:pPr>
      <w:tabs>
        <w:tab w:val="left" w:pos="-1440"/>
        <w:tab w:val="left" w:pos="-720"/>
      </w:tabs>
    </w:pPr>
    <w:r>
      <w:pict>
        <v:rect id="_x0000_i1057" style="width:480.95pt;height:1pt" o:hralign="center" o:hrstd="t" o:hrnoshade="t" o:hr="t" fillcolor="black [3213]" stroked="f"/>
      </w:pict>
    </w:r>
  </w:p>
  <w:p w:rsidR="00991AFF" w:rsidRDefault="00991AFF" w:rsidP="00EB2B90">
    <w:pPr>
      <w:tabs>
        <w:tab w:val="center" w:pos="4680"/>
      </w:tabs>
    </w:pPr>
    <w:r>
      <w:tab/>
      <w:t xml:space="preserve">- </w:t>
    </w:r>
    <w:r>
      <w:fldChar w:fldCharType="begin"/>
    </w:r>
    <w:r>
      <w:instrText xml:space="preserve"> PAGE   \* MERGEFORMAT </w:instrText>
    </w:r>
    <w:r>
      <w:fldChar w:fldCharType="separate"/>
    </w:r>
    <w:r w:rsidR="00660D57">
      <w:rPr>
        <w:noProof/>
      </w:rPr>
      <w:t>24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AFF" w:rsidRDefault="00956FA1" w:rsidP="00EB2B90">
    <w:pPr>
      <w:tabs>
        <w:tab w:val="center" w:pos="4680"/>
      </w:tabs>
    </w:pPr>
    <w:r>
      <w:pict>
        <v:rect id="_x0000_i1058" style="width:480.95pt;height:1pt" o:hralign="center" o:hrstd="t" o:hrnoshade="t" o:hr="t" fillcolor="black [3213]" stroked="f"/>
      </w:pict>
    </w:r>
  </w:p>
  <w:p w:rsidR="00991AFF" w:rsidRPr="0031432F" w:rsidRDefault="00991AFF" w:rsidP="00EB2B90">
    <w:pPr>
      <w:tabs>
        <w:tab w:val="center" w:pos="4680"/>
      </w:tabs>
    </w:pPr>
    <w:r>
      <w:tab/>
      <w:t xml:space="preserve">- </w:t>
    </w:r>
    <w:r>
      <w:fldChar w:fldCharType="begin"/>
    </w:r>
    <w:r>
      <w:instrText xml:space="preserve"> PAGE   \* MERGEFORMAT </w:instrText>
    </w:r>
    <w:r>
      <w:fldChar w:fldCharType="separate"/>
    </w:r>
    <w:r w:rsidR="00956FA1">
      <w:rPr>
        <w:noProof/>
      </w:rPr>
      <w:t>23</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AFF" w:rsidRDefault="00991A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91AFF" w:rsidRDefault="00991A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91AFF" w:rsidRDefault="00991AFF">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AFF" w:rsidRDefault="00991AFF" w:rsidP="00A87207">
      <w:r>
        <w:separator/>
      </w:r>
    </w:p>
  </w:footnote>
  <w:footnote w:type="continuationSeparator" w:id="0">
    <w:p w:rsidR="00991AFF" w:rsidRDefault="00991AFF"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991AFF" w:rsidRPr="0044776A" w:rsidTr="00245129">
      <w:tc>
        <w:tcPr>
          <w:tcW w:w="4290" w:type="dxa"/>
          <w:tcMar>
            <w:left w:w="0" w:type="dxa"/>
            <w:right w:w="0" w:type="dxa"/>
          </w:tcMar>
        </w:tcPr>
        <w:p w:rsidR="00991AFF" w:rsidRPr="00D31809" w:rsidRDefault="00991AFF" w:rsidP="00D31809">
          <w:pPr>
            <w:keepNext/>
            <w:keepLines/>
            <w:rPr>
              <w:sz w:val="20"/>
              <w:szCs w:val="20"/>
              <w:lang w:val="en-US"/>
            </w:rPr>
          </w:pPr>
          <w:r w:rsidRPr="00D31809">
            <w:rPr>
              <w:sz w:val="20"/>
              <w:szCs w:val="20"/>
              <w:lang w:val="en-US"/>
            </w:rPr>
            <w:t>Applications for leave to appeal filed</w:t>
          </w:r>
        </w:p>
        <w:p w:rsidR="00991AFF" w:rsidRPr="00D31809" w:rsidRDefault="00991AFF" w:rsidP="00D31809">
          <w:pPr>
            <w:keepNext/>
            <w:keepLines/>
            <w:rPr>
              <w:sz w:val="20"/>
              <w:szCs w:val="20"/>
            </w:rPr>
          </w:pPr>
        </w:p>
      </w:tc>
      <w:tc>
        <w:tcPr>
          <w:tcW w:w="1200" w:type="dxa"/>
          <w:tcMar>
            <w:left w:w="0" w:type="dxa"/>
            <w:right w:w="0" w:type="dxa"/>
          </w:tcMar>
        </w:tcPr>
        <w:p w:rsidR="00991AFF" w:rsidRPr="00D31809" w:rsidRDefault="00991AFF" w:rsidP="002E2327">
          <w:pPr>
            <w:keepNext/>
            <w:keepLines/>
            <w:tabs>
              <w:tab w:val="left" w:pos="-1440"/>
              <w:tab w:val="left" w:pos="-720"/>
            </w:tabs>
            <w:jc w:val="center"/>
            <w:rPr>
              <w:sz w:val="20"/>
              <w:szCs w:val="20"/>
            </w:rPr>
          </w:pPr>
        </w:p>
      </w:tc>
      <w:tc>
        <w:tcPr>
          <w:tcW w:w="4320" w:type="dxa"/>
          <w:tcMar>
            <w:left w:w="0" w:type="dxa"/>
            <w:right w:w="0" w:type="dxa"/>
          </w:tcMar>
        </w:tcPr>
        <w:p w:rsidR="00991AFF" w:rsidRPr="00D31809" w:rsidRDefault="00991AFF" w:rsidP="002E2327">
          <w:pPr>
            <w:keepLines/>
            <w:rPr>
              <w:sz w:val="20"/>
              <w:szCs w:val="20"/>
              <w:lang w:val="fr-CA"/>
            </w:rPr>
          </w:pPr>
          <w:r w:rsidRPr="00D31809">
            <w:rPr>
              <w:sz w:val="20"/>
              <w:szCs w:val="20"/>
              <w:lang w:val="fr-CA"/>
            </w:rPr>
            <w:t>Demandes d’autorisation d’appel déposées</w:t>
          </w:r>
        </w:p>
      </w:tc>
    </w:tr>
  </w:tbl>
  <w:p w:rsidR="00991AFF" w:rsidRDefault="00991AF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991AFF" w:rsidRPr="00660D57" w:rsidTr="00245129">
      <w:tc>
        <w:tcPr>
          <w:tcW w:w="4200" w:type="dxa"/>
          <w:tcMar>
            <w:left w:w="0" w:type="dxa"/>
            <w:right w:w="0" w:type="dxa"/>
          </w:tcMar>
        </w:tcPr>
        <w:p w:rsidR="00991AFF" w:rsidRPr="00F40249" w:rsidRDefault="00991AFF"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991AFF" w:rsidRDefault="00991AFF" w:rsidP="00102926">
          <w:pPr>
            <w:keepNext/>
            <w:keepLines/>
            <w:tabs>
              <w:tab w:val="left" w:pos="-1440"/>
              <w:tab w:val="left" w:pos="-720"/>
            </w:tabs>
            <w:jc w:val="center"/>
            <w:rPr>
              <w:sz w:val="20"/>
              <w:szCs w:val="20"/>
            </w:rPr>
          </w:pPr>
        </w:p>
        <w:p w:rsidR="00991AFF" w:rsidRDefault="00991AFF" w:rsidP="00102926">
          <w:pPr>
            <w:keepNext/>
            <w:keepLines/>
            <w:tabs>
              <w:tab w:val="left" w:pos="-1440"/>
              <w:tab w:val="left" w:pos="-720"/>
            </w:tabs>
            <w:jc w:val="center"/>
            <w:rPr>
              <w:sz w:val="20"/>
              <w:szCs w:val="20"/>
            </w:rPr>
          </w:pPr>
        </w:p>
        <w:p w:rsidR="00991AFF" w:rsidRPr="00F40249" w:rsidRDefault="00991AFF" w:rsidP="00102926">
          <w:pPr>
            <w:keepNext/>
            <w:keepLines/>
            <w:tabs>
              <w:tab w:val="left" w:pos="-1440"/>
              <w:tab w:val="left" w:pos="-720"/>
            </w:tabs>
            <w:jc w:val="center"/>
            <w:rPr>
              <w:sz w:val="20"/>
              <w:szCs w:val="20"/>
            </w:rPr>
          </w:pPr>
        </w:p>
      </w:tc>
      <w:tc>
        <w:tcPr>
          <w:tcW w:w="4230" w:type="dxa"/>
          <w:tcMar>
            <w:left w:w="0" w:type="dxa"/>
            <w:right w:w="0" w:type="dxa"/>
          </w:tcMar>
        </w:tcPr>
        <w:p w:rsidR="00991AFF" w:rsidRPr="00F40249" w:rsidRDefault="00991AFF"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991AFF" w:rsidRPr="00B01A03" w:rsidRDefault="00991AFF"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AFF" w:rsidRDefault="00991AF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91AFF">
      <w:tc>
        <w:tcPr>
          <w:tcW w:w="4230" w:type="dxa"/>
          <w:tcMar>
            <w:left w:w="0" w:type="dxa"/>
            <w:right w:w="0" w:type="dxa"/>
          </w:tcMar>
        </w:tcPr>
        <w:p w:rsidR="00991AFF" w:rsidRDefault="00991A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991AFF" w:rsidRDefault="00991A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991AFF" w:rsidRDefault="00991A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991AFF" w:rsidRDefault="00991A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91AFF" w:rsidRDefault="00991A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991AFF" w:rsidRDefault="00991AF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991AFF" w:rsidRDefault="00991A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91AFF" w:rsidRDefault="00991A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91AFF" w:rsidRPr="00782AE4" w:rsidTr="00245129">
      <w:tc>
        <w:tcPr>
          <w:tcW w:w="4230" w:type="dxa"/>
          <w:tcMar>
            <w:left w:w="0" w:type="dxa"/>
            <w:right w:w="0" w:type="dxa"/>
          </w:tcMar>
        </w:tcPr>
        <w:p w:rsidR="00991AFF" w:rsidRPr="00782AE4" w:rsidRDefault="00991AFF" w:rsidP="00102926">
          <w:pPr>
            <w:keepNext/>
            <w:keepLines/>
            <w:tabs>
              <w:tab w:val="left" w:pos="-1440"/>
              <w:tab w:val="left" w:pos="-720"/>
            </w:tabs>
            <w:rPr>
              <w:sz w:val="20"/>
              <w:szCs w:val="20"/>
            </w:rPr>
          </w:pPr>
          <w:r w:rsidRPr="00782AE4">
            <w:rPr>
              <w:sz w:val="20"/>
              <w:szCs w:val="20"/>
            </w:rPr>
            <w:t xml:space="preserve">HEADNOTES OF RECENT </w:t>
          </w:r>
        </w:p>
        <w:p w:rsidR="00991AFF" w:rsidRPr="00782AE4" w:rsidRDefault="00991A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991AFF" w:rsidRDefault="00991AFF" w:rsidP="00102926">
          <w:pPr>
            <w:keepNext/>
            <w:keepLines/>
            <w:tabs>
              <w:tab w:val="left" w:pos="-1440"/>
              <w:tab w:val="left" w:pos="-720"/>
            </w:tabs>
            <w:jc w:val="center"/>
            <w:rPr>
              <w:sz w:val="20"/>
              <w:szCs w:val="20"/>
            </w:rPr>
          </w:pPr>
        </w:p>
        <w:p w:rsidR="00991AFF" w:rsidRDefault="00991AFF" w:rsidP="00102926">
          <w:pPr>
            <w:keepNext/>
            <w:keepLines/>
            <w:tabs>
              <w:tab w:val="left" w:pos="-1440"/>
              <w:tab w:val="left" w:pos="-720"/>
            </w:tabs>
            <w:jc w:val="center"/>
            <w:rPr>
              <w:sz w:val="20"/>
              <w:szCs w:val="20"/>
            </w:rPr>
          </w:pPr>
        </w:p>
        <w:p w:rsidR="00991AFF" w:rsidRPr="00782AE4" w:rsidRDefault="00991AFF" w:rsidP="00102926">
          <w:pPr>
            <w:keepNext/>
            <w:keepLines/>
            <w:tabs>
              <w:tab w:val="left" w:pos="-1440"/>
              <w:tab w:val="left" w:pos="-720"/>
            </w:tabs>
            <w:jc w:val="center"/>
            <w:rPr>
              <w:sz w:val="20"/>
              <w:szCs w:val="20"/>
            </w:rPr>
          </w:pPr>
        </w:p>
      </w:tc>
      <w:tc>
        <w:tcPr>
          <w:tcW w:w="4080" w:type="dxa"/>
          <w:tcMar>
            <w:left w:w="0" w:type="dxa"/>
            <w:right w:w="0" w:type="dxa"/>
          </w:tcMar>
        </w:tcPr>
        <w:p w:rsidR="00991AFF" w:rsidRPr="00102926" w:rsidRDefault="00991A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991AFF" w:rsidRPr="00782AE4" w:rsidRDefault="00991AFF" w:rsidP="00102926">
          <w:pPr>
            <w:keepLines/>
            <w:tabs>
              <w:tab w:val="left" w:pos="-1440"/>
              <w:tab w:val="left" w:pos="-720"/>
            </w:tabs>
            <w:rPr>
              <w:sz w:val="20"/>
              <w:szCs w:val="20"/>
            </w:rPr>
          </w:pPr>
          <w:r w:rsidRPr="00102926">
            <w:rPr>
              <w:sz w:val="20"/>
              <w:szCs w:val="20"/>
              <w:lang w:val="fr-CA"/>
            </w:rPr>
            <w:t>RÉCENTS</w:t>
          </w:r>
        </w:p>
      </w:tc>
    </w:tr>
  </w:tbl>
  <w:p w:rsidR="00991AFF" w:rsidRDefault="00991AFF"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AFF" w:rsidRDefault="00991AF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AFF" w:rsidRDefault="00991A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AFF" w:rsidRDefault="00991A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91AFF" w:rsidRPr="00660D57">
      <w:tc>
        <w:tcPr>
          <w:tcW w:w="4200" w:type="dxa"/>
          <w:tcMar>
            <w:left w:w="0" w:type="dxa"/>
            <w:right w:w="0" w:type="dxa"/>
          </w:tcMar>
        </w:tcPr>
        <w:p w:rsidR="00991AFF" w:rsidRDefault="00991A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91AFF" w:rsidRDefault="00991A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91AFF" w:rsidRDefault="00991AF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91AFF" w:rsidRPr="00FF6BA5" w:rsidRDefault="00991AF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91AFF" w:rsidRPr="00FF6BA5" w:rsidRDefault="00991A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91AFF" w:rsidRPr="00FF6BA5" w:rsidRDefault="00991A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91AFF" w:rsidRPr="00FF6BA5" w:rsidRDefault="00991A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91AFF" w:rsidRPr="00660D57" w:rsidTr="00245129">
      <w:tc>
        <w:tcPr>
          <w:tcW w:w="4200" w:type="dxa"/>
          <w:tcMar>
            <w:left w:w="0" w:type="dxa"/>
            <w:right w:w="0" w:type="dxa"/>
          </w:tcMar>
        </w:tcPr>
        <w:p w:rsidR="00991AFF" w:rsidRPr="00634F42" w:rsidRDefault="00991AFF"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991AFF" w:rsidRPr="00755F22" w:rsidRDefault="00991AF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91AFF" w:rsidRPr="00755F22" w:rsidRDefault="00991AF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91AFF" w:rsidRPr="00755F22" w:rsidRDefault="00991AF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991AFF" w:rsidRPr="00FF6BA5" w:rsidRDefault="00991AFF"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AFF" w:rsidRDefault="00991AF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91AFF">
      <w:tc>
        <w:tcPr>
          <w:tcW w:w="4230" w:type="dxa"/>
          <w:tcMar>
            <w:left w:w="0" w:type="dxa"/>
            <w:right w:w="0" w:type="dxa"/>
          </w:tcMar>
        </w:tcPr>
        <w:p w:rsidR="00991AFF" w:rsidRDefault="00991A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991AFF" w:rsidRDefault="00991AF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91AFF" w:rsidRDefault="00991AF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991AFF">
      <w:trPr>
        <w:gridAfter w:val="2"/>
        <w:wAfter w:w="5250" w:type="dxa"/>
      </w:trPr>
      <w:tc>
        <w:tcPr>
          <w:tcW w:w="4230" w:type="dxa"/>
          <w:tcMar>
            <w:left w:w="0" w:type="dxa"/>
            <w:right w:w="0" w:type="dxa"/>
          </w:tcMar>
        </w:tcPr>
        <w:p w:rsidR="00991AFF" w:rsidRDefault="00991A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91AFF" w:rsidRDefault="00991A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91AFF" w:rsidRPr="00755F22" w:rsidTr="00245129">
      <w:tc>
        <w:tcPr>
          <w:tcW w:w="4230" w:type="dxa"/>
          <w:tcMar>
            <w:left w:w="0" w:type="dxa"/>
            <w:right w:w="0" w:type="dxa"/>
          </w:tcMar>
        </w:tcPr>
        <w:p w:rsidR="00991AFF" w:rsidRPr="00755F22" w:rsidRDefault="00991AFF" w:rsidP="00831CA9">
          <w:pPr>
            <w:keepNext/>
            <w:keepLines/>
            <w:rPr>
              <w:sz w:val="20"/>
              <w:szCs w:val="20"/>
            </w:rPr>
          </w:pPr>
          <w:r w:rsidRPr="00755F22">
            <w:rPr>
              <w:sz w:val="20"/>
              <w:szCs w:val="20"/>
            </w:rPr>
            <w:t>Motions</w:t>
          </w:r>
        </w:p>
      </w:tc>
      <w:tc>
        <w:tcPr>
          <w:tcW w:w="1170" w:type="dxa"/>
          <w:tcMar>
            <w:left w:w="0" w:type="dxa"/>
            <w:right w:w="0" w:type="dxa"/>
          </w:tcMar>
        </w:tcPr>
        <w:p w:rsidR="00991AFF" w:rsidRPr="00755F22" w:rsidRDefault="00991AFF" w:rsidP="00831CA9">
          <w:pPr>
            <w:keepLines/>
            <w:jc w:val="center"/>
            <w:rPr>
              <w:sz w:val="20"/>
              <w:szCs w:val="20"/>
            </w:rPr>
          </w:pPr>
        </w:p>
        <w:p w:rsidR="00991AFF" w:rsidRPr="00755F22" w:rsidRDefault="00991AFF" w:rsidP="00831CA9">
          <w:pPr>
            <w:keepLines/>
            <w:tabs>
              <w:tab w:val="left" w:pos="-1440"/>
              <w:tab w:val="left" w:pos="-720"/>
            </w:tabs>
            <w:jc w:val="center"/>
            <w:rPr>
              <w:sz w:val="20"/>
              <w:szCs w:val="20"/>
            </w:rPr>
          </w:pPr>
        </w:p>
      </w:tc>
      <w:tc>
        <w:tcPr>
          <w:tcW w:w="4080" w:type="dxa"/>
          <w:tcMar>
            <w:left w:w="0" w:type="dxa"/>
            <w:right w:w="0" w:type="dxa"/>
          </w:tcMar>
        </w:tcPr>
        <w:p w:rsidR="00991AFF" w:rsidRPr="00BA6468" w:rsidRDefault="00991AFF" w:rsidP="00BA6468">
          <w:pPr>
            <w:keepLines/>
            <w:rPr>
              <w:sz w:val="20"/>
              <w:szCs w:val="20"/>
              <w:lang w:val="fr-CA"/>
            </w:rPr>
          </w:pPr>
          <w:r w:rsidRPr="00BA6468">
            <w:rPr>
              <w:sz w:val="20"/>
              <w:szCs w:val="20"/>
              <w:lang w:val="fr-CA"/>
            </w:rPr>
            <w:t>Requêtes</w:t>
          </w:r>
        </w:p>
      </w:tc>
    </w:tr>
  </w:tbl>
  <w:p w:rsidR="00991AFF" w:rsidRDefault="00991AFF"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AFF" w:rsidRDefault="00991AF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91AFF" w:rsidRPr="00660D57">
      <w:tc>
        <w:tcPr>
          <w:tcW w:w="4200" w:type="dxa"/>
          <w:tcMar>
            <w:left w:w="0" w:type="dxa"/>
            <w:right w:w="0" w:type="dxa"/>
          </w:tcMar>
        </w:tcPr>
        <w:p w:rsidR="00991AFF" w:rsidRDefault="00991A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991AFF" w:rsidRDefault="00991A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91AFF" w:rsidRPr="00B01A03" w:rsidRDefault="00991AF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991AFF" w:rsidRPr="00B01A03" w:rsidRDefault="00991A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91AFF" w:rsidRPr="00B01A03" w:rsidRDefault="00991A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34CB"/>
    <w:multiLevelType w:val="hybridMultilevel"/>
    <w:tmpl w:val="DDF83788"/>
    <w:lvl w:ilvl="0" w:tplc="D7CEB04C">
      <w:start w:val="7"/>
      <w:numFmt w:val="decimal"/>
      <w:lvlText w:val="%1."/>
      <w:lvlJc w:val="left"/>
      <w:pPr>
        <w:tabs>
          <w:tab w:val="num" w:pos="360"/>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20C1"/>
    <w:multiLevelType w:val="hybridMultilevel"/>
    <w:tmpl w:val="E98A046A"/>
    <w:lvl w:ilvl="0" w:tplc="9FE47D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A312A"/>
    <w:multiLevelType w:val="hybridMultilevel"/>
    <w:tmpl w:val="B388DC70"/>
    <w:lvl w:ilvl="0" w:tplc="FB14D30C">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57D53"/>
    <w:multiLevelType w:val="hybridMultilevel"/>
    <w:tmpl w:val="D4D0E024"/>
    <w:lvl w:ilvl="0" w:tplc="E500BCC8">
      <w:start w:val="5"/>
      <w:numFmt w:val="decimal"/>
      <w:lvlText w:val="%1."/>
      <w:lvlJc w:val="left"/>
      <w:pPr>
        <w:ind w:left="882" w:hanging="738"/>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9C865A2"/>
    <w:multiLevelType w:val="hybridMultilevel"/>
    <w:tmpl w:val="EB4E955E"/>
    <w:lvl w:ilvl="0" w:tplc="C6345860">
      <w:start w:val="1"/>
      <w:numFmt w:val="decimal"/>
      <w:lvlText w:val="%1."/>
      <w:lvlJc w:val="left"/>
      <w:pPr>
        <w:ind w:left="720" w:hanging="360"/>
      </w:pPr>
      <w:rPr>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B45B2"/>
    <w:multiLevelType w:val="hybridMultilevel"/>
    <w:tmpl w:val="7A0CAA5C"/>
    <w:lvl w:ilvl="0" w:tplc="F6AA7EE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E0B80"/>
    <w:multiLevelType w:val="hybridMultilevel"/>
    <w:tmpl w:val="59C2CEF4"/>
    <w:lvl w:ilvl="0" w:tplc="13AE61F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6760A"/>
    <w:multiLevelType w:val="hybridMultilevel"/>
    <w:tmpl w:val="CE2033EA"/>
    <w:lvl w:ilvl="0" w:tplc="17D23FD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B3DFD"/>
    <w:multiLevelType w:val="hybridMultilevel"/>
    <w:tmpl w:val="8C925AF8"/>
    <w:lvl w:ilvl="0" w:tplc="2FD67EC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73E1D"/>
    <w:multiLevelType w:val="hybridMultilevel"/>
    <w:tmpl w:val="0D386928"/>
    <w:lvl w:ilvl="0" w:tplc="C526DC6E">
      <w:start w:val="7"/>
      <w:numFmt w:val="decimal"/>
      <w:lvlText w:val="%1."/>
      <w:lvlJc w:val="left"/>
      <w:pPr>
        <w:tabs>
          <w:tab w:val="num" w:pos="810"/>
        </w:tabs>
        <w:ind w:left="810" w:hanging="432"/>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DE3324E"/>
    <w:multiLevelType w:val="hybridMultilevel"/>
    <w:tmpl w:val="7DCEE960"/>
    <w:lvl w:ilvl="0" w:tplc="B266913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47A24"/>
    <w:multiLevelType w:val="hybridMultilevel"/>
    <w:tmpl w:val="F2042A6E"/>
    <w:lvl w:ilvl="0" w:tplc="C8201D52">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10077"/>
    <w:multiLevelType w:val="hybridMultilevel"/>
    <w:tmpl w:val="1EEA51E4"/>
    <w:lvl w:ilvl="0" w:tplc="F386F8FA">
      <w:start w:val="5"/>
      <w:numFmt w:val="decimal"/>
      <w:lvlText w:val="%1."/>
      <w:lvlJc w:val="left"/>
      <w:pPr>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97CB7"/>
    <w:multiLevelType w:val="hybridMultilevel"/>
    <w:tmpl w:val="8ED4C39C"/>
    <w:lvl w:ilvl="0" w:tplc="0C348DA4">
      <w:start w:val="14"/>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F940AD1"/>
    <w:multiLevelType w:val="hybridMultilevel"/>
    <w:tmpl w:val="52C6D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A4198C"/>
    <w:multiLevelType w:val="hybridMultilevel"/>
    <w:tmpl w:val="8146E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5579B"/>
    <w:multiLevelType w:val="hybridMultilevel"/>
    <w:tmpl w:val="A3523420"/>
    <w:lvl w:ilvl="0" w:tplc="233C2542">
      <w:start w:val="11"/>
      <w:numFmt w:val="decimal"/>
      <w:lvlText w:val="%1."/>
      <w:lvlJc w:val="left"/>
      <w:pPr>
        <w:ind w:left="540" w:hanging="360"/>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7811838"/>
    <w:multiLevelType w:val="hybridMultilevel"/>
    <w:tmpl w:val="93243EFA"/>
    <w:lvl w:ilvl="0" w:tplc="62F830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32C7D"/>
    <w:multiLevelType w:val="hybridMultilevel"/>
    <w:tmpl w:val="EC9E2B3A"/>
    <w:lvl w:ilvl="0" w:tplc="A38470F2">
      <w:start w:val="4"/>
      <w:numFmt w:val="decimal"/>
      <w:lvlText w:val="%1."/>
      <w:lvlJc w:val="left"/>
      <w:pPr>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B5570"/>
    <w:multiLevelType w:val="hybridMultilevel"/>
    <w:tmpl w:val="9698D48A"/>
    <w:lvl w:ilvl="0" w:tplc="2E2CDE1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96334"/>
    <w:multiLevelType w:val="hybridMultilevel"/>
    <w:tmpl w:val="A334A8C2"/>
    <w:lvl w:ilvl="0" w:tplc="C88AED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3142F"/>
    <w:multiLevelType w:val="hybridMultilevel"/>
    <w:tmpl w:val="C5027DC4"/>
    <w:lvl w:ilvl="0" w:tplc="44F8595E">
      <w:start w:val="1"/>
      <w:numFmt w:val="decimal"/>
      <w:lvlText w:val="%1."/>
      <w:lvlJc w:val="left"/>
      <w:pPr>
        <w:ind w:left="720" w:hanging="360"/>
      </w:pPr>
      <w:rPr>
        <w:rFonts w:eastAsiaTheme="minorEastAsia" w:hint="default"/>
        <w:b w:val="0"/>
        <w:i w:val="0"/>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0A3715"/>
    <w:multiLevelType w:val="hybridMultilevel"/>
    <w:tmpl w:val="9D7E9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F447A8"/>
    <w:multiLevelType w:val="hybridMultilevel"/>
    <w:tmpl w:val="E4F88610"/>
    <w:lvl w:ilvl="0" w:tplc="83DC10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96806"/>
    <w:multiLevelType w:val="hybridMultilevel"/>
    <w:tmpl w:val="ECF63D88"/>
    <w:lvl w:ilvl="0" w:tplc="B880ADA8">
      <w:start w:val="10"/>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C1576A"/>
    <w:multiLevelType w:val="hybridMultilevel"/>
    <w:tmpl w:val="88B40416"/>
    <w:lvl w:ilvl="0" w:tplc="26BA182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AE784B"/>
    <w:multiLevelType w:val="hybridMultilevel"/>
    <w:tmpl w:val="5418B168"/>
    <w:lvl w:ilvl="0" w:tplc="7C3EDD8A">
      <w:start w:val="14"/>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2366B4"/>
    <w:multiLevelType w:val="hybridMultilevel"/>
    <w:tmpl w:val="1862D8FE"/>
    <w:lvl w:ilvl="0" w:tplc="094E33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F56A9E"/>
    <w:multiLevelType w:val="hybridMultilevel"/>
    <w:tmpl w:val="6C8225C0"/>
    <w:lvl w:ilvl="0" w:tplc="B39ABB2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59702D"/>
    <w:multiLevelType w:val="hybridMultilevel"/>
    <w:tmpl w:val="4692D09C"/>
    <w:lvl w:ilvl="0" w:tplc="E7F8C4B0">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E726A8"/>
    <w:multiLevelType w:val="hybridMultilevel"/>
    <w:tmpl w:val="5986F94A"/>
    <w:lvl w:ilvl="0" w:tplc="1FE865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C8C3B4F"/>
    <w:multiLevelType w:val="hybridMultilevel"/>
    <w:tmpl w:val="CF127CCC"/>
    <w:lvl w:ilvl="0" w:tplc="1F52E5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D250F"/>
    <w:multiLevelType w:val="hybridMultilevel"/>
    <w:tmpl w:val="935CA012"/>
    <w:lvl w:ilvl="0" w:tplc="1EE82A34">
      <w:start w:val="5"/>
      <w:numFmt w:val="decimal"/>
      <w:lvlText w:val="%1."/>
      <w:lvlJc w:val="left"/>
      <w:pPr>
        <w:tabs>
          <w:tab w:val="num" w:pos="360"/>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4B6177"/>
    <w:multiLevelType w:val="hybridMultilevel"/>
    <w:tmpl w:val="8E8E8B1E"/>
    <w:lvl w:ilvl="0" w:tplc="74289C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3C185E"/>
    <w:multiLevelType w:val="hybridMultilevel"/>
    <w:tmpl w:val="01E8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B26B2E"/>
    <w:multiLevelType w:val="hybridMultilevel"/>
    <w:tmpl w:val="15B8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1E13BB"/>
    <w:multiLevelType w:val="hybridMultilevel"/>
    <w:tmpl w:val="F79E2C60"/>
    <w:lvl w:ilvl="0" w:tplc="B916152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607CE"/>
    <w:multiLevelType w:val="hybridMultilevel"/>
    <w:tmpl w:val="32FA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6C6D99"/>
    <w:multiLevelType w:val="hybridMultilevel"/>
    <w:tmpl w:val="B4686A8C"/>
    <w:lvl w:ilvl="0" w:tplc="B2B419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CE65A6"/>
    <w:multiLevelType w:val="hybridMultilevel"/>
    <w:tmpl w:val="A7645834"/>
    <w:lvl w:ilvl="0" w:tplc="4C48F0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3A252B"/>
    <w:multiLevelType w:val="hybridMultilevel"/>
    <w:tmpl w:val="FA6CBB5A"/>
    <w:lvl w:ilvl="0" w:tplc="1D4EA6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044618"/>
    <w:multiLevelType w:val="hybridMultilevel"/>
    <w:tmpl w:val="9D926EC6"/>
    <w:lvl w:ilvl="0" w:tplc="3B2EA5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3"/>
  </w:num>
  <w:num w:numId="3">
    <w:abstractNumId w:val="33"/>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42"/>
  </w:num>
  <w:num w:numId="9">
    <w:abstractNumId w:val="17"/>
  </w:num>
  <w:num w:numId="10">
    <w:abstractNumId w:val="13"/>
  </w:num>
  <w:num w:numId="11">
    <w:abstractNumId w:val="32"/>
  </w:num>
  <w:num w:numId="12">
    <w:abstractNumId w:val="44"/>
  </w:num>
  <w:num w:numId="13">
    <w:abstractNumId w:val="31"/>
  </w:num>
  <w:num w:numId="14">
    <w:abstractNumId w:val="36"/>
  </w:num>
  <w:num w:numId="15">
    <w:abstractNumId w:val="21"/>
  </w:num>
  <w:num w:numId="16">
    <w:abstractNumId w:val="2"/>
  </w:num>
  <w:num w:numId="17">
    <w:abstractNumId w:val="41"/>
  </w:num>
  <w:num w:numId="18">
    <w:abstractNumId w:val="27"/>
  </w:num>
  <w:num w:numId="19">
    <w:abstractNumId w:val="25"/>
  </w:num>
  <w:num w:numId="20">
    <w:abstractNumId w:val="24"/>
  </w:num>
  <w:num w:numId="21">
    <w:abstractNumId w:val="45"/>
  </w:num>
  <w:num w:numId="22">
    <w:abstractNumId w:val="34"/>
  </w:num>
  <w:num w:numId="23">
    <w:abstractNumId w:val="6"/>
  </w:num>
  <w:num w:numId="24">
    <w:abstractNumId w:val="11"/>
  </w:num>
  <w:num w:numId="25">
    <w:abstractNumId w:val="40"/>
  </w:num>
  <w:num w:numId="26">
    <w:abstractNumId w:val="43"/>
  </w:num>
  <w:num w:numId="27">
    <w:abstractNumId w:val="39"/>
  </w:num>
  <w:num w:numId="28">
    <w:abstractNumId w:val="16"/>
  </w:num>
  <w:num w:numId="29">
    <w:abstractNumId w:val="18"/>
  </w:num>
  <w:num w:numId="30">
    <w:abstractNumId w:val="29"/>
  </w:num>
  <w:num w:numId="31">
    <w:abstractNumId w:val="1"/>
  </w:num>
  <w:num w:numId="32">
    <w:abstractNumId w:val="12"/>
  </w:num>
  <w:num w:numId="33">
    <w:abstractNumId w:val="7"/>
  </w:num>
  <w:num w:numId="34">
    <w:abstractNumId w:val="8"/>
  </w:num>
  <w:num w:numId="35">
    <w:abstractNumId w:val="22"/>
  </w:num>
  <w:num w:numId="36">
    <w:abstractNumId w:val="19"/>
  </w:num>
  <w:num w:numId="37">
    <w:abstractNumId w:val="4"/>
  </w:num>
  <w:num w:numId="38">
    <w:abstractNumId w:val="3"/>
  </w:num>
  <w:num w:numId="39">
    <w:abstractNumId w:val="5"/>
  </w:num>
  <w:num w:numId="40">
    <w:abstractNumId w:val="9"/>
  </w:num>
  <w:num w:numId="41">
    <w:abstractNumId w:val="38"/>
  </w:num>
  <w:num w:numId="42">
    <w:abstractNumId w:val="28"/>
  </w:num>
  <w:num w:numId="43">
    <w:abstractNumId w:val="20"/>
  </w:num>
  <w:num w:numId="44">
    <w:abstractNumId w:val="37"/>
  </w:num>
  <w:num w:numId="45">
    <w:abstractNumId w:val="14"/>
  </w:num>
  <w:num w:numId="46">
    <w:abstractNumId w:val="0"/>
  </w:num>
  <w:num w:numId="47">
    <w:abstractNumId w:val="35"/>
  </w:num>
  <w:num w:numId="48">
    <w:abstractNumId w:val="10"/>
  </w:num>
  <w:num w:numId="49">
    <w:abstractNumId w:val="23"/>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3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53"/>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A0EF1"/>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2F6AFA"/>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A009E"/>
    <w:rsid w:val="003B3977"/>
    <w:rsid w:val="003D49B1"/>
    <w:rsid w:val="003E1D4C"/>
    <w:rsid w:val="003E5F3E"/>
    <w:rsid w:val="00407C5D"/>
    <w:rsid w:val="0041245B"/>
    <w:rsid w:val="004137A0"/>
    <w:rsid w:val="00422D9A"/>
    <w:rsid w:val="004317DE"/>
    <w:rsid w:val="00432989"/>
    <w:rsid w:val="004342A0"/>
    <w:rsid w:val="00440E24"/>
    <w:rsid w:val="0044776A"/>
    <w:rsid w:val="00460AFC"/>
    <w:rsid w:val="0047471F"/>
    <w:rsid w:val="004A1D9D"/>
    <w:rsid w:val="004B195E"/>
    <w:rsid w:val="004B2E86"/>
    <w:rsid w:val="004B66B4"/>
    <w:rsid w:val="004B7F60"/>
    <w:rsid w:val="004C1AAC"/>
    <w:rsid w:val="004C1C35"/>
    <w:rsid w:val="004E1E0A"/>
    <w:rsid w:val="004E44A7"/>
    <w:rsid w:val="004E5524"/>
    <w:rsid w:val="004E7453"/>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0D57"/>
    <w:rsid w:val="006615F4"/>
    <w:rsid w:val="00662169"/>
    <w:rsid w:val="00675479"/>
    <w:rsid w:val="00680709"/>
    <w:rsid w:val="00681F61"/>
    <w:rsid w:val="00684F23"/>
    <w:rsid w:val="00691D1D"/>
    <w:rsid w:val="00693C38"/>
    <w:rsid w:val="00696BF9"/>
    <w:rsid w:val="00697C62"/>
    <w:rsid w:val="006A329B"/>
    <w:rsid w:val="006A7EB8"/>
    <w:rsid w:val="006B3942"/>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0C7"/>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6FA1"/>
    <w:rsid w:val="00957556"/>
    <w:rsid w:val="00961C83"/>
    <w:rsid w:val="00970CD3"/>
    <w:rsid w:val="009723FA"/>
    <w:rsid w:val="00984546"/>
    <w:rsid w:val="00991AFF"/>
    <w:rsid w:val="009921E9"/>
    <w:rsid w:val="00996510"/>
    <w:rsid w:val="009A388B"/>
    <w:rsid w:val="009A75CF"/>
    <w:rsid w:val="009B36BA"/>
    <w:rsid w:val="009C4E23"/>
    <w:rsid w:val="009D1F15"/>
    <w:rsid w:val="009D3C39"/>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F25F3"/>
    <w:rsid w:val="00C0177F"/>
    <w:rsid w:val="00C01FCB"/>
    <w:rsid w:val="00C1697B"/>
    <w:rsid w:val="00C21644"/>
    <w:rsid w:val="00C21CB5"/>
    <w:rsid w:val="00C257CD"/>
    <w:rsid w:val="00C27015"/>
    <w:rsid w:val="00C34132"/>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079BD"/>
    <w:rsid w:val="00D22BC0"/>
    <w:rsid w:val="00D31809"/>
    <w:rsid w:val="00D50BE2"/>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73E5"/>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0446"/>
    <w:rsid w:val="00F33CCE"/>
    <w:rsid w:val="00F40249"/>
    <w:rsid w:val="00F526C8"/>
    <w:rsid w:val="00F554B5"/>
    <w:rsid w:val="00F663FF"/>
    <w:rsid w:val="00F75954"/>
    <w:rsid w:val="00F761A3"/>
    <w:rsid w:val="00F9272D"/>
    <w:rsid w:val="00F9518C"/>
    <w:rsid w:val="00FA06A3"/>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3A009E"/>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3A009E"/>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3A009E"/>
    <w:pPr>
      <w:jc w:val="both"/>
    </w:pPr>
    <w:rPr>
      <w:rFonts w:eastAsia="Calibri" w:cs="Times New Roman"/>
      <w:smallCaps/>
    </w:rPr>
  </w:style>
  <w:style w:type="character" w:customStyle="1" w:styleId="SCCBanSummaryChar">
    <w:name w:val="SCC.BanSummary Char"/>
    <w:basedOn w:val="DefaultParagraphFont"/>
    <w:link w:val="SCCBanSummary0"/>
    <w:rsid w:val="003A009E"/>
    <w:rPr>
      <w:rFonts w:eastAsia="Calibri" w:cs="Times New Roman"/>
      <w:smallCaps/>
      <w:lang w:val="en-CA"/>
    </w:rPr>
  </w:style>
  <w:style w:type="paragraph" w:styleId="NoSpacing">
    <w:name w:val="No Spacing"/>
    <w:uiPriority w:val="1"/>
    <w:qFormat/>
    <w:rsid w:val="003A009E"/>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3A009E"/>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3A009E"/>
    <w:rPr>
      <w:rFonts w:ascii="Tahoma" w:eastAsia="Times New Roman" w:hAnsi="Tahoma" w:cs="Tahoma"/>
      <w:sz w:val="16"/>
      <w:szCs w:val="16"/>
    </w:rPr>
  </w:style>
  <w:style w:type="paragraph" w:customStyle="1" w:styleId="Style268435469">
    <w:name w:val="Style268435469"/>
    <w:rsid w:val="003A009E"/>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3A009E"/>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3A009E"/>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3A009E"/>
    <w:rPr>
      <w:sz w:val="16"/>
      <w:szCs w:val="16"/>
    </w:rPr>
  </w:style>
  <w:style w:type="paragraph" w:styleId="CommentText">
    <w:name w:val="annotation text"/>
    <w:basedOn w:val="Normal"/>
    <w:link w:val="CommentTextChar"/>
    <w:uiPriority w:val="99"/>
    <w:semiHidden/>
    <w:unhideWhenUsed/>
    <w:rsid w:val="003A009E"/>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3A009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009E"/>
    <w:rPr>
      <w:b/>
      <w:bCs/>
    </w:rPr>
  </w:style>
  <w:style w:type="character" w:customStyle="1" w:styleId="CommentSubjectChar">
    <w:name w:val="Comment Subject Char"/>
    <w:basedOn w:val="CommentTextChar"/>
    <w:link w:val="CommentSubject"/>
    <w:uiPriority w:val="99"/>
    <w:semiHidden/>
    <w:rsid w:val="003A009E"/>
    <w:rPr>
      <w:rFonts w:eastAsia="Times New Roman" w:cs="Times New Roman"/>
      <w:b/>
      <w:bCs/>
      <w:sz w:val="20"/>
      <w:szCs w:val="20"/>
    </w:rPr>
  </w:style>
  <w:style w:type="paragraph" w:customStyle="1" w:styleId="mainparagraph1">
    <w:name w:val="mainparagraph1"/>
    <w:basedOn w:val="Normal"/>
    <w:rsid w:val="003A009E"/>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3A009E"/>
    <w:pPr>
      <w:spacing w:before="120" w:after="120"/>
      <w:jc w:val="both"/>
    </w:pPr>
    <w:rPr>
      <w:rFonts w:ascii="Arial" w:eastAsia="Times New Roman" w:hAnsi="Arial" w:cs="Arial"/>
      <w:sz w:val="26"/>
      <w:szCs w:val="26"/>
      <w:lang w:val="en-US"/>
    </w:rPr>
  </w:style>
  <w:style w:type="paragraph" w:customStyle="1" w:styleId="number1">
    <w:name w:val="number1"/>
    <w:basedOn w:val="Normal"/>
    <w:rsid w:val="003A009E"/>
    <w:pPr>
      <w:jc w:val="both"/>
    </w:pPr>
    <w:rPr>
      <w:rFonts w:ascii="Tahoma" w:eastAsia="Times New Roman" w:hAnsi="Tahoma" w:cs="Tahoma"/>
      <w:szCs w:val="24"/>
      <w:lang w:val="en-US"/>
    </w:rPr>
  </w:style>
  <w:style w:type="character" w:customStyle="1" w:styleId="reflex3-block">
    <w:name w:val="reflex3-block"/>
    <w:basedOn w:val="DefaultParagraphFont"/>
    <w:rsid w:val="003A009E"/>
  </w:style>
  <w:style w:type="character" w:customStyle="1" w:styleId="reflex3-alt">
    <w:name w:val="reflex3-alt"/>
    <w:basedOn w:val="DefaultParagraphFont"/>
    <w:rsid w:val="003A009E"/>
  </w:style>
  <w:style w:type="paragraph" w:customStyle="1" w:styleId="scjnumber1">
    <w:name w:val="scjnumber1"/>
    <w:basedOn w:val="Normal"/>
    <w:rsid w:val="003A009E"/>
    <w:pPr>
      <w:spacing w:after="240"/>
    </w:pPr>
    <w:rPr>
      <w:rFonts w:ascii="Arial" w:eastAsia="Times New Roman" w:hAnsi="Arial" w:cs="Arial"/>
      <w:szCs w:val="24"/>
      <w:lang w:val="en-US"/>
    </w:rPr>
  </w:style>
  <w:style w:type="character" w:customStyle="1" w:styleId="reflex">
    <w:name w:val="reflex"/>
    <w:basedOn w:val="DefaultParagraphFont"/>
    <w:rsid w:val="003A009E"/>
  </w:style>
  <w:style w:type="paragraph" w:customStyle="1" w:styleId="paragraphe">
    <w:name w:val="paragraphe"/>
    <w:basedOn w:val="Normal"/>
    <w:rsid w:val="003A009E"/>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3A009E"/>
  </w:style>
  <w:style w:type="paragraph" w:customStyle="1" w:styleId="SCCLsocSubfileSeparator0">
    <w:name w:val="SCC.Lsoc.SubfileSeparator"/>
    <w:basedOn w:val="Normal"/>
    <w:next w:val="Normal"/>
    <w:link w:val="SCCLsocSubfileSeparatorChar"/>
    <w:rsid w:val="003A009E"/>
    <w:pPr>
      <w:jc w:val="both"/>
    </w:pPr>
    <w:rPr>
      <w:rFonts w:cs="Times New Roman"/>
      <w:b/>
      <w:szCs w:val="24"/>
    </w:rPr>
  </w:style>
  <w:style w:type="character" w:customStyle="1" w:styleId="SCCLsocSubfileSeparatorChar">
    <w:name w:val="SCC.Lsoc.SubfileSeparator Char"/>
    <w:basedOn w:val="DefaultParagraphFont"/>
    <w:link w:val="SCCLsocSubfileSeparator0"/>
    <w:rsid w:val="003A009E"/>
    <w:rPr>
      <w:rFonts w:cs="Times New Roman"/>
      <w:b/>
      <w:szCs w:val="24"/>
      <w:lang w:val="en-CA"/>
    </w:rPr>
  </w:style>
  <w:style w:type="paragraph" w:customStyle="1" w:styleId="s3">
    <w:name w:val="s3"/>
    <w:basedOn w:val="Normal"/>
    <w:rsid w:val="003A009E"/>
    <w:pPr>
      <w:spacing w:before="100" w:beforeAutospacing="1" w:after="100" w:afterAutospacing="1"/>
    </w:pPr>
    <w:rPr>
      <w:rFonts w:cs="Times New Roman"/>
      <w:szCs w:val="24"/>
      <w:lang w:val="en-US"/>
    </w:rPr>
  </w:style>
  <w:style w:type="character" w:customStyle="1" w:styleId="s4">
    <w:name w:val="s4"/>
    <w:basedOn w:val="DefaultParagraphFont"/>
    <w:rsid w:val="003A009E"/>
  </w:style>
  <w:style w:type="character" w:customStyle="1" w:styleId="s5">
    <w:name w:val="s5"/>
    <w:basedOn w:val="DefaultParagraphFont"/>
    <w:rsid w:val="003A009E"/>
  </w:style>
  <w:style w:type="paragraph" w:customStyle="1" w:styleId="paragraphenumrot">
    <w:name w:val="paragraphenumrot"/>
    <w:basedOn w:val="Normal"/>
    <w:rsid w:val="003A009E"/>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3A009E"/>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3A009E"/>
  </w:style>
  <w:style w:type="paragraph" w:customStyle="1" w:styleId="aparanumbering">
    <w:name w:val="aparanumbering"/>
    <w:basedOn w:val="Normal"/>
    <w:rsid w:val="003A009E"/>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3A009E"/>
  </w:style>
  <w:style w:type="paragraph" w:customStyle="1" w:styleId="scjnumber">
    <w:name w:val="scjnumber"/>
    <w:basedOn w:val="Normal"/>
    <w:rsid w:val="003A009E"/>
    <w:pPr>
      <w:spacing w:before="100" w:beforeAutospacing="1" w:after="100" w:afterAutospacing="1"/>
    </w:pPr>
    <w:rPr>
      <w:rFonts w:eastAsia="Times New Roman" w:cs="Times New Roman"/>
      <w:szCs w:val="24"/>
      <w:lang w:val="en-US"/>
    </w:rPr>
  </w:style>
  <w:style w:type="paragraph" w:customStyle="1" w:styleId="body">
    <w:name w:val="body"/>
    <w:basedOn w:val="Normal"/>
    <w:rsid w:val="003A009E"/>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3A009E"/>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3A009E"/>
  </w:style>
  <w:style w:type="paragraph" w:customStyle="1" w:styleId="mainparagraph">
    <w:name w:val="mainparagraph"/>
    <w:basedOn w:val="Normal"/>
    <w:rsid w:val="003A009E"/>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3A009E"/>
    <w:rPr>
      <w:i/>
      <w:iCs/>
    </w:rPr>
  </w:style>
  <w:style w:type="character" w:customStyle="1" w:styleId="solexhl2">
    <w:name w:val="solexhl2"/>
    <w:basedOn w:val="DefaultParagraphFont"/>
    <w:rsid w:val="009D3C39"/>
  </w:style>
  <w:style w:type="paragraph" w:customStyle="1" w:styleId="scclsocparty1">
    <w:name w:val="scclsocparty1"/>
    <w:basedOn w:val="Normal"/>
    <w:rsid w:val="00660D57"/>
    <w:pPr>
      <w:jc w:val="center"/>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033073475">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en/on/onca/doc/2020/2020onca479/2020onca479.html?resultIndex=1" TargetMode="External"/><Relationship Id="rId26" Type="http://schemas.openxmlformats.org/officeDocument/2006/relationships/hyperlink" Target="https://www.canlii.org/fr/qc/qcca/doc/2020/2020qcca1718/2020qcca1718.pdf" TargetMode="External"/><Relationship Id="rId39" Type="http://schemas.openxmlformats.org/officeDocument/2006/relationships/hyperlink" Target="https://www.canlii.org/en/on/onca/doc/2021/2021onca34/2021onca34.html?resultIndex=1" TargetMode="External"/><Relationship Id="rId21" Type="http://schemas.openxmlformats.org/officeDocument/2006/relationships/hyperlink" Target="https://www.canlii.org/fr/qc/qccs/doc/2018/2018qccs3120/2018qccs3120.pdf" TargetMode="External"/><Relationship Id="rId34" Type="http://schemas.openxmlformats.org/officeDocument/2006/relationships/hyperlink" Target="https://www.canlii.org/en/on/onca/doc/2021/2021onca38/2021onca38.html" TargetMode="External"/><Relationship Id="rId42" Type="http://schemas.openxmlformats.org/officeDocument/2006/relationships/hyperlink" Target="https://canlii.ca/t/j93c9" TargetMode="External"/><Relationship Id="rId47" Type="http://schemas.openxmlformats.org/officeDocument/2006/relationships/hyperlink" Target="https://www.canlii.org/en/on/onca/doc/2021/2021onca48/2021onca48.html?resultIndex=1" TargetMode="External"/><Relationship Id="rId50" Type="http://schemas.openxmlformats.org/officeDocument/2006/relationships/hyperlink" Target="https://www.canlii.org/en/on/onca/doc/2021/2021onca26/2021onca26.html?autocompleteStr=Canadian%20Broadcasting%20corporation%20v.%20Subway&amp;autocompletePos=1" TargetMode="External"/><Relationship Id="rId55" Type="http://schemas.openxmlformats.org/officeDocument/2006/relationships/hyperlink" Target="https://www.canlii.org/en/on/onsc/doc/2019/2019onsc6758/2019onsc6758.html" TargetMode="External"/><Relationship Id="rId63" Type="http://schemas.openxmlformats.org/officeDocument/2006/relationships/header" Target="header6.xml"/><Relationship Id="rId68" Type="http://schemas.openxmlformats.org/officeDocument/2006/relationships/footer" Target="footer8.xml"/><Relationship Id="rId76" Type="http://schemas.openxmlformats.org/officeDocument/2006/relationships/hyperlink" Target="https://decisions.scc-csc.ca/scc-csc/scc-csc/fr/item/18955/index.do" TargetMode="External"/><Relationship Id="rId84" Type="http://schemas.openxmlformats.org/officeDocument/2006/relationships/footer" Target="footer15.xml"/><Relationship Id="rId7" Type="http://schemas.openxmlformats.org/officeDocument/2006/relationships/endnotes" Target="endnotes.xml"/><Relationship Id="rId71"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s://www.canlii.org/en/on/onca/doc/2020/2020onca479/2020onca479.html?resultIndex=1" TargetMode="External"/><Relationship Id="rId29" Type="http://schemas.openxmlformats.org/officeDocument/2006/relationships/hyperlink" Target="https://www.canlii.org/en/sk/skqb/doc/2019/2019skqb325/2019skqb325.html?resultIndex=1" TargetMode="External"/><Relationship Id="rId11" Type="http://schemas.openxmlformats.org/officeDocument/2006/relationships/header" Target="header1.xml"/><Relationship Id="rId24" Type="http://schemas.openxmlformats.org/officeDocument/2006/relationships/hyperlink" Target="https://www.canlii.org/fr/qc/qcca/doc/2020/2020qcca1718/2020qcca1718.pdf" TargetMode="External"/><Relationship Id="rId32" Type="http://schemas.openxmlformats.org/officeDocument/2006/relationships/hyperlink" Target="https://www.canlii.org/en/sk/skca/doc/2021/2021skca5/2021skca5.html?resultIndex=1" TargetMode="External"/><Relationship Id="rId37" Type="http://schemas.openxmlformats.org/officeDocument/2006/relationships/hyperlink" Target="https://canlii.ca/t/j5wqj" TargetMode="External"/><Relationship Id="rId40" Type="http://schemas.openxmlformats.org/officeDocument/2006/relationships/hyperlink" Target="https://www.canlii.org/en/on/onca/doc/2021/2021onca34/2021onca34.html?resultIndex=1" TargetMode="External"/><Relationship Id="rId45" Type="http://schemas.openxmlformats.org/officeDocument/2006/relationships/hyperlink" Target="https://www.canlii.org/fr/ca/cfpi/doc/2020/2020cf769/2020cf769.html" TargetMode="External"/><Relationship Id="rId53" Type="http://schemas.openxmlformats.org/officeDocument/2006/relationships/hyperlink" Target="https://www.canlii.org/en/on/onsc/doc/2019/2019onsc6758/2019onsc6758.html" TargetMode="External"/><Relationship Id="rId58" Type="http://schemas.openxmlformats.org/officeDocument/2006/relationships/header" Target="header4.xml"/><Relationship Id="rId66" Type="http://schemas.openxmlformats.org/officeDocument/2006/relationships/footer" Target="footer7.xml"/><Relationship Id="rId74" Type="http://schemas.openxmlformats.org/officeDocument/2006/relationships/footer" Target="footer11.xml"/><Relationship Id="rId79" Type="http://schemas.openxmlformats.org/officeDocument/2006/relationships/footer" Target="footer12.xml"/><Relationship Id="rId5" Type="http://schemas.openxmlformats.org/officeDocument/2006/relationships/webSettings" Target="webSettings.xml"/><Relationship Id="rId61" Type="http://schemas.openxmlformats.org/officeDocument/2006/relationships/header" Target="header5.xml"/><Relationship Id="rId82" Type="http://schemas.openxmlformats.org/officeDocument/2006/relationships/footer" Target="footer14.xml"/><Relationship Id="rId19" Type="http://schemas.openxmlformats.org/officeDocument/2006/relationships/hyperlink" Target="https://www.canlii.org/fr/qc/qccs/doc/2018/2018qccs3120/2018qccs3120.pdf" TargetMode="Externa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fr/qc/qcca/doc/2020/2020qcca1553/2020qcca1553.pdf" TargetMode="External"/><Relationship Id="rId27" Type="http://schemas.openxmlformats.org/officeDocument/2006/relationships/hyperlink" Target="https://canlii.ca/t/jd1gp" TargetMode="External"/><Relationship Id="rId30" Type="http://schemas.openxmlformats.org/officeDocument/2006/relationships/hyperlink" Target="https://www.canlii.org/en/sk/skca/doc/2021/2021skca5/2021skca5.html?resultIndex=1" TargetMode="External"/><Relationship Id="rId35" Type="http://schemas.openxmlformats.org/officeDocument/2006/relationships/hyperlink" Target="https://www.canlii.org/en/on/onsc/doc/2020/2020onsc1629/2020onsc1629.html" TargetMode="External"/><Relationship Id="rId43" Type="http://schemas.openxmlformats.org/officeDocument/2006/relationships/hyperlink" Target="https://canlii.ca/t/jcl1t" TargetMode="External"/><Relationship Id="rId48" Type="http://schemas.openxmlformats.org/officeDocument/2006/relationships/hyperlink" Target="https://www.canlii.org/en/on/onca/doc/2021/2021onca48/2021onca48.html?resultIndex=1" TargetMode="External"/><Relationship Id="rId56" Type="http://schemas.openxmlformats.org/officeDocument/2006/relationships/hyperlink" Target="https://www.canlii.org/en/on/onca/doc/2021/2021onca25/2021onca25.html?autocompleteStr=2021%20ONCA%2025&amp;autocompletePos=1" TargetMode="External"/><Relationship Id="rId64" Type="http://schemas.openxmlformats.org/officeDocument/2006/relationships/header" Target="header7.xml"/><Relationship Id="rId69" Type="http://schemas.openxmlformats.org/officeDocument/2006/relationships/header" Target="header9.xml"/><Relationship Id="rId77"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hyperlink" Target="https://www.canlii.org/en/on/onsc/doc/2019/2019onsc6758/2019onsc6758.html" TargetMode="External"/><Relationship Id="rId72" Type="http://schemas.openxmlformats.org/officeDocument/2006/relationships/footer" Target="footer10.xml"/><Relationship Id="rId80" Type="http://schemas.openxmlformats.org/officeDocument/2006/relationships/footer" Target="footer13.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on/onsc/doc/2016/2016onsc6267/2016onsc6267.html" TargetMode="External"/><Relationship Id="rId25" Type="http://schemas.openxmlformats.org/officeDocument/2006/relationships/hyperlink" Target="https://www.canlii.org/fr/qc/qccs/doc/2019/2019qccs2979/2019qccs2979.pdf" TargetMode="External"/><Relationship Id="rId33" Type="http://schemas.openxmlformats.org/officeDocument/2006/relationships/hyperlink" Target="https://www.canlii.org/en/on/onsc/doc/2020/2020onsc1629/2020onsc1629.html" TargetMode="External"/><Relationship Id="rId38" Type="http://schemas.openxmlformats.org/officeDocument/2006/relationships/hyperlink" Target="https://canlii.ca/t/j5wqj" TargetMode="External"/><Relationship Id="rId46" Type="http://schemas.openxmlformats.org/officeDocument/2006/relationships/hyperlink" Target="https://canlii.ca/t/jcl1t" TargetMode="External"/><Relationship Id="rId59" Type="http://schemas.openxmlformats.org/officeDocument/2006/relationships/footer" Target="footer3.xml"/><Relationship Id="rId67" Type="http://schemas.openxmlformats.org/officeDocument/2006/relationships/header" Target="header8.xml"/><Relationship Id="rId20" Type="http://schemas.openxmlformats.org/officeDocument/2006/relationships/hyperlink" Target="https://www.canlii.org/fr/qc/qcca/doc/2020/2020qcca1553/2020qcca1553.pdf" TargetMode="External"/><Relationship Id="rId41" Type="http://schemas.openxmlformats.org/officeDocument/2006/relationships/hyperlink" Target="https://www.canlii.org/en/ca/laws/stat/rsc-1985-c-f-7/latest/rsc-1985-c-f-7.html" TargetMode="External"/><Relationship Id="rId54" Type="http://schemas.openxmlformats.org/officeDocument/2006/relationships/hyperlink" Target="https://www.canlii.org/en/on/onca/doc/2021/2021onca25/2021onca25.html?autocompleteStr=2021%20ONCA%2025&amp;autocompletePos=1" TargetMode="External"/><Relationship Id="rId62" Type="http://schemas.openxmlformats.org/officeDocument/2006/relationships/footer" Target="footer5.xml"/><Relationship Id="rId70" Type="http://schemas.openxmlformats.org/officeDocument/2006/relationships/header" Target="header10.xml"/><Relationship Id="rId75" Type="http://schemas.openxmlformats.org/officeDocument/2006/relationships/hyperlink" Target="https://decisions.scc-csc.ca/scc-csc/scc-csc/en/item/18955/index.do" TargetMode="External"/><Relationship Id="rId83"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on/onsc/doc/2016/2016onsc6267/2016onsc6267.html" TargetMode="External"/><Relationship Id="rId23" Type="http://schemas.openxmlformats.org/officeDocument/2006/relationships/hyperlink" Target="https://www.canlii.org/fr/qc/qccs/doc/2019/2019qccs2979/2019qccs2979.pdf" TargetMode="External"/><Relationship Id="rId28" Type="http://schemas.openxmlformats.org/officeDocument/2006/relationships/hyperlink" Target="https://canlii.ca/t/jd1gp" TargetMode="External"/><Relationship Id="rId36" Type="http://schemas.openxmlformats.org/officeDocument/2006/relationships/hyperlink" Target="https://www.canlii.org/en/on/onca/doc/2021/2021onca38/2021onca38.html" TargetMode="External"/><Relationship Id="rId49" Type="http://schemas.openxmlformats.org/officeDocument/2006/relationships/hyperlink" Target="https://www.canlii.org/en/on/onsc/doc/2019/2019onsc6758/2019onsc6758.html" TargetMode="External"/><Relationship Id="rId57" Type="http://schemas.openxmlformats.org/officeDocument/2006/relationships/header" Target="header3.xml"/><Relationship Id="rId10" Type="http://schemas.openxmlformats.org/officeDocument/2006/relationships/hyperlink" Target="https://www.scc-csc.ca" TargetMode="External"/><Relationship Id="rId31" Type="http://schemas.openxmlformats.org/officeDocument/2006/relationships/hyperlink" Target="https://www.canlii.org/en/sk/skqb/doc/2019/2019skqb325/2019skqb325.html?resultIndex=1" TargetMode="External"/><Relationship Id="rId44" Type="http://schemas.openxmlformats.org/officeDocument/2006/relationships/hyperlink" Target="https://www.canlii.org/en/ca/laws/stat/rsc-1985-c-f-7/latest/rsc-1985-c-f-7.html" TargetMode="External"/><Relationship Id="rId52" Type="http://schemas.openxmlformats.org/officeDocument/2006/relationships/hyperlink" Target="https://www.canlii.org/en/on/onca/doc/2021/2021onca26/2021onca26.html?autocompleteStr=Canadian%20Broadcasting%20corporation%20v.%20Subway&amp;autocompletePos=1" TargetMode="External"/><Relationship Id="rId60" Type="http://schemas.openxmlformats.org/officeDocument/2006/relationships/footer" Target="footer4.xml"/><Relationship Id="rId65" Type="http://schemas.openxmlformats.org/officeDocument/2006/relationships/footer" Target="footer6.xml"/><Relationship Id="rId73" Type="http://schemas.openxmlformats.org/officeDocument/2006/relationships/header" Target="header11.xml"/><Relationship Id="rId78" Type="http://schemas.openxmlformats.org/officeDocument/2006/relationships/header" Target="header13.xml"/><Relationship Id="rId81" Type="http://schemas.openxmlformats.org/officeDocument/2006/relationships/header" Target="header14.xm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6B7E5-A577-4727-BC67-FF92AF6FD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28</Pages>
  <Words>11930</Words>
  <Characters>68003</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2021-07-06T17:39:00Z</dcterms:created>
  <dcterms:modified xsi:type="dcterms:W3CDTF">2021-07-15T23:16:00Z</dcterms:modified>
</cp:coreProperties>
</file>