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4F4118" w:rsidTr="00F138C1">
        <w:tc>
          <w:tcPr>
            <w:tcW w:w="9648" w:type="dxa"/>
            <w:gridSpan w:val="3"/>
          </w:tcPr>
          <w:p w:rsidR="008C2D9E" w:rsidRPr="004F4118" w:rsidRDefault="008C2D9E" w:rsidP="00F138C1">
            <w:pPr>
              <w:tabs>
                <w:tab w:val="left" w:pos="6075"/>
              </w:tabs>
              <w:jc w:val="center"/>
              <w:rPr>
                <w:b/>
                <w:sz w:val="32"/>
                <w:szCs w:val="32"/>
                <w:lang w:val="fr-CA"/>
              </w:rPr>
            </w:pPr>
            <w:r w:rsidRPr="004F4118">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4F4118" w:rsidRDefault="008C2D9E" w:rsidP="00F138C1">
            <w:pPr>
              <w:tabs>
                <w:tab w:val="left" w:pos="6075"/>
              </w:tabs>
              <w:jc w:val="center"/>
              <w:rPr>
                <w:b/>
                <w:sz w:val="32"/>
                <w:szCs w:val="32"/>
                <w:lang w:val="fr-CA"/>
              </w:rPr>
            </w:pPr>
          </w:p>
        </w:tc>
      </w:tr>
      <w:tr w:rsidR="00F138C1" w:rsidRPr="004F4118" w:rsidTr="00F138C1">
        <w:tc>
          <w:tcPr>
            <w:tcW w:w="4599" w:type="dxa"/>
            <w:tcMar>
              <w:top w:w="284" w:type="dxa"/>
            </w:tcMar>
          </w:tcPr>
          <w:p w:rsidR="00F138C1" w:rsidRPr="004F4118" w:rsidRDefault="00F138C1" w:rsidP="00F138C1">
            <w:pPr>
              <w:tabs>
                <w:tab w:val="left" w:pos="6075"/>
              </w:tabs>
              <w:jc w:val="center"/>
              <w:rPr>
                <w:b/>
                <w:sz w:val="32"/>
                <w:szCs w:val="32"/>
              </w:rPr>
            </w:pPr>
            <w:r w:rsidRPr="004F4118">
              <w:rPr>
                <w:b/>
                <w:sz w:val="32"/>
                <w:szCs w:val="32"/>
              </w:rPr>
              <w:t>SUPREME COURT OF CANADA</w:t>
            </w:r>
          </w:p>
        </w:tc>
        <w:tc>
          <w:tcPr>
            <w:tcW w:w="483" w:type="dxa"/>
          </w:tcPr>
          <w:p w:rsidR="00F138C1" w:rsidRPr="004F4118" w:rsidRDefault="00F138C1" w:rsidP="00F138C1">
            <w:pPr>
              <w:tabs>
                <w:tab w:val="left" w:pos="6075"/>
              </w:tabs>
              <w:jc w:val="center"/>
              <w:rPr>
                <w:sz w:val="32"/>
                <w:szCs w:val="32"/>
              </w:rPr>
            </w:pPr>
          </w:p>
        </w:tc>
        <w:tc>
          <w:tcPr>
            <w:tcW w:w="4566" w:type="dxa"/>
            <w:tcMar>
              <w:top w:w="284" w:type="dxa"/>
            </w:tcMar>
          </w:tcPr>
          <w:p w:rsidR="00F138C1" w:rsidRPr="004F4118" w:rsidRDefault="00F138C1" w:rsidP="00F138C1">
            <w:pPr>
              <w:tabs>
                <w:tab w:val="left" w:pos="6075"/>
              </w:tabs>
              <w:jc w:val="center"/>
              <w:rPr>
                <w:b/>
                <w:sz w:val="32"/>
                <w:szCs w:val="32"/>
                <w:lang w:val="fr-CA"/>
              </w:rPr>
            </w:pPr>
            <w:r w:rsidRPr="004F4118">
              <w:rPr>
                <w:b/>
                <w:sz w:val="32"/>
                <w:szCs w:val="32"/>
                <w:lang w:val="fr-CA"/>
              </w:rPr>
              <w:t>COUR SUPRÊME DU CANADA</w:t>
            </w:r>
          </w:p>
        </w:tc>
      </w:tr>
      <w:tr w:rsidR="00F138C1" w:rsidRPr="004F4118" w:rsidTr="00F138C1">
        <w:tc>
          <w:tcPr>
            <w:tcW w:w="4599" w:type="dxa"/>
            <w:tcMar>
              <w:top w:w="567" w:type="dxa"/>
            </w:tcMar>
          </w:tcPr>
          <w:p w:rsidR="00F138C1" w:rsidRPr="004F4118" w:rsidRDefault="00F138C1" w:rsidP="00F138C1">
            <w:pPr>
              <w:tabs>
                <w:tab w:val="left" w:pos="6075"/>
              </w:tabs>
              <w:jc w:val="center"/>
              <w:rPr>
                <w:sz w:val="28"/>
                <w:szCs w:val="28"/>
              </w:rPr>
            </w:pPr>
            <w:r w:rsidRPr="004F4118">
              <w:rPr>
                <w:sz w:val="28"/>
                <w:szCs w:val="28"/>
              </w:rPr>
              <w:t>BULLETIN OF</w:t>
            </w:r>
            <w:r w:rsidRPr="004F4118">
              <w:rPr>
                <w:sz w:val="28"/>
                <w:szCs w:val="28"/>
              </w:rPr>
              <w:br/>
              <w:t xml:space="preserve"> PROCEEDINGS</w:t>
            </w:r>
          </w:p>
        </w:tc>
        <w:tc>
          <w:tcPr>
            <w:tcW w:w="483" w:type="dxa"/>
          </w:tcPr>
          <w:p w:rsidR="00F138C1" w:rsidRPr="004F4118" w:rsidRDefault="00F138C1" w:rsidP="00F138C1">
            <w:pPr>
              <w:tabs>
                <w:tab w:val="left" w:pos="6075"/>
              </w:tabs>
            </w:pPr>
          </w:p>
        </w:tc>
        <w:tc>
          <w:tcPr>
            <w:tcW w:w="4566" w:type="dxa"/>
            <w:tcMar>
              <w:top w:w="567" w:type="dxa"/>
            </w:tcMar>
          </w:tcPr>
          <w:p w:rsidR="00F138C1" w:rsidRPr="004F4118" w:rsidRDefault="00F138C1" w:rsidP="00F138C1">
            <w:pPr>
              <w:tabs>
                <w:tab w:val="left" w:pos="6075"/>
              </w:tabs>
              <w:jc w:val="center"/>
              <w:rPr>
                <w:sz w:val="28"/>
                <w:szCs w:val="28"/>
                <w:lang w:val="fr-CA"/>
              </w:rPr>
            </w:pPr>
            <w:r w:rsidRPr="004F4118">
              <w:rPr>
                <w:sz w:val="28"/>
                <w:szCs w:val="28"/>
                <w:lang w:val="fr-CA"/>
              </w:rPr>
              <w:t>BULLETIN DES</w:t>
            </w:r>
            <w:r w:rsidRPr="004F4118">
              <w:rPr>
                <w:sz w:val="28"/>
                <w:szCs w:val="28"/>
                <w:lang w:val="fr-CA"/>
              </w:rPr>
              <w:br/>
              <w:t xml:space="preserve"> PROCÉDURES</w:t>
            </w:r>
          </w:p>
        </w:tc>
      </w:tr>
      <w:tr w:rsidR="00F138C1" w:rsidRPr="00DF0AA3" w:rsidTr="00F138C1">
        <w:tc>
          <w:tcPr>
            <w:tcW w:w="4599" w:type="dxa"/>
            <w:tcMar>
              <w:top w:w="567" w:type="dxa"/>
            </w:tcMar>
          </w:tcPr>
          <w:p w:rsidR="00F138C1" w:rsidRPr="004F4118" w:rsidRDefault="00F138C1" w:rsidP="00F138C1">
            <w:pPr>
              <w:tabs>
                <w:tab w:val="left" w:pos="6075"/>
              </w:tabs>
              <w:jc w:val="both"/>
              <w:rPr>
                <w:rFonts w:ascii="Arial" w:hAnsi="Arial" w:cs="Arial"/>
                <w:i/>
                <w:sz w:val="20"/>
                <w:szCs w:val="20"/>
              </w:rPr>
            </w:pPr>
            <w:r w:rsidRPr="004F411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4F411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F4118" w:rsidRDefault="00F138C1" w:rsidP="00F138C1">
            <w:pPr>
              <w:tabs>
                <w:tab w:val="left" w:pos="6075"/>
              </w:tabs>
              <w:jc w:val="both"/>
              <w:rPr>
                <w:rFonts w:ascii="Arial" w:hAnsi="Arial" w:cs="Arial"/>
                <w:i/>
                <w:sz w:val="20"/>
                <w:szCs w:val="20"/>
                <w:lang w:val="fr-CA"/>
              </w:rPr>
            </w:pPr>
            <w:r w:rsidRPr="004F411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DF0AA3" w:rsidTr="00F138C1">
        <w:tc>
          <w:tcPr>
            <w:tcW w:w="4599" w:type="dxa"/>
            <w:tcMar>
              <w:top w:w="567" w:type="dxa"/>
            </w:tcMar>
          </w:tcPr>
          <w:p w:rsidR="00F138C1" w:rsidRPr="004F4118" w:rsidRDefault="00F138C1" w:rsidP="00F138C1">
            <w:pPr>
              <w:tabs>
                <w:tab w:val="left" w:pos="6075"/>
              </w:tabs>
              <w:jc w:val="both"/>
              <w:rPr>
                <w:rFonts w:ascii="Arial" w:hAnsi="Arial" w:cs="Arial"/>
                <w:i/>
                <w:sz w:val="20"/>
                <w:szCs w:val="20"/>
              </w:rPr>
            </w:pPr>
            <w:r w:rsidRPr="004F4118">
              <w:rPr>
                <w:rFonts w:ascii="Arial" w:hAnsi="Arial" w:cs="Arial"/>
                <w:i/>
                <w:sz w:val="20"/>
                <w:szCs w:val="20"/>
              </w:rPr>
              <w:t>During Court sessions, the Bulletin is usually issued weekly.</w:t>
            </w:r>
          </w:p>
        </w:tc>
        <w:tc>
          <w:tcPr>
            <w:tcW w:w="483" w:type="dxa"/>
          </w:tcPr>
          <w:p w:rsidR="00F138C1" w:rsidRPr="004F411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F4118" w:rsidRDefault="00F138C1" w:rsidP="00F138C1">
            <w:pPr>
              <w:tabs>
                <w:tab w:val="left" w:pos="6075"/>
              </w:tabs>
              <w:jc w:val="both"/>
              <w:rPr>
                <w:rFonts w:ascii="Arial" w:hAnsi="Arial" w:cs="Arial"/>
                <w:i/>
                <w:sz w:val="20"/>
                <w:szCs w:val="20"/>
                <w:lang w:val="fr-CA"/>
              </w:rPr>
            </w:pPr>
            <w:r w:rsidRPr="004F4118">
              <w:rPr>
                <w:rFonts w:ascii="Arial" w:hAnsi="Arial" w:cs="Arial"/>
                <w:i/>
                <w:sz w:val="20"/>
                <w:szCs w:val="20"/>
                <w:lang w:val="fr-CA"/>
              </w:rPr>
              <w:t>Le Bulletin paraît en principe toutes les semaines pendant les sessions de la Cour.</w:t>
            </w:r>
          </w:p>
        </w:tc>
      </w:tr>
      <w:tr w:rsidR="00F138C1" w:rsidRPr="00DF0AA3" w:rsidTr="00F138C1">
        <w:tc>
          <w:tcPr>
            <w:tcW w:w="4599" w:type="dxa"/>
            <w:tcMar>
              <w:top w:w="567" w:type="dxa"/>
            </w:tcMar>
          </w:tcPr>
          <w:p w:rsidR="00F138C1" w:rsidRPr="004F4118" w:rsidRDefault="00F138C1" w:rsidP="00F138C1">
            <w:pPr>
              <w:tabs>
                <w:tab w:val="left" w:pos="6075"/>
              </w:tabs>
              <w:jc w:val="both"/>
              <w:rPr>
                <w:rFonts w:ascii="Arial" w:hAnsi="Arial" w:cs="Arial"/>
                <w:i/>
                <w:sz w:val="20"/>
                <w:szCs w:val="20"/>
              </w:rPr>
            </w:pPr>
            <w:r w:rsidRPr="004F4118">
              <w:rPr>
                <w:rFonts w:ascii="Arial" w:hAnsi="Arial" w:cs="Arial"/>
                <w:i/>
                <w:sz w:val="20"/>
                <w:szCs w:val="20"/>
              </w:rPr>
              <w:fldChar w:fldCharType="begin"/>
            </w:r>
            <w:r w:rsidRPr="004F4118">
              <w:rPr>
                <w:rFonts w:ascii="Arial" w:hAnsi="Arial" w:cs="Arial"/>
                <w:i/>
                <w:sz w:val="20"/>
                <w:szCs w:val="20"/>
              </w:rPr>
              <w:instrText xml:space="preserve"> SEQ CHAPTER \h \r 1</w:instrText>
            </w:r>
            <w:r w:rsidRPr="004F4118">
              <w:rPr>
                <w:rFonts w:ascii="Arial" w:hAnsi="Arial" w:cs="Arial"/>
                <w:i/>
                <w:sz w:val="20"/>
                <w:szCs w:val="20"/>
              </w:rPr>
              <w:fldChar w:fldCharType="end"/>
            </w:r>
            <w:r w:rsidRPr="004F411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4F411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F4118" w:rsidRDefault="00F138C1" w:rsidP="00F138C1">
            <w:pPr>
              <w:tabs>
                <w:tab w:val="left" w:pos="6075"/>
              </w:tabs>
              <w:jc w:val="both"/>
              <w:rPr>
                <w:rFonts w:ascii="Arial" w:hAnsi="Arial" w:cs="Arial"/>
                <w:i/>
                <w:sz w:val="20"/>
                <w:szCs w:val="20"/>
                <w:lang w:val="fr-CA"/>
              </w:rPr>
            </w:pPr>
            <w:r w:rsidRPr="004F4118">
              <w:rPr>
                <w:rFonts w:ascii="Arial" w:hAnsi="Arial" w:cs="Arial"/>
                <w:i/>
                <w:sz w:val="20"/>
                <w:szCs w:val="20"/>
                <w:lang w:val="fr-CA"/>
              </w:rPr>
              <w:fldChar w:fldCharType="begin"/>
            </w:r>
            <w:r w:rsidRPr="004F4118">
              <w:rPr>
                <w:rFonts w:ascii="Arial" w:hAnsi="Arial" w:cs="Arial"/>
                <w:i/>
                <w:sz w:val="20"/>
                <w:szCs w:val="20"/>
                <w:lang w:val="fr-CA"/>
              </w:rPr>
              <w:instrText xml:space="preserve"> SEQ CHAPTER \h \r 1</w:instrText>
            </w:r>
            <w:r w:rsidRPr="004F4118">
              <w:rPr>
                <w:rFonts w:ascii="Arial" w:hAnsi="Arial" w:cs="Arial"/>
                <w:i/>
                <w:sz w:val="20"/>
                <w:szCs w:val="20"/>
                <w:lang w:val="fr-CA"/>
              </w:rPr>
              <w:fldChar w:fldCharType="end"/>
            </w:r>
            <w:r w:rsidRPr="004F411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DF0AA3" w:rsidTr="00F138C1">
        <w:tc>
          <w:tcPr>
            <w:tcW w:w="4599" w:type="dxa"/>
            <w:tcMar>
              <w:top w:w="567" w:type="dxa"/>
            </w:tcMar>
          </w:tcPr>
          <w:p w:rsidR="00F138C1" w:rsidRPr="004F4118" w:rsidRDefault="00F138C1" w:rsidP="00F138C1">
            <w:pPr>
              <w:tabs>
                <w:tab w:val="left" w:pos="6075"/>
              </w:tabs>
              <w:jc w:val="both"/>
              <w:rPr>
                <w:rFonts w:ascii="Arial" w:hAnsi="Arial" w:cs="Arial"/>
                <w:i/>
                <w:sz w:val="20"/>
                <w:szCs w:val="20"/>
              </w:rPr>
            </w:pPr>
            <w:r w:rsidRPr="004F4118">
              <w:rPr>
                <w:rFonts w:ascii="Arial" w:hAnsi="Arial" w:cs="Arial"/>
                <w:i/>
                <w:sz w:val="20"/>
                <w:szCs w:val="20"/>
                <w:lang w:val="en-US"/>
              </w:rPr>
              <w:t>Please c</w:t>
            </w:r>
            <w:r w:rsidRPr="004F4118">
              <w:rPr>
                <w:rFonts w:ascii="Arial" w:hAnsi="Arial" w:cs="Arial"/>
                <w:i/>
                <w:sz w:val="20"/>
                <w:szCs w:val="20"/>
              </w:rPr>
              <w:t xml:space="preserve">onsult the Supreme Court of Canada website at </w:t>
            </w:r>
            <w:hyperlink r:id="rId9" w:history="1">
              <w:r w:rsidRPr="004F4118">
                <w:rPr>
                  <w:rStyle w:val="Hyperlink"/>
                  <w:rFonts w:ascii="Arial" w:hAnsi="Arial" w:cs="Arial"/>
                  <w:i/>
                  <w:sz w:val="20"/>
                  <w:szCs w:val="20"/>
                </w:rPr>
                <w:t>www.scc-csc.ca</w:t>
              </w:r>
            </w:hyperlink>
            <w:r w:rsidRPr="004F4118">
              <w:rPr>
                <w:rFonts w:ascii="Arial" w:hAnsi="Arial" w:cs="Arial"/>
                <w:i/>
                <w:sz w:val="20"/>
                <w:szCs w:val="20"/>
              </w:rPr>
              <w:t xml:space="preserve"> for more information.</w:t>
            </w:r>
          </w:p>
        </w:tc>
        <w:tc>
          <w:tcPr>
            <w:tcW w:w="483" w:type="dxa"/>
          </w:tcPr>
          <w:p w:rsidR="00F138C1" w:rsidRPr="004F411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F4118" w:rsidRDefault="00F138C1" w:rsidP="00F138C1">
            <w:pPr>
              <w:tabs>
                <w:tab w:val="left" w:pos="6075"/>
              </w:tabs>
              <w:jc w:val="both"/>
              <w:rPr>
                <w:rFonts w:ascii="Arial" w:hAnsi="Arial" w:cs="Arial"/>
                <w:i/>
                <w:sz w:val="20"/>
                <w:szCs w:val="20"/>
                <w:lang w:val="fr-CA"/>
              </w:rPr>
            </w:pPr>
            <w:r w:rsidRPr="004F4118">
              <w:rPr>
                <w:rFonts w:ascii="Arial" w:hAnsi="Arial" w:cs="Arial"/>
                <w:i/>
                <w:sz w:val="20"/>
                <w:szCs w:val="20"/>
                <w:lang w:val="fr-CA"/>
              </w:rPr>
              <w:t xml:space="preserve">Pour de plus amples informations, veuillez consulter le site Web de la Cour suprême du Canada à l’adresse suivante : </w:t>
            </w:r>
            <w:hyperlink r:id="rId10" w:history="1">
              <w:r w:rsidRPr="004F4118">
                <w:rPr>
                  <w:rStyle w:val="Hyperlink"/>
                  <w:rFonts w:ascii="Arial" w:hAnsi="Arial" w:cs="Arial"/>
                  <w:i/>
                  <w:sz w:val="20"/>
                  <w:szCs w:val="20"/>
                  <w:lang w:val="fr-CA"/>
                </w:rPr>
                <w:t>www.scc-csc.ca</w:t>
              </w:r>
            </w:hyperlink>
            <w:r w:rsidRPr="004F4118">
              <w:rPr>
                <w:rFonts w:ascii="Arial" w:hAnsi="Arial" w:cs="Arial"/>
                <w:i/>
                <w:sz w:val="20"/>
                <w:szCs w:val="20"/>
                <w:lang w:val="fr-CA"/>
              </w:rPr>
              <w:t xml:space="preserve"> </w:t>
            </w:r>
          </w:p>
        </w:tc>
      </w:tr>
    </w:tbl>
    <w:p w:rsidR="00F138C1" w:rsidRPr="004F4118"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4F4118" w:rsidTr="00F138C1">
        <w:tc>
          <w:tcPr>
            <w:tcW w:w="2250" w:type="pct"/>
            <w:tcBorders>
              <w:top w:val="single" w:sz="4" w:space="0" w:color="auto"/>
            </w:tcBorders>
            <w:tcMar>
              <w:top w:w="284" w:type="dxa"/>
              <w:bottom w:w="284" w:type="dxa"/>
            </w:tcMar>
          </w:tcPr>
          <w:p w:rsidR="00F138C1" w:rsidRPr="004F4118" w:rsidRDefault="00E8642A" w:rsidP="007E6E2A">
            <w:pPr>
              <w:tabs>
                <w:tab w:val="left" w:pos="6075"/>
              </w:tabs>
              <w:rPr>
                <w:rFonts w:ascii="Arial" w:hAnsi="Arial" w:cs="Arial"/>
                <w:i/>
                <w:sz w:val="20"/>
                <w:szCs w:val="20"/>
              </w:rPr>
            </w:pPr>
            <w:r w:rsidRPr="004F4118">
              <w:rPr>
                <w:lang w:val="fr-CA"/>
              </w:rPr>
              <w:t>January</w:t>
            </w:r>
            <w:r w:rsidR="00F138C1" w:rsidRPr="004F4118">
              <w:rPr>
                <w:lang w:val="fr-CA"/>
              </w:rPr>
              <w:t xml:space="preserve"> </w:t>
            </w:r>
            <w:r w:rsidR="007E6E2A" w:rsidRPr="004F4118">
              <w:rPr>
                <w:lang w:val="fr-CA"/>
              </w:rPr>
              <w:t>28</w:t>
            </w:r>
            <w:r w:rsidR="00F138C1" w:rsidRPr="004F4118">
              <w:rPr>
                <w:lang w:val="fr-CA"/>
              </w:rPr>
              <w:t>, 20</w:t>
            </w:r>
            <w:r w:rsidR="009B36BA" w:rsidRPr="004F4118">
              <w:rPr>
                <w:lang w:val="fr-CA"/>
              </w:rPr>
              <w:t>2</w:t>
            </w:r>
            <w:r w:rsidRPr="004F4118">
              <w:rPr>
                <w:lang w:val="fr-CA"/>
              </w:rPr>
              <w:t>2</w:t>
            </w:r>
          </w:p>
        </w:tc>
        <w:tc>
          <w:tcPr>
            <w:tcW w:w="500" w:type="pct"/>
            <w:tcBorders>
              <w:top w:val="single" w:sz="4" w:space="0" w:color="auto"/>
            </w:tcBorders>
            <w:tcMar>
              <w:top w:w="284" w:type="dxa"/>
              <w:bottom w:w="284" w:type="dxa"/>
            </w:tcMar>
          </w:tcPr>
          <w:p w:rsidR="00F138C1" w:rsidRPr="004F4118" w:rsidRDefault="00F138C1" w:rsidP="004F4118">
            <w:pPr>
              <w:tabs>
                <w:tab w:val="left" w:pos="6075"/>
              </w:tabs>
              <w:jc w:val="center"/>
              <w:rPr>
                <w:rFonts w:ascii="Arial" w:hAnsi="Arial" w:cs="Arial"/>
                <w:i/>
                <w:sz w:val="20"/>
                <w:szCs w:val="20"/>
              </w:rPr>
            </w:pPr>
            <w:r w:rsidRPr="004F4118">
              <w:rPr>
                <w:lang w:val="fr-CA"/>
              </w:rPr>
              <w:t xml:space="preserve">1 - </w:t>
            </w:r>
            <w:r w:rsidR="002333AB" w:rsidRPr="004F4118">
              <w:rPr>
                <w:lang w:val="fr-CA"/>
              </w:rPr>
              <w:t>2</w:t>
            </w:r>
            <w:r w:rsidR="004F4118" w:rsidRPr="004F4118">
              <w:rPr>
                <w:lang w:val="fr-CA"/>
              </w:rPr>
              <w:t>1</w:t>
            </w:r>
          </w:p>
        </w:tc>
        <w:tc>
          <w:tcPr>
            <w:tcW w:w="2250" w:type="pct"/>
            <w:tcBorders>
              <w:top w:val="single" w:sz="4" w:space="0" w:color="auto"/>
            </w:tcBorders>
            <w:tcMar>
              <w:top w:w="284" w:type="dxa"/>
              <w:bottom w:w="284" w:type="dxa"/>
            </w:tcMar>
          </w:tcPr>
          <w:p w:rsidR="00F138C1" w:rsidRPr="004F4118" w:rsidRDefault="00F138C1" w:rsidP="007E6E2A">
            <w:pPr>
              <w:tabs>
                <w:tab w:val="left" w:pos="6075"/>
              </w:tabs>
              <w:jc w:val="right"/>
              <w:rPr>
                <w:rFonts w:ascii="Arial" w:hAnsi="Arial" w:cs="Arial"/>
                <w:i/>
                <w:sz w:val="20"/>
                <w:szCs w:val="20"/>
                <w:lang w:val="fr-CA"/>
              </w:rPr>
            </w:pPr>
            <w:r w:rsidRPr="004F4118">
              <w:rPr>
                <w:lang w:val="fr-CA"/>
              </w:rPr>
              <w:t xml:space="preserve">Le </w:t>
            </w:r>
            <w:r w:rsidR="007E6E2A" w:rsidRPr="004F4118">
              <w:rPr>
                <w:lang w:val="fr-CA"/>
              </w:rPr>
              <w:t>28</w:t>
            </w:r>
            <w:r w:rsidRPr="004F4118">
              <w:rPr>
                <w:lang w:val="fr-CA"/>
              </w:rPr>
              <w:t xml:space="preserve"> </w:t>
            </w:r>
            <w:r w:rsidR="00E8642A" w:rsidRPr="004F4118">
              <w:rPr>
                <w:lang w:val="fr-CA"/>
              </w:rPr>
              <w:t>janvier</w:t>
            </w:r>
            <w:r w:rsidR="00BE5B3E" w:rsidRPr="004F4118">
              <w:rPr>
                <w:lang w:val="fr-CA"/>
              </w:rPr>
              <w:t xml:space="preserve"> </w:t>
            </w:r>
            <w:r w:rsidRPr="004F4118">
              <w:rPr>
                <w:lang w:val="fr-CA"/>
              </w:rPr>
              <w:t>202</w:t>
            </w:r>
            <w:r w:rsidR="00E8642A" w:rsidRPr="004F4118">
              <w:rPr>
                <w:lang w:val="fr-CA"/>
              </w:rPr>
              <w:t>2</w:t>
            </w:r>
          </w:p>
        </w:tc>
      </w:tr>
      <w:tr w:rsidR="00F138C1" w:rsidRPr="00DF0AA3" w:rsidTr="00F138C1">
        <w:tc>
          <w:tcPr>
            <w:tcW w:w="2250" w:type="pct"/>
            <w:tcBorders>
              <w:bottom w:val="single" w:sz="4" w:space="0" w:color="auto"/>
            </w:tcBorders>
            <w:tcMar>
              <w:top w:w="284" w:type="dxa"/>
              <w:bottom w:w="284" w:type="dxa"/>
            </w:tcMar>
          </w:tcPr>
          <w:p w:rsidR="00F138C1" w:rsidRPr="004F4118" w:rsidRDefault="00F138C1" w:rsidP="00E8642A">
            <w:pPr>
              <w:tabs>
                <w:tab w:val="left" w:pos="6075"/>
              </w:tabs>
              <w:rPr>
                <w:rFonts w:ascii="Arial" w:hAnsi="Arial" w:cs="Arial"/>
                <w:i/>
                <w:sz w:val="20"/>
                <w:szCs w:val="20"/>
              </w:rPr>
            </w:pPr>
            <w:r w:rsidRPr="004F4118">
              <w:rPr>
                <w:sz w:val="18"/>
                <w:szCs w:val="18"/>
                <w:lang w:val="en-US"/>
              </w:rPr>
              <w:t>© Supreme Court of Canada (202</w:t>
            </w:r>
            <w:r w:rsidR="00E8642A" w:rsidRPr="004F4118">
              <w:rPr>
                <w:sz w:val="18"/>
                <w:szCs w:val="18"/>
                <w:lang w:val="en-US"/>
              </w:rPr>
              <w:t>2</w:t>
            </w:r>
            <w:r w:rsidRPr="004F4118">
              <w:rPr>
                <w:sz w:val="18"/>
                <w:szCs w:val="18"/>
                <w:lang w:val="en-US"/>
              </w:rPr>
              <w:t>)</w:t>
            </w:r>
            <w:r w:rsidRPr="004F4118">
              <w:rPr>
                <w:sz w:val="18"/>
                <w:szCs w:val="18"/>
                <w:lang w:val="en-US"/>
              </w:rPr>
              <w:br/>
              <w:t>ISSN 1918-8358 (Online)</w:t>
            </w:r>
          </w:p>
        </w:tc>
        <w:tc>
          <w:tcPr>
            <w:tcW w:w="500" w:type="pct"/>
            <w:tcBorders>
              <w:bottom w:val="single" w:sz="4" w:space="0" w:color="auto"/>
            </w:tcBorders>
            <w:tcMar>
              <w:top w:w="284" w:type="dxa"/>
              <w:bottom w:w="284" w:type="dxa"/>
            </w:tcMar>
          </w:tcPr>
          <w:p w:rsidR="00F138C1" w:rsidRPr="004F4118"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4F4118" w:rsidRDefault="00F138C1" w:rsidP="00E8642A">
            <w:pPr>
              <w:tabs>
                <w:tab w:val="left" w:pos="6075"/>
              </w:tabs>
              <w:jc w:val="right"/>
              <w:rPr>
                <w:rFonts w:ascii="Arial" w:hAnsi="Arial" w:cs="Arial"/>
                <w:i/>
                <w:sz w:val="20"/>
                <w:szCs w:val="20"/>
                <w:lang w:val="fr-CA"/>
              </w:rPr>
            </w:pPr>
            <w:r w:rsidRPr="004F4118">
              <w:rPr>
                <w:sz w:val="18"/>
                <w:szCs w:val="18"/>
                <w:lang w:val="fr-CA"/>
              </w:rPr>
              <w:t>© Cour suprême du Canada (202</w:t>
            </w:r>
            <w:r w:rsidR="00E8642A" w:rsidRPr="004F4118">
              <w:rPr>
                <w:sz w:val="18"/>
                <w:szCs w:val="18"/>
                <w:lang w:val="fr-CA"/>
              </w:rPr>
              <w:t>2</w:t>
            </w:r>
            <w:proofErr w:type="gramStart"/>
            <w:r w:rsidRPr="004F4118">
              <w:rPr>
                <w:sz w:val="18"/>
                <w:szCs w:val="18"/>
                <w:lang w:val="fr-CA"/>
              </w:rPr>
              <w:t>)</w:t>
            </w:r>
            <w:proofErr w:type="gramEnd"/>
            <w:r w:rsidRPr="004F4118">
              <w:rPr>
                <w:sz w:val="18"/>
                <w:szCs w:val="18"/>
                <w:lang w:val="fr-CA"/>
              </w:rPr>
              <w:br/>
              <w:t>ISSN 1918-8358 (En ligne)</w:t>
            </w:r>
          </w:p>
        </w:tc>
      </w:tr>
    </w:tbl>
    <w:p w:rsidR="0030050B" w:rsidRPr="004F4118" w:rsidRDefault="0030050B" w:rsidP="00F138C1">
      <w:pPr>
        <w:tabs>
          <w:tab w:val="left" w:pos="6075"/>
        </w:tabs>
        <w:rPr>
          <w:lang w:val="fr-CA"/>
        </w:rPr>
      </w:pPr>
    </w:p>
    <w:p w:rsidR="00560DF1" w:rsidRPr="004F4118" w:rsidRDefault="00560DF1" w:rsidP="0095096B">
      <w:pPr>
        <w:tabs>
          <w:tab w:val="right" w:pos="9360"/>
        </w:tabs>
        <w:rPr>
          <w:lang w:val="fr-CA"/>
        </w:rPr>
      </w:pPr>
    </w:p>
    <w:p w:rsidR="00F138C1" w:rsidRPr="004F4118"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4F4118" w:rsidRDefault="00DC6B2E" w:rsidP="00693C38">
          <w:pPr>
            <w:pStyle w:val="Title"/>
            <w:jc w:val="center"/>
            <w:rPr>
              <w:rFonts w:ascii="Times New Roman" w:hAnsi="Times New Roman" w:cs="Times New Roman"/>
              <w:b/>
              <w:sz w:val="24"/>
              <w:szCs w:val="28"/>
              <w:lang w:val="fr-CA"/>
            </w:rPr>
          </w:pPr>
          <w:r w:rsidRPr="004F4118">
            <w:rPr>
              <w:rFonts w:ascii="Times New Roman" w:hAnsi="Times New Roman" w:cs="Times New Roman"/>
              <w:b/>
              <w:sz w:val="24"/>
              <w:szCs w:val="28"/>
              <w:lang w:val="fr-CA"/>
            </w:rPr>
            <w:t>Contents</w:t>
          </w:r>
        </w:p>
        <w:p w:rsidR="00693C38" w:rsidRPr="004F4118" w:rsidRDefault="00DC6B2E" w:rsidP="00693C38">
          <w:pPr>
            <w:jc w:val="center"/>
            <w:rPr>
              <w:b/>
              <w:szCs w:val="28"/>
              <w:lang w:val="fr-CA"/>
            </w:rPr>
          </w:pPr>
          <w:r w:rsidRPr="004F4118">
            <w:rPr>
              <w:b/>
              <w:szCs w:val="28"/>
              <w:lang w:val="fr-CA"/>
            </w:rPr>
            <w:t>Table des matières</w:t>
          </w:r>
        </w:p>
        <w:p w:rsidR="00693C38" w:rsidRPr="004F4118" w:rsidRDefault="00693C38" w:rsidP="00693C38">
          <w:pPr>
            <w:rPr>
              <w:lang w:val="fr-CA"/>
            </w:rPr>
          </w:pPr>
        </w:p>
        <w:p w:rsidR="004F4118" w:rsidRPr="004F4118" w:rsidRDefault="00DC6B2E">
          <w:pPr>
            <w:pStyle w:val="TOC1"/>
            <w:tabs>
              <w:tab w:val="right" w:leader="dot" w:pos="9638"/>
            </w:tabs>
            <w:rPr>
              <w:rFonts w:asciiTheme="minorHAnsi" w:eastAsiaTheme="minorEastAsia" w:hAnsiTheme="minorHAnsi"/>
              <w:noProof/>
              <w:sz w:val="22"/>
              <w:lang w:val="en-US"/>
            </w:rPr>
          </w:pPr>
          <w:r w:rsidRPr="004F4118">
            <w:rPr>
              <w:b/>
              <w:bCs/>
              <w:noProof/>
            </w:rPr>
            <w:fldChar w:fldCharType="begin"/>
          </w:r>
          <w:r w:rsidRPr="004F4118">
            <w:rPr>
              <w:b/>
              <w:bCs/>
              <w:noProof/>
            </w:rPr>
            <w:instrText xml:space="preserve"> TOC \o "1-3" \h \z \u </w:instrText>
          </w:r>
          <w:r w:rsidRPr="004F4118">
            <w:rPr>
              <w:b/>
              <w:bCs/>
              <w:noProof/>
            </w:rPr>
            <w:fldChar w:fldCharType="separate"/>
          </w:r>
          <w:hyperlink w:anchor="_Toc94247967" w:history="1">
            <w:r w:rsidR="004F4118" w:rsidRPr="004F4118">
              <w:rPr>
                <w:rStyle w:val="Hyperlink"/>
                <w:noProof/>
                <w:lang w:val="fr-CA"/>
              </w:rPr>
              <w:t>Applications for leave to appeal filed /  Demandes d’autorisation d’appel déposées</w:t>
            </w:r>
            <w:r w:rsidR="004F4118" w:rsidRPr="004F4118">
              <w:rPr>
                <w:noProof/>
                <w:webHidden/>
              </w:rPr>
              <w:tab/>
            </w:r>
            <w:r w:rsidR="004F4118" w:rsidRPr="004F4118">
              <w:rPr>
                <w:noProof/>
                <w:webHidden/>
              </w:rPr>
              <w:fldChar w:fldCharType="begin"/>
            </w:r>
            <w:r w:rsidR="004F4118" w:rsidRPr="004F4118">
              <w:rPr>
                <w:noProof/>
                <w:webHidden/>
              </w:rPr>
              <w:instrText xml:space="preserve"> PAGEREF _Toc94247967 \h </w:instrText>
            </w:r>
            <w:r w:rsidR="004F4118" w:rsidRPr="004F4118">
              <w:rPr>
                <w:noProof/>
                <w:webHidden/>
              </w:rPr>
            </w:r>
            <w:r w:rsidR="004F4118" w:rsidRPr="004F4118">
              <w:rPr>
                <w:noProof/>
                <w:webHidden/>
              </w:rPr>
              <w:fldChar w:fldCharType="separate"/>
            </w:r>
            <w:r w:rsidR="004F4118" w:rsidRPr="004F4118">
              <w:rPr>
                <w:noProof/>
                <w:webHidden/>
              </w:rPr>
              <w:t>1</w:t>
            </w:r>
            <w:r w:rsidR="004F4118" w:rsidRPr="004F4118">
              <w:rPr>
                <w:noProof/>
                <w:webHidden/>
              </w:rPr>
              <w:fldChar w:fldCharType="end"/>
            </w:r>
          </w:hyperlink>
        </w:p>
        <w:p w:rsidR="004F4118" w:rsidRPr="004F4118" w:rsidRDefault="00DF0AA3">
          <w:pPr>
            <w:pStyle w:val="TOC1"/>
            <w:tabs>
              <w:tab w:val="right" w:leader="dot" w:pos="9638"/>
            </w:tabs>
            <w:rPr>
              <w:rFonts w:asciiTheme="minorHAnsi" w:eastAsiaTheme="minorEastAsia" w:hAnsiTheme="minorHAnsi"/>
              <w:noProof/>
              <w:sz w:val="22"/>
              <w:lang w:val="en-US"/>
            </w:rPr>
          </w:pPr>
          <w:hyperlink w:anchor="_Toc94247968" w:history="1">
            <w:r w:rsidR="004F4118" w:rsidRPr="004F4118">
              <w:rPr>
                <w:rStyle w:val="Hyperlink"/>
                <w:noProof/>
                <w:lang w:val="fr-CA"/>
              </w:rPr>
              <w:t>Judgments on applications for leave /  Jugements rendus sur les demandes d’autorisation</w:t>
            </w:r>
            <w:r w:rsidR="004F4118" w:rsidRPr="004F4118">
              <w:rPr>
                <w:noProof/>
                <w:webHidden/>
              </w:rPr>
              <w:tab/>
            </w:r>
            <w:r w:rsidR="004F4118" w:rsidRPr="004F4118">
              <w:rPr>
                <w:noProof/>
                <w:webHidden/>
              </w:rPr>
              <w:fldChar w:fldCharType="begin"/>
            </w:r>
            <w:r w:rsidR="004F4118" w:rsidRPr="004F4118">
              <w:rPr>
                <w:noProof/>
                <w:webHidden/>
              </w:rPr>
              <w:instrText xml:space="preserve"> PAGEREF _Toc94247968 \h </w:instrText>
            </w:r>
            <w:r w:rsidR="004F4118" w:rsidRPr="004F4118">
              <w:rPr>
                <w:noProof/>
                <w:webHidden/>
              </w:rPr>
            </w:r>
            <w:r w:rsidR="004F4118" w:rsidRPr="004F4118">
              <w:rPr>
                <w:noProof/>
                <w:webHidden/>
              </w:rPr>
              <w:fldChar w:fldCharType="separate"/>
            </w:r>
            <w:r w:rsidR="004F4118" w:rsidRPr="004F4118">
              <w:rPr>
                <w:noProof/>
                <w:webHidden/>
              </w:rPr>
              <w:t>3</w:t>
            </w:r>
            <w:r w:rsidR="004F4118" w:rsidRPr="004F4118">
              <w:rPr>
                <w:noProof/>
                <w:webHidden/>
              </w:rPr>
              <w:fldChar w:fldCharType="end"/>
            </w:r>
          </w:hyperlink>
        </w:p>
        <w:p w:rsidR="004F4118" w:rsidRPr="004F4118" w:rsidRDefault="00DF0AA3">
          <w:pPr>
            <w:pStyle w:val="TOC1"/>
            <w:tabs>
              <w:tab w:val="right" w:leader="dot" w:pos="9638"/>
            </w:tabs>
            <w:rPr>
              <w:rFonts w:asciiTheme="minorHAnsi" w:eastAsiaTheme="minorEastAsia" w:hAnsiTheme="minorHAnsi"/>
              <w:noProof/>
              <w:sz w:val="22"/>
              <w:lang w:val="en-US"/>
            </w:rPr>
          </w:pPr>
          <w:hyperlink w:anchor="_Toc94247969" w:history="1">
            <w:r w:rsidR="004F4118" w:rsidRPr="004F4118">
              <w:rPr>
                <w:rStyle w:val="Hyperlink"/>
                <w:noProof/>
                <w:lang w:val="fr-CA"/>
              </w:rPr>
              <w:t>Motions /  Requêtes</w:t>
            </w:r>
            <w:r w:rsidR="004F4118" w:rsidRPr="004F4118">
              <w:rPr>
                <w:noProof/>
                <w:webHidden/>
              </w:rPr>
              <w:tab/>
            </w:r>
            <w:r w:rsidR="004F4118" w:rsidRPr="004F4118">
              <w:rPr>
                <w:noProof/>
                <w:webHidden/>
              </w:rPr>
              <w:fldChar w:fldCharType="begin"/>
            </w:r>
            <w:r w:rsidR="004F4118" w:rsidRPr="004F4118">
              <w:rPr>
                <w:noProof/>
                <w:webHidden/>
              </w:rPr>
              <w:instrText xml:space="preserve"> PAGEREF _Toc94247969 \h </w:instrText>
            </w:r>
            <w:r w:rsidR="004F4118" w:rsidRPr="004F4118">
              <w:rPr>
                <w:noProof/>
                <w:webHidden/>
              </w:rPr>
            </w:r>
            <w:r w:rsidR="004F4118" w:rsidRPr="004F4118">
              <w:rPr>
                <w:noProof/>
                <w:webHidden/>
              </w:rPr>
              <w:fldChar w:fldCharType="separate"/>
            </w:r>
            <w:r w:rsidR="004F4118" w:rsidRPr="004F4118">
              <w:rPr>
                <w:noProof/>
                <w:webHidden/>
              </w:rPr>
              <w:t>11</w:t>
            </w:r>
            <w:r w:rsidR="004F4118" w:rsidRPr="004F4118">
              <w:rPr>
                <w:noProof/>
                <w:webHidden/>
              </w:rPr>
              <w:fldChar w:fldCharType="end"/>
            </w:r>
          </w:hyperlink>
        </w:p>
        <w:p w:rsidR="004F4118" w:rsidRPr="004F4118" w:rsidRDefault="00DF0AA3">
          <w:pPr>
            <w:pStyle w:val="TOC1"/>
            <w:tabs>
              <w:tab w:val="right" w:leader="dot" w:pos="9638"/>
            </w:tabs>
            <w:rPr>
              <w:rFonts w:asciiTheme="minorHAnsi" w:eastAsiaTheme="minorEastAsia" w:hAnsiTheme="minorHAnsi"/>
              <w:noProof/>
              <w:sz w:val="22"/>
              <w:lang w:val="en-US"/>
            </w:rPr>
          </w:pPr>
          <w:hyperlink w:anchor="_Toc94247970" w:history="1">
            <w:r w:rsidR="004F4118" w:rsidRPr="004F4118">
              <w:rPr>
                <w:rStyle w:val="Hyperlink"/>
                <w:noProof/>
                <w:lang w:val="fr-CA"/>
              </w:rPr>
              <w:t>Agenda and case summaries for February 2022 /  Calendrier et sommaires des causes de février 2022</w:t>
            </w:r>
            <w:r w:rsidR="004F4118" w:rsidRPr="004F4118">
              <w:rPr>
                <w:noProof/>
                <w:webHidden/>
              </w:rPr>
              <w:tab/>
            </w:r>
            <w:r w:rsidR="004F4118" w:rsidRPr="004F4118">
              <w:rPr>
                <w:noProof/>
                <w:webHidden/>
              </w:rPr>
              <w:fldChar w:fldCharType="begin"/>
            </w:r>
            <w:r w:rsidR="004F4118" w:rsidRPr="004F4118">
              <w:rPr>
                <w:noProof/>
                <w:webHidden/>
              </w:rPr>
              <w:instrText xml:space="preserve"> PAGEREF _Toc94247970 \h </w:instrText>
            </w:r>
            <w:r w:rsidR="004F4118" w:rsidRPr="004F4118">
              <w:rPr>
                <w:noProof/>
                <w:webHidden/>
              </w:rPr>
            </w:r>
            <w:r w:rsidR="004F4118" w:rsidRPr="004F4118">
              <w:rPr>
                <w:noProof/>
                <w:webHidden/>
              </w:rPr>
              <w:fldChar w:fldCharType="separate"/>
            </w:r>
            <w:r w:rsidR="004F4118" w:rsidRPr="004F4118">
              <w:rPr>
                <w:noProof/>
                <w:webHidden/>
              </w:rPr>
              <w:t>13</w:t>
            </w:r>
            <w:r w:rsidR="004F4118" w:rsidRPr="004F4118">
              <w:rPr>
                <w:noProof/>
                <w:webHidden/>
              </w:rPr>
              <w:fldChar w:fldCharType="end"/>
            </w:r>
          </w:hyperlink>
        </w:p>
        <w:p w:rsidR="00560DF1" w:rsidRPr="004F4118" w:rsidRDefault="00DC6B2E">
          <w:r w:rsidRPr="004F4118">
            <w:rPr>
              <w:b/>
              <w:bCs/>
              <w:noProof/>
              <w:sz w:val="20"/>
            </w:rPr>
            <w:fldChar w:fldCharType="end"/>
          </w:r>
        </w:p>
      </w:sdtContent>
    </w:sdt>
    <w:p w:rsidR="00560DF1" w:rsidRPr="004F4118"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DF0AA3" w:rsidTr="00F138C1">
        <w:trPr>
          <w:jc w:val="center"/>
        </w:trPr>
        <w:tc>
          <w:tcPr>
            <w:tcW w:w="9638" w:type="dxa"/>
          </w:tcPr>
          <w:p w:rsidR="00F138C1" w:rsidRPr="004F4118" w:rsidRDefault="00F138C1" w:rsidP="00F138C1">
            <w:pPr>
              <w:keepNext/>
              <w:tabs>
                <w:tab w:val="right" w:pos="9360"/>
              </w:tabs>
              <w:spacing w:after="120"/>
              <w:jc w:val="center"/>
              <w:rPr>
                <w:szCs w:val="24"/>
              </w:rPr>
            </w:pPr>
            <w:r w:rsidRPr="004F4118">
              <w:rPr>
                <w:szCs w:val="24"/>
              </w:rPr>
              <w:t>NOTICE</w:t>
            </w:r>
          </w:p>
          <w:p w:rsidR="00F138C1" w:rsidRPr="004F4118" w:rsidRDefault="00F138C1" w:rsidP="00F138C1">
            <w:pPr>
              <w:keepNext/>
              <w:tabs>
                <w:tab w:val="right" w:pos="9360"/>
              </w:tabs>
              <w:spacing w:after="120"/>
              <w:jc w:val="both"/>
              <w:rPr>
                <w:szCs w:val="24"/>
              </w:rPr>
            </w:pPr>
            <w:r w:rsidRPr="004F4118">
              <w:rPr>
                <w:szCs w:val="24"/>
              </w:rPr>
              <w:t>Case summaries included in the Bulletin are prepared by the Office of the Registrar of the Supreme Court of Canada (Law Branch) for information purposes only.</w:t>
            </w:r>
          </w:p>
          <w:p w:rsidR="00F138C1" w:rsidRPr="004F4118" w:rsidRDefault="00F138C1" w:rsidP="00F138C1">
            <w:pPr>
              <w:keepNext/>
              <w:tabs>
                <w:tab w:val="right" w:pos="9360"/>
              </w:tabs>
              <w:spacing w:after="120"/>
              <w:jc w:val="center"/>
              <w:rPr>
                <w:szCs w:val="24"/>
                <w:lang w:val="fr-CA"/>
              </w:rPr>
            </w:pPr>
            <w:r w:rsidRPr="004F4118">
              <w:rPr>
                <w:szCs w:val="24"/>
                <w:lang w:val="fr-CA"/>
              </w:rPr>
              <w:t>AVIS</w:t>
            </w:r>
          </w:p>
          <w:p w:rsidR="00F138C1" w:rsidRPr="004F4118" w:rsidRDefault="00F138C1" w:rsidP="00F138C1">
            <w:pPr>
              <w:keepNext/>
              <w:tabs>
                <w:tab w:val="right" w:pos="9360"/>
              </w:tabs>
              <w:spacing w:after="120"/>
              <w:jc w:val="both"/>
              <w:rPr>
                <w:sz w:val="20"/>
                <w:szCs w:val="20"/>
                <w:lang w:val="fr-CA"/>
              </w:rPr>
            </w:pPr>
            <w:r w:rsidRPr="004F4118">
              <w:rPr>
                <w:szCs w:val="24"/>
                <w:lang w:val="fr-CA"/>
              </w:rPr>
              <w:t>Les résumés des causes publiés dans le bulletin sont préparés par le Bureau du registraire (Direction générale du droit) uniquement à titre d’information.</w:t>
            </w:r>
          </w:p>
        </w:tc>
      </w:tr>
    </w:tbl>
    <w:p w:rsidR="00F138C1" w:rsidRPr="004F4118" w:rsidRDefault="00F138C1" w:rsidP="00F138C1">
      <w:pPr>
        <w:tabs>
          <w:tab w:val="right" w:pos="9360"/>
        </w:tabs>
        <w:rPr>
          <w:lang w:val="fr-CA"/>
        </w:rPr>
      </w:pPr>
    </w:p>
    <w:p w:rsidR="00F138C1" w:rsidRPr="004F4118" w:rsidRDefault="00F138C1" w:rsidP="00F138C1">
      <w:pPr>
        <w:tabs>
          <w:tab w:val="right" w:pos="9360"/>
        </w:tabs>
        <w:rPr>
          <w:lang w:val="fr-CA"/>
        </w:rPr>
      </w:pPr>
    </w:p>
    <w:p w:rsidR="00C01FCB" w:rsidRPr="004F4118" w:rsidRDefault="00C01FCB" w:rsidP="0095096B">
      <w:pPr>
        <w:tabs>
          <w:tab w:val="right" w:pos="9360"/>
        </w:tabs>
        <w:rPr>
          <w:lang w:val="fr-CA"/>
        </w:rPr>
      </w:pPr>
    </w:p>
    <w:p w:rsidR="00A87207" w:rsidRPr="004F4118" w:rsidRDefault="00A87207" w:rsidP="0095096B">
      <w:pPr>
        <w:tabs>
          <w:tab w:val="right" w:pos="9360"/>
        </w:tabs>
        <w:rPr>
          <w:lang w:val="fr-CA"/>
        </w:rPr>
        <w:sectPr w:rsidR="00A87207" w:rsidRPr="004F4118" w:rsidSect="0044776A">
          <w:pgSz w:w="12240" w:h="15840"/>
          <w:pgMar w:top="720" w:right="1152" w:bottom="1080" w:left="1440" w:header="706" w:footer="706" w:gutter="0"/>
          <w:cols w:space="708"/>
          <w:titlePg/>
          <w:docGrid w:linePitch="360"/>
        </w:sectPr>
      </w:pPr>
    </w:p>
    <w:p w:rsidR="00560DF1" w:rsidRPr="004F4118" w:rsidRDefault="00DD0BDC" w:rsidP="00567602">
      <w:pPr>
        <w:pStyle w:val="Header1StyleE"/>
        <w:pBdr>
          <w:bottom w:val="single" w:sz="12" w:space="1" w:color="auto"/>
        </w:pBdr>
        <w:rPr>
          <w:lang w:val="fr-CA"/>
        </w:rPr>
      </w:pPr>
      <w:bookmarkStart w:id="0" w:name="_Toc94247967"/>
      <w:r w:rsidRPr="004F4118">
        <w:rPr>
          <w:lang w:val="fr-CA"/>
        </w:rPr>
        <w:lastRenderedPageBreak/>
        <w:t>Applications for leave to appeal filed</w:t>
      </w:r>
      <w:r w:rsidR="00271E1E" w:rsidRPr="004F4118">
        <w:rPr>
          <w:lang w:val="fr-CA"/>
        </w:rPr>
        <w:t xml:space="preserve"> / </w:t>
      </w:r>
      <w:r w:rsidR="00727571" w:rsidRPr="004F4118">
        <w:rPr>
          <w:lang w:val="fr-CA"/>
        </w:rPr>
        <w:br/>
      </w:r>
      <w:r w:rsidRPr="004F4118">
        <w:rPr>
          <w:lang w:val="fr-CA"/>
        </w:rPr>
        <w:t>Demandes d’autorisation d’appel déposées</w:t>
      </w:r>
      <w:bookmarkEnd w:id="0"/>
    </w:p>
    <w:p w:rsidR="00F138C1" w:rsidRPr="004F4118"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4F4118" w:rsidTr="00F138C1">
        <w:tc>
          <w:tcPr>
            <w:tcW w:w="4239" w:type="dxa"/>
            <w:shd w:val="clear" w:color="auto" w:fill="auto"/>
          </w:tcPr>
          <w:p w:rsidR="00F138C1" w:rsidRPr="004F4118" w:rsidRDefault="00C66082" w:rsidP="00F138C1">
            <w:pPr>
              <w:rPr>
                <w:sz w:val="20"/>
                <w:szCs w:val="20"/>
                <w:lang w:val="fr-CA"/>
              </w:rPr>
            </w:pPr>
            <w:r w:rsidRPr="004F4118">
              <w:rPr>
                <w:b/>
                <w:sz w:val="20"/>
                <w:szCs w:val="20"/>
                <w:lang w:val="fr-CA"/>
              </w:rPr>
              <w:t>André Legault</w:t>
            </w:r>
          </w:p>
          <w:p w:rsidR="00F138C1" w:rsidRPr="004F4118" w:rsidRDefault="00F138C1" w:rsidP="00F138C1">
            <w:pPr>
              <w:tabs>
                <w:tab w:val="left" w:pos="-1440"/>
                <w:tab w:val="left" w:pos="-720"/>
              </w:tabs>
              <w:rPr>
                <w:sz w:val="20"/>
                <w:szCs w:val="20"/>
                <w:lang w:val="fr-CA"/>
              </w:rPr>
            </w:pPr>
            <w:r w:rsidRPr="004F4118">
              <w:rPr>
                <w:sz w:val="20"/>
                <w:szCs w:val="20"/>
                <w:lang w:val="fr-CA"/>
              </w:rPr>
              <w:tab/>
            </w:r>
            <w:r w:rsidR="00C66082" w:rsidRPr="004F4118">
              <w:rPr>
                <w:sz w:val="20"/>
                <w:szCs w:val="20"/>
                <w:lang w:val="fr-CA"/>
              </w:rPr>
              <w:t>Gauthier-Boiteau, Delphine</w:t>
            </w:r>
          </w:p>
          <w:p w:rsidR="00F138C1" w:rsidRPr="004F4118" w:rsidRDefault="00EC6816" w:rsidP="00F138C1">
            <w:pPr>
              <w:tabs>
                <w:tab w:val="left" w:pos="-1440"/>
                <w:tab w:val="left" w:pos="-720"/>
              </w:tabs>
              <w:rPr>
                <w:sz w:val="20"/>
                <w:szCs w:val="20"/>
                <w:lang w:val="fr-CA"/>
              </w:rPr>
            </w:pPr>
            <w:r w:rsidRPr="004F4118">
              <w:rPr>
                <w:sz w:val="20"/>
                <w:szCs w:val="20"/>
                <w:lang w:val="fr-CA"/>
              </w:rPr>
              <w:tab/>
            </w:r>
            <w:r w:rsidR="00C66082" w:rsidRPr="004F4118">
              <w:rPr>
                <w:sz w:val="20"/>
                <w:szCs w:val="20"/>
                <w:lang w:val="fr-CA"/>
              </w:rPr>
              <w:t>Labelle, Côté, Tabah &amp; Associés</w:t>
            </w:r>
          </w:p>
          <w:p w:rsidR="00EC6816" w:rsidRPr="004F4118" w:rsidRDefault="00EC6816" w:rsidP="00F138C1">
            <w:pPr>
              <w:tabs>
                <w:tab w:val="left" w:pos="-1440"/>
                <w:tab w:val="left" w:pos="-720"/>
              </w:tabs>
              <w:rPr>
                <w:sz w:val="20"/>
                <w:szCs w:val="20"/>
                <w:lang w:val="fr-CA"/>
              </w:rPr>
            </w:pPr>
          </w:p>
          <w:p w:rsidR="00F138C1" w:rsidRPr="004F4118" w:rsidRDefault="00F138C1" w:rsidP="00F138C1">
            <w:pPr>
              <w:tabs>
                <w:tab w:val="left" w:pos="-1440"/>
                <w:tab w:val="left" w:pos="-720"/>
              </w:tabs>
              <w:rPr>
                <w:sz w:val="20"/>
                <w:szCs w:val="20"/>
                <w:lang w:val="fr-CA"/>
              </w:rPr>
            </w:pPr>
            <w:r w:rsidRPr="004F4118">
              <w:rPr>
                <w:sz w:val="20"/>
                <w:szCs w:val="20"/>
                <w:lang w:val="fr-CA"/>
              </w:rPr>
              <w:tab/>
            </w:r>
            <w:r w:rsidR="00C66082" w:rsidRPr="004F4118">
              <w:rPr>
                <w:sz w:val="20"/>
                <w:szCs w:val="20"/>
                <w:lang w:val="fr-CA"/>
              </w:rPr>
              <w:t>c</w:t>
            </w:r>
            <w:r w:rsidRPr="004F4118">
              <w:rPr>
                <w:sz w:val="20"/>
                <w:szCs w:val="20"/>
                <w:lang w:val="fr-CA"/>
              </w:rPr>
              <w:t>. (39</w:t>
            </w:r>
            <w:r w:rsidR="00C66082" w:rsidRPr="004F4118">
              <w:rPr>
                <w:sz w:val="20"/>
                <w:szCs w:val="20"/>
                <w:lang w:val="fr-CA"/>
              </w:rPr>
              <w:t>758</w:t>
            </w:r>
            <w:r w:rsidRPr="004F4118">
              <w:rPr>
                <w:sz w:val="20"/>
                <w:szCs w:val="20"/>
                <w:lang w:val="fr-CA"/>
              </w:rPr>
              <w:t>)</w:t>
            </w:r>
          </w:p>
          <w:p w:rsidR="00F138C1" w:rsidRPr="004F4118" w:rsidRDefault="00F138C1" w:rsidP="00F138C1">
            <w:pPr>
              <w:tabs>
                <w:tab w:val="left" w:pos="-1440"/>
                <w:tab w:val="left" w:pos="-720"/>
              </w:tabs>
              <w:rPr>
                <w:sz w:val="20"/>
                <w:szCs w:val="20"/>
                <w:lang w:val="fr-CA"/>
              </w:rPr>
            </w:pPr>
          </w:p>
          <w:p w:rsidR="00F138C1" w:rsidRPr="004F4118" w:rsidRDefault="00C66082" w:rsidP="00F138C1">
            <w:pPr>
              <w:tabs>
                <w:tab w:val="left" w:pos="-1440"/>
                <w:tab w:val="left" w:pos="-720"/>
              </w:tabs>
              <w:rPr>
                <w:b/>
                <w:sz w:val="20"/>
                <w:szCs w:val="20"/>
                <w:lang w:val="fr-CA"/>
              </w:rPr>
            </w:pPr>
            <w:r w:rsidRPr="004F4118">
              <w:rPr>
                <w:b/>
                <w:sz w:val="20"/>
                <w:szCs w:val="20"/>
                <w:lang w:val="fr-CA"/>
              </w:rPr>
              <w:t>Sa Majesté la Reine</w:t>
            </w:r>
            <w:r w:rsidR="00F138C1" w:rsidRPr="004F4118">
              <w:rPr>
                <w:b/>
                <w:sz w:val="20"/>
                <w:szCs w:val="20"/>
                <w:lang w:val="fr-CA"/>
              </w:rPr>
              <w:t xml:space="preserve"> (</w:t>
            </w:r>
            <w:r w:rsidRPr="004F4118">
              <w:rPr>
                <w:b/>
                <w:sz w:val="20"/>
                <w:szCs w:val="20"/>
                <w:lang w:val="fr-CA"/>
              </w:rPr>
              <w:t>Qc</w:t>
            </w:r>
            <w:r w:rsidR="00F138C1" w:rsidRPr="004F4118">
              <w:rPr>
                <w:b/>
                <w:sz w:val="20"/>
                <w:szCs w:val="20"/>
                <w:lang w:val="fr-CA"/>
              </w:rPr>
              <w:t>)</w:t>
            </w:r>
          </w:p>
          <w:p w:rsidR="00F138C1" w:rsidRPr="004F4118" w:rsidRDefault="00F138C1" w:rsidP="00F138C1">
            <w:pPr>
              <w:tabs>
                <w:tab w:val="left" w:pos="-1440"/>
                <w:tab w:val="left" w:pos="-720"/>
              </w:tabs>
              <w:rPr>
                <w:sz w:val="20"/>
                <w:szCs w:val="20"/>
                <w:lang w:val="fr-CA"/>
              </w:rPr>
            </w:pPr>
            <w:r w:rsidRPr="004F4118">
              <w:rPr>
                <w:sz w:val="20"/>
                <w:szCs w:val="20"/>
                <w:lang w:val="fr-CA"/>
              </w:rPr>
              <w:tab/>
            </w:r>
            <w:r w:rsidR="00C66082" w:rsidRPr="004F4118">
              <w:rPr>
                <w:sz w:val="20"/>
                <w:szCs w:val="20"/>
                <w:lang w:val="fr-CA"/>
              </w:rPr>
              <w:t>Bérubé, Michel</w:t>
            </w:r>
          </w:p>
          <w:p w:rsidR="00C66082" w:rsidRPr="004F4118" w:rsidRDefault="00F138C1" w:rsidP="00F138C1">
            <w:pPr>
              <w:tabs>
                <w:tab w:val="left" w:pos="-1440"/>
                <w:tab w:val="left" w:pos="-720"/>
              </w:tabs>
              <w:rPr>
                <w:sz w:val="20"/>
                <w:szCs w:val="20"/>
                <w:lang w:val="fr-CA"/>
              </w:rPr>
            </w:pPr>
            <w:r w:rsidRPr="004F4118">
              <w:rPr>
                <w:sz w:val="20"/>
                <w:szCs w:val="20"/>
                <w:lang w:val="fr-CA"/>
              </w:rPr>
              <w:tab/>
            </w:r>
            <w:r w:rsidR="00C66082" w:rsidRPr="004F4118">
              <w:rPr>
                <w:sz w:val="20"/>
                <w:szCs w:val="20"/>
                <w:lang w:val="fr-CA"/>
              </w:rPr>
              <w:t xml:space="preserve">Directeur des poursuites criminelles et </w:t>
            </w:r>
          </w:p>
          <w:p w:rsidR="00F138C1" w:rsidRPr="004F4118" w:rsidRDefault="00C66082" w:rsidP="00F138C1">
            <w:pPr>
              <w:tabs>
                <w:tab w:val="left" w:pos="-1440"/>
                <w:tab w:val="left" w:pos="-720"/>
              </w:tabs>
              <w:rPr>
                <w:sz w:val="20"/>
                <w:szCs w:val="20"/>
                <w:lang w:val="fr-CA"/>
              </w:rPr>
            </w:pPr>
            <w:r w:rsidRPr="004F4118">
              <w:rPr>
                <w:sz w:val="20"/>
                <w:szCs w:val="20"/>
                <w:lang w:val="fr-CA"/>
              </w:rPr>
              <w:tab/>
              <w:t>pénales du Québec</w:t>
            </w:r>
          </w:p>
          <w:p w:rsidR="00F138C1" w:rsidRPr="004F4118" w:rsidRDefault="00F138C1" w:rsidP="00F138C1">
            <w:pPr>
              <w:tabs>
                <w:tab w:val="left" w:pos="-1440"/>
                <w:tab w:val="left" w:pos="-720"/>
              </w:tabs>
              <w:rPr>
                <w:sz w:val="20"/>
                <w:szCs w:val="20"/>
                <w:lang w:val="fr-CA"/>
              </w:rPr>
            </w:pPr>
          </w:p>
          <w:p w:rsidR="00C66082" w:rsidRPr="004F4118" w:rsidRDefault="00C66082" w:rsidP="00C66082">
            <w:pPr>
              <w:rPr>
                <w:sz w:val="20"/>
                <w:szCs w:val="20"/>
                <w:lang w:val="fr-CA"/>
              </w:rPr>
            </w:pPr>
            <w:r w:rsidRPr="004F4118">
              <w:rPr>
                <w:sz w:val="20"/>
                <w:szCs w:val="20"/>
                <w:lang w:val="fr-CA"/>
              </w:rPr>
              <w:t>DATE DE PRODUCTION : le 4 août 2021</w:t>
            </w:r>
          </w:p>
          <w:p w:rsidR="004B2E86" w:rsidRPr="004F4118" w:rsidRDefault="004B2E86" w:rsidP="00F138C1">
            <w:pPr>
              <w:rPr>
                <w:sz w:val="20"/>
                <w:szCs w:val="20"/>
                <w:lang w:val="fr-CA"/>
              </w:rPr>
            </w:pPr>
          </w:p>
          <w:p w:rsidR="00F138C1" w:rsidRPr="004F4118" w:rsidRDefault="00DF0AA3"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4F4118" w:rsidRDefault="00F138C1" w:rsidP="00F138C1">
            <w:pPr>
              <w:jc w:val="center"/>
              <w:rPr>
                <w:sz w:val="20"/>
                <w:szCs w:val="20"/>
              </w:rPr>
            </w:pPr>
          </w:p>
          <w:p w:rsidR="00F138C1" w:rsidRPr="004F4118" w:rsidRDefault="00F138C1" w:rsidP="00F138C1">
            <w:pPr>
              <w:jc w:val="center"/>
              <w:rPr>
                <w:sz w:val="20"/>
                <w:szCs w:val="20"/>
              </w:rPr>
            </w:pPr>
          </w:p>
          <w:p w:rsidR="00F138C1" w:rsidRPr="004F4118" w:rsidRDefault="00F138C1" w:rsidP="00F138C1">
            <w:pPr>
              <w:jc w:val="center"/>
              <w:rPr>
                <w:sz w:val="20"/>
                <w:szCs w:val="20"/>
              </w:rPr>
            </w:pPr>
          </w:p>
          <w:p w:rsidR="00F138C1" w:rsidRPr="004F4118" w:rsidRDefault="00F138C1" w:rsidP="00F138C1">
            <w:pPr>
              <w:jc w:val="center"/>
              <w:rPr>
                <w:sz w:val="20"/>
                <w:szCs w:val="20"/>
              </w:rPr>
            </w:pPr>
          </w:p>
          <w:p w:rsidR="00F138C1" w:rsidRPr="004F4118" w:rsidRDefault="00F138C1" w:rsidP="00F138C1">
            <w:pPr>
              <w:jc w:val="center"/>
              <w:rPr>
                <w:sz w:val="20"/>
                <w:szCs w:val="20"/>
              </w:rPr>
            </w:pPr>
          </w:p>
          <w:p w:rsidR="00F138C1" w:rsidRPr="004F4118" w:rsidRDefault="00F138C1" w:rsidP="00F138C1">
            <w:pPr>
              <w:jc w:val="center"/>
              <w:rPr>
                <w:sz w:val="20"/>
                <w:szCs w:val="20"/>
              </w:rPr>
            </w:pPr>
          </w:p>
          <w:p w:rsidR="00F138C1" w:rsidRPr="004F4118" w:rsidRDefault="00F138C1" w:rsidP="00F138C1">
            <w:pPr>
              <w:jc w:val="center"/>
              <w:rPr>
                <w:sz w:val="20"/>
                <w:szCs w:val="20"/>
              </w:rPr>
            </w:pPr>
          </w:p>
          <w:p w:rsidR="00F138C1" w:rsidRPr="004F4118" w:rsidRDefault="00F138C1" w:rsidP="00F138C1">
            <w:pPr>
              <w:jc w:val="center"/>
              <w:rPr>
                <w:sz w:val="20"/>
                <w:szCs w:val="20"/>
              </w:rPr>
            </w:pPr>
          </w:p>
          <w:p w:rsidR="00F138C1" w:rsidRPr="004F4118" w:rsidRDefault="00F138C1" w:rsidP="00F138C1">
            <w:pPr>
              <w:jc w:val="center"/>
              <w:rPr>
                <w:sz w:val="20"/>
                <w:szCs w:val="20"/>
              </w:rPr>
            </w:pPr>
          </w:p>
          <w:p w:rsidR="00C66082" w:rsidRPr="004F4118" w:rsidRDefault="00C66082" w:rsidP="00F138C1">
            <w:pPr>
              <w:jc w:val="center"/>
              <w:rPr>
                <w:sz w:val="20"/>
                <w:szCs w:val="20"/>
              </w:rPr>
            </w:pPr>
          </w:p>
          <w:p w:rsidR="00F138C1" w:rsidRPr="004F4118" w:rsidRDefault="00F138C1" w:rsidP="00F138C1">
            <w:pPr>
              <w:jc w:val="center"/>
              <w:rPr>
                <w:sz w:val="20"/>
                <w:szCs w:val="20"/>
              </w:rPr>
            </w:pPr>
          </w:p>
          <w:p w:rsidR="00F138C1" w:rsidRPr="004F4118" w:rsidRDefault="00F138C1" w:rsidP="00F138C1">
            <w:pPr>
              <w:jc w:val="center"/>
              <w:rPr>
                <w:sz w:val="20"/>
                <w:szCs w:val="20"/>
              </w:rPr>
            </w:pPr>
          </w:p>
          <w:p w:rsidR="00F138C1" w:rsidRPr="004F4118" w:rsidRDefault="00F138C1" w:rsidP="00F138C1">
            <w:pPr>
              <w:jc w:val="center"/>
              <w:rPr>
                <w:sz w:val="20"/>
                <w:szCs w:val="20"/>
              </w:rPr>
            </w:pPr>
          </w:p>
          <w:p w:rsidR="004B2E86" w:rsidRPr="004F4118" w:rsidRDefault="004B2E86" w:rsidP="00F138C1">
            <w:pPr>
              <w:jc w:val="center"/>
              <w:rPr>
                <w:sz w:val="20"/>
                <w:szCs w:val="20"/>
              </w:rPr>
            </w:pPr>
          </w:p>
          <w:p w:rsidR="00F138C1" w:rsidRPr="004F4118" w:rsidRDefault="00F138C1" w:rsidP="00F138C1">
            <w:pPr>
              <w:jc w:val="center"/>
              <w:rPr>
                <w:sz w:val="20"/>
                <w:szCs w:val="20"/>
              </w:rPr>
            </w:pPr>
          </w:p>
        </w:tc>
        <w:tc>
          <w:tcPr>
            <w:tcW w:w="4239" w:type="dxa"/>
            <w:shd w:val="clear" w:color="auto" w:fill="auto"/>
          </w:tcPr>
          <w:p w:rsidR="00F138C1" w:rsidRPr="004F4118" w:rsidRDefault="00C66082" w:rsidP="00F138C1">
            <w:pPr>
              <w:rPr>
                <w:b/>
                <w:sz w:val="20"/>
                <w:szCs w:val="20"/>
                <w:lang w:val="en-US"/>
              </w:rPr>
            </w:pPr>
            <w:r w:rsidRPr="004F4118">
              <w:rPr>
                <w:b/>
                <w:sz w:val="20"/>
                <w:szCs w:val="20"/>
                <w:lang w:val="en-US"/>
              </w:rPr>
              <w:t>Leslie J. O'Connor</w:t>
            </w:r>
          </w:p>
          <w:p w:rsidR="00F138C1" w:rsidRPr="004F4118" w:rsidRDefault="00F138C1" w:rsidP="00F138C1">
            <w:pPr>
              <w:tabs>
                <w:tab w:val="left" w:pos="-1440"/>
                <w:tab w:val="left" w:pos="-720"/>
              </w:tabs>
              <w:rPr>
                <w:sz w:val="20"/>
                <w:szCs w:val="20"/>
                <w:lang w:val="en-US"/>
              </w:rPr>
            </w:pPr>
            <w:r w:rsidRPr="004F4118">
              <w:rPr>
                <w:sz w:val="20"/>
                <w:szCs w:val="20"/>
                <w:lang w:val="en-US"/>
              </w:rPr>
              <w:tab/>
            </w:r>
            <w:r w:rsidR="00C66082" w:rsidRPr="004F4118">
              <w:rPr>
                <w:sz w:val="20"/>
                <w:szCs w:val="20"/>
                <w:lang w:val="en-US"/>
              </w:rPr>
              <w:t>Rachlin, Alan L.</w:t>
            </w:r>
          </w:p>
          <w:p w:rsidR="00F138C1" w:rsidRPr="004F4118" w:rsidRDefault="00F138C1" w:rsidP="00F138C1">
            <w:pPr>
              <w:tabs>
                <w:tab w:val="left" w:pos="-1440"/>
                <w:tab w:val="left" w:pos="-720"/>
              </w:tabs>
              <w:rPr>
                <w:sz w:val="20"/>
                <w:szCs w:val="20"/>
                <w:lang w:val="en-US"/>
              </w:rPr>
            </w:pPr>
            <w:r w:rsidRPr="004F4118">
              <w:rPr>
                <w:sz w:val="20"/>
                <w:szCs w:val="20"/>
                <w:lang w:val="en-US"/>
              </w:rPr>
              <w:tab/>
            </w:r>
            <w:r w:rsidR="00C66082" w:rsidRPr="004F4118">
              <w:rPr>
                <w:sz w:val="20"/>
                <w:szCs w:val="20"/>
                <w:lang w:val="en-US"/>
              </w:rPr>
              <w:t>Rachlin &amp; Wolfson</w:t>
            </w:r>
          </w:p>
          <w:p w:rsidR="00F138C1" w:rsidRPr="004F4118" w:rsidRDefault="00F138C1" w:rsidP="00F138C1">
            <w:pPr>
              <w:tabs>
                <w:tab w:val="left" w:pos="-1440"/>
                <w:tab w:val="left" w:pos="-720"/>
              </w:tabs>
              <w:rPr>
                <w:sz w:val="20"/>
                <w:szCs w:val="20"/>
                <w:lang w:val="en-US"/>
              </w:rPr>
            </w:pPr>
          </w:p>
          <w:p w:rsidR="00F138C1" w:rsidRPr="004F4118" w:rsidRDefault="00F138C1" w:rsidP="00F138C1">
            <w:pPr>
              <w:tabs>
                <w:tab w:val="left" w:pos="-1440"/>
                <w:tab w:val="left" w:pos="-720"/>
              </w:tabs>
              <w:rPr>
                <w:sz w:val="20"/>
                <w:szCs w:val="20"/>
                <w:lang w:val="en-US"/>
              </w:rPr>
            </w:pPr>
            <w:r w:rsidRPr="004F4118">
              <w:rPr>
                <w:sz w:val="20"/>
                <w:szCs w:val="20"/>
                <w:lang w:val="en-US"/>
              </w:rPr>
              <w:tab/>
            </w:r>
            <w:r w:rsidR="00C66082" w:rsidRPr="004F4118">
              <w:rPr>
                <w:sz w:val="20"/>
                <w:szCs w:val="20"/>
                <w:lang w:val="en-US"/>
              </w:rPr>
              <w:t>v</w:t>
            </w:r>
            <w:r w:rsidRPr="004F4118">
              <w:rPr>
                <w:sz w:val="20"/>
                <w:szCs w:val="20"/>
                <w:lang w:val="en-US"/>
              </w:rPr>
              <w:t>. (</w:t>
            </w:r>
            <w:r w:rsidR="00C66082" w:rsidRPr="004F4118">
              <w:rPr>
                <w:sz w:val="20"/>
                <w:szCs w:val="20"/>
                <w:lang w:val="en-US"/>
              </w:rPr>
              <w:t>40023</w:t>
            </w:r>
            <w:r w:rsidRPr="004F4118">
              <w:rPr>
                <w:sz w:val="20"/>
                <w:szCs w:val="20"/>
                <w:lang w:val="en-US"/>
              </w:rPr>
              <w:t>)</w:t>
            </w:r>
          </w:p>
          <w:p w:rsidR="00F138C1" w:rsidRPr="004F4118" w:rsidRDefault="00F138C1" w:rsidP="00F138C1">
            <w:pPr>
              <w:tabs>
                <w:tab w:val="left" w:pos="-1440"/>
                <w:tab w:val="left" w:pos="-720"/>
              </w:tabs>
              <w:rPr>
                <w:sz w:val="20"/>
                <w:szCs w:val="20"/>
                <w:lang w:val="en-US"/>
              </w:rPr>
            </w:pPr>
          </w:p>
          <w:p w:rsidR="00F138C1" w:rsidRPr="004F4118" w:rsidRDefault="00C66082" w:rsidP="00F138C1">
            <w:pPr>
              <w:tabs>
                <w:tab w:val="left" w:pos="-1440"/>
                <w:tab w:val="left" w:pos="-720"/>
              </w:tabs>
              <w:rPr>
                <w:b/>
                <w:sz w:val="20"/>
                <w:szCs w:val="20"/>
                <w:lang w:val="en-US"/>
              </w:rPr>
            </w:pPr>
            <w:r w:rsidRPr="004F4118">
              <w:rPr>
                <w:b/>
                <w:sz w:val="20"/>
                <w:szCs w:val="20"/>
                <w:lang w:val="en-US"/>
              </w:rPr>
              <w:t>Peter St. Marthe</w:t>
            </w:r>
            <w:r w:rsidR="00F138C1" w:rsidRPr="004F4118">
              <w:rPr>
                <w:sz w:val="20"/>
                <w:szCs w:val="20"/>
                <w:lang w:val="en-US"/>
              </w:rPr>
              <w:t xml:space="preserve"> </w:t>
            </w:r>
            <w:r w:rsidR="00F138C1" w:rsidRPr="004F4118">
              <w:rPr>
                <w:b/>
                <w:sz w:val="20"/>
                <w:szCs w:val="20"/>
                <w:lang w:val="en-US"/>
              </w:rPr>
              <w:t>(</w:t>
            </w:r>
            <w:r w:rsidRPr="004F4118">
              <w:rPr>
                <w:b/>
                <w:sz w:val="20"/>
                <w:szCs w:val="20"/>
                <w:lang w:val="en-US"/>
              </w:rPr>
              <w:t>Ont.</w:t>
            </w:r>
            <w:r w:rsidR="00F138C1" w:rsidRPr="004F4118">
              <w:rPr>
                <w:b/>
                <w:sz w:val="20"/>
                <w:szCs w:val="20"/>
                <w:lang w:val="en-US"/>
              </w:rPr>
              <w:t>)</w:t>
            </w:r>
          </w:p>
          <w:p w:rsidR="00F138C1" w:rsidRPr="004F4118" w:rsidRDefault="00F138C1" w:rsidP="00F138C1">
            <w:pPr>
              <w:tabs>
                <w:tab w:val="left" w:pos="-1440"/>
                <w:tab w:val="left" w:pos="-720"/>
              </w:tabs>
              <w:rPr>
                <w:sz w:val="20"/>
                <w:szCs w:val="20"/>
                <w:lang w:val="en-US"/>
              </w:rPr>
            </w:pPr>
            <w:r w:rsidRPr="004F4118">
              <w:rPr>
                <w:sz w:val="20"/>
                <w:szCs w:val="20"/>
                <w:lang w:val="en-US"/>
              </w:rPr>
              <w:tab/>
            </w:r>
            <w:r w:rsidR="00C66082" w:rsidRPr="004F4118">
              <w:rPr>
                <w:sz w:val="20"/>
                <w:szCs w:val="20"/>
                <w:lang w:val="en-US"/>
              </w:rPr>
              <w:t>Bergeron, Edward</w:t>
            </w:r>
          </w:p>
          <w:p w:rsidR="00F138C1" w:rsidRPr="004F4118" w:rsidRDefault="00F138C1" w:rsidP="00F138C1">
            <w:pPr>
              <w:tabs>
                <w:tab w:val="left" w:pos="-1440"/>
                <w:tab w:val="left" w:pos="-720"/>
              </w:tabs>
              <w:rPr>
                <w:sz w:val="20"/>
                <w:szCs w:val="20"/>
                <w:lang w:val="en-US"/>
              </w:rPr>
            </w:pPr>
            <w:r w:rsidRPr="004F4118">
              <w:rPr>
                <w:sz w:val="20"/>
                <w:szCs w:val="20"/>
                <w:lang w:val="en-US"/>
              </w:rPr>
              <w:tab/>
            </w:r>
            <w:r w:rsidR="00C66082" w:rsidRPr="004F4118">
              <w:rPr>
                <w:sz w:val="20"/>
                <w:szCs w:val="20"/>
                <w:lang w:val="en-US"/>
              </w:rPr>
              <w:t>Bergeron Clifford LLP</w:t>
            </w:r>
          </w:p>
          <w:p w:rsidR="00F138C1" w:rsidRPr="004F4118" w:rsidRDefault="00F138C1" w:rsidP="00F138C1">
            <w:pPr>
              <w:tabs>
                <w:tab w:val="left" w:pos="-1440"/>
                <w:tab w:val="left" w:pos="-720"/>
              </w:tabs>
              <w:rPr>
                <w:sz w:val="20"/>
                <w:szCs w:val="20"/>
                <w:lang w:val="en-US"/>
              </w:rPr>
            </w:pPr>
          </w:p>
          <w:p w:rsidR="00C66082" w:rsidRPr="004F4118" w:rsidRDefault="00C66082" w:rsidP="00C66082">
            <w:pPr>
              <w:rPr>
                <w:sz w:val="20"/>
                <w:szCs w:val="20"/>
                <w:lang w:val="en-US"/>
              </w:rPr>
            </w:pPr>
            <w:r w:rsidRPr="004F4118">
              <w:rPr>
                <w:sz w:val="20"/>
                <w:szCs w:val="20"/>
                <w:lang w:val="en-US"/>
              </w:rPr>
              <w:t>FILING DATE: January 7, 2022</w:t>
            </w:r>
          </w:p>
          <w:p w:rsidR="004B2E86" w:rsidRPr="004F4118" w:rsidRDefault="004B2E86" w:rsidP="00F138C1">
            <w:pPr>
              <w:rPr>
                <w:sz w:val="20"/>
                <w:szCs w:val="20"/>
                <w:lang w:val="en-US"/>
              </w:rPr>
            </w:pPr>
          </w:p>
          <w:p w:rsidR="00F138C1" w:rsidRPr="004F4118" w:rsidRDefault="00DF0AA3"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4F4118" w:rsidTr="00F138C1">
        <w:tc>
          <w:tcPr>
            <w:tcW w:w="4239" w:type="dxa"/>
            <w:shd w:val="clear" w:color="auto" w:fill="auto"/>
          </w:tcPr>
          <w:p w:rsidR="00F138C1" w:rsidRPr="004F4118" w:rsidRDefault="00C66082" w:rsidP="009B36BA">
            <w:pPr>
              <w:tabs>
                <w:tab w:val="left" w:pos="-1440"/>
                <w:tab w:val="left" w:pos="-720"/>
              </w:tabs>
              <w:rPr>
                <w:b/>
                <w:sz w:val="20"/>
                <w:szCs w:val="20"/>
                <w:lang w:val="fr-CA"/>
              </w:rPr>
            </w:pPr>
            <w:r w:rsidRPr="004F4118">
              <w:rPr>
                <w:b/>
                <w:sz w:val="20"/>
                <w:szCs w:val="20"/>
                <w:lang w:val="fr-CA"/>
              </w:rPr>
              <w:t>Wiseau Studio, et al.</w:t>
            </w:r>
          </w:p>
          <w:p w:rsidR="00F138C1" w:rsidRPr="004F4118" w:rsidRDefault="00F138C1" w:rsidP="00F138C1">
            <w:pPr>
              <w:keepNext/>
              <w:keepLines/>
              <w:tabs>
                <w:tab w:val="left" w:pos="-1440"/>
                <w:tab w:val="left" w:pos="-720"/>
              </w:tabs>
              <w:rPr>
                <w:sz w:val="20"/>
                <w:szCs w:val="20"/>
                <w:lang w:val="fr-CA"/>
              </w:rPr>
            </w:pPr>
            <w:r w:rsidRPr="004F4118">
              <w:rPr>
                <w:sz w:val="20"/>
                <w:szCs w:val="20"/>
                <w:lang w:val="fr-CA"/>
              </w:rPr>
              <w:tab/>
            </w:r>
            <w:r w:rsidR="00C66082" w:rsidRPr="004F4118">
              <w:rPr>
                <w:sz w:val="20"/>
                <w:szCs w:val="20"/>
                <w:lang w:val="fr-CA"/>
              </w:rPr>
              <w:t>Brinza, Daniel</w:t>
            </w:r>
          </w:p>
          <w:p w:rsidR="00C66082" w:rsidRPr="004F4118" w:rsidRDefault="00F138C1" w:rsidP="00F138C1">
            <w:pPr>
              <w:keepNext/>
              <w:keepLines/>
              <w:tabs>
                <w:tab w:val="left" w:pos="-1440"/>
                <w:tab w:val="left" w:pos="-720"/>
              </w:tabs>
              <w:rPr>
                <w:sz w:val="20"/>
                <w:szCs w:val="20"/>
                <w:lang w:val="en-US"/>
              </w:rPr>
            </w:pPr>
            <w:r w:rsidRPr="004F4118">
              <w:rPr>
                <w:sz w:val="20"/>
                <w:szCs w:val="20"/>
                <w:lang w:val="fr-CA"/>
              </w:rPr>
              <w:tab/>
            </w:r>
            <w:r w:rsidR="00C66082" w:rsidRPr="004F4118">
              <w:rPr>
                <w:sz w:val="20"/>
                <w:szCs w:val="20"/>
                <w:lang w:val="en-US"/>
              </w:rPr>
              <w:t xml:space="preserve">Daniel Brinza Law Professional </w:t>
            </w:r>
          </w:p>
          <w:p w:rsidR="00F138C1" w:rsidRPr="004F4118" w:rsidRDefault="00C66082" w:rsidP="00F138C1">
            <w:pPr>
              <w:keepNext/>
              <w:keepLines/>
              <w:tabs>
                <w:tab w:val="left" w:pos="-1440"/>
                <w:tab w:val="left" w:pos="-720"/>
              </w:tabs>
              <w:rPr>
                <w:sz w:val="20"/>
                <w:szCs w:val="20"/>
                <w:lang w:val="en-US"/>
              </w:rPr>
            </w:pPr>
            <w:r w:rsidRPr="004F4118">
              <w:rPr>
                <w:sz w:val="20"/>
                <w:szCs w:val="20"/>
                <w:lang w:val="en-US"/>
              </w:rPr>
              <w:tab/>
              <w:t>Corporation</w:t>
            </w:r>
          </w:p>
          <w:p w:rsidR="00F138C1" w:rsidRPr="004F4118" w:rsidRDefault="00F138C1" w:rsidP="00F138C1">
            <w:pPr>
              <w:keepNext/>
              <w:keepLines/>
              <w:tabs>
                <w:tab w:val="left" w:pos="-1440"/>
                <w:tab w:val="left" w:pos="-720"/>
              </w:tabs>
              <w:rPr>
                <w:sz w:val="20"/>
                <w:szCs w:val="20"/>
                <w:lang w:val="en-US"/>
              </w:rPr>
            </w:pPr>
          </w:p>
          <w:p w:rsidR="00F138C1" w:rsidRPr="004F4118" w:rsidRDefault="00F138C1" w:rsidP="00F138C1">
            <w:pPr>
              <w:keepNext/>
              <w:keepLines/>
              <w:tabs>
                <w:tab w:val="left" w:pos="-1440"/>
                <w:tab w:val="left" w:pos="-720"/>
              </w:tabs>
              <w:rPr>
                <w:sz w:val="20"/>
                <w:szCs w:val="20"/>
                <w:lang w:val="en-US"/>
              </w:rPr>
            </w:pPr>
            <w:r w:rsidRPr="004F4118">
              <w:rPr>
                <w:sz w:val="20"/>
                <w:szCs w:val="20"/>
                <w:lang w:val="en-US"/>
              </w:rPr>
              <w:tab/>
              <w:t>v. (39</w:t>
            </w:r>
            <w:r w:rsidR="00C66082" w:rsidRPr="004F4118">
              <w:rPr>
                <w:sz w:val="20"/>
                <w:szCs w:val="20"/>
                <w:lang w:val="en-US"/>
              </w:rPr>
              <w:t>765</w:t>
            </w:r>
            <w:r w:rsidRPr="004F4118">
              <w:rPr>
                <w:sz w:val="20"/>
                <w:szCs w:val="20"/>
                <w:lang w:val="en-US"/>
              </w:rPr>
              <w:t>)</w:t>
            </w:r>
          </w:p>
          <w:p w:rsidR="00F138C1" w:rsidRPr="004F4118" w:rsidRDefault="00F138C1" w:rsidP="00F138C1">
            <w:pPr>
              <w:keepNext/>
              <w:keepLines/>
              <w:tabs>
                <w:tab w:val="left" w:pos="-1440"/>
                <w:tab w:val="left" w:pos="-720"/>
              </w:tabs>
              <w:rPr>
                <w:sz w:val="20"/>
                <w:szCs w:val="20"/>
                <w:lang w:val="en-US"/>
              </w:rPr>
            </w:pPr>
          </w:p>
          <w:p w:rsidR="00F138C1" w:rsidRPr="004F4118" w:rsidRDefault="00C66082" w:rsidP="00F138C1">
            <w:pPr>
              <w:keepNext/>
              <w:keepLines/>
              <w:tabs>
                <w:tab w:val="left" w:pos="-1440"/>
                <w:tab w:val="left" w:pos="-720"/>
              </w:tabs>
              <w:rPr>
                <w:b/>
                <w:sz w:val="20"/>
                <w:szCs w:val="20"/>
                <w:lang w:val="fr-CA"/>
              </w:rPr>
            </w:pPr>
            <w:r w:rsidRPr="004F4118">
              <w:rPr>
                <w:b/>
                <w:sz w:val="20"/>
                <w:szCs w:val="20"/>
                <w:lang w:val="fr-CA"/>
              </w:rPr>
              <w:t>Richard Harper, et al.</w:t>
            </w:r>
            <w:r w:rsidR="00F138C1" w:rsidRPr="004F4118">
              <w:rPr>
                <w:b/>
                <w:sz w:val="20"/>
                <w:szCs w:val="20"/>
                <w:lang w:val="fr-CA"/>
              </w:rPr>
              <w:t xml:space="preserve"> (</w:t>
            </w:r>
            <w:r w:rsidRPr="004F4118">
              <w:rPr>
                <w:b/>
                <w:sz w:val="20"/>
                <w:szCs w:val="20"/>
                <w:lang w:val="fr-CA"/>
              </w:rPr>
              <w:t>Ont</w:t>
            </w:r>
            <w:r w:rsidR="00F138C1" w:rsidRPr="004F4118">
              <w:rPr>
                <w:b/>
                <w:sz w:val="20"/>
                <w:szCs w:val="20"/>
                <w:lang w:val="fr-CA"/>
              </w:rPr>
              <w:t>.)</w:t>
            </w:r>
          </w:p>
          <w:p w:rsidR="00F138C1" w:rsidRPr="004F4118" w:rsidRDefault="00F138C1" w:rsidP="00F138C1">
            <w:pPr>
              <w:keepNext/>
              <w:keepLines/>
              <w:tabs>
                <w:tab w:val="left" w:pos="-1440"/>
                <w:tab w:val="left" w:pos="-720"/>
              </w:tabs>
              <w:rPr>
                <w:sz w:val="20"/>
                <w:szCs w:val="20"/>
                <w:lang w:val="en-US"/>
              </w:rPr>
            </w:pPr>
            <w:r w:rsidRPr="004F4118">
              <w:rPr>
                <w:sz w:val="20"/>
                <w:szCs w:val="20"/>
                <w:lang w:val="fr-CA"/>
              </w:rPr>
              <w:tab/>
            </w:r>
            <w:r w:rsidR="00C66082" w:rsidRPr="004F4118">
              <w:rPr>
                <w:sz w:val="20"/>
                <w:szCs w:val="20"/>
                <w:lang w:val="en-US"/>
              </w:rPr>
              <w:t>Diskin, Matthew</w:t>
            </w:r>
          </w:p>
          <w:p w:rsidR="00F138C1" w:rsidRPr="004F4118" w:rsidRDefault="00F138C1" w:rsidP="00F138C1">
            <w:pPr>
              <w:keepNext/>
              <w:keepLines/>
              <w:tabs>
                <w:tab w:val="left" w:pos="-1440"/>
                <w:tab w:val="left" w:pos="-720"/>
              </w:tabs>
              <w:rPr>
                <w:sz w:val="20"/>
                <w:szCs w:val="20"/>
                <w:lang w:val="en-US"/>
              </w:rPr>
            </w:pPr>
            <w:r w:rsidRPr="004F4118">
              <w:rPr>
                <w:sz w:val="20"/>
                <w:szCs w:val="20"/>
                <w:lang w:val="en-US"/>
              </w:rPr>
              <w:tab/>
            </w:r>
            <w:r w:rsidR="00C66082" w:rsidRPr="004F4118">
              <w:rPr>
                <w:sz w:val="20"/>
                <w:szCs w:val="20"/>
                <w:lang w:val="en-US"/>
              </w:rPr>
              <w:t>Dentons Canada LLP</w:t>
            </w:r>
          </w:p>
          <w:p w:rsidR="00F138C1" w:rsidRPr="004F4118" w:rsidRDefault="00F138C1" w:rsidP="00F138C1">
            <w:pPr>
              <w:keepNext/>
              <w:keepLines/>
              <w:tabs>
                <w:tab w:val="left" w:pos="-1440"/>
                <w:tab w:val="left" w:pos="-720"/>
              </w:tabs>
              <w:rPr>
                <w:sz w:val="20"/>
                <w:szCs w:val="20"/>
                <w:lang w:val="en-US"/>
              </w:rPr>
            </w:pPr>
          </w:p>
          <w:p w:rsidR="004B2E86" w:rsidRPr="004F4118" w:rsidRDefault="00F138C1" w:rsidP="00F138C1">
            <w:pPr>
              <w:rPr>
                <w:sz w:val="20"/>
                <w:szCs w:val="20"/>
                <w:lang w:val="en-US"/>
              </w:rPr>
            </w:pPr>
            <w:r w:rsidRPr="004F4118">
              <w:rPr>
                <w:sz w:val="20"/>
                <w:szCs w:val="20"/>
                <w:lang w:val="en-US"/>
              </w:rPr>
              <w:t xml:space="preserve">FILING DATE: </w:t>
            </w:r>
            <w:r w:rsidR="00C66082" w:rsidRPr="004F4118">
              <w:rPr>
                <w:sz w:val="20"/>
                <w:szCs w:val="20"/>
                <w:lang w:val="en-US"/>
              </w:rPr>
              <w:t>August</w:t>
            </w:r>
            <w:r w:rsidRPr="004F4118">
              <w:rPr>
                <w:sz w:val="20"/>
                <w:szCs w:val="20"/>
                <w:lang w:val="en-US"/>
              </w:rPr>
              <w:t xml:space="preserve"> </w:t>
            </w:r>
            <w:r w:rsidR="00C66082" w:rsidRPr="004F4118">
              <w:rPr>
                <w:sz w:val="20"/>
                <w:szCs w:val="20"/>
                <w:lang w:val="en-US"/>
              </w:rPr>
              <w:t>17</w:t>
            </w:r>
            <w:r w:rsidRPr="004F4118">
              <w:rPr>
                <w:sz w:val="20"/>
                <w:szCs w:val="20"/>
                <w:lang w:val="en-US"/>
              </w:rPr>
              <w:t>, 20</w:t>
            </w:r>
            <w:r w:rsidR="00DA1D48" w:rsidRPr="004F4118">
              <w:rPr>
                <w:sz w:val="20"/>
                <w:szCs w:val="20"/>
                <w:lang w:val="en-US"/>
              </w:rPr>
              <w:t>2</w:t>
            </w:r>
            <w:r w:rsidR="00C66082" w:rsidRPr="004F4118">
              <w:rPr>
                <w:sz w:val="20"/>
                <w:szCs w:val="20"/>
                <w:lang w:val="en-US"/>
              </w:rPr>
              <w:t>1</w:t>
            </w:r>
          </w:p>
          <w:p w:rsidR="004B2E86" w:rsidRPr="004F4118" w:rsidRDefault="004B2E86" w:rsidP="00F138C1">
            <w:pPr>
              <w:rPr>
                <w:sz w:val="20"/>
                <w:szCs w:val="20"/>
                <w:lang w:val="en-US"/>
              </w:rPr>
            </w:pPr>
          </w:p>
          <w:p w:rsidR="00F138C1" w:rsidRPr="004F4118" w:rsidRDefault="00DF0AA3"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4F4118" w:rsidRDefault="00F138C1" w:rsidP="00F138C1">
            <w:pPr>
              <w:jc w:val="center"/>
              <w:rPr>
                <w:sz w:val="20"/>
                <w:szCs w:val="20"/>
                <w:lang w:val="en-US"/>
              </w:rPr>
            </w:pPr>
          </w:p>
          <w:p w:rsidR="00F138C1" w:rsidRPr="004F4118" w:rsidRDefault="00F138C1" w:rsidP="00F138C1">
            <w:pPr>
              <w:jc w:val="center"/>
              <w:rPr>
                <w:sz w:val="20"/>
                <w:szCs w:val="20"/>
                <w:lang w:val="en-US"/>
              </w:rPr>
            </w:pPr>
          </w:p>
          <w:p w:rsidR="00F138C1" w:rsidRPr="004F4118" w:rsidRDefault="00F138C1" w:rsidP="00F138C1">
            <w:pPr>
              <w:jc w:val="center"/>
              <w:rPr>
                <w:sz w:val="20"/>
                <w:szCs w:val="20"/>
                <w:lang w:val="en-US"/>
              </w:rPr>
            </w:pPr>
          </w:p>
          <w:p w:rsidR="00F138C1" w:rsidRPr="004F4118" w:rsidRDefault="00F138C1" w:rsidP="00F138C1">
            <w:pPr>
              <w:jc w:val="center"/>
              <w:rPr>
                <w:sz w:val="20"/>
                <w:szCs w:val="20"/>
                <w:lang w:val="en-US"/>
              </w:rPr>
            </w:pPr>
          </w:p>
          <w:p w:rsidR="00F138C1" w:rsidRPr="004F4118" w:rsidRDefault="00F138C1" w:rsidP="00F138C1">
            <w:pPr>
              <w:jc w:val="center"/>
              <w:rPr>
                <w:sz w:val="20"/>
                <w:szCs w:val="20"/>
                <w:lang w:val="en-US"/>
              </w:rPr>
            </w:pPr>
          </w:p>
          <w:p w:rsidR="00F138C1" w:rsidRPr="004F4118" w:rsidRDefault="00F138C1" w:rsidP="00F138C1">
            <w:pPr>
              <w:jc w:val="center"/>
              <w:rPr>
                <w:sz w:val="20"/>
                <w:szCs w:val="20"/>
                <w:lang w:val="en-US"/>
              </w:rPr>
            </w:pPr>
          </w:p>
          <w:p w:rsidR="00F138C1" w:rsidRPr="004F4118" w:rsidRDefault="00F138C1" w:rsidP="00F138C1">
            <w:pPr>
              <w:jc w:val="center"/>
              <w:rPr>
                <w:sz w:val="20"/>
                <w:szCs w:val="20"/>
                <w:lang w:val="en-US"/>
              </w:rPr>
            </w:pPr>
          </w:p>
          <w:p w:rsidR="00F138C1" w:rsidRPr="004F4118" w:rsidRDefault="00F138C1" w:rsidP="00F138C1">
            <w:pPr>
              <w:jc w:val="center"/>
              <w:rPr>
                <w:sz w:val="20"/>
                <w:szCs w:val="20"/>
                <w:lang w:val="en-US"/>
              </w:rPr>
            </w:pPr>
          </w:p>
          <w:p w:rsidR="00F138C1" w:rsidRPr="004F4118" w:rsidRDefault="00F138C1" w:rsidP="00F138C1">
            <w:pPr>
              <w:jc w:val="center"/>
              <w:rPr>
                <w:sz w:val="20"/>
                <w:szCs w:val="20"/>
                <w:lang w:val="en-US"/>
              </w:rPr>
            </w:pPr>
          </w:p>
          <w:p w:rsidR="00F138C1" w:rsidRPr="004F4118" w:rsidRDefault="00F138C1" w:rsidP="00F138C1">
            <w:pPr>
              <w:jc w:val="center"/>
              <w:rPr>
                <w:sz w:val="20"/>
                <w:szCs w:val="20"/>
                <w:lang w:val="en-US"/>
              </w:rPr>
            </w:pPr>
          </w:p>
          <w:p w:rsidR="00F138C1" w:rsidRPr="004F4118" w:rsidRDefault="00F138C1" w:rsidP="00F138C1">
            <w:pPr>
              <w:jc w:val="center"/>
              <w:rPr>
                <w:sz w:val="20"/>
                <w:szCs w:val="20"/>
                <w:lang w:val="en-US"/>
              </w:rPr>
            </w:pPr>
          </w:p>
          <w:p w:rsidR="00F138C1" w:rsidRPr="004F4118" w:rsidRDefault="00F138C1" w:rsidP="00F138C1">
            <w:pPr>
              <w:jc w:val="center"/>
              <w:rPr>
                <w:sz w:val="20"/>
                <w:szCs w:val="20"/>
                <w:lang w:val="en-US"/>
              </w:rPr>
            </w:pPr>
          </w:p>
          <w:p w:rsidR="00F138C1" w:rsidRPr="004F4118" w:rsidRDefault="00F138C1" w:rsidP="00F138C1">
            <w:pPr>
              <w:jc w:val="center"/>
              <w:rPr>
                <w:sz w:val="20"/>
                <w:szCs w:val="20"/>
                <w:lang w:val="en-US"/>
              </w:rPr>
            </w:pPr>
          </w:p>
          <w:p w:rsidR="00F138C1" w:rsidRPr="004F4118" w:rsidRDefault="00F138C1" w:rsidP="00F138C1">
            <w:pPr>
              <w:jc w:val="center"/>
              <w:rPr>
                <w:sz w:val="20"/>
                <w:szCs w:val="20"/>
                <w:lang w:val="en-US"/>
              </w:rPr>
            </w:pPr>
          </w:p>
          <w:p w:rsidR="004B2E86" w:rsidRPr="004F4118" w:rsidRDefault="004B2E86" w:rsidP="00F138C1">
            <w:pPr>
              <w:jc w:val="center"/>
              <w:rPr>
                <w:sz w:val="20"/>
                <w:szCs w:val="20"/>
                <w:lang w:val="en-US"/>
              </w:rPr>
            </w:pPr>
          </w:p>
        </w:tc>
        <w:tc>
          <w:tcPr>
            <w:tcW w:w="4239" w:type="dxa"/>
            <w:shd w:val="clear" w:color="auto" w:fill="auto"/>
          </w:tcPr>
          <w:p w:rsidR="00F138C1" w:rsidRPr="004F4118" w:rsidRDefault="00222DBC" w:rsidP="00F138C1">
            <w:pPr>
              <w:rPr>
                <w:b/>
                <w:sz w:val="20"/>
                <w:szCs w:val="20"/>
                <w:lang w:val="en-US"/>
              </w:rPr>
            </w:pPr>
            <w:r w:rsidRPr="004F4118">
              <w:rPr>
                <w:b/>
                <w:sz w:val="20"/>
                <w:szCs w:val="20"/>
                <w:lang w:val="en-US"/>
              </w:rPr>
              <w:t>Margaret Lee Cole</w:t>
            </w:r>
          </w:p>
          <w:p w:rsidR="00F138C1" w:rsidRPr="004F4118" w:rsidRDefault="00F138C1" w:rsidP="00F138C1">
            <w:pPr>
              <w:tabs>
                <w:tab w:val="left" w:pos="-1440"/>
                <w:tab w:val="left" w:pos="-720"/>
              </w:tabs>
              <w:rPr>
                <w:sz w:val="20"/>
                <w:szCs w:val="20"/>
                <w:lang w:val="en-US"/>
              </w:rPr>
            </w:pPr>
            <w:r w:rsidRPr="004F4118">
              <w:rPr>
                <w:sz w:val="20"/>
                <w:szCs w:val="20"/>
                <w:lang w:val="en-US"/>
              </w:rPr>
              <w:tab/>
            </w:r>
            <w:r w:rsidR="00222DBC" w:rsidRPr="004F4118">
              <w:rPr>
                <w:sz w:val="20"/>
                <w:szCs w:val="20"/>
                <w:lang w:val="en-US"/>
              </w:rPr>
              <w:t>DiGiuseppe, Stephanie</w:t>
            </w:r>
          </w:p>
          <w:p w:rsidR="00222DBC" w:rsidRPr="004F4118" w:rsidRDefault="00F138C1" w:rsidP="00F138C1">
            <w:pPr>
              <w:tabs>
                <w:tab w:val="left" w:pos="-1440"/>
                <w:tab w:val="left" w:pos="-720"/>
              </w:tabs>
              <w:rPr>
                <w:sz w:val="20"/>
                <w:szCs w:val="20"/>
                <w:lang w:val="en-US"/>
              </w:rPr>
            </w:pPr>
            <w:r w:rsidRPr="004F4118">
              <w:rPr>
                <w:sz w:val="20"/>
                <w:szCs w:val="20"/>
                <w:lang w:val="en-US"/>
              </w:rPr>
              <w:tab/>
            </w:r>
            <w:r w:rsidR="00222DBC" w:rsidRPr="004F4118">
              <w:rPr>
                <w:sz w:val="20"/>
                <w:szCs w:val="20"/>
                <w:lang w:val="en-US"/>
              </w:rPr>
              <w:t xml:space="preserve">Ruby Shiller Enenajor DiGiuseppe </w:t>
            </w:r>
          </w:p>
          <w:p w:rsidR="00F138C1" w:rsidRPr="004F4118" w:rsidRDefault="00222DBC" w:rsidP="00F138C1">
            <w:pPr>
              <w:tabs>
                <w:tab w:val="left" w:pos="-1440"/>
                <w:tab w:val="left" w:pos="-720"/>
              </w:tabs>
              <w:rPr>
                <w:sz w:val="20"/>
                <w:szCs w:val="20"/>
                <w:lang w:val="en-US"/>
              </w:rPr>
            </w:pPr>
            <w:r w:rsidRPr="004F4118">
              <w:rPr>
                <w:sz w:val="20"/>
                <w:szCs w:val="20"/>
                <w:lang w:val="en-US"/>
              </w:rPr>
              <w:tab/>
              <w:t>Barristers</w:t>
            </w:r>
          </w:p>
          <w:p w:rsidR="00F138C1" w:rsidRPr="004F4118" w:rsidRDefault="00F138C1" w:rsidP="00F138C1">
            <w:pPr>
              <w:tabs>
                <w:tab w:val="left" w:pos="-1440"/>
                <w:tab w:val="left" w:pos="-720"/>
              </w:tabs>
              <w:rPr>
                <w:sz w:val="20"/>
                <w:szCs w:val="20"/>
                <w:lang w:val="en-US"/>
              </w:rPr>
            </w:pPr>
          </w:p>
          <w:p w:rsidR="00F138C1" w:rsidRPr="004F4118" w:rsidRDefault="00F138C1" w:rsidP="00F138C1">
            <w:pPr>
              <w:tabs>
                <w:tab w:val="left" w:pos="-1440"/>
                <w:tab w:val="left" w:pos="-720"/>
              </w:tabs>
              <w:rPr>
                <w:sz w:val="20"/>
                <w:szCs w:val="20"/>
                <w:lang w:val="en-US"/>
              </w:rPr>
            </w:pPr>
            <w:r w:rsidRPr="004F4118">
              <w:rPr>
                <w:sz w:val="20"/>
                <w:szCs w:val="20"/>
                <w:lang w:val="en-US"/>
              </w:rPr>
              <w:tab/>
            </w:r>
            <w:r w:rsidR="00222DBC" w:rsidRPr="004F4118">
              <w:rPr>
                <w:sz w:val="20"/>
                <w:szCs w:val="20"/>
                <w:lang w:val="en-US"/>
              </w:rPr>
              <w:t>v</w:t>
            </w:r>
            <w:r w:rsidRPr="004F4118">
              <w:rPr>
                <w:sz w:val="20"/>
                <w:szCs w:val="20"/>
                <w:lang w:val="en-US"/>
              </w:rPr>
              <w:t>. (39</w:t>
            </w:r>
            <w:r w:rsidR="00222DBC" w:rsidRPr="004F4118">
              <w:rPr>
                <w:sz w:val="20"/>
                <w:szCs w:val="20"/>
                <w:lang w:val="en-US"/>
              </w:rPr>
              <w:t>993</w:t>
            </w:r>
            <w:r w:rsidRPr="004F4118">
              <w:rPr>
                <w:sz w:val="20"/>
                <w:szCs w:val="20"/>
                <w:lang w:val="en-US"/>
              </w:rPr>
              <w:t>)</w:t>
            </w:r>
          </w:p>
          <w:p w:rsidR="00F138C1" w:rsidRPr="004F4118" w:rsidRDefault="00F138C1" w:rsidP="00F138C1">
            <w:pPr>
              <w:tabs>
                <w:tab w:val="left" w:pos="-1440"/>
                <w:tab w:val="left" w:pos="-720"/>
              </w:tabs>
              <w:rPr>
                <w:sz w:val="20"/>
                <w:szCs w:val="20"/>
                <w:lang w:val="en-US"/>
              </w:rPr>
            </w:pPr>
          </w:p>
          <w:p w:rsidR="00F138C1" w:rsidRPr="004F4118" w:rsidRDefault="00222DBC" w:rsidP="00F138C1">
            <w:pPr>
              <w:tabs>
                <w:tab w:val="left" w:pos="-1440"/>
                <w:tab w:val="left" w:pos="-720"/>
              </w:tabs>
              <w:rPr>
                <w:b/>
                <w:sz w:val="20"/>
                <w:szCs w:val="20"/>
                <w:lang w:val="en-US"/>
              </w:rPr>
            </w:pPr>
            <w:r w:rsidRPr="004F4118">
              <w:rPr>
                <w:b/>
                <w:sz w:val="20"/>
                <w:szCs w:val="20"/>
                <w:lang w:val="en-US"/>
              </w:rPr>
              <w:t>Her Majesty the Queen</w:t>
            </w:r>
            <w:r w:rsidR="00F138C1" w:rsidRPr="004F4118">
              <w:rPr>
                <w:sz w:val="20"/>
                <w:szCs w:val="20"/>
                <w:lang w:val="en-US"/>
              </w:rPr>
              <w:t xml:space="preserve"> </w:t>
            </w:r>
            <w:r w:rsidR="00F138C1" w:rsidRPr="004F4118">
              <w:rPr>
                <w:b/>
                <w:sz w:val="20"/>
                <w:szCs w:val="20"/>
                <w:lang w:val="en-US"/>
              </w:rPr>
              <w:t>(</w:t>
            </w:r>
            <w:r w:rsidRPr="004F4118">
              <w:rPr>
                <w:b/>
                <w:sz w:val="20"/>
                <w:szCs w:val="20"/>
                <w:lang w:val="en-US"/>
              </w:rPr>
              <w:t>Ont.</w:t>
            </w:r>
            <w:r w:rsidR="00F138C1" w:rsidRPr="004F4118">
              <w:rPr>
                <w:b/>
                <w:sz w:val="20"/>
                <w:szCs w:val="20"/>
                <w:lang w:val="en-US"/>
              </w:rPr>
              <w:t>)</w:t>
            </w:r>
          </w:p>
          <w:p w:rsidR="00F138C1" w:rsidRPr="004F4118" w:rsidRDefault="00F138C1" w:rsidP="00F138C1">
            <w:pPr>
              <w:tabs>
                <w:tab w:val="left" w:pos="-1440"/>
                <w:tab w:val="left" w:pos="-720"/>
              </w:tabs>
              <w:rPr>
                <w:sz w:val="20"/>
                <w:szCs w:val="20"/>
                <w:lang w:val="en-US"/>
              </w:rPr>
            </w:pPr>
            <w:r w:rsidRPr="004F4118">
              <w:rPr>
                <w:sz w:val="20"/>
                <w:szCs w:val="20"/>
                <w:lang w:val="en-US"/>
              </w:rPr>
              <w:tab/>
            </w:r>
            <w:r w:rsidR="00222DBC" w:rsidRPr="004F4118">
              <w:rPr>
                <w:sz w:val="20"/>
                <w:szCs w:val="20"/>
                <w:lang w:val="en-US"/>
              </w:rPr>
              <w:t>Patton, John R.</w:t>
            </w:r>
          </w:p>
          <w:p w:rsidR="00F138C1" w:rsidRPr="004F4118" w:rsidRDefault="00F138C1" w:rsidP="00F138C1">
            <w:pPr>
              <w:tabs>
                <w:tab w:val="left" w:pos="-1440"/>
                <w:tab w:val="left" w:pos="-720"/>
              </w:tabs>
              <w:rPr>
                <w:sz w:val="20"/>
                <w:szCs w:val="20"/>
                <w:lang w:val="en-US"/>
              </w:rPr>
            </w:pPr>
            <w:r w:rsidRPr="004F4118">
              <w:rPr>
                <w:sz w:val="20"/>
                <w:szCs w:val="20"/>
                <w:lang w:val="en-US"/>
              </w:rPr>
              <w:tab/>
            </w:r>
            <w:r w:rsidR="00222DBC" w:rsidRPr="004F4118">
              <w:rPr>
                <w:sz w:val="20"/>
                <w:szCs w:val="20"/>
                <w:lang w:val="en-US"/>
              </w:rPr>
              <w:t>Attorney General of Ontario</w:t>
            </w:r>
          </w:p>
          <w:p w:rsidR="00F138C1" w:rsidRPr="004F4118" w:rsidRDefault="00F138C1" w:rsidP="00F138C1">
            <w:pPr>
              <w:tabs>
                <w:tab w:val="left" w:pos="-1440"/>
                <w:tab w:val="left" w:pos="-720"/>
              </w:tabs>
              <w:rPr>
                <w:sz w:val="20"/>
                <w:szCs w:val="20"/>
                <w:lang w:val="en-US"/>
              </w:rPr>
            </w:pPr>
          </w:p>
          <w:p w:rsidR="00222DBC" w:rsidRPr="004F4118" w:rsidRDefault="00222DBC" w:rsidP="00222DBC">
            <w:pPr>
              <w:rPr>
                <w:sz w:val="20"/>
                <w:szCs w:val="20"/>
                <w:lang w:val="en-US"/>
              </w:rPr>
            </w:pPr>
            <w:r w:rsidRPr="004F4118">
              <w:rPr>
                <w:sz w:val="20"/>
                <w:szCs w:val="20"/>
                <w:lang w:val="en-US"/>
              </w:rPr>
              <w:t>FILING DATE: December 30, 2021</w:t>
            </w:r>
          </w:p>
          <w:p w:rsidR="004B2E86" w:rsidRPr="004F4118" w:rsidRDefault="004B2E86" w:rsidP="00F138C1">
            <w:pPr>
              <w:rPr>
                <w:sz w:val="20"/>
                <w:szCs w:val="20"/>
                <w:lang w:val="fr-CA"/>
              </w:rPr>
            </w:pPr>
          </w:p>
          <w:p w:rsidR="00F138C1" w:rsidRPr="004F4118" w:rsidRDefault="00DF0AA3"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4F4118" w:rsidTr="00F138C1">
        <w:tc>
          <w:tcPr>
            <w:tcW w:w="4239" w:type="dxa"/>
            <w:shd w:val="clear" w:color="auto" w:fill="auto"/>
          </w:tcPr>
          <w:p w:rsidR="00DA1D48" w:rsidRPr="004F4118" w:rsidRDefault="00222DBC" w:rsidP="00DA1D48">
            <w:pPr>
              <w:rPr>
                <w:sz w:val="20"/>
                <w:szCs w:val="20"/>
                <w:lang w:val="en-US"/>
              </w:rPr>
            </w:pPr>
            <w:r w:rsidRPr="004F4118">
              <w:rPr>
                <w:b/>
                <w:sz w:val="20"/>
                <w:szCs w:val="20"/>
                <w:lang w:val="en-US"/>
              </w:rPr>
              <w:t>Canada RNA Biochemical Inc.</w:t>
            </w:r>
          </w:p>
          <w:p w:rsidR="00DA1D48" w:rsidRPr="004F4118" w:rsidRDefault="00DA1D48" w:rsidP="00DA1D48">
            <w:pPr>
              <w:tabs>
                <w:tab w:val="left" w:pos="-1440"/>
                <w:tab w:val="left" w:pos="-720"/>
              </w:tabs>
              <w:rPr>
                <w:sz w:val="20"/>
                <w:szCs w:val="20"/>
                <w:lang w:val="en-US"/>
              </w:rPr>
            </w:pPr>
            <w:r w:rsidRPr="004F4118">
              <w:rPr>
                <w:sz w:val="20"/>
                <w:szCs w:val="20"/>
                <w:lang w:val="en-US"/>
              </w:rPr>
              <w:tab/>
            </w:r>
            <w:r w:rsidR="00222DBC" w:rsidRPr="004F4118">
              <w:rPr>
                <w:sz w:val="20"/>
                <w:szCs w:val="20"/>
                <w:lang w:val="en-US"/>
              </w:rPr>
              <w:t>Meehan, Q.C., Eugene</w:t>
            </w:r>
          </w:p>
          <w:p w:rsidR="00DA1D48" w:rsidRPr="004F4118" w:rsidRDefault="00EC6816" w:rsidP="00DA1D48">
            <w:pPr>
              <w:tabs>
                <w:tab w:val="left" w:pos="-1440"/>
                <w:tab w:val="left" w:pos="-720"/>
              </w:tabs>
              <w:rPr>
                <w:sz w:val="20"/>
                <w:szCs w:val="20"/>
                <w:lang w:val="en-US"/>
              </w:rPr>
            </w:pPr>
            <w:r w:rsidRPr="004F4118">
              <w:rPr>
                <w:sz w:val="20"/>
                <w:szCs w:val="20"/>
                <w:lang w:val="en-US"/>
              </w:rPr>
              <w:tab/>
            </w:r>
            <w:r w:rsidR="00222DBC" w:rsidRPr="004F4118">
              <w:rPr>
                <w:sz w:val="20"/>
                <w:szCs w:val="20"/>
                <w:lang w:val="en-US"/>
              </w:rPr>
              <w:t>Supreme Advocacy LLP</w:t>
            </w:r>
          </w:p>
          <w:p w:rsidR="00EC6816" w:rsidRPr="004F4118" w:rsidRDefault="00EC6816" w:rsidP="00DA1D48">
            <w:pPr>
              <w:tabs>
                <w:tab w:val="left" w:pos="-1440"/>
                <w:tab w:val="left" w:pos="-720"/>
              </w:tabs>
              <w:rPr>
                <w:sz w:val="20"/>
                <w:szCs w:val="20"/>
                <w:lang w:val="en-US"/>
              </w:rPr>
            </w:pPr>
          </w:p>
          <w:p w:rsidR="00DA1D48" w:rsidRPr="004F4118" w:rsidRDefault="00DA1D48" w:rsidP="00DA1D48">
            <w:pPr>
              <w:tabs>
                <w:tab w:val="left" w:pos="-1440"/>
                <w:tab w:val="left" w:pos="-720"/>
              </w:tabs>
              <w:rPr>
                <w:sz w:val="20"/>
                <w:szCs w:val="20"/>
                <w:lang w:val="en-US"/>
              </w:rPr>
            </w:pPr>
            <w:r w:rsidRPr="004F4118">
              <w:rPr>
                <w:sz w:val="20"/>
                <w:szCs w:val="20"/>
                <w:lang w:val="en-US"/>
              </w:rPr>
              <w:tab/>
              <w:t>v. (39</w:t>
            </w:r>
            <w:r w:rsidR="00222DBC" w:rsidRPr="004F4118">
              <w:rPr>
                <w:sz w:val="20"/>
                <w:szCs w:val="20"/>
                <w:lang w:val="en-US"/>
              </w:rPr>
              <w:t>994</w:t>
            </w:r>
            <w:r w:rsidRPr="004F4118">
              <w:rPr>
                <w:sz w:val="20"/>
                <w:szCs w:val="20"/>
                <w:lang w:val="en-US"/>
              </w:rPr>
              <w:t>)</w:t>
            </w:r>
          </w:p>
          <w:p w:rsidR="00DA1D48" w:rsidRPr="004F4118" w:rsidRDefault="00DA1D48" w:rsidP="00DA1D48">
            <w:pPr>
              <w:tabs>
                <w:tab w:val="left" w:pos="-1440"/>
                <w:tab w:val="left" w:pos="-720"/>
              </w:tabs>
              <w:rPr>
                <w:sz w:val="20"/>
                <w:szCs w:val="20"/>
                <w:lang w:val="en-US"/>
              </w:rPr>
            </w:pPr>
          </w:p>
          <w:p w:rsidR="00DA1D48" w:rsidRPr="004F4118" w:rsidRDefault="00222DBC" w:rsidP="00DA1D48">
            <w:pPr>
              <w:tabs>
                <w:tab w:val="left" w:pos="-1440"/>
                <w:tab w:val="left" w:pos="-720"/>
              </w:tabs>
              <w:rPr>
                <w:b/>
                <w:sz w:val="20"/>
                <w:szCs w:val="20"/>
                <w:lang w:val="en-US"/>
              </w:rPr>
            </w:pPr>
            <w:r w:rsidRPr="004F4118">
              <w:rPr>
                <w:b/>
                <w:sz w:val="20"/>
                <w:szCs w:val="20"/>
                <w:lang w:val="en-US"/>
              </w:rPr>
              <w:t>Canada (Minister of Health), et al.</w:t>
            </w:r>
            <w:r w:rsidR="00DA1D48" w:rsidRPr="004F4118">
              <w:rPr>
                <w:b/>
                <w:sz w:val="20"/>
                <w:szCs w:val="20"/>
                <w:lang w:val="en-US"/>
              </w:rPr>
              <w:t xml:space="preserve"> (</w:t>
            </w:r>
            <w:r w:rsidRPr="004F4118">
              <w:rPr>
                <w:b/>
                <w:sz w:val="20"/>
                <w:szCs w:val="20"/>
                <w:lang w:val="en-US"/>
              </w:rPr>
              <w:t>F.C</w:t>
            </w:r>
            <w:r w:rsidR="00DA1D48" w:rsidRPr="004F4118">
              <w:rPr>
                <w:b/>
                <w:sz w:val="20"/>
                <w:szCs w:val="20"/>
                <w:lang w:val="en-US"/>
              </w:rPr>
              <w:t>.)</w:t>
            </w:r>
          </w:p>
          <w:p w:rsidR="00DA1D48" w:rsidRPr="004F4118" w:rsidRDefault="00DA1D48" w:rsidP="00DA1D48">
            <w:pPr>
              <w:tabs>
                <w:tab w:val="left" w:pos="-1440"/>
                <w:tab w:val="left" w:pos="-720"/>
              </w:tabs>
              <w:rPr>
                <w:sz w:val="20"/>
                <w:szCs w:val="20"/>
                <w:lang w:val="en-US"/>
              </w:rPr>
            </w:pPr>
            <w:r w:rsidRPr="004F4118">
              <w:rPr>
                <w:sz w:val="20"/>
                <w:szCs w:val="20"/>
                <w:lang w:val="en-US"/>
              </w:rPr>
              <w:tab/>
            </w:r>
            <w:r w:rsidR="00222DBC" w:rsidRPr="004F4118">
              <w:rPr>
                <w:sz w:val="20"/>
                <w:szCs w:val="20"/>
                <w:lang w:val="en-US"/>
              </w:rPr>
              <w:t>Lovell, Karen</w:t>
            </w:r>
          </w:p>
          <w:p w:rsidR="00DA1D48" w:rsidRPr="004F4118" w:rsidRDefault="00DA1D48" w:rsidP="00DA1D48">
            <w:pPr>
              <w:tabs>
                <w:tab w:val="left" w:pos="-1440"/>
                <w:tab w:val="left" w:pos="-720"/>
              </w:tabs>
              <w:rPr>
                <w:sz w:val="20"/>
                <w:szCs w:val="20"/>
              </w:rPr>
            </w:pPr>
            <w:r w:rsidRPr="004F4118">
              <w:rPr>
                <w:sz w:val="20"/>
                <w:szCs w:val="20"/>
                <w:lang w:val="en-US"/>
              </w:rPr>
              <w:tab/>
            </w:r>
            <w:r w:rsidR="00222DBC" w:rsidRPr="004F4118">
              <w:rPr>
                <w:sz w:val="20"/>
                <w:szCs w:val="20"/>
              </w:rPr>
              <w:t>Department of Justice</w:t>
            </w:r>
          </w:p>
          <w:p w:rsidR="00DA1D48" w:rsidRPr="004F4118" w:rsidRDefault="00DA1D48" w:rsidP="00DA1D48">
            <w:pPr>
              <w:tabs>
                <w:tab w:val="left" w:pos="-1440"/>
                <w:tab w:val="left" w:pos="-720"/>
              </w:tabs>
              <w:rPr>
                <w:sz w:val="20"/>
                <w:szCs w:val="20"/>
              </w:rPr>
            </w:pPr>
          </w:p>
          <w:p w:rsidR="00222DBC" w:rsidRPr="004F4118" w:rsidRDefault="00222DBC" w:rsidP="00222DBC">
            <w:pPr>
              <w:rPr>
                <w:sz w:val="20"/>
                <w:szCs w:val="20"/>
                <w:lang w:val="en-US"/>
              </w:rPr>
            </w:pPr>
            <w:r w:rsidRPr="004F4118">
              <w:rPr>
                <w:sz w:val="20"/>
                <w:szCs w:val="20"/>
                <w:lang w:val="en-US"/>
              </w:rPr>
              <w:t>FILING DATE: December 30, 2021</w:t>
            </w:r>
          </w:p>
          <w:p w:rsidR="00DA1D48" w:rsidRPr="004F4118" w:rsidRDefault="00DA1D48" w:rsidP="00DA1D48">
            <w:pPr>
              <w:rPr>
                <w:sz w:val="20"/>
                <w:szCs w:val="20"/>
              </w:rPr>
            </w:pPr>
          </w:p>
          <w:p w:rsidR="00F138C1" w:rsidRPr="004F4118" w:rsidRDefault="00DF0AA3"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4F4118" w:rsidRDefault="00F138C1" w:rsidP="00F138C1">
            <w:pPr>
              <w:jc w:val="center"/>
              <w:rPr>
                <w:sz w:val="20"/>
                <w:szCs w:val="20"/>
                <w:lang w:val="en-US"/>
              </w:rPr>
            </w:pPr>
          </w:p>
          <w:p w:rsidR="00DA1D48" w:rsidRPr="004F4118" w:rsidRDefault="00DA1D48" w:rsidP="00F138C1">
            <w:pPr>
              <w:jc w:val="center"/>
              <w:rPr>
                <w:sz w:val="20"/>
                <w:szCs w:val="20"/>
                <w:lang w:val="en-US"/>
              </w:rPr>
            </w:pPr>
          </w:p>
          <w:p w:rsidR="00DA1D48" w:rsidRPr="004F4118" w:rsidRDefault="00DA1D48" w:rsidP="00F138C1">
            <w:pPr>
              <w:jc w:val="center"/>
              <w:rPr>
                <w:sz w:val="20"/>
                <w:szCs w:val="20"/>
                <w:lang w:val="en-US"/>
              </w:rPr>
            </w:pPr>
          </w:p>
          <w:p w:rsidR="00DA1D48" w:rsidRPr="004F4118" w:rsidRDefault="00DA1D48" w:rsidP="00F138C1">
            <w:pPr>
              <w:jc w:val="center"/>
              <w:rPr>
                <w:sz w:val="20"/>
                <w:szCs w:val="20"/>
                <w:lang w:val="en-US"/>
              </w:rPr>
            </w:pPr>
          </w:p>
          <w:p w:rsidR="00DA1D48" w:rsidRPr="004F4118" w:rsidRDefault="00DA1D48" w:rsidP="00F138C1">
            <w:pPr>
              <w:jc w:val="center"/>
              <w:rPr>
                <w:sz w:val="20"/>
                <w:szCs w:val="20"/>
                <w:lang w:val="en-US"/>
              </w:rPr>
            </w:pPr>
          </w:p>
          <w:p w:rsidR="00DA1D48" w:rsidRPr="004F4118" w:rsidRDefault="00DA1D48" w:rsidP="00F138C1">
            <w:pPr>
              <w:jc w:val="center"/>
              <w:rPr>
                <w:sz w:val="20"/>
                <w:szCs w:val="20"/>
                <w:lang w:val="en-US"/>
              </w:rPr>
            </w:pPr>
          </w:p>
          <w:p w:rsidR="00DA1D48" w:rsidRPr="004F4118" w:rsidRDefault="00DA1D48" w:rsidP="00F138C1">
            <w:pPr>
              <w:jc w:val="center"/>
              <w:rPr>
                <w:sz w:val="20"/>
                <w:szCs w:val="20"/>
                <w:lang w:val="en-US"/>
              </w:rPr>
            </w:pPr>
          </w:p>
          <w:p w:rsidR="00222DBC" w:rsidRPr="004F4118" w:rsidRDefault="00222DBC" w:rsidP="00F138C1">
            <w:pPr>
              <w:jc w:val="center"/>
              <w:rPr>
                <w:sz w:val="20"/>
                <w:szCs w:val="20"/>
                <w:lang w:val="en-US"/>
              </w:rPr>
            </w:pPr>
          </w:p>
          <w:p w:rsidR="00DA1D48" w:rsidRPr="004F4118" w:rsidRDefault="00DA1D48" w:rsidP="00F138C1">
            <w:pPr>
              <w:jc w:val="center"/>
              <w:rPr>
                <w:sz w:val="20"/>
                <w:szCs w:val="20"/>
                <w:lang w:val="en-US"/>
              </w:rPr>
            </w:pPr>
          </w:p>
          <w:p w:rsidR="00DA1D48" w:rsidRPr="004F4118" w:rsidRDefault="00DA1D48" w:rsidP="00F138C1">
            <w:pPr>
              <w:jc w:val="center"/>
              <w:rPr>
                <w:sz w:val="20"/>
                <w:szCs w:val="20"/>
                <w:lang w:val="en-US"/>
              </w:rPr>
            </w:pPr>
          </w:p>
          <w:p w:rsidR="00DA1D48" w:rsidRPr="004F4118" w:rsidRDefault="00DA1D48" w:rsidP="00F138C1">
            <w:pPr>
              <w:jc w:val="center"/>
              <w:rPr>
                <w:sz w:val="20"/>
                <w:szCs w:val="20"/>
                <w:lang w:val="en-US"/>
              </w:rPr>
            </w:pPr>
          </w:p>
          <w:p w:rsidR="00DA1D48" w:rsidRPr="004F4118" w:rsidRDefault="00DA1D48" w:rsidP="00F138C1">
            <w:pPr>
              <w:jc w:val="center"/>
              <w:rPr>
                <w:sz w:val="20"/>
                <w:szCs w:val="20"/>
                <w:lang w:val="en-US"/>
              </w:rPr>
            </w:pPr>
          </w:p>
          <w:p w:rsidR="00DA1D48" w:rsidRPr="004F4118" w:rsidRDefault="00DA1D48" w:rsidP="00F138C1">
            <w:pPr>
              <w:jc w:val="center"/>
              <w:rPr>
                <w:sz w:val="20"/>
                <w:szCs w:val="20"/>
                <w:lang w:val="en-US"/>
              </w:rPr>
            </w:pPr>
          </w:p>
          <w:p w:rsidR="00DA1D48" w:rsidRPr="004F4118" w:rsidRDefault="00DA1D48" w:rsidP="00F138C1">
            <w:pPr>
              <w:jc w:val="center"/>
              <w:rPr>
                <w:sz w:val="20"/>
                <w:szCs w:val="20"/>
                <w:lang w:val="en-US"/>
              </w:rPr>
            </w:pPr>
          </w:p>
        </w:tc>
        <w:tc>
          <w:tcPr>
            <w:tcW w:w="4239" w:type="dxa"/>
            <w:shd w:val="clear" w:color="auto" w:fill="auto"/>
          </w:tcPr>
          <w:p w:rsidR="00DA1D48" w:rsidRPr="004F4118" w:rsidRDefault="00222DBC" w:rsidP="00DA1D48">
            <w:pPr>
              <w:rPr>
                <w:b/>
                <w:sz w:val="20"/>
                <w:szCs w:val="20"/>
                <w:lang w:val="en-US"/>
              </w:rPr>
            </w:pPr>
            <w:r w:rsidRPr="004F4118">
              <w:rPr>
                <w:b/>
                <w:sz w:val="20"/>
                <w:szCs w:val="20"/>
                <w:lang w:val="en-US"/>
              </w:rPr>
              <w:t>Theoktiti Dimakis by her litigation guardian, Konstantine Dimakis, et al.</w:t>
            </w:r>
          </w:p>
          <w:p w:rsidR="00DA1D48" w:rsidRPr="004F4118" w:rsidRDefault="00DA1D48" w:rsidP="00DA1D48">
            <w:pPr>
              <w:tabs>
                <w:tab w:val="left" w:pos="-1440"/>
                <w:tab w:val="left" w:pos="-720"/>
              </w:tabs>
              <w:rPr>
                <w:sz w:val="20"/>
                <w:szCs w:val="20"/>
                <w:lang w:val="fr-CA"/>
              </w:rPr>
            </w:pPr>
            <w:r w:rsidRPr="004F4118">
              <w:rPr>
                <w:sz w:val="20"/>
                <w:szCs w:val="20"/>
                <w:lang w:val="en-US"/>
              </w:rPr>
              <w:tab/>
            </w:r>
            <w:r w:rsidR="00222DBC" w:rsidRPr="004F4118">
              <w:rPr>
                <w:sz w:val="20"/>
                <w:szCs w:val="20"/>
                <w:lang w:val="fr-CA"/>
              </w:rPr>
              <w:t>Lloyd, Clifford</w:t>
            </w:r>
          </w:p>
          <w:p w:rsidR="00DA1D48" w:rsidRPr="004F4118" w:rsidRDefault="00DA1D48" w:rsidP="00DA1D48">
            <w:pPr>
              <w:tabs>
                <w:tab w:val="left" w:pos="-1440"/>
                <w:tab w:val="left" w:pos="-720"/>
              </w:tabs>
              <w:rPr>
                <w:sz w:val="20"/>
                <w:szCs w:val="20"/>
                <w:lang w:val="fr-CA"/>
              </w:rPr>
            </w:pPr>
          </w:p>
          <w:p w:rsidR="00DA1D48" w:rsidRPr="004F4118" w:rsidRDefault="00DA1D48" w:rsidP="00DA1D48">
            <w:pPr>
              <w:tabs>
                <w:tab w:val="left" w:pos="-1440"/>
                <w:tab w:val="left" w:pos="-720"/>
              </w:tabs>
              <w:rPr>
                <w:sz w:val="20"/>
                <w:szCs w:val="20"/>
                <w:lang w:val="fr-CA"/>
              </w:rPr>
            </w:pPr>
            <w:r w:rsidRPr="004F4118">
              <w:rPr>
                <w:sz w:val="20"/>
                <w:szCs w:val="20"/>
                <w:lang w:val="fr-CA"/>
              </w:rPr>
              <w:tab/>
            </w:r>
            <w:r w:rsidR="00222DBC" w:rsidRPr="004F4118">
              <w:rPr>
                <w:sz w:val="20"/>
                <w:szCs w:val="20"/>
                <w:lang w:val="fr-CA"/>
              </w:rPr>
              <w:t>v</w:t>
            </w:r>
            <w:r w:rsidRPr="004F4118">
              <w:rPr>
                <w:sz w:val="20"/>
                <w:szCs w:val="20"/>
                <w:lang w:val="fr-CA"/>
              </w:rPr>
              <w:t>. (39</w:t>
            </w:r>
            <w:r w:rsidR="00222DBC" w:rsidRPr="004F4118">
              <w:rPr>
                <w:sz w:val="20"/>
                <w:szCs w:val="20"/>
                <w:lang w:val="fr-CA"/>
              </w:rPr>
              <w:t>99</w:t>
            </w:r>
            <w:r w:rsidRPr="004F4118">
              <w:rPr>
                <w:sz w:val="20"/>
                <w:szCs w:val="20"/>
                <w:lang w:val="fr-CA"/>
              </w:rPr>
              <w:t>6)</w:t>
            </w:r>
          </w:p>
          <w:p w:rsidR="00DA1D48" w:rsidRPr="004F4118" w:rsidRDefault="00DA1D48" w:rsidP="00DA1D48">
            <w:pPr>
              <w:tabs>
                <w:tab w:val="left" w:pos="-1440"/>
                <w:tab w:val="left" w:pos="-720"/>
              </w:tabs>
              <w:rPr>
                <w:sz w:val="20"/>
                <w:szCs w:val="20"/>
                <w:lang w:val="fr-CA"/>
              </w:rPr>
            </w:pPr>
          </w:p>
          <w:p w:rsidR="00DA1D48" w:rsidRPr="004F4118" w:rsidRDefault="00222DBC" w:rsidP="00DA1D48">
            <w:pPr>
              <w:tabs>
                <w:tab w:val="left" w:pos="-1440"/>
                <w:tab w:val="left" w:pos="-720"/>
              </w:tabs>
              <w:rPr>
                <w:b/>
                <w:sz w:val="20"/>
                <w:szCs w:val="20"/>
                <w:lang w:val="fr-CA"/>
              </w:rPr>
            </w:pPr>
            <w:r w:rsidRPr="004F4118">
              <w:rPr>
                <w:b/>
                <w:sz w:val="20"/>
                <w:szCs w:val="20"/>
                <w:lang w:val="fr-CA"/>
              </w:rPr>
              <w:t>Cathleen Vitucci, et al.</w:t>
            </w:r>
            <w:r w:rsidR="00DA1D48" w:rsidRPr="004F4118">
              <w:rPr>
                <w:sz w:val="20"/>
                <w:szCs w:val="20"/>
                <w:lang w:val="fr-CA"/>
              </w:rPr>
              <w:t xml:space="preserve"> </w:t>
            </w:r>
            <w:r w:rsidR="00DA1D48" w:rsidRPr="004F4118">
              <w:rPr>
                <w:b/>
                <w:sz w:val="20"/>
                <w:szCs w:val="20"/>
                <w:lang w:val="fr-CA"/>
              </w:rPr>
              <w:t>(</w:t>
            </w:r>
            <w:r w:rsidRPr="004F4118">
              <w:rPr>
                <w:b/>
                <w:sz w:val="20"/>
                <w:szCs w:val="20"/>
                <w:lang w:val="fr-CA"/>
              </w:rPr>
              <w:t>Ont.</w:t>
            </w:r>
            <w:r w:rsidR="00DA1D48" w:rsidRPr="004F4118">
              <w:rPr>
                <w:b/>
                <w:sz w:val="20"/>
                <w:szCs w:val="20"/>
                <w:lang w:val="fr-CA"/>
              </w:rPr>
              <w:t>)</w:t>
            </w:r>
          </w:p>
          <w:p w:rsidR="00DA1D48" w:rsidRPr="004F4118" w:rsidRDefault="00DA1D48" w:rsidP="00DA1D48">
            <w:pPr>
              <w:tabs>
                <w:tab w:val="left" w:pos="-1440"/>
                <w:tab w:val="left" w:pos="-720"/>
              </w:tabs>
              <w:rPr>
                <w:sz w:val="20"/>
                <w:szCs w:val="20"/>
                <w:lang w:val="en-US"/>
              </w:rPr>
            </w:pPr>
            <w:r w:rsidRPr="004F4118">
              <w:rPr>
                <w:sz w:val="20"/>
                <w:szCs w:val="20"/>
                <w:lang w:val="fr-CA"/>
              </w:rPr>
              <w:tab/>
            </w:r>
            <w:r w:rsidR="00222DBC" w:rsidRPr="004F4118">
              <w:rPr>
                <w:sz w:val="20"/>
                <w:szCs w:val="20"/>
                <w:lang w:val="en-US"/>
              </w:rPr>
              <w:t>Kestenberg, Michael</w:t>
            </w:r>
          </w:p>
          <w:p w:rsidR="00DA1D48" w:rsidRPr="004F4118" w:rsidRDefault="00DA1D48" w:rsidP="00DA1D48">
            <w:pPr>
              <w:tabs>
                <w:tab w:val="left" w:pos="-1440"/>
                <w:tab w:val="left" w:pos="-720"/>
              </w:tabs>
              <w:rPr>
                <w:sz w:val="20"/>
                <w:szCs w:val="20"/>
                <w:lang w:val="en-US"/>
              </w:rPr>
            </w:pPr>
            <w:r w:rsidRPr="004F4118">
              <w:rPr>
                <w:sz w:val="20"/>
                <w:szCs w:val="20"/>
                <w:lang w:val="en-US"/>
              </w:rPr>
              <w:tab/>
            </w:r>
            <w:r w:rsidR="00222DBC" w:rsidRPr="004F4118">
              <w:rPr>
                <w:sz w:val="20"/>
                <w:szCs w:val="20"/>
                <w:lang w:val="en-US"/>
              </w:rPr>
              <w:t>Kestenberg Siegal Lipkus LLP</w:t>
            </w:r>
          </w:p>
          <w:p w:rsidR="00DA1D48" w:rsidRPr="004F4118" w:rsidRDefault="00DA1D48" w:rsidP="00DA1D48">
            <w:pPr>
              <w:tabs>
                <w:tab w:val="left" w:pos="-1440"/>
                <w:tab w:val="left" w:pos="-720"/>
              </w:tabs>
              <w:rPr>
                <w:sz w:val="20"/>
                <w:szCs w:val="20"/>
                <w:lang w:val="en-US"/>
              </w:rPr>
            </w:pPr>
          </w:p>
          <w:p w:rsidR="00222DBC" w:rsidRPr="004F4118" w:rsidRDefault="00222DBC" w:rsidP="00222DBC">
            <w:pPr>
              <w:rPr>
                <w:sz w:val="20"/>
                <w:szCs w:val="20"/>
                <w:lang w:val="en-US"/>
              </w:rPr>
            </w:pPr>
            <w:r w:rsidRPr="004F4118">
              <w:rPr>
                <w:sz w:val="20"/>
                <w:szCs w:val="20"/>
                <w:lang w:val="en-US"/>
              </w:rPr>
              <w:t>FILING DATE: December 30, 2021</w:t>
            </w:r>
          </w:p>
          <w:p w:rsidR="00DA1D48" w:rsidRPr="004F4118" w:rsidRDefault="00DA1D48" w:rsidP="00DA1D48">
            <w:pPr>
              <w:rPr>
                <w:sz w:val="20"/>
                <w:szCs w:val="20"/>
                <w:lang w:val="fr-CA"/>
              </w:rPr>
            </w:pPr>
          </w:p>
          <w:p w:rsidR="00F138C1" w:rsidRPr="004F4118" w:rsidRDefault="00DF0AA3" w:rsidP="00DA1D48">
            <w:pPr>
              <w:rPr>
                <w:sz w:val="20"/>
                <w:szCs w:val="20"/>
                <w:lang w:val="fr-CA"/>
              </w:rPr>
            </w:pPr>
            <w:r>
              <w:rPr>
                <w:sz w:val="20"/>
                <w:szCs w:val="20"/>
                <w:lang w:val="fr-CA"/>
              </w:rPr>
              <w:pict>
                <v:rect id="_x0000_i1030" style="width:108pt;height:1pt" o:hrpct="0" o:hrstd="t" o:hrnoshade="t" o:hr="t" fillcolor="black [3213]" stroked="f"/>
              </w:pict>
            </w:r>
          </w:p>
        </w:tc>
      </w:tr>
    </w:tbl>
    <w:p w:rsidR="00AC1683" w:rsidRPr="004F4118" w:rsidRDefault="00AC1683">
      <w:r w:rsidRPr="004F4118">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AC1683" w:rsidRPr="004F4118" w:rsidTr="00F138C1">
        <w:tc>
          <w:tcPr>
            <w:tcW w:w="4239" w:type="dxa"/>
            <w:shd w:val="clear" w:color="auto" w:fill="auto"/>
          </w:tcPr>
          <w:p w:rsidR="00AC1683" w:rsidRPr="004F4118" w:rsidRDefault="003E01CD" w:rsidP="00AC1683">
            <w:pPr>
              <w:rPr>
                <w:sz w:val="20"/>
                <w:szCs w:val="20"/>
                <w:lang w:val="en-US"/>
              </w:rPr>
            </w:pPr>
            <w:r w:rsidRPr="004F4118">
              <w:rPr>
                <w:b/>
                <w:sz w:val="20"/>
                <w:szCs w:val="20"/>
                <w:lang w:val="en-US"/>
              </w:rPr>
              <w:lastRenderedPageBreak/>
              <w:t>Galina Kurdina</w:t>
            </w:r>
          </w:p>
          <w:p w:rsidR="00AC1683" w:rsidRPr="004F4118" w:rsidRDefault="00AC1683" w:rsidP="00AC1683">
            <w:pPr>
              <w:tabs>
                <w:tab w:val="left" w:pos="-1440"/>
                <w:tab w:val="left" w:pos="-720"/>
              </w:tabs>
              <w:rPr>
                <w:sz w:val="20"/>
                <w:szCs w:val="20"/>
                <w:lang w:val="en-US"/>
              </w:rPr>
            </w:pPr>
            <w:r w:rsidRPr="004F4118">
              <w:rPr>
                <w:sz w:val="20"/>
                <w:szCs w:val="20"/>
                <w:lang w:val="en-US"/>
              </w:rPr>
              <w:tab/>
            </w:r>
            <w:r w:rsidR="003E01CD" w:rsidRPr="004F4118">
              <w:rPr>
                <w:sz w:val="20"/>
                <w:szCs w:val="20"/>
                <w:lang w:val="en-US"/>
              </w:rPr>
              <w:t>Galina Kurdina</w:t>
            </w:r>
          </w:p>
          <w:p w:rsidR="00AC1683" w:rsidRPr="004F4118" w:rsidRDefault="00AC1683" w:rsidP="00AC1683">
            <w:pPr>
              <w:tabs>
                <w:tab w:val="left" w:pos="-1440"/>
                <w:tab w:val="left" w:pos="-720"/>
              </w:tabs>
              <w:rPr>
                <w:sz w:val="20"/>
                <w:szCs w:val="20"/>
                <w:lang w:val="en-US"/>
              </w:rPr>
            </w:pPr>
          </w:p>
          <w:p w:rsidR="00AC1683" w:rsidRPr="004F4118" w:rsidRDefault="00AC1683" w:rsidP="00AC1683">
            <w:pPr>
              <w:tabs>
                <w:tab w:val="left" w:pos="-1440"/>
                <w:tab w:val="left" w:pos="-720"/>
              </w:tabs>
              <w:rPr>
                <w:sz w:val="20"/>
                <w:szCs w:val="20"/>
                <w:lang w:val="en-US"/>
              </w:rPr>
            </w:pPr>
            <w:r w:rsidRPr="004F4118">
              <w:rPr>
                <w:sz w:val="20"/>
                <w:szCs w:val="20"/>
                <w:lang w:val="en-US"/>
              </w:rPr>
              <w:tab/>
              <w:t>v. (</w:t>
            </w:r>
            <w:r w:rsidR="003E01CD" w:rsidRPr="004F4118">
              <w:rPr>
                <w:sz w:val="20"/>
                <w:szCs w:val="20"/>
                <w:lang w:val="en-US"/>
              </w:rPr>
              <w:t>40005</w:t>
            </w:r>
            <w:r w:rsidRPr="004F4118">
              <w:rPr>
                <w:sz w:val="20"/>
                <w:szCs w:val="20"/>
                <w:lang w:val="en-US"/>
              </w:rPr>
              <w:t>)</w:t>
            </w:r>
          </w:p>
          <w:p w:rsidR="00AC1683" w:rsidRPr="004F4118" w:rsidRDefault="00AC1683" w:rsidP="00AC1683">
            <w:pPr>
              <w:tabs>
                <w:tab w:val="left" w:pos="-1440"/>
                <w:tab w:val="left" w:pos="-720"/>
              </w:tabs>
              <w:rPr>
                <w:sz w:val="20"/>
                <w:szCs w:val="20"/>
                <w:lang w:val="en-US"/>
              </w:rPr>
            </w:pPr>
          </w:p>
          <w:p w:rsidR="00AC1683" w:rsidRPr="004F4118" w:rsidRDefault="003E01CD" w:rsidP="00AC1683">
            <w:pPr>
              <w:tabs>
                <w:tab w:val="left" w:pos="-1440"/>
                <w:tab w:val="left" w:pos="-720"/>
              </w:tabs>
              <w:rPr>
                <w:b/>
                <w:sz w:val="20"/>
                <w:szCs w:val="20"/>
                <w:lang w:val="en-US"/>
              </w:rPr>
            </w:pPr>
            <w:r w:rsidRPr="004F4118">
              <w:rPr>
                <w:b/>
                <w:sz w:val="20"/>
                <w:szCs w:val="20"/>
                <w:lang w:val="en-US"/>
              </w:rPr>
              <w:t>Toronto Community Housing Corporation</w:t>
            </w:r>
            <w:r w:rsidR="00AC1683" w:rsidRPr="004F4118">
              <w:rPr>
                <w:b/>
                <w:sz w:val="20"/>
                <w:szCs w:val="20"/>
                <w:lang w:val="en-US"/>
              </w:rPr>
              <w:t xml:space="preserve"> (</w:t>
            </w:r>
            <w:r w:rsidRPr="004F4118">
              <w:rPr>
                <w:b/>
                <w:sz w:val="20"/>
                <w:szCs w:val="20"/>
                <w:lang w:val="en-US"/>
              </w:rPr>
              <w:t>Ont</w:t>
            </w:r>
            <w:r w:rsidR="00AC1683" w:rsidRPr="004F4118">
              <w:rPr>
                <w:b/>
                <w:sz w:val="20"/>
                <w:szCs w:val="20"/>
                <w:lang w:val="en-US"/>
              </w:rPr>
              <w:t>.)</w:t>
            </w:r>
          </w:p>
          <w:p w:rsidR="00AC1683" w:rsidRPr="004F4118" w:rsidRDefault="00AC1683" w:rsidP="00AC1683">
            <w:pPr>
              <w:tabs>
                <w:tab w:val="left" w:pos="-1440"/>
                <w:tab w:val="left" w:pos="-720"/>
              </w:tabs>
              <w:rPr>
                <w:sz w:val="20"/>
                <w:szCs w:val="20"/>
                <w:lang w:val="en-US"/>
              </w:rPr>
            </w:pPr>
            <w:r w:rsidRPr="004F4118">
              <w:rPr>
                <w:sz w:val="20"/>
                <w:szCs w:val="20"/>
                <w:lang w:val="en-US"/>
              </w:rPr>
              <w:tab/>
            </w:r>
            <w:r w:rsidR="003E01CD" w:rsidRPr="004F4118">
              <w:rPr>
                <w:sz w:val="20"/>
                <w:szCs w:val="20"/>
                <w:lang w:val="en-US"/>
              </w:rPr>
              <w:t>Letto, Doug</w:t>
            </w:r>
          </w:p>
          <w:p w:rsidR="003E01CD" w:rsidRPr="004F4118" w:rsidRDefault="00AC1683" w:rsidP="00AC1683">
            <w:pPr>
              <w:tabs>
                <w:tab w:val="left" w:pos="-1440"/>
                <w:tab w:val="left" w:pos="-720"/>
              </w:tabs>
              <w:rPr>
                <w:sz w:val="20"/>
                <w:szCs w:val="20"/>
              </w:rPr>
            </w:pPr>
            <w:r w:rsidRPr="004F4118">
              <w:rPr>
                <w:sz w:val="20"/>
                <w:szCs w:val="20"/>
                <w:lang w:val="en-US"/>
              </w:rPr>
              <w:tab/>
            </w:r>
            <w:r w:rsidR="003E01CD" w:rsidRPr="004F4118">
              <w:rPr>
                <w:sz w:val="20"/>
                <w:szCs w:val="20"/>
              </w:rPr>
              <w:t xml:space="preserve">Toronto Community Housing </w:t>
            </w:r>
          </w:p>
          <w:p w:rsidR="00AC1683" w:rsidRPr="004F4118" w:rsidRDefault="003E01CD" w:rsidP="00AC1683">
            <w:pPr>
              <w:tabs>
                <w:tab w:val="left" w:pos="-1440"/>
                <w:tab w:val="left" w:pos="-720"/>
              </w:tabs>
              <w:rPr>
                <w:sz w:val="20"/>
                <w:szCs w:val="20"/>
              </w:rPr>
            </w:pPr>
            <w:r w:rsidRPr="004F4118">
              <w:rPr>
                <w:sz w:val="20"/>
                <w:szCs w:val="20"/>
                <w:lang w:val="en-US"/>
              </w:rPr>
              <w:tab/>
            </w:r>
            <w:r w:rsidRPr="004F4118">
              <w:rPr>
                <w:sz w:val="20"/>
                <w:szCs w:val="20"/>
              </w:rPr>
              <w:t>Corporation</w:t>
            </w:r>
          </w:p>
          <w:p w:rsidR="00AC1683" w:rsidRPr="004F4118" w:rsidRDefault="00AC1683" w:rsidP="00AC1683">
            <w:pPr>
              <w:tabs>
                <w:tab w:val="left" w:pos="-1440"/>
                <w:tab w:val="left" w:pos="-720"/>
              </w:tabs>
              <w:rPr>
                <w:sz w:val="20"/>
                <w:szCs w:val="20"/>
              </w:rPr>
            </w:pPr>
          </w:p>
          <w:p w:rsidR="003E01CD" w:rsidRPr="004F4118" w:rsidRDefault="003E01CD" w:rsidP="003E01CD">
            <w:pPr>
              <w:rPr>
                <w:sz w:val="20"/>
                <w:szCs w:val="20"/>
                <w:lang w:val="en-US"/>
              </w:rPr>
            </w:pPr>
            <w:r w:rsidRPr="004F4118">
              <w:rPr>
                <w:sz w:val="20"/>
                <w:szCs w:val="20"/>
                <w:lang w:val="en-US"/>
              </w:rPr>
              <w:t>FILING DATE: December 30, 2021</w:t>
            </w:r>
          </w:p>
          <w:p w:rsidR="00AC1683" w:rsidRPr="004F4118" w:rsidRDefault="00AC1683" w:rsidP="00AC1683">
            <w:pPr>
              <w:rPr>
                <w:sz w:val="20"/>
                <w:szCs w:val="20"/>
              </w:rPr>
            </w:pPr>
          </w:p>
          <w:p w:rsidR="00AC1683" w:rsidRPr="004F4118" w:rsidRDefault="00DF0AA3" w:rsidP="00AC1683">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AC1683" w:rsidRPr="004F4118" w:rsidRDefault="00AC1683" w:rsidP="00F138C1">
            <w:pPr>
              <w:jc w:val="center"/>
              <w:rPr>
                <w:sz w:val="20"/>
                <w:szCs w:val="20"/>
                <w:lang w:val="en-US"/>
              </w:rPr>
            </w:pPr>
          </w:p>
          <w:p w:rsidR="00AC1683" w:rsidRPr="004F4118" w:rsidRDefault="00AC1683" w:rsidP="00F138C1">
            <w:pPr>
              <w:jc w:val="center"/>
              <w:rPr>
                <w:sz w:val="20"/>
                <w:szCs w:val="20"/>
                <w:lang w:val="en-US"/>
              </w:rPr>
            </w:pPr>
          </w:p>
          <w:p w:rsidR="00AC1683" w:rsidRPr="004F4118" w:rsidRDefault="00AC1683" w:rsidP="00F138C1">
            <w:pPr>
              <w:jc w:val="center"/>
              <w:rPr>
                <w:sz w:val="20"/>
                <w:szCs w:val="20"/>
                <w:lang w:val="en-US"/>
              </w:rPr>
            </w:pPr>
          </w:p>
          <w:p w:rsidR="00AC1683" w:rsidRPr="004F4118" w:rsidRDefault="00AC1683" w:rsidP="00F138C1">
            <w:pPr>
              <w:jc w:val="center"/>
              <w:rPr>
                <w:sz w:val="20"/>
                <w:szCs w:val="20"/>
                <w:lang w:val="en-US"/>
              </w:rPr>
            </w:pPr>
          </w:p>
          <w:p w:rsidR="00AC1683" w:rsidRPr="004F4118" w:rsidRDefault="00AC1683" w:rsidP="00F138C1">
            <w:pPr>
              <w:jc w:val="center"/>
              <w:rPr>
                <w:sz w:val="20"/>
                <w:szCs w:val="20"/>
                <w:lang w:val="en-US"/>
              </w:rPr>
            </w:pPr>
          </w:p>
          <w:p w:rsidR="00AC1683" w:rsidRPr="004F4118" w:rsidRDefault="00AC1683" w:rsidP="00F138C1">
            <w:pPr>
              <w:jc w:val="center"/>
              <w:rPr>
                <w:sz w:val="20"/>
                <w:szCs w:val="20"/>
                <w:lang w:val="en-US"/>
              </w:rPr>
            </w:pPr>
          </w:p>
          <w:p w:rsidR="00AC1683" w:rsidRPr="004F4118" w:rsidRDefault="00AC1683" w:rsidP="00F138C1">
            <w:pPr>
              <w:jc w:val="center"/>
              <w:rPr>
                <w:sz w:val="20"/>
                <w:szCs w:val="20"/>
                <w:lang w:val="en-US"/>
              </w:rPr>
            </w:pPr>
          </w:p>
          <w:p w:rsidR="00AC1683" w:rsidRPr="004F4118" w:rsidRDefault="00AC1683" w:rsidP="00F138C1">
            <w:pPr>
              <w:jc w:val="center"/>
              <w:rPr>
                <w:sz w:val="20"/>
                <w:szCs w:val="20"/>
                <w:lang w:val="en-US"/>
              </w:rPr>
            </w:pPr>
          </w:p>
          <w:p w:rsidR="003E01CD" w:rsidRPr="004F4118" w:rsidRDefault="003E01CD" w:rsidP="00F138C1">
            <w:pPr>
              <w:jc w:val="center"/>
              <w:rPr>
                <w:sz w:val="20"/>
                <w:szCs w:val="20"/>
                <w:lang w:val="en-US"/>
              </w:rPr>
            </w:pPr>
          </w:p>
          <w:p w:rsidR="00AC1683" w:rsidRPr="004F4118" w:rsidRDefault="00AC1683" w:rsidP="00F138C1">
            <w:pPr>
              <w:jc w:val="center"/>
              <w:rPr>
                <w:sz w:val="20"/>
                <w:szCs w:val="20"/>
                <w:lang w:val="en-US"/>
              </w:rPr>
            </w:pPr>
          </w:p>
          <w:p w:rsidR="00AC1683" w:rsidRPr="004F4118" w:rsidRDefault="00AC1683" w:rsidP="00F138C1">
            <w:pPr>
              <w:jc w:val="center"/>
              <w:rPr>
                <w:sz w:val="20"/>
                <w:szCs w:val="20"/>
                <w:lang w:val="en-US"/>
              </w:rPr>
            </w:pPr>
          </w:p>
          <w:p w:rsidR="00AC1683" w:rsidRPr="004F4118" w:rsidRDefault="00AC1683" w:rsidP="00F138C1">
            <w:pPr>
              <w:jc w:val="center"/>
              <w:rPr>
                <w:sz w:val="20"/>
                <w:szCs w:val="20"/>
                <w:lang w:val="en-US"/>
              </w:rPr>
            </w:pPr>
          </w:p>
          <w:p w:rsidR="003E01CD" w:rsidRPr="004F4118" w:rsidRDefault="003E01CD" w:rsidP="00F138C1">
            <w:pPr>
              <w:jc w:val="center"/>
              <w:rPr>
                <w:sz w:val="20"/>
                <w:szCs w:val="20"/>
                <w:lang w:val="en-US"/>
              </w:rPr>
            </w:pPr>
          </w:p>
          <w:p w:rsidR="00AC1683" w:rsidRPr="004F4118" w:rsidRDefault="00AC1683" w:rsidP="00F138C1">
            <w:pPr>
              <w:jc w:val="center"/>
              <w:rPr>
                <w:sz w:val="20"/>
                <w:szCs w:val="20"/>
                <w:lang w:val="en-US"/>
              </w:rPr>
            </w:pPr>
          </w:p>
          <w:p w:rsidR="00AC1683" w:rsidRPr="004F4118" w:rsidRDefault="00AC1683" w:rsidP="00F138C1">
            <w:pPr>
              <w:jc w:val="center"/>
              <w:rPr>
                <w:sz w:val="20"/>
                <w:szCs w:val="20"/>
                <w:lang w:val="en-US"/>
              </w:rPr>
            </w:pPr>
          </w:p>
        </w:tc>
        <w:tc>
          <w:tcPr>
            <w:tcW w:w="4239" w:type="dxa"/>
            <w:shd w:val="clear" w:color="auto" w:fill="auto"/>
          </w:tcPr>
          <w:p w:rsidR="00AC1683" w:rsidRPr="004F4118" w:rsidRDefault="003E01CD" w:rsidP="00AC1683">
            <w:pPr>
              <w:rPr>
                <w:sz w:val="20"/>
                <w:szCs w:val="20"/>
                <w:lang w:val="en-US"/>
              </w:rPr>
            </w:pPr>
            <w:r w:rsidRPr="004F4118">
              <w:rPr>
                <w:b/>
                <w:sz w:val="20"/>
                <w:szCs w:val="20"/>
                <w:lang w:val="en-US"/>
              </w:rPr>
              <w:t>Collins Njoroge</w:t>
            </w:r>
          </w:p>
          <w:p w:rsidR="00AC1683" w:rsidRPr="004F4118" w:rsidRDefault="00AC1683" w:rsidP="00AC1683">
            <w:pPr>
              <w:tabs>
                <w:tab w:val="left" w:pos="-1440"/>
                <w:tab w:val="left" w:pos="-720"/>
              </w:tabs>
              <w:rPr>
                <w:sz w:val="20"/>
                <w:szCs w:val="20"/>
                <w:lang w:val="en-US"/>
              </w:rPr>
            </w:pPr>
            <w:r w:rsidRPr="004F4118">
              <w:rPr>
                <w:sz w:val="20"/>
                <w:szCs w:val="20"/>
                <w:lang w:val="en-US"/>
              </w:rPr>
              <w:tab/>
            </w:r>
            <w:r w:rsidR="003E01CD" w:rsidRPr="004F4118">
              <w:rPr>
                <w:sz w:val="20"/>
                <w:szCs w:val="20"/>
                <w:lang w:val="en-US"/>
              </w:rPr>
              <w:t>Collins Njoroge</w:t>
            </w:r>
          </w:p>
          <w:p w:rsidR="00AC1683" w:rsidRPr="004F4118" w:rsidRDefault="00AC1683" w:rsidP="00AC1683">
            <w:pPr>
              <w:tabs>
                <w:tab w:val="left" w:pos="-1440"/>
                <w:tab w:val="left" w:pos="-720"/>
              </w:tabs>
              <w:rPr>
                <w:sz w:val="20"/>
                <w:szCs w:val="20"/>
                <w:lang w:val="en-US"/>
              </w:rPr>
            </w:pPr>
          </w:p>
          <w:p w:rsidR="00AC1683" w:rsidRPr="004F4118" w:rsidRDefault="00AC1683" w:rsidP="00AC1683">
            <w:pPr>
              <w:tabs>
                <w:tab w:val="left" w:pos="-1440"/>
                <w:tab w:val="left" w:pos="-720"/>
              </w:tabs>
              <w:rPr>
                <w:sz w:val="20"/>
                <w:szCs w:val="20"/>
                <w:lang w:val="en-US"/>
              </w:rPr>
            </w:pPr>
            <w:r w:rsidRPr="004F4118">
              <w:rPr>
                <w:sz w:val="20"/>
                <w:szCs w:val="20"/>
                <w:lang w:val="en-US"/>
              </w:rPr>
              <w:tab/>
              <w:t>v. (</w:t>
            </w:r>
            <w:r w:rsidR="003E01CD" w:rsidRPr="004F4118">
              <w:rPr>
                <w:sz w:val="20"/>
                <w:szCs w:val="20"/>
                <w:lang w:val="en-US"/>
              </w:rPr>
              <w:t>40007</w:t>
            </w:r>
            <w:r w:rsidRPr="004F4118">
              <w:rPr>
                <w:sz w:val="20"/>
                <w:szCs w:val="20"/>
                <w:lang w:val="en-US"/>
              </w:rPr>
              <w:t>)</w:t>
            </w:r>
          </w:p>
          <w:p w:rsidR="00AC1683" w:rsidRPr="004F4118" w:rsidRDefault="00AC1683" w:rsidP="00AC1683">
            <w:pPr>
              <w:tabs>
                <w:tab w:val="left" w:pos="-1440"/>
                <w:tab w:val="left" w:pos="-720"/>
              </w:tabs>
              <w:rPr>
                <w:sz w:val="20"/>
                <w:szCs w:val="20"/>
                <w:lang w:val="en-US"/>
              </w:rPr>
            </w:pPr>
          </w:p>
          <w:p w:rsidR="00AC1683" w:rsidRPr="004F4118" w:rsidRDefault="003E01CD" w:rsidP="00AC1683">
            <w:pPr>
              <w:tabs>
                <w:tab w:val="left" w:pos="-1440"/>
                <w:tab w:val="left" w:pos="-720"/>
              </w:tabs>
              <w:rPr>
                <w:b/>
                <w:sz w:val="20"/>
                <w:szCs w:val="20"/>
                <w:lang w:val="en-US"/>
              </w:rPr>
            </w:pPr>
            <w:r w:rsidRPr="004F4118">
              <w:rPr>
                <w:b/>
                <w:sz w:val="20"/>
                <w:szCs w:val="20"/>
                <w:lang w:val="en-US"/>
              </w:rPr>
              <w:t>British Columbia Human Rights Tribunal, et al.</w:t>
            </w:r>
            <w:r w:rsidR="00AC1683" w:rsidRPr="004F4118">
              <w:rPr>
                <w:b/>
                <w:sz w:val="20"/>
                <w:szCs w:val="20"/>
                <w:lang w:val="en-US"/>
              </w:rPr>
              <w:t xml:space="preserve"> (</w:t>
            </w:r>
            <w:r w:rsidRPr="004F4118">
              <w:rPr>
                <w:b/>
                <w:sz w:val="20"/>
                <w:szCs w:val="20"/>
                <w:lang w:val="en-US"/>
              </w:rPr>
              <w:t>B.C</w:t>
            </w:r>
            <w:r w:rsidR="00AC1683" w:rsidRPr="004F4118">
              <w:rPr>
                <w:b/>
                <w:sz w:val="20"/>
                <w:szCs w:val="20"/>
                <w:lang w:val="en-US"/>
              </w:rPr>
              <w:t>.)</w:t>
            </w:r>
          </w:p>
          <w:p w:rsidR="00AC1683" w:rsidRPr="004F4118" w:rsidRDefault="00AC1683" w:rsidP="00AC1683">
            <w:pPr>
              <w:tabs>
                <w:tab w:val="left" w:pos="-1440"/>
                <w:tab w:val="left" w:pos="-720"/>
              </w:tabs>
              <w:rPr>
                <w:sz w:val="20"/>
                <w:szCs w:val="20"/>
                <w:lang w:val="en-US"/>
              </w:rPr>
            </w:pPr>
            <w:r w:rsidRPr="004F4118">
              <w:rPr>
                <w:sz w:val="20"/>
                <w:szCs w:val="20"/>
                <w:lang w:val="en-US"/>
              </w:rPr>
              <w:tab/>
            </w:r>
            <w:r w:rsidR="003E01CD" w:rsidRPr="004F4118">
              <w:rPr>
                <w:sz w:val="20"/>
                <w:szCs w:val="20"/>
                <w:lang w:val="en-US"/>
              </w:rPr>
              <w:t>Hardie, Katherine A.</w:t>
            </w:r>
          </w:p>
          <w:p w:rsidR="003E01CD" w:rsidRPr="004F4118" w:rsidRDefault="00AC1683" w:rsidP="00AC1683">
            <w:pPr>
              <w:tabs>
                <w:tab w:val="left" w:pos="-1440"/>
                <w:tab w:val="left" w:pos="-720"/>
              </w:tabs>
              <w:rPr>
                <w:sz w:val="20"/>
                <w:szCs w:val="20"/>
              </w:rPr>
            </w:pPr>
            <w:r w:rsidRPr="004F4118">
              <w:rPr>
                <w:sz w:val="20"/>
                <w:szCs w:val="20"/>
                <w:lang w:val="en-US"/>
              </w:rPr>
              <w:tab/>
            </w:r>
            <w:r w:rsidR="003E01CD" w:rsidRPr="004F4118">
              <w:rPr>
                <w:sz w:val="20"/>
                <w:szCs w:val="20"/>
              </w:rPr>
              <w:t xml:space="preserve">British Columbia Human Rights </w:t>
            </w:r>
          </w:p>
          <w:p w:rsidR="00AC1683" w:rsidRPr="004F4118" w:rsidRDefault="003E01CD" w:rsidP="00AC1683">
            <w:pPr>
              <w:tabs>
                <w:tab w:val="left" w:pos="-1440"/>
                <w:tab w:val="left" w:pos="-720"/>
              </w:tabs>
              <w:rPr>
                <w:sz w:val="20"/>
                <w:szCs w:val="20"/>
              </w:rPr>
            </w:pPr>
            <w:r w:rsidRPr="004F4118">
              <w:rPr>
                <w:sz w:val="20"/>
                <w:szCs w:val="20"/>
                <w:lang w:val="en-US"/>
              </w:rPr>
              <w:tab/>
            </w:r>
            <w:r w:rsidRPr="004F4118">
              <w:rPr>
                <w:sz w:val="20"/>
                <w:szCs w:val="20"/>
              </w:rPr>
              <w:t>Tribunal</w:t>
            </w:r>
          </w:p>
          <w:p w:rsidR="00AC1683" w:rsidRPr="004F4118" w:rsidRDefault="00AC1683" w:rsidP="00AC1683">
            <w:pPr>
              <w:tabs>
                <w:tab w:val="left" w:pos="-1440"/>
                <w:tab w:val="left" w:pos="-720"/>
              </w:tabs>
              <w:rPr>
                <w:sz w:val="20"/>
                <w:szCs w:val="20"/>
              </w:rPr>
            </w:pPr>
          </w:p>
          <w:p w:rsidR="003E01CD" w:rsidRPr="004F4118" w:rsidRDefault="003E01CD" w:rsidP="003E01CD">
            <w:pPr>
              <w:rPr>
                <w:sz w:val="20"/>
                <w:szCs w:val="20"/>
                <w:lang w:val="en-US"/>
              </w:rPr>
            </w:pPr>
            <w:r w:rsidRPr="004F4118">
              <w:rPr>
                <w:sz w:val="20"/>
                <w:szCs w:val="20"/>
                <w:lang w:val="en-US"/>
              </w:rPr>
              <w:t>FILING DATE: December 30, 2021</w:t>
            </w:r>
          </w:p>
          <w:p w:rsidR="00AC1683" w:rsidRPr="004F4118" w:rsidRDefault="00AC1683" w:rsidP="00AC1683">
            <w:pPr>
              <w:rPr>
                <w:sz w:val="20"/>
                <w:szCs w:val="20"/>
              </w:rPr>
            </w:pPr>
          </w:p>
          <w:p w:rsidR="00AC1683" w:rsidRPr="004F4118" w:rsidRDefault="00DF0AA3" w:rsidP="00AC1683">
            <w:pPr>
              <w:rPr>
                <w:b/>
                <w:sz w:val="20"/>
                <w:szCs w:val="20"/>
                <w:lang w:val="fr-CA"/>
              </w:rPr>
            </w:pPr>
            <w:r>
              <w:rPr>
                <w:sz w:val="20"/>
                <w:szCs w:val="20"/>
                <w:lang w:val="fr-CA"/>
              </w:rPr>
              <w:pict>
                <v:rect id="_x0000_i1032" style="width:108pt;height:1pt" o:hrpct="0" o:hrstd="t" o:hrnoshade="t" o:hr="t" fillcolor="black [3213]" stroked="f"/>
              </w:pict>
            </w:r>
          </w:p>
        </w:tc>
      </w:tr>
      <w:tr w:rsidR="00AC1683" w:rsidRPr="004F4118" w:rsidTr="00F138C1">
        <w:tc>
          <w:tcPr>
            <w:tcW w:w="4239" w:type="dxa"/>
            <w:shd w:val="clear" w:color="auto" w:fill="auto"/>
          </w:tcPr>
          <w:p w:rsidR="00AC1683" w:rsidRPr="004F4118" w:rsidRDefault="003E01CD" w:rsidP="00AC1683">
            <w:pPr>
              <w:rPr>
                <w:sz w:val="20"/>
                <w:szCs w:val="20"/>
                <w:lang w:val="en-US"/>
              </w:rPr>
            </w:pPr>
            <w:r w:rsidRPr="004F4118">
              <w:rPr>
                <w:b/>
                <w:sz w:val="20"/>
                <w:szCs w:val="20"/>
                <w:lang w:val="en-US"/>
              </w:rPr>
              <w:t>J.R.L.</w:t>
            </w:r>
          </w:p>
          <w:p w:rsidR="00AC1683" w:rsidRPr="004F4118" w:rsidRDefault="00AC1683" w:rsidP="00AC1683">
            <w:pPr>
              <w:tabs>
                <w:tab w:val="left" w:pos="-1440"/>
                <w:tab w:val="left" w:pos="-720"/>
              </w:tabs>
              <w:rPr>
                <w:sz w:val="20"/>
                <w:szCs w:val="20"/>
                <w:lang w:val="en-US"/>
              </w:rPr>
            </w:pPr>
            <w:r w:rsidRPr="004F4118">
              <w:rPr>
                <w:sz w:val="20"/>
                <w:szCs w:val="20"/>
                <w:lang w:val="en-US"/>
              </w:rPr>
              <w:tab/>
            </w:r>
            <w:r w:rsidR="003E01CD" w:rsidRPr="004F4118">
              <w:rPr>
                <w:sz w:val="20"/>
                <w:szCs w:val="20"/>
                <w:lang w:val="en-US"/>
              </w:rPr>
              <w:t>J.R.L.</w:t>
            </w:r>
          </w:p>
          <w:p w:rsidR="00AC1683" w:rsidRPr="004F4118" w:rsidRDefault="00AC1683" w:rsidP="00AC1683">
            <w:pPr>
              <w:tabs>
                <w:tab w:val="left" w:pos="-1440"/>
                <w:tab w:val="left" w:pos="-720"/>
              </w:tabs>
              <w:rPr>
                <w:sz w:val="20"/>
                <w:szCs w:val="20"/>
                <w:lang w:val="en-US"/>
              </w:rPr>
            </w:pPr>
          </w:p>
          <w:p w:rsidR="00AC1683" w:rsidRPr="004F4118" w:rsidRDefault="00AC1683" w:rsidP="00AC1683">
            <w:pPr>
              <w:tabs>
                <w:tab w:val="left" w:pos="-1440"/>
                <w:tab w:val="left" w:pos="-720"/>
              </w:tabs>
              <w:rPr>
                <w:sz w:val="20"/>
                <w:szCs w:val="20"/>
                <w:lang w:val="en-US"/>
              </w:rPr>
            </w:pPr>
            <w:r w:rsidRPr="004F4118">
              <w:rPr>
                <w:sz w:val="20"/>
                <w:szCs w:val="20"/>
                <w:lang w:val="en-US"/>
              </w:rPr>
              <w:tab/>
              <w:t>v. (4</w:t>
            </w:r>
            <w:r w:rsidR="003E01CD" w:rsidRPr="004F4118">
              <w:rPr>
                <w:sz w:val="20"/>
                <w:szCs w:val="20"/>
                <w:lang w:val="en-US"/>
              </w:rPr>
              <w:t>00</w:t>
            </w:r>
            <w:r w:rsidRPr="004F4118">
              <w:rPr>
                <w:sz w:val="20"/>
                <w:szCs w:val="20"/>
                <w:lang w:val="en-US"/>
              </w:rPr>
              <w:t>1</w:t>
            </w:r>
            <w:r w:rsidR="003E01CD" w:rsidRPr="004F4118">
              <w:rPr>
                <w:sz w:val="20"/>
                <w:szCs w:val="20"/>
                <w:lang w:val="en-US"/>
              </w:rPr>
              <w:t>2</w:t>
            </w:r>
            <w:r w:rsidRPr="004F4118">
              <w:rPr>
                <w:sz w:val="20"/>
                <w:szCs w:val="20"/>
                <w:lang w:val="en-US"/>
              </w:rPr>
              <w:t>)</w:t>
            </w:r>
          </w:p>
          <w:p w:rsidR="00AC1683" w:rsidRPr="004F4118" w:rsidRDefault="00AC1683" w:rsidP="00AC1683">
            <w:pPr>
              <w:tabs>
                <w:tab w:val="left" w:pos="-1440"/>
                <w:tab w:val="left" w:pos="-720"/>
              </w:tabs>
              <w:rPr>
                <w:sz w:val="20"/>
                <w:szCs w:val="20"/>
                <w:lang w:val="en-US"/>
              </w:rPr>
            </w:pPr>
          </w:p>
          <w:p w:rsidR="00AC1683" w:rsidRPr="004F4118" w:rsidRDefault="003E01CD" w:rsidP="00AC1683">
            <w:pPr>
              <w:tabs>
                <w:tab w:val="left" w:pos="-1440"/>
                <w:tab w:val="left" w:pos="-720"/>
              </w:tabs>
              <w:rPr>
                <w:b/>
                <w:sz w:val="20"/>
                <w:szCs w:val="20"/>
                <w:lang w:val="en-US"/>
              </w:rPr>
            </w:pPr>
            <w:r w:rsidRPr="004F4118">
              <w:rPr>
                <w:b/>
                <w:sz w:val="20"/>
                <w:szCs w:val="20"/>
                <w:lang w:val="en-US"/>
              </w:rPr>
              <w:t>Q.X.</w:t>
            </w:r>
            <w:r w:rsidR="00AC1683" w:rsidRPr="004F4118">
              <w:rPr>
                <w:b/>
                <w:sz w:val="20"/>
                <w:szCs w:val="20"/>
                <w:lang w:val="en-US"/>
              </w:rPr>
              <w:t xml:space="preserve"> (</w:t>
            </w:r>
            <w:r w:rsidRPr="004F4118">
              <w:rPr>
                <w:b/>
                <w:sz w:val="20"/>
                <w:szCs w:val="20"/>
                <w:lang w:val="en-US"/>
              </w:rPr>
              <w:t>B.C</w:t>
            </w:r>
            <w:r w:rsidR="00AC1683" w:rsidRPr="004F4118">
              <w:rPr>
                <w:b/>
                <w:sz w:val="20"/>
                <w:szCs w:val="20"/>
                <w:lang w:val="en-US"/>
              </w:rPr>
              <w:t>.)</w:t>
            </w:r>
          </w:p>
          <w:p w:rsidR="00AC1683" w:rsidRPr="004F4118" w:rsidRDefault="00AC1683" w:rsidP="00AC1683">
            <w:pPr>
              <w:tabs>
                <w:tab w:val="left" w:pos="-1440"/>
                <w:tab w:val="left" w:pos="-720"/>
              </w:tabs>
              <w:rPr>
                <w:sz w:val="20"/>
                <w:szCs w:val="20"/>
                <w:lang w:val="en-US"/>
              </w:rPr>
            </w:pPr>
            <w:r w:rsidRPr="004F4118">
              <w:rPr>
                <w:sz w:val="20"/>
                <w:szCs w:val="20"/>
                <w:lang w:val="en-US"/>
              </w:rPr>
              <w:tab/>
            </w:r>
            <w:r w:rsidR="003E01CD" w:rsidRPr="004F4118">
              <w:rPr>
                <w:sz w:val="20"/>
                <w:szCs w:val="20"/>
                <w:lang w:val="en-US"/>
              </w:rPr>
              <w:t>Waterman, Stacey</w:t>
            </w:r>
          </w:p>
          <w:p w:rsidR="00AC1683" w:rsidRPr="004F4118" w:rsidRDefault="00AC1683" w:rsidP="00AC1683">
            <w:pPr>
              <w:tabs>
                <w:tab w:val="left" w:pos="-1440"/>
                <w:tab w:val="left" w:pos="-720"/>
              </w:tabs>
              <w:rPr>
                <w:sz w:val="20"/>
                <w:szCs w:val="20"/>
              </w:rPr>
            </w:pPr>
            <w:r w:rsidRPr="004F4118">
              <w:rPr>
                <w:sz w:val="20"/>
                <w:szCs w:val="20"/>
                <w:lang w:val="en-US"/>
              </w:rPr>
              <w:tab/>
            </w:r>
            <w:r w:rsidR="003E01CD" w:rsidRPr="004F4118">
              <w:rPr>
                <w:sz w:val="20"/>
                <w:szCs w:val="20"/>
              </w:rPr>
              <w:t>Hunter Litigation Chambers</w:t>
            </w:r>
          </w:p>
          <w:p w:rsidR="00AC1683" w:rsidRPr="004F4118" w:rsidRDefault="00AC1683" w:rsidP="00AC1683">
            <w:pPr>
              <w:tabs>
                <w:tab w:val="left" w:pos="-1440"/>
                <w:tab w:val="left" w:pos="-720"/>
              </w:tabs>
              <w:rPr>
                <w:sz w:val="20"/>
                <w:szCs w:val="20"/>
              </w:rPr>
            </w:pPr>
          </w:p>
          <w:p w:rsidR="003E01CD" w:rsidRPr="004F4118" w:rsidRDefault="003E01CD" w:rsidP="003E01CD">
            <w:pPr>
              <w:rPr>
                <w:sz w:val="20"/>
                <w:szCs w:val="20"/>
                <w:lang w:val="en-US"/>
              </w:rPr>
            </w:pPr>
            <w:r w:rsidRPr="004F4118">
              <w:rPr>
                <w:sz w:val="20"/>
                <w:szCs w:val="20"/>
                <w:lang w:val="en-US"/>
              </w:rPr>
              <w:t>FILING DATE: December 30, 2021</w:t>
            </w:r>
          </w:p>
          <w:p w:rsidR="00AC1683" w:rsidRPr="004F4118" w:rsidRDefault="00AC1683" w:rsidP="00AC1683">
            <w:pPr>
              <w:rPr>
                <w:sz w:val="20"/>
                <w:szCs w:val="20"/>
              </w:rPr>
            </w:pPr>
          </w:p>
          <w:p w:rsidR="00AC1683" w:rsidRPr="004F4118" w:rsidRDefault="00DF0AA3" w:rsidP="00AC1683">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AC1683" w:rsidRPr="004F4118" w:rsidRDefault="00AC1683" w:rsidP="00AC1683">
            <w:pPr>
              <w:jc w:val="center"/>
              <w:rPr>
                <w:sz w:val="20"/>
                <w:szCs w:val="20"/>
                <w:lang w:val="en-US"/>
              </w:rPr>
            </w:pPr>
          </w:p>
          <w:p w:rsidR="00AC1683" w:rsidRPr="004F4118" w:rsidRDefault="00AC1683" w:rsidP="00AC1683">
            <w:pPr>
              <w:jc w:val="center"/>
              <w:rPr>
                <w:sz w:val="20"/>
                <w:szCs w:val="20"/>
                <w:lang w:val="en-US"/>
              </w:rPr>
            </w:pPr>
          </w:p>
          <w:p w:rsidR="00AC1683" w:rsidRPr="004F4118" w:rsidRDefault="00AC1683" w:rsidP="00AC1683">
            <w:pPr>
              <w:jc w:val="center"/>
              <w:rPr>
                <w:sz w:val="20"/>
                <w:szCs w:val="20"/>
                <w:lang w:val="en-US"/>
              </w:rPr>
            </w:pPr>
          </w:p>
          <w:p w:rsidR="00AC1683" w:rsidRPr="004F4118" w:rsidRDefault="00AC1683" w:rsidP="00AC1683">
            <w:pPr>
              <w:jc w:val="center"/>
              <w:rPr>
                <w:sz w:val="20"/>
                <w:szCs w:val="20"/>
                <w:lang w:val="en-US"/>
              </w:rPr>
            </w:pPr>
          </w:p>
          <w:p w:rsidR="00AC1683" w:rsidRPr="004F4118" w:rsidRDefault="00AC1683" w:rsidP="00AC1683">
            <w:pPr>
              <w:jc w:val="center"/>
              <w:rPr>
                <w:sz w:val="20"/>
                <w:szCs w:val="20"/>
                <w:lang w:val="en-US"/>
              </w:rPr>
            </w:pPr>
          </w:p>
          <w:p w:rsidR="00AC1683" w:rsidRPr="004F4118" w:rsidRDefault="00AC1683" w:rsidP="00AC1683">
            <w:pPr>
              <w:jc w:val="center"/>
              <w:rPr>
                <w:sz w:val="20"/>
                <w:szCs w:val="20"/>
                <w:lang w:val="en-US"/>
              </w:rPr>
            </w:pPr>
          </w:p>
          <w:p w:rsidR="00AC1683" w:rsidRPr="004F4118" w:rsidRDefault="00AC1683" w:rsidP="00AC1683">
            <w:pPr>
              <w:jc w:val="center"/>
              <w:rPr>
                <w:sz w:val="20"/>
                <w:szCs w:val="20"/>
                <w:lang w:val="en-US"/>
              </w:rPr>
            </w:pPr>
          </w:p>
          <w:p w:rsidR="00AC1683" w:rsidRPr="004F4118" w:rsidRDefault="00AC1683" w:rsidP="00AC1683">
            <w:pPr>
              <w:jc w:val="center"/>
              <w:rPr>
                <w:sz w:val="20"/>
                <w:szCs w:val="20"/>
                <w:lang w:val="en-US"/>
              </w:rPr>
            </w:pPr>
          </w:p>
          <w:p w:rsidR="003E01CD" w:rsidRPr="004F4118" w:rsidRDefault="003E01CD" w:rsidP="00AC1683">
            <w:pPr>
              <w:jc w:val="center"/>
              <w:rPr>
                <w:sz w:val="20"/>
                <w:szCs w:val="20"/>
                <w:lang w:val="en-US"/>
              </w:rPr>
            </w:pPr>
          </w:p>
          <w:p w:rsidR="00AC1683" w:rsidRPr="004F4118" w:rsidRDefault="00AC1683" w:rsidP="00AC1683">
            <w:pPr>
              <w:jc w:val="center"/>
              <w:rPr>
                <w:sz w:val="20"/>
                <w:szCs w:val="20"/>
                <w:lang w:val="en-US"/>
              </w:rPr>
            </w:pPr>
          </w:p>
          <w:p w:rsidR="00AC1683" w:rsidRPr="004F4118" w:rsidRDefault="00AC1683" w:rsidP="00AC1683">
            <w:pPr>
              <w:jc w:val="center"/>
              <w:rPr>
                <w:sz w:val="20"/>
                <w:szCs w:val="20"/>
                <w:lang w:val="en-US"/>
              </w:rPr>
            </w:pPr>
          </w:p>
          <w:p w:rsidR="00AC1683" w:rsidRPr="004F4118" w:rsidRDefault="00AC1683" w:rsidP="00AC1683">
            <w:pPr>
              <w:jc w:val="center"/>
              <w:rPr>
                <w:sz w:val="20"/>
                <w:szCs w:val="20"/>
                <w:lang w:val="en-US"/>
              </w:rPr>
            </w:pPr>
          </w:p>
          <w:p w:rsidR="00AC1683" w:rsidRPr="004F4118" w:rsidRDefault="00AC1683" w:rsidP="00AC1683">
            <w:pPr>
              <w:jc w:val="center"/>
              <w:rPr>
                <w:sz w:val="20"/>
                <w:szCs w:val="20"/>
                <w:lang w:val="en-US"/>
              </w:rPr>
            </w:pPr>
          </w:p>
          <w:p w:rsidR="00AC1683" w:rsidRPr="004F4118" w:rsidRDefault="00AC1683" w:rsidP="00AC1683">
            <w:pPr>
              <w:jc w:val="center"/>
              <w:rPr>
                <w:sz w:val="20"/>
                <w:szCs w:val="20"/>
                <w:lang w:val="en-US"/>
              </w:rPr>
            </w:pPr>
          </w:p>
        </w:tc>
        <w:tc>
          <w:tcPr>
            <w:tcW w:w="4239" w:type="dxa"/>
            <w:shd w:val="clear" w:color="auto" w:fill="auto"/>
          </w:tcPr>
          <w:p w:rsidR="00AC1683" w:rsidRPr="004F4118" w:rsidRDefault="003E01CD" w:rsidP="00AC1683">
            <w:pPr>
              <w:rPr>
                <w:sz w:val="20"/>
                <w:szCs w:val="20"/>
                <w:lang w:val="en-US"/>
              </w:rPr>
            </w:pPr>
            <w:r w:rsidRPr="004F4118">
              <w:rPr>
                <w:b/>
                <w:sz w:val="20"/>
                <w:szCs w:val="20"/>
                <w:lang w:val="en-US"/>
              </w:rPr>
              <w:t>Mirza Nammo</w:t>
            </w:r>
          </w:p>
          <w:p w:rsidR="00AC1683" w:rsidRPr="004F4118" w:rsidRDefault="00AC1683" w:rsidP="00AC1683">
            <w:pPr>
              <w:tabs>
                <w:tab w:val="left" w:pos="-1440"/>
                <w:tab w:val="left" w:pos="-720"/>
              </w:tabs>
              <w:rPr>
                <w:sz w:val="20"/>
                <w:szCs w:val="20"/>
                <w:lang w:val="en-US"/>
              </w:rPr>
            </w:pPr>
            <w:r w:rsidRPr="004F4118">
              <w:rPr>
                <w:sz w:val="20"/>
                <w:szCs w:val="20"/>
                <w:lang w:val="en-US"/>
              </w:rPr>
              <w:tab/>
            </w:r>
            <w:r w:rsidR="003E01CD" w:rsidRPr="004F4118">
              <w:rPr>
                <w:sz w:val="20"/>
                <w:szCs w:val="20"/>
                <w:lang w:val="en-US"/>
              </w:rPr>
              <w:t>Mirza Nammo</w:t>
            </w:r>
          </w:p>
          <w:p w:rsidR="00AC1683" w:rsidRPr="004F4118" w:rsidRDefault="00AC1683" w:rsidP="00AC1683">
            <w:pPr>
              <w:tabs>
                <w:tab w:val="left" w:pos="-1440"/>
                <w:tab w:val="left" w:pos="-720"/>
              </w:tabs>
              <w:rPr>
                <w:sz w:val="20"/>
                <w:szCs w:val="20"/>
                <w:lang w:val="en-US"/>
              </w:rPr>
            </w:pPr>
          </w:p>
          <w:p w:rsidR="00AC1683" w:rsidRPr="004F4118" w:rsidRDefault="00AC1683" w:rsidP="00AC1683">
            <w:pPr>
              <w:tabs>
                <w:tab w:val="left" w:pos="-1440"/>
                <w:tab w:val="left" w:pos="-720"/>
              </w:tabs>
              <w:rPr>
                <w:sz w:val="20"/>
                <w:szCs w:val="20"/>
                <w:lang w:val="en-US"/>
              </w:rPr>
            </w:pPr>
            <w:r w:rsidRPr="004F4118">
              <w:rPr>
                <w:sz w:val="20"/>
                <w:szCs w:val="20"/>
                <w:lang w:val="en-US"/>
              </w:rPr>
              <w:tab/>
              <w:t>v. (</w:t>
            </w:r>
            <w:r w:rsidR="003E01CD" w:rsidRPr="004F4118">
              <w:rPr>
                <w:sz w:val="20"/>
                <w:szCs w:val="20"/>
                <w:lang w:val="en-US"/>
              </w:rPr>
              <w:t>40013</w:t>
            </w:r>
            <w:r w:rsidRPr="004F4118">
              <w:rPr>
                <w:sz w:val="20"/>
                <w:szCs w:val="20"/>
                <w:lang w:val="en-US"/>
              </w:rPr>
              <w:t>)</w:t>
            </w:r>
          </w:p>
          <w:p w:rsidR="00AC1683" w:rsidRPr="004F4118" w:rsidRDefault="00AC1683" w:rsidP="00AC1683">
            <w:pPr>
              <w:tabs>
                <w:tab w:val="left" w:pos="-1440"/>
                <w:tab w:val="left" w:pos="-720"/>
              </w:tabs>
              <w:rPr>
                <w:sz w:val="20"/>
                <w:szCs w:val="20"/>
                <w:lang w:val="en-US"/>
              </w:rPr>
            </w:pPr>
          </w:p>
          <w:p w:rsidR="00AC1683" w:rsidRPr="004F4118" w:rsidRDefault="003E01CD" w:rsidP="00AC1683">
            <w:pPr>
              <w:tabs>
                <w:tab w:val="left" w:pos="-1440"/>
                <w:tab w:val="left" w:pos="-720"/>
              </w:tabs>
              <w:rPr>
                <w:b/>
                <w:sz w:val="20"/>
                <w:szCs w:val="20"/>
                <w:lang w:val="en-US"/>
              </w:rPr>
            </w:pPr>
            <w:r w:rsidRPr="004F4118">
              <w:rPr>
                <w:b/>
                <w:sz w:val="20"/>
                <w:szCs w:val="20"/>
                <w:lang w:val="en-US"/>
              </w:rPr>
              <w:t>TD Meloche Monnex Insurance Company</w:t>
            </w:r>
            <w:r w:rsidR="00AC1683" w:rsidRPr="004F4118">
              <w:rPr>
                <w:b/>
                <w:sz w:val="20"/>
                <w:szCs w:val="20"/>
                <w:lang w:val="en-US"/>
              </w:rPr>
              <w:t xml:space="preserve"> (</w:t>
            </w:r>
            <w:r w:rsidRPr="004F4118">
              <w:rPr>
                <w:b/>
                <w:sz w:val="20"/>
                <w:szCs w:val="20"/>
                <w:lang w:val="en-US"/>
              </w:rPr>
              <w:t>Alta</w:t>
            </w:r>
            <w:r w:rsidR="00AC1683" w:rsidRPr="004F4118">
              <w:rPr>
                <w:b/>
                <w:sz w:val="20"/>
                <w:szCs w:val="20"/>
                <w:lang w:val="en-US"/>
              </w:rPr>
              <w:t>.)</w:t>
            </w:r>
          </w:p>
          <w:p w:rsidR="00AC1683" w:rsidRPr="004F4118" w:rsidRDefault="00AC1683" w:rsidP="00AC1683">
            <w:pPr>
              <w:tabs>
                <w:tab w:val="left" w:pos="-1440"/>
                <w:tab w:val="left" w:pos="-720"/>
              </w:tabs>
              <w:rPr>
                <w:sz w:val="20"/>
                <w:szCs w:val="20"/>
                <w:lang w:val="en-US"/>
              </w:rPr>
            </w:pPr>
            <w:r w:rsidRPr="004F4118">
              <w:rPr>
                <w:sz w:val="20"/>
                <w:szCs w:val="20"/>
                <w:lang w:val="en-US"/>
              </w:rPr>
              <w:tab/>
            </w:r>
            <w:r w:rsidR="003E01CD" w:rsidRPr="004F4118">
              <w:rPr>
                <w:sz w:val="20"/>
                <w:szCs w:val="20"/>
                <w:lang w:val="en-US"/>
              </w:rPr>
              <w:t>Olyslager, Patricia E.</w:t>
            </w:r>
          </w:p>
          <w:p w:rsidR="00AC1683" w:rsidRPr="004F4118" w:rsidRDefault="00AC1683" w:rsidP="00AC1683">
            <w:pPr>
              <w:tabs>
                <w:tab w:val="left" w:pos="-1440"/>
                <w:tab w:val="left" w:pos="-720"/>
              </w:tabs>
              <w:rPr>
                <w:sz w:val="20"/>
                <w:szCs w:val="20"/>
              </w:rPr>
            </w:pPr>
            <w:r w:rsidRPr="004F4118">
              <w:rPr>
                <w:sz w:val="20"/>
                <w:szCs w:val="20"/>
                <w:lang w:val="en-US"/>
              </w:rPr>
              <w:tab/>
            </w:r>
            <w:r w:rsidR="003E01CD" w:rsidRPr="004F4118">
              <w:rPr>
                <w:sz w:val="20"/>
                <w:szCs w:val="20"/>
              </w:rPr>
              <w:t>Parlee McLaws LLP</w:t>
            </w:r>
          </w:p>
          <w:p w:rsidR="00AC1683" w:rsidRPr="004F4118" w:rsidRDefault="00AC1683" w:rsidP="00AC1683">
            <w:pPr>
              <w:tabs>
                <w:tab w:val="left" w:pos="-1440"/>
                <w:tab w:val="left" w:pos="-720"/>
              </w:tabs>
              <w:rPr>
                <w:sz w:val="20"/>
                <w:szCs w:val="20"/>
              </w:rPr>
            </w:pPr>
          </w:p>
          <w:p w:rsidR="003E01CD" w:rsidRPr="004F4118" w:rsidRDefault="003E01CD" w:rsidP="003E01CD">
            <w:pPr>
              <w:rPr>
                <w:sz w:val="20"/>
                <w:szCs w:val="20"/>
                <w:lang w:val="en-US"/>
              </w:rPr>
            </w:pPr>
            <w:r w:rsidRPr="004F4118">
              <w:rPr>
                <w:sz w:val="20"/>
                <w:szCs w:val="20"/>
                <w:lang w:val="en-US"/>
              </w:rPr>
              <w:t>FILING DATE: December 30, 2021</w:t>
            </w:r>
          </w:p>
          <w:p w:rsidR="00AC1683" w:rsidRPr="004F4118" w:rsidRDefault="00AC1683" w:rsidP="00AC1683">
            <w:pPr>
              <w:rPr>
                <w:sz w:val="20"/>
                <w:szCs w:val="20"/>
              </w:rPr>
            </w:pPr>
          </w:p>
          <w:p w:rsidR="00AC1683" w:rsidRPr="004F4118" w:rsidRDefault="00DF0AA3" w:rsidP="00AC1683">
            <w:pPr>
              <w:rPr>
                <w:b/>
                <w:sz w:val="20"/>
                <w:szCs w:val="20"/>
                <w:lang w:val="en-US"/>
              </w:rPr>
            </w:pPr>
            <w:r>
              <w:rPr>
                <w:sz w:val="20"/>
                <w:szCs w:val="20"/>
                <w:lang w:val="fr-CA"/>
              </w:rPr>
              <w:pict>
                <v:rect id="_x0000_i1034" style="width:108pt;height:1pt" o:hrpct="0" o:hrstd="t" o:hrnoshade="t" o:hr="t" fillcolor="black [3213]" stroked="f"/>
              </w:pict>
            </w:r>
          </w:p>
        </w:tc>
      </w:tr>
    </w:tbl>
    <w:p w:rsidR="00F138C1" w:rsidRPr="004F4118" w:rsidRDefault="00F138C1" w:rsidP="00F138C1">
      <w:pPr>
        <w:tabs>
          <w:tab w:val="right" w:pos="9360"/>
        </w:tabs>
        <w:rPr>
          <w:sz w:val="20"/>
          <w:szCs w:val="20"/>
          <w:lang w:val="fr-CA"/>
        </w:rPr>
      </w:pPr>
    </w:p>
    <w:p w:rsidR="00F138C1" w:rsidRPr="004F4118" w:rsidRDefault="00F138C1" w:rsidP="00F138C1">
      <w:pPr>
        <w:tabs>
          <w:tab w:val="right" w:pos="9360"/>
        </w:tabs>
        <w:rPr>
          <w:sz w:val="20"/>
          <w:szCs w:val="20"/>
          <w:lang w:val="fr-CA"/>
        </w:rPr>
      </w:pPr>
    </w:p>
    <w:p w:rsidR="00C01FCB" w:rsidRPr="004F4118" w:rsidRDefault="00C01FCB" w:rsidP="0095096B">
      <w:pPr>
        <w:tabs>
          <w:tab w:val="right" w:pos="9360"/>
        </w:tabs>
        <w:rPr>
          <w:sz w:val="20"/>
          <w:szCs w:val="20"/>
          <w:lang w:val="fr-CA"/>
        </w:rPr>
      </w:pPr>
    </w:p>
    <w:p w:rsidR="00242AEE" w:rsidRPr="004F4118" w:rsidRDefault="00242AEE" w:rsidP="0095096B">
      <w:pPr>
        <w:tabs>
          <w:tab w:val="right" w:pos="9360"/>
        </w:tabs>
        <w:rPr>
          <w:sz w:val="20"/>
          <w:szCs w:val="20"/>
          <w:lang w:val="fr-CA"/>
        </w:rPr>
        <w:sectPr w:rsidR="00242AEE" w:rsidRPr="004F4118"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4F4118" w:rsidRDefault="00DD0BDC" w:rsidP="00567602">
      <w:pPr>
        <w:pStyle w:val="Header1StyleE"/>
        <w:pBdr>
          <w:bottom w:val="single" w:sz="12" w:space="1" w:color="auto"/>
        </w:pBdr>
        <w:rPr>
          <w:lang w:val="fr-CA"/>
        </w:rPr>
      </w:pPr>
      <w:bookmarkStart w:id="1" w:name="QuickMark_1"/>
      <w:bookmarkStart w:id="2" w:name="_Toc94247968"/>
      <w:bookmarkEnd w:id="1"/>
      <w:r w:rsidRPr="004F4118">
        <w:rPr>
          <w:lang w:val="fr-CA"/>
        </w:rPr>
        <w:lastRenderedPageBreak/>
        <w:t>Judgments on applications</w:t>
      </w:r>
      <w:r w:rsidR="000C1D9D" w:rsidRPr="004F4118">
        <w:rPr>
          <w:lang w:val="fr-CA"/>
        </w:rPr>
        <w:t xml:space="preserve"> </w:t>
      </w:r>
      <w:r w:rsidRPr="004F4118">
        <w:rPr>
          <w:lang w:val="fr-CA"/>
        </w:rPr>
        <w:t>for leave</w:t>
      </w:r>
      <w:r w:rsidR="00693C38" w:rsidRPr="004F4118">
        <w:rPr>
          <w:noProof/>
          <w:sz w:val="20"/>
          <w:lang w:val="fr-CA"/>
        </w:rPr>
        <w:t xml:space="preserve"> </w:t>
      </w:r>
      <w:r w:rsidR="00271E1E" w:rsidRPr="004F4118">
        <w:rPr>
          <w:noProof/>
          <w:sz w:val="20"/>
          <w:lang w:val="fr-CA"/>
        </w:rPr>
        <w:t xml:space="preserve">/ </w:t>
      </w:r>
      <w:r w:rsidR="00693C38" w:rsidRPr="004F4118">
        <w:rPr>
          <w:noProof/>
          <w:sz w:val="20"/>
          <w:lang w:val="fr-CA"/>
        </w:rPr>
        <w:br/>
      </w:r>
      <w:r w:rsidRPr="004F4118">
        <w:rPr>
          <w:lang w:val="fr-CA"/>
        </w:rPr>
        <w:t>Jugements rendus sur les demandes d’autorisation</w:t>
      </w:r>
      <w:bookmarkEnd w:id="2"/>
    </w:p>
    <w:p w:rsidR="00FB1DB6" w:rsidRPr="004F4118" w:rsidRDefault="00FB1DB6" w:rsidP="00693C38">
      <w:pPr>
        <w:rPr>
          <w:sz w:val="20"/>
          <w:szCs w:val="20"/>
          <w:lang w:val="fr-CA"/>
        </w:rPr>
      </w:pPr>
    </w:p>
    <w:p w:rsidR="00F16063" w:rsidRPr="004F4118" w:rsidRDefault="00E8642A" w:rsidP="00F16063">
      <w:pPr>
        <w:rPr>
          <w:b/>
          <w:sz w:val="20"/>
          <w:szCs w:val="20"/>
        </w:rPr>
      </w:pPr>
      <w:r w:rsidRPr="004F4118">
        <w:rPr>
          <w:b/>
          <w:sz w:val="20"/>
          <w:szCs w:val="20"/>
        </w:rPr>
        <w:t>JANUARY</w:t>
      </w:r>
      <w:r w:rsidR="00F16063" w:rsidRPr="004F4118">
        <w:rPr>
          <w:b/>
          <w:sz w:val="20"/>
          <w:szCs w:val="20"/>
        </w:rPr>
        <w:t xml:space="preserve"> </w:t>
      </w:r>
      <w:r w:rsidR="007E6E2A" w:rsidRPr="004F4118">
        <w:rPr>
          <w:b/>
          <w:sz w:val="20"/>
          <w:szCs w:val="20"/>
        </w:rPr>
        <w:t>2</w:t>
      </w:r>
      <w:r w:rsidR="00E9644A" w:rsidRPr="004F4118">
        <w:rPr>
          <w:b/>
          <w:sz w:val="20"/>
          <w:szCs w:val="20"/>
        </w:rPr>
        <w:t>7</w:t>
      </w:r>
      <w:r w:rsidR="00F16063" w:rsidRPr="004F4118">
        <w:rPr>
          <w:b/>
          <w:sz w:val="20"/>
          <w:szCs w:val="20"/>
        </w:rPr>
        <w:t xml:space="preserve">, </w:t>
      </w:r>
      <w:r w:rsidR="0034657E" w:rsidRPr="004F4118">
        <w:rPr>
          <w:b/>
          <w:sz w:val="20"/>
          <w:szCs w:val="20"/>
        </w:rPr>
        <w:t>20</w:t>
      </w:r>
      <w:r w:rsidR="005967EF" w:rsidRPr="004F4118">
        <w:rPr>
          <w:b/>
          <w:sz w:val="20"/>
          <w:szCs w:val="20"/>
        </w:rPr>
        <w:t>2</w:t>
      </w:r>
      <w:r w:rsidRPr="004F4118">
        <w:rPr>
          <w:b/>
          <w:sz w:val="20"/>
          <w:szCs w:val="20"/>
        </w:rPr>
        <w:t>2</w:t>
      </w:r>
      <w:r w:rsidR="00F16063" w:rsidRPr="004F4118">
        <w:rPr>
          <w:b/>
          <w:sz w:val="20"/>
          <w:szCs w:val="20"/>
        </w:rPr>
        <w:t xml:space="preserve"> / LE </w:t>
      </w:r>
      <w:r w:rsidR="007E6E2A" w:rsidRPr="004F4118">
        <w:rPr>
          <w:b/>
          <w:sz w:val="20"/>
          <w:szCs w:val="20"/>
        </w:rPr>
        <w:t>2</w:t>
      </w:r>
      <w:r w:rsidR="00E9644A" w:rsidRPr="004F4118">
        <w:rPr>
          <w:b/>
          <w:sz w:val="20"/>
          <w:szCs w:val="20"/>
        </w:rPr>
        <w:t>7</w:t>
      </w:r>
      <w:r w:rsidR="00F16063" w:rsidRPr="004F4118">
        <w:rPr>
          <w:b/>
          <w:sz w:val="20"/>
          <w:szCs w:val="20"/>
        </w:rPr>
        <w:t xml:space="preserve"> </w:t>
      </w:r>
      <w:r w:rsidRPr="004F4118">
        <w:rPr>
          <w:b/>
          <w:sz w:val="20"/>
          <w:szCs w:val="20"/>
        </w:rPr>
        <w:t>JANVIER</w:t>
      </w:r>
      <w:r w:rsidR="00F16063" w:rsidRPr="004F4118">
        <w:rPr>
          <w:b/>
          <w:sz w:val="20"/>
          <w:szCs w:val="20"/>
        </w:rPr>
        <w:t xml:space="preserve"> </w:t>
      </w:r>
      <w:r w:rsidR="0034657E" w:rsidRPr="004F4118">
        <w:rPr>
          <w:b/>
          <w:sz w:val="20"/>
          <w:szCs w:val="20"/>
        </w:rPr>
        <w:t>20</w:t>
      </w:r>
      <w:r w:rsidR="005967EF" w:rsidRPr="004F4118">
        <w:rPr>
          <w:b/>
          <w:sz w:val="20"/>
          <w:szCs w:val="20"/>
        </w:rPr>
        <w:t>2</w:t>
      </w:r>
      <w:r w:rsidRPr="004F4118">
        <w:rPr>
          <w:b/>
          <w:sz w:val="20"/>
          <w:szCs w:val="20"/>
        </w:rPr>
        <w:t>2</w:t>
      </w:r>
    </w:p>
    <w:p w:rsidR="00E9644A" w:rsidRPr="004F4118" w:rsidRDefault="00E9644A" w:rsidP="00E9644A">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644A" w:rsidRPr="004F4118" w:rsidTr="00C66082">
        <w:tc>
          <w:tcPr>
            <w:tcW w:w="543" w:type="pct"/>
          </w:tcPr>
          <w:p w:rsidR="00E9644A" w:rsidRPr="004F4118" w:rsidRDefault="00E9644A" w:rsidP="00C66082">
            <w:pPr>
              <w:jc w:val="both"/>
              <w:rPr>
                <w:sz w:val="20"/>
                <w:szCs w:val="20"/>
              </w:rPr>
            </w:pPr>
            <w:r w:rsidRPr="004F4118">
              <w:rPr>
                <w:rStyle w:val="SCCFileNumberChar"/>
                <w:sz w:val="20"/>
                <w:szCs w:val="20"/>
              </w:rPr>
              <w:t>39683</w:t>
            </w:r>
          </w:p>
        </w:tc>
        <w:tc>
          <w:tcPr>
            <w:tcW w:w="4457" w:type="pct"/>
            <w:gridSpan w:val="3"/>
          </w:tcPr>
          <w:p w:rsidR="00E9644A" w:rsidRPr="004F4118" w:rsidRDefault="00E9644A" w:rsidP="00C66082">
            <w:pPr>
              <w:pStyle w:val="SCCLsocParty"/>
              <w:jc w:val="both"/>
              <w:rPr>
                <w:b/>
                <w:sz w:val="20"/>
                <w:szCs w:val="20"/>
                <w:lang w:val="en-US"/>
              </w:rPr>
            </w:pPr>
            <w:r w:rsidRPr="004F4118">
              <w:rPr>
                <w:b/>
                <w:sz w:val="20"/>
                <w:szCs w:val="20"/>
                <w:lang w:val="en-US"/>
              </w:rPr>
              <w:t xml:space="preserve">Romandale Farms Limited v. </w:t>
            </w:r>
            <w:r w:rsidR="00CB7BE3" w:rsidRPr="004F4118">
              <w:rPr>
                <w:b/>
                <w:sz w:val="20"/>
                <w:szCs w:val="20"/>
                <w:lang w:val="en-US"/>
              </w:rPr>
              <w:t>Fram Elgin Mills 90 Inc. (formerly Frambordeaux Developments Inc.), Fram 405 Construction Ltd., Jeffrey Kerbel, 2001251 Ontario Inc. and First Elgin Developments Inc.</w:t>
            </w:r>
          </w:p>
          <w:p w:rsidR="00E9644A" w:rsidRPr="004F4118" w:rsidRDefault="00E9644A" w:rsidP="00C66082">
            <w:pPr>
              <w:jc w:val="both"/>
              <w:rPr>
                <w:sz w:val="20"/>
                <w:szCs w:val="20"/>
              </w:rPr>
            </w:pPr>
            <w:r w:rsidRPr="004F4118">
              <w:rPr>
                <w:sz w:val="20"/>
                <w:szCs w:val="20"/>
              </w:rPr>
              <w:t>(Ont.) (Civil) (By Leave)</w:t>
            </w:r>
          </w:p>
        </w:tc>
      </w:tr>
      <w:tr w:rsidR="00E9644A" w:rsidRPr="004F4118" w:rsidTr="00C66082">
        <w:tc>
          <w:tcPr>
            <w:tcW w:w="5000" w:type="pct"/>
            <w:gridSpan w:val="4"/>
          </w:tcPr>
          <w:p w:rsidR="00CB7BE3" w:rsidRPr="004F4118" w:rsidRDefault="00CB7BE3" w:rsidP="00CB7BE3">
            <w:pPr>
              <w:jc w:val="both"/>
              <w:rPr>
                <w:sz w:val="20"/>
                <w:szCs w:val="20"/>
              </w:rPr>
            </w:pPr>
            <w:r w:rsidRPr="004F4118">
              <w:rPr>
                <w:sz w:val="20"/>
                <w:szCs w:val="20"/>
              </w:rPr>
              <w:t>The application for leave to appeal from the judgment of the</w:t>
            </w:r>
            <w:bookmarkStart w:id="3" w:name="BM_1_"/>
            <w:bookmarkEnd w:id="3"/>
            <w:r w:rsidRPr="004F4118">
              <w:rPr>
                <w:sz w:val="20"/>
                <w:szCs w:val="20"/>
              </w:rPr>
              <w:t xml:space="preserve"> Court of Appeal for Ontario, Numbers C67533 and C67557, 2021 ONCA 201, dated April 1, 2021, is dismissed with costs.</w:t>
            </w:r>
          </w:p>
          <w:p w:rsidR="00E9644A" w:rsidRPr="004F4118" w:rsidRDefault="00E9644A" w:rsidP="00C66082">
            <w:pPr>
              <w:jc w:val="both"/>
              <w:rPr>
                <w:sz w:val="20"/>
                <w:szCs w:val="20"/>
              </w:rPr>
            </w:pPr>
          </w:p>
        </w:tc>
      </w:tr>
      <w:tr w:rsidR="00E9644A" w:rsidRPr="004F4118" w:rsidTr="00C66082">
        <w:tc>
          <w:tcPr>
            <w:tcW w:w="5000" w:type="pct"/>
            <w:gridSpan w:val="4"/>
          </w:tcPr>
          <w:p w:rsidR="00E9644A" w:rsidRPr="004F4118" w:rsidRDefault="00E9644A" w:rsidP="00C66082">
            <w:pPr>
              <w:jc w:val="both"/>
              <w:rPr>
                <w:sz w:val="20"/>
                <w:szCs w:val="20"/>
              </w:rPr>
            </w:pPr>
            <w:r w:rsidRPr="004F4118">
              <w:rPr>
                <w:sz w:val="20"/>
                <w:szCs w:val="20"/>
              </w:rPr>
              <w:t>Contracts — Commercial contracts — Breach — Estoppel by convention — Duty of good faith Remedies — Specific performance — Doctrine of frustration — How does estoppel by convention affect commercial agreements — What is the scope of the good faith duties relating to evasion and cooperation? — Whether the organizing principle of good faith informs contractual remedies — When can courts order specific performance for investment properties — Should the doctrine of frustration protect parties’ reasonable expectations?</w:t>
            </w:r>
          </w:p>
        </w:tc>
      </w:tr>
      <w:tr w:rsidR="00E9644A" w:rsidRPr="004F4118" w:rsidTr="00C66082">
        <w:tc>
          <w:tcPr>
            <w:tcW w:w="5000" w:type="pct"/>
            <w:gridSpan w:val="4"/>
          </w:tcPr>
          <w:p w:rsidR="00E9644A" w:rsidRPr="004F4118" w:rsidRDefault="00E9644A" w:rsidP="00C66082">
            <w:pPr>
              <w:jc w:val="both"/>
              <w:rPr>
                <w:sz w:val="20"/>
                <w:szCs w:val="20"/>
              </w:rPr>
            </w:pPr>
          </w:p>
        </w:tc>
      </w:tr>
      <w:tr w:rsidR="00E9644A" w:rsidRPr="004F4118" w:rsidTr="00C66082">
        <w:tc>
          <w:tcPr>
            <w:tcW w:w="5000" w:type="pct"/>
            <w:gridSpan w:val="4"/>
          </w:tcPr>
          <w:p w:rsidR="00E9644A" w:rsidRPr="004F4118" w:rsidRDefault="00E9644A" w:rsidP="00C66082">
            <w:pPr>
              <w:jc w:val="both"/>
              <w:rPr>
                <w:sz w:val="20"/>
                <w:szCs w:val="20"/>
              </w:rPr>
            </w:pPr>
            <w:r w:rsidRPr="004F4118">
              <w:rPr>
                <w:sz w:val="20"/>
                <w:szCs w:val="20"/>
              </w:rPr>
              <w:t xml:space="preserve">The applicant, Romandale Farms Limited (“Romandale”) owned two neighbouring farms in Markham, comprising approximately 275 acres of undeveloped lands. It entered into separate agreements with the respondents with a view to developing and selling the lands. First, in 2003, Romandale entered into an agreement (“2003 agreement”) with Fram Elgin Mills 90 Inc. (Formerly Frambordeaux Developments Inc.) and Fram 405 Construction Ltd. (collectively, “Fram”)), and then, in 2005, it entered into an agreement (“2005 agreement”) with Jeffrey Kerbel, 2001251 Ontario Inc. and First Elgin Developments Inc. (collectively, “Kerbel”)). In 2007 and 2008, Fram sued Romandale and Kerbel, claiming that the 2005 agreement was an impermissible disposition of Romandale’s interest in the lands under the 2003 agreement and that the 2005 agreement amounted to a breach of another component of the 2003 agreement. In 2009, government decisions significantly changed the timelines and development prospects for the lands, indicating that secondary planning approval (“SPA”) would be delayed for decades. In an attempt to settle the existing actions, the parties reached an agreement in principle. Romandale withdrew from the agreement but Fram and Kerbel settled the matters between them in 2010. They entered into a settlement agreement, which included a statement of the parties’ intention that the purchase and sale of Romandale’s remaining interest in the lands to Kerbel would take place after the lands obtained SPA. Fram amended its pleadings to remove its claims against Kerbel. In 2014, Romandale sued Kerbel, and eventually took the position that Kerbel had repudiated the 2005 agreement. In 2016, Kerbel sued Romandale to compel it to perform its remaining obligation under the 2005 agreement. At trial, all four actions were resolved in favour of Romandale. The trial judge’s key determination was that Kerbel repudiated the 2005 agreement when it entered into the settlement agreement. The trial judge found that Romandale had accepted the repudiation and she concluded that the 2005 agreement was at an end. Fram and Kerbel’s appeals were allowed. The Court of Appeal ordered specific performance of the 2005 agreement. </w:t>
            </w:r>
          </w:p>
          <w:p w:rsidR="00E9644A" w:rsidRPr="004F4118" w:rsidRDefault="00E9644A" w:rsidP="00C66082">
            <w:pPr>
              <w:jc w:val="both"/>
              <w:rPr>
                <w:sz w:val="20"/>
                <w:szCs w:val="20"/>
              </w:rPr>
            </w:pPr>
          </w:p>
        </w:tc>
      </w:tr>
      <w:tr w:rsidR="00E9644A" w:rsidRPr="004F4118" w:rsidTr="00C66082">
        <w:tc>
          <w:tcPr>
            <w:tcW w:w="2427" w:type="pct"/>
            <w:gridSpan w:val="2"/>
          </w:tcPr>
          <w:p w:rsidR="00E9644A" w:rsidRPr="004F4118" w:rsidRDefault="00E9644A" w:rsidP="00C66082">
            <w:pPr>
              <w:jc w:val="both"/>
              <w:rPr>
                <w:sz w:val="20"/>
                <w:szCs w:val="20"/>
              </w:rPr>
            </w:pPr>
            <w:r w:rsidRPr="004F4118">
              <w:rPr>
                <w:sz w:val="20"/>
                <w:szCs w:val="20"/>
              </w:rPr>
              <w:t>September 13, 2019</w:t>
            </w:r>
          </w:p>
          <w:p w:rsidR="00E9644A" w:rsidRPr="004F4118" w:rsidRDefault="00E9644A" w:rsidP="00C66082">
            <w:pPr>
              <w:jc w:val="both"/>
              <w:rPr>
                <w:sz w:val="20"/>
                <w:szCs w:val="20"/>
              </w:rPr>
            </w:pPr>
            <w:r w:rsidRPr="004F4118">
              <w:rPr>
                <w:sz w:val="20"/>
                <w:szCs w:val="20"/>
              </w:rPr>
              <w:t>Ontario Superior Court of Justice</w:t>
            </w:r>
          </w:p>
          <w:p w:rsidR="00E9644A" w:rsidRPr="004F4118" w:rsidRDefault="00E9644A" w:rsidP="00C66082">
            <w:pPr>
              <w:jc w:val="both"/>
              <w:rPr>
                <w:sz w:val="20"/>
                <w:szCs w:val="20"/>
              </w:rPr>
            </w:pPr>
            <w:r w:rsidRPr="004F4118">
              <w:rPr>
                <w:sz w:val="20"/>
                <w:szCs w:val="20"/>
              </w:rPr>
              <w:t>(Spies J.)</w:t>
            </w:r>
          </w:p>
          <w:p w:rsidR="00E9644A" w:rsidRPr="004F4118" w:rsidRDefault="00DF0AA3" w:rsidP="00C66082">
            <w:pPr>
              <w:jc w:val="both"/>
              <w:rPr>
                <w:sz w:val="20"/>
                <w:szCs w:val="20"/>
              </w:rPr>
            </w:pPr>
            <w:hyperlink r:id="rId15" w:history="1">
              <w:r w:rsidR="00E9644A" w:rsidRPr="004F4118">
                <w:rPr>
                  <w:rStyle w:val="Hyperlink"/>
                  <w:sz w:val="20"/>
                  <w:szCs w:val="20"/>
                </w:rPr>
                <w:t>2019 ONSC 5322</w:t>
              </w:r>
            </w:hyperlink>
            <w:r w:rsidR="00E9644A" w:rsidRPr="004F4118">
              <w:rPr>
                <w:sz w:val="20"/>
                <w:szCs w:val="20"/>
              </w:rPr>
              <w:t xml:space="preserve"> </w:t>
            </w:r>
          </w:p>
          <w:p w:rsidR="00E9644A" w:rsidRPr="004F4118" w:rsidRDefault="00E9644A" w:rsidP="00C66082">
            <w:pPr>
              <w:jc w:val="both"/>
              <w:rPr>
                <w:sz w:val="20"/>
                <w:szCs w:val="20"/>
              </w:rPr>
            </w:pPr>
          </w:p>
        </w:tc>
        <w:tc>
          <w:tcPr>
            <w:tcW w:w="243" w:type="pct"/>
          </w:tcPr>
          <w:p w:rsidR="00E9644A" w:rsidRPr="004F4118" w:rsidRDefault="00E9644A" w:rsidP="00C66082">
            <w:pPr>
              <w:jc w:val="both"/>
              <w:rPr>
                <w:sz w:val="20"/>
                <w:szCs w:val="20"/>
              </w:rPr>
            </w:pPr>
          </w:p>
        </w:tc>
        <w:tc>
          <w:tcPr>
            <w:tcW w:w="2330" w:type="pct"/>
          </w:tcPr>
          <w:p w:rsidR="00E9644A" w:rsidRPr="004F4118" w:rsidRDefault="00E9644A" w:rsidP="00C66082">
            <w:pPr>
              <w:jc w:val="both"/>
              <w:rPr>
                <w:sz w:val="20"/>
                <w:szCs w:val="20"/>
              </w:rPr>
            </w:pPr>
            <w:r w:rsidRPr="004F4118">
              <w:rPr>
                <w:sz w:val="20"/>
                <w:szCs w:val="20"/>
              </w:rPr>
              <w:t xml:space="preserve">All claims asserted by respondents against applicant dismissed. Declaration sought by applicant granted: 2005 agreement is at an end. </w:t>
            </w:r>
          </w:p>
        </w:tc>
      </w:tr>
      <w:tr w:rsidR="00E9644A" w:rsidRPr="004F4118" w:rsidTr="00C66082">
        <w:tc>
          <w:tcPr>
            <w:tcW w:w="2427" w:type="pct"/>
            <w:gridSpan w:val="2"/>
          </w:tcPr>
          <w:p w:rsidR="00E9644A" w:rsidRPr="004F4118" w:rsidRDefault="00E9644A" w:rsidP="00C66082">
            <w:pPr>
              <w:jc w:val="both"/>
              <w:rPr>
                <w:sz w:val="20"/>
                <w:szCs w:val="20"/>
              </w:rPr>
            </w:pPr>
            <w:r w:rsidRPr="004F4118">
              <w:rPr>
                <w:sz w:val="20"/>
                <w:szCs w:val="20"/>
              </w:rPr>
              <w:t>April 1, 2021</w:t>
            </w:r>
          </w:p>
          <w:p w:rsidR="00E9644A" w:rsidRPr="004F4118" w:rsidRDefault="00E9644A" w:rsidP="00C66082">
            <w:pPr>
              <w:jc w:val="both"/>
              <w:rPr>
                <w:sz w:val="20"/>
                <w:szCs w:val="20"/>
              </w:rPr>
            </w:pPr>
            <w:r w:rsidRPr="004F4118">
              <w:rPr>
                <w:sz w:val="20"/>
                <w:szCs w:val="20"/>
              </w:rPr>
              <w:t>Court of Appeal for Ontario</w:t>
            </w:r>
          </w:p>
          <w:p w:rsidR="00E9644A" w:rsidRPr="004F4118" w:rsidRDefault="00E9644A" w:rsidP="00C66082">
            <w:pPr>
              <w:jc w:val="both"/>
              <w:rPr>
                <w:sz w:val="20"/>
                <w:szCs w:val="20"/>
              </w:rPr>
            </w:pPr>
            <w:r w:rsidRPr="004F4118">
              <w:rPr>
                <w:sz w:val="20"/>
                <w:szCs w:val="20"/>
              </w:rPr>
              <w:t>(Gillese, Lauwers, Benotto JJ.A.)</w:t>
            </w:r>
          </w:p>
          <w:p w:rsidR="00E9644A" w:rsidRPr="004F4118" w:rsidRDefault="00DF0AA3" w:rsidP="00C66082">
            <w:pPr>
              <w:jc w:val="both"/>
              <w:rPr>
                <w:sz w:val="20"/>
                <w:szCs w:val="20"/>
              </w:rPr>
            </w:pPr>
            <w:hyperlink r:id="rId16" w:history="1">
              <w:r w:rsidR="00E9644A" w:rsidRPr="004F4118">
                <w:rPr>
                  <w:rStyle w:val="Hyperlink"/>
                  <w:sz w:val="20"/>
                  <w:szCs w:val="20"/>
                  <w:lang w:val="en"/>
                </w:rPr>
                <w:t>2021 ONCA 201</w:t>
              </w:r>
            </w:hyperlink>
            <w:r w:rsidR="00E9644A" w:rsidRPr="004F4118">
              <w:rPr>
                <w:sz w:val="20"/>
                <w:szCs w:val="20"/>
                <w:lang w:val="en"/>
              </w:rPr>
              <w:t xml:space="preserve"> (Dockets: C67533 and C67557)</w:t>
            </w:r>
          </w:p>
          <w:p w:rsidR="00E9644A" w:rsidRPr="004F4118" w:rsidRDefault="00E9644A" w:rsidP="00C66082">
            <w:pPr>
              <w:jc w:val="both"/>
              <w:rPr>
                <w:sz w:val="20"/>
                <w:szCs w:val="20"/>
              </w:rPr>
            </w:pPr>
          </w:p>
        </w:tc>
        <w:tc>
          <w:tcPr>
            <w:tcW w:w="243" w:type="pct"/>
          </w:tcPr>
          <w:p w:rsidR="00E9644A" w:rsidRPr="004F4118" w:rsidRDefault="00E9644A" w:rsidP="00C66082">
            <w:pPr>
              <w:jc w:val="both"/>
              <w:rPr>
                <w:sz w:val="20"/>
                <w:szCs w:val="20"/>
              </w:rPr>
            </w:pPr>
          </w:p>
        </w:tc>
        <w:tc>
          <w:tcPr>
            <w:tcW w:w="2330" w:type="pct"/>
          </w:tcPr>
          <w:p w:rsidR="00E9644A" w:rsidRPr="004F4118" w:rsidRDefault="00E9644A" w:rsidP="00C66082">
            <w:pPr>
              <w:jc w:val="both"/>
              <w:rPr>
                <w:sz w:val="20"/>
                <w:szCs w:val="20"/>
              </w:rPr>
            </w:pPr>
            <w:r w:rsidRPr="004F4118">
              <w:rPr>
                <w:sz w:val="20"/>
                <w:szCs w:val="20"/>
              </w:rPr>
              <w:t xml:space="preserve">Respondents’ appeals allowed. Declaration issued: 2005 agreement is valid and enforceable. Applicant ordered to specifically perform its obligations under that agreement. </w:t>
            </w:r>
          </w:p>
          <w:p w:rsidR="00E9644A" w:rsidRPr="004F4118" w:rsidRDefault="00E9644A" w:rsidP="00C66082">
            <w:pPr>
              <w:jc w:val="both"/>
              <w:rPr>
                <w:sz w:val="20"/>
                <w:szCs w:val="20"/>
              </w:rPr>
            </w:pPr>
          </w:p>
        </w:tc>
      </w:tr>
      <w:tr w:rsidR="00E9644A" w:rsidRPr="004F4118" w:rsidTr="00C66082">
        <w:tc>
          <w:tcPr>
            <w:tcW w:w="2427" w:type="pct"/>
            <w:gridSpan w:val="2"/>
          </w:tcPr>
          <w:p w:rsidR="00E9644A" w:rsidRPr="004F4118" w:rsidRDefault="00E9644A" w:rsidP="00C66082">
            <w:pPr>
              <w:jc w:val="both"/>
              <w:rPr>
                <w:sz w:val="20"/>
                <w:szCs w:val="20"/>
              </w:rPr>
            </w:pPr>
            <w:r w:rsidRPr="004F4118">
              <w:rPr>
                <w:sz w:val="20"/>
                <w:szCs w:val="20"/>
              </w:rPr>
              <w:t>May 26, 2021</w:t>
            </w:r>
          </w:p>
          <w:p w:rsidR="00E9644A" w:rsidRPr="004F4118" w:rsidRDefault="00E9644A" w:rsidP="00C66082">
            <w:pPr>
              <w:jc w:val="both"/>
              <w:rPr>
                <w:sz w:val="20"/>
                <w:szCs w:val="20"/>
              </w:rPr>
            </w:pPr>
            <w:r w:rsidRPr="004F4118">
              <w:rPr>
                <w:sz w:val="20"/>
                <w:szCs w:val="20"/>
              </w:rPr>
              <w:t>Supreme Court of Canada</w:t>
            </w:r>
          </w:p>
        </w:tc>
        <w:tc>
          <w:tcPr>
            <w:tcW w:w="243" w:type="pct"/>
          </w:tcPr>
          <w:p w:rsidR="00E9644A" w:rsidRPr="004F4118" w:rsidRDefault="00E9644A" w:rsidP="00C66082">
            <w:pPr>
              <w:jc w:val="both"/>
              <w:rPr>
                <w:sz w:val="20"/>
                <w:szCs w:val="20"/>
              </w:rPr>
            </w:pPr>
          </w:p>
        </w:tc>
        <w:tc>
          <w:tcPr>
            <w:tcW w:w="2330" w:type="pct"/>
          </w:tcPr>
          <w:p w:rsidR="00E9644A" w:rsidRPr="004F4118" w:rsidRDefault="00E9644A" w:rsidP="00C66082">
            <w:pPr>
              <w:jc w:val="both"/>
              <w:rPr>
                <w:sz w:val="20"/>
                <w:szCs w:val="20"/>
              </w:rPr>
            </w:pPr>
            <w:r w:rsidRPr="004F4118">
              <w:rPr>
                <w:sz w:val="20"/>
                <w:szCs w:val="20"/>
              </w:rPr>
              <w:t>Application for leave to appeal filed</w:t>
            </w:r>
          </w:p>
          <w:p w:rsidR="00E9644A" w:rsidRPr="004F4118" w:rsidRDefault="00E9644A" w:rsidP="00C66082">
            <w:pPr>
              <w:jc w:val="both"/>
              <w:rPr>
                <w:sz w:val="20"/>
                <w:szCs w:val="20"/>
              </w:rPr>
            </w:pPr>
          </w:p>
        </w:tc>
      </w:tr>
    </w:tbl>
    <w:p w:rsidR="00E9644A" w:rsidRPr="004F4118" w:rsidRDefault="00E9644A" w:rsidP="00E9644A">
      <w:pPr>
        <w:jc w:val="both"/>
        <w:rPr>
          <w:sz w:val="20"/>
        </w:rPr>
      </w:pPr>
    </w:p>
    <w:p w:rsidR="00E9644A" w:rsidRPr="004F4118" w:rsidRDefault="00DF0AA3" w:rsidP="00E9644A">
      <w:pPr>
        <w:jc w:val="both"/>
        <w:rPr>
          <w:sz w:val="20"/>
        </w:rPr>
      </w:pPr>
      <w:r>
        <w:rPr>
          <w:sz w:val="20"/>
        </w:rPr>
        <w:pict>
          <v:rect id="_x0000_i1037" style="width:2in;height:1pt" o:hrpct="0" o:hralign="center" o:hrstd="t" o:hrnoshade="t" o:hr="t" fillcolor="black [3213]" stroked="f"/>
        </w:pict>
      </w:r>
    </w:p>
    <w:p w:rsidR="00E9644A" w:rsidRPr="004F4118" w:rsidRDefault="00E9644A" w:rsidP="00E9644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644A" w:rsidRPr="004F4118" w:rsidTr="00C66082">
        <w:tc>
          <w:tcPr>
            <w:tcW w:w="543" w:type="pct"/>
          </w:tcPr>
          <w:p w:rsidR="00E9644A" w:rsidRPr="004F4118" w:rsidRDefault="00E9644A" w:rsidP="00C66082">
            <w:pPr>
              <w:jc w:val="both"/>
              <w:rPr>
                <w:sz w:val="20"/>
                <w:szCs w:val="20"/>
                <w:lang w:val="fr-CA"/>
              </w:rPr>
            </w:pPr>
            <w:r w:rsidRPr="004F4118">
              <w:rPr>
                <w:rStyle w:val="SCCFileNumberChar"/>
                <w:sz w:val="20"/>
                <w:szCs w:val="20"/>
                <w:lang w:val="fr-CA"/>
              </w:rPr>
              <w:lastRenderedPageBreak/>
              <w:t>39683</w:t>
            </w:r>
          </w:p>
        </w:tc>
        <w:tc>
          <w:tcPr>
            <w:tcW w:w="4457" w:type="pct"/>
            <w:gridSpan w:val="3"/>
          </w:tcPr>
          <w:p w:rsidR="00E9644A" w:rsidRPr="004F4118" w:rsidRDefault="00E9644A" w:rsidP="00C66082">
            <w:pPr>
              <w:pStyle w:val="SCCLsocParty"/>
              <w:jc w:val="both"/>
              <w:rPr>
                <w:b/>
                <w:sz w:val="20"/>
                <w:szCs w:val="20"/>
              </w:rPr>
            </w:pPr>
            <w:r w:rsidRPr="004F4118">
              <w:rPr>
                <w:b/>
                <w:sz w:val="20"/>
                <w:szCs w:val="20"/>
                <w:lang w:val="en-US"/>
              </w:rPr>
              <w:t xml:space="preserve">Romandale Farms Limited c. </w:t>
            </w:r>
            <w:r w:rsidR="00CB7BE3" w:rsidRPr="004F4118">
              <w:rPr>
                <w:b/>
                <w:sz w:val="20"/>
                <w:szCs w:val="20"/>
                <w:lang w:val="en-US"/>
              </w:rPr>
              <w:t xml:space="preserve">Fram Elgin Mills 90 Inc. </w:t>
            </w:r>
            <w:r w:rsidR="00CB7BE3" w:rsidRPr="004F4118">
              <w:rPr>
                <w:b/>
                <w:sz w:val="20"/>
                <w:szCs w:val="20"/>
              </w:rPr>
              <w:t>(auparavant Frambordeaux Developments Inc.), Fram 405 Construction Ltd., Jeffrey Kerbel, 2001251 Ontario Inc. et First Elgin Developments Inc.</w:t>
            </w:r>
          </w:p>
          <w:p w:rsidR="00E9644A" w:rsidRPr="004F4118" w:rsidRDefault="00E9644A" w:rsidP="00C66082">
            <w:pPr>
              <w:jc w:val="both"/>
              <w:rPr>
                <w:sz w:val="20"/>
                <w:szCs w:val="20"/>
                <w:lang w:val="fr-CA"/>
              </w:rPr>
            </w:pPr>
            <w:r w:rsidRPr="004F4118">
              <w:rPr>
                <w:sz w:val="20"/>
                <w:szCs w:val="20"/>
                <w:lang w:val="fr-CA"/>
              </w:rPr>
              <w:t>(Ont.) (Civile) (Sur autorisation)</w:t>
            </w:r>
          </w:p>
        </w:tc>
      </w:tr>
      <w:tr w:rsidR="00E9644A" w:rsidRPr="004F4118" w:rsidTr="00C66082">
        <w:tc>
          <w:tcPr>
            <w:tcW w:w="5000" w:type="pct"/>
            <w:gridSpan w:val="4"/>
          </w:tcPr>
          <w:p w:rsidR="00E9644A" w:rsidRPr="004F4118" w:rsidRDefault="00CB7BE3" w:rsidP="00C66082">
            <w:pPr>
              <w:jc w:val="both"/>
              <w:rPr>
                <w:sz w:val="20"/>
                <w:szCs w:val="20"/>
                <w:lang w:val="fr-CA"/>
              </w:rPr>
            </w:pPr>
            <w:r w:rsidRPr="004F4118">
              <w:rPr>
                <w:sz w:val="20"/>
                <w:szCs w:val="20"/>
                <w:lang w:val="fr-CA"/>
              </w:rPr>
              <w:t>La demande d’autorisation d’appel de l’arrêt de la Cour d’appel de l’Ontario, numéros C67533 et C67557, 2021 ONCA 201, daté du 1</w:t>
            </w:r>
            <w:r w:rsidRPr="004F4118">
              <w:rPr>
                <w:sz w:val="20"/>
                <w:szCs w:val="20"/>
                <w:vertAlign w:val="superscript"/>
                <w:lang w:val="fr-CA"/>
              </w:rPr>
              <w:t>er</w:t>
            </w:r>
            <w:r w:rsidRPr="004F4118">
              <w:rPr>
                <w:sz w:val="20"/>
                <w:szCs w:val="20"/>
                <w:lang w:val="fr-CA"/>
              </w:rPr>
              <w:t xml:space="preserve"> avril 2021, est rejetée avec dépens.</w:t>
            </w:r>
          </w:p>
          <w:p w:rsidR="00CB7BE3" w:rsidRPr="004F4118" w:rsidRDefault="00CB7BE3" w:rsidP="00C66082">
            <w:pPr>
              <w:jc w:val="both"/>
              <w:rPr>
                <w:sz w:val="20"/>
                <w:szCs w:val="20"/>
                <w:lang w:val="fr-CA"/>
              </w:rPr>
            </w:pPr>
          </w:p>
        </w:tc>
      </w:tr>
      <w:tr w:rsidR="00E9644A" w:rsidRPr="004F4118" w:rsidTr="00C66082">
        <w:tc>
          <w:tcPr>
            <w:tcW w:w="5000" w:type="pct"/>
            <w:gridSpan w:val="4"/>
          </w:tcPr>
          <w:p w:rsidR="00E9644A" w:rsidRPr="004F4118" w:rsidRDefault="00E9644A" w:rsidP="00C66082">
            <w:pPr>
              <w:jc w:val="both"/>
              <w:rPr>
                <w:sz w:val="20"/>
                <w:szCs w:val="20"/>
                <w:lang w:val="fr-CA"/>
              </w:rPr>
            </w:pPr>
            <w:r w:rsidRPr="004F4118">
              <w:rPr>
                <w:sz w:val="20"/>
                <w:szCs w:val="20"/>
                <w:lang w:val="fr-CA"/>
              </w:rPr>
              <w:t>Contrats — Contrats commerciaux — Violation — Préclusion par convention — Obligation de bonne foi — Recours — Exécution en nature — Doctrine de l’impossibilité d’exécution — De quelle façon la préclusion par convention touche</w:t>
            </w:r>
            <w:r w:rsidRPr="004F4118">
              <w:rPr>
                <w:sz w:val="20"/>
                <w:szCs w:val="20"/>
                <w:lang w:val="fr-CA"/>
              </w:rPr>
              <w:noBreakHyphen/>
              <w:t>t</w:t>
            </w:r>
            <w:r w:rsidRPr="004F4118">
              <w:rPr>
                <w:sz w:val="20"/>
                <w:szCs w:val="20"/>
                <w:lang w:val="fr-CA"/>
              </w:rPr>
              <w:noBreakHyphen/>
              <w:t>elle les accords commerciaux? — Quelle est la portée des obligations de bonne foi dans la situation où une partie cherche à se soustraire à son obligation et dans celle où les parties doivent collaborer? — Le principe directeur de la bonne foi est</w:t>
            </w:r>
            <w:r w:rsidRPr="004F4118">
              <w:rPr>
                <w:sz w:val="20"/>
                <w:szCs w:val="20"/>
                <w:lang w:val="fr-CA"/>
              </w:rPr>
              <w:noBreakHyphen/>
              <w:t>il à la base des recours contractuels? — Dans quels cas les tribunaux peuvent</w:t>
            </w:r>
            <w:r w:rsidRPr="004F4118">
              <w:rPr>
                <w:sz w:val="20"/>
                <w:szCs w:val="20"/>
                <w:lang w:val="fr-CA"/>
              </w:rPr>
              <w:noBreakHyphen/>
              <w:t>ils ordonner l’exécution en nature pour les immeubles de placement? — La doctrine de l’impossibilité d’exécution devrait</w:t>
            </w:r>
            <w:r w:rsidRPr="004F4118">
              <w:rPr>
                <w:sz w:val="20"/>
                <w:szCs w:val="20"/>
                <w:lang w:val="fr-CA"/>
              </w:rPr>
              <w:noBreakHyphen/>
              <w:t>elle protéger les attentes raisonnables des parties?</w:t>
            </w:r>
          </w:p>
        </w:tc>
      </w:tr>
      <w:tr w:rsidR="00E9644A" w:rsidRPr="004F4118" w:rsidTr="00C66082">
        <w:tc>
          <w:tcPr>
            <w:tcW w:w="5000" w:type="pct"/>
            <w:gridSpan w:val="4"/>
          </w:tcPr>
          <w:p w:rsidR="00E9644A" w:rsidRPr="004F4118" w:rsidRDefault="00E9644A" w:rsidP="00C66082">
            <w:pPr>
              <w:jc w:val="both"/>
              <w:rPr>
                <w:sz w:val="20"/>
                <w:szCs w:val="20"/>
                <w:lang w:val="fr-CA"/>
              </w:rPr>
            </w:pPr>
          </w:p>
        </w:tc>
      </w:tr>
      <w:tr w:rsidR="00E9644A" w:rsidRPr="004F4118" w:rsidTr="00C66082">
        <w:tc>
          <w:tcPr>
            <w:tcW w:w="5000" w:type="pct"/>
            <w:gridSpan w:val="4"/>
          </w:tcPr>
          <w:p w:rsidR="00E9644A" w:rsidRPr="004F4118" w:rsidRDefault="00E9644A" w:rsidP="00C66082">
            <w:pPr>
              <w:jc w:val="both"/>
              <w:rPr>
                <w:sz w:val="20"/>
                <w:szCs w:val="20"/>
                <w:lang w:val="fr-CA"/>
              </w:rPr>
            </w:pPr>
            <w:r w:rsidRPr="004F4118">
              <w:rPr>
                <w:sz w:val="20"/>
                <w:szCs w:val="20"/>
                <w:lang w:val="fr-CA"/>
              </w:rPr>
              <w:t>La demanderesse, Romandale Farms Limited (« Romandale ») était propriétaire de deux fermes voisines à Markham, totalisant environ 275 acres de terres non bâties. Elle a conclu deux accords distincts avec les intimées en vue d’aménager et des vendre les terres. D’abord, en 2003, Romandale a conclu un accord (« accord de 2003 ») avec Fram Elgin Mills 90 inc. (auparavant Frambordeaux Developments Inc.) et Fram 405 Construction Ltd. (collectivement, « Fram »), et ensuite, en 2005, elle a conclu un accord (« accord de 2005 ») avec Jeffrey Kerbel, 2001251 Ontario Inc. et First Elgin Developments Inc. (collectivement, « Kerbel »)). En 2007 et 2008, Fram a poursuivi Romandale et Kerbel, parce que selon elle l’accord de 2005 constituait une aliénation non autorisée de l’intérêt de Romandale dans les terres selon l’accord de 2003, et que l’accord de 2005 représentait une violation d’un autre élément de l’accord de 2003. En 2009, des décisions gouvernementales ont considérablement changé les délais et les perspectives d’aménagement des terres, car elles indiquaient que l’approbation secondaire de planification (« ASP ») serait retardée pour des décennies. Dans une tentative de régler les actions existantes, les parties ont conclu un accord de principe. Romandale s’est retirée de l’accord mais Fram et Kerbel ont réglé les questions entre elles en 2010. Elles ont conclu un accord de règlement, qui comprenait un énoncé de l’intention des parties, selon lequel l’achat et la vente de l’intérêt restant de Romandale dans les terres à Kerbel auraient lieu après l’obtention de l’ASP pour les terres. Fram a modifié sa plaidoirie pour retirer ses demandes envers Kerbel. En 2014, Romandale a poursuivi Kerbel, et a finalement fait valoir que Kerbel avait répudié l’accord de 2005. En 2016, Kerbel a poursuivi Romandale pour la contraindre à exécuter son obligation restante au titre de l’accord de 2005. Au procès, les quatre actions ont été réglées en faveur de Romandale. La principale conclusion de la juge de première instance était que Kerbel avait répudié l’accord de 2005 lorsqu’elle a conclu l’accord de règlement. La juge de première instance a conclu que Romandale avait accepté la répudiation et que l’accord de 2005 était terminé. Les appels de Fram et de Kerbel ont été autorisés. La Cour d’appel a ordonné l’exécution en nature de l’accord de 2005.</w:t>
            </w:r>
          </w:p>
          <w:p w:rsidR="00E9644A" w:rsidRPr="004F4118" w:rsidRDefault="00E9644A" w:rsidP="00C66082">
            <w:pPr>
              <w:jc w:val="both"/>
              <w:rPr>
                <w:sz w:val="20"/>
                <w:szCs w:val="20"/>
                <w:lang w:val="fr-CA"/>
              </w:rPr>
            </w:pPr>
          </w:p>
        </w:tc>
      </w:tr>
      <w:tr w:rsidR="00E9644A" w:rsidRPr="004F4118" w:rsidTr="00C66082">
        <w:tc>
          <w:tcPr>
            <w:tcW w:w="2427" w:type="pct"/>
            <w:gridSpan w:val="2"/>
          </w:tcPr>
          <w:p w:rsidR="00E9644A" w:rsidRPr="004F4118" w:rsidRDefault="00E9644A" w:rsidP="00C66082">
            <w:pPr>
              <w:jc w:val="both"/>
              <w:rPr>
                <w:sz w:val="20"/>
                <w:szCs w:val="20"/>
                <w:lang w:val="fr-CA"/>
              </w:rPr>
            </w:pPr>
            <w:r w:rsidRPr="004F4118">
              <w:rPr>
                <w:sz w:val="20"/>
                <w:szCs w:val="20"/>
                <w:lang w:val="fr-CA"/>
              </w:rPr>
              <w:t>13 septembre 2019</w:t>
            </w:r>
          </w:p>
          <w:p w:rsidR="00E9644A" w:rsidRPr="004F4118" w:rsidRDefault="00E9644A" w:rsidP="00C66082">
            <w:pPr>
              <w:jc w:val="both"/>
              <w:rPr>
                <w:sz w:val="20"/>
                <w:szCs w:val="20"/>
                <w:lang w:val="fr-CA"/>
              </w:rPr>
            </w:pPr>
            <w:r w:rsidRPr="004F4118">
              <w:rPr>
                <w:sz w:val="20"/>
                <w:szCs w:val="20"/>
                <w:lang w:val="fr-CA"/>
              </w:rPr>
              <w:t>Cour supérieure de justice de l’Ontario</w:t>
            </w:r>
          </w:p>
          <w:p w:rsidR="00E9644A" w:rsidRPr="004F4118" w:rsidRDefault="00E9644A" w:rsidP="00C66082">
            <w:pPr>
              <w:jc w:val="both"/>
              <w:rPr>
                <w:sz w:val="20"/>
                <w:szCs w:val="20"/>
                <w:lang w:val="fr-CA"/>
              </w:rPr>
            </w:pPr>
            <w:r w:rsidRPr="004F4118">
              <w:rPr>
                <w:sz w:val="20"/>
                <w:szCs w:val="20"/>
                <w:lang w:val="fr-CA"/>
              </w:rPr>
              <w:t>(Juge Spies)</w:t>
            </w:r>
          </w:p>
          <w:p w:rsidR="00E9644A" w:rsidRPr="004F4118" w:rsidRDefault="00DF0AA3" w:rsidP="00C66082">
            <w:pPr>
              <w:jc w:val="both"/>
              <w:rPr>
                <w:sz w:val="20"/>
                <w:szCs w:val="20"/>
                <w:lang w:val="fr-CA"/>
              </w:rPr>
            </w:pPr>
            <w:hyperlink r:id="rId17" w:history="1">
              <w:r w:rsidR="00E9644A" w:rsidRPr="004F4118">
                <w:rPr>
                  <w:rStyle w:val="Hyperlink"/>
                  <w:sz w:val="20"/>
                  <w:szCs w:val="20"/>
                  <w:lang w:val="fr-CA"/>
                </w:rPr>
                <w:t>2019 ONSC 5322</w:t>
              </w:r>
            </w:hyperlink>
            <w:r w:rsidR="00E9644A" w:rsidRPr="004F4118">
              <w:rPr>
                <w:sz w:val="20"/>
                <w:szCs w:val="20"/>
                <w:lang w:val="fr-CA"/>
              </w:rPr>
              <w:t xml:space="preserve"> </w:t>
            </w:r>
          </w:p>
          <w:p w:rsidR="00E9644A" w:rsidRPr="004F4118" w:rsidRDefault="00E9644A" w:rsidP="00C66082">
            <w:pPr>
              <w:jc w:val="both"/>
              <w:rPr>
                <w:sz w:val="20"/>
                <w:szCs w:val="20"/>
                <w:lang w:val="fr-CA"/>
              </w:rPr>
            </w:pPr>
          </w:p>
        </w:tc>
        <w:tc>
          <w:tcPr>
            <w:tcW w:w="243" w:type="pct"/>
          </w:tcPr>
          <w:p w:rsidR="00E9644A" w:rsidRPr="004F4118" w:rsidRDefault="00E9644A" w:rsidP="00C66082">
            <w:pPr>
              <w:jc w:val="both"/>
              <w:rPr>
                <w:sz w:val="20"/>
                <w:szCs w:val="20"/>
                <w:lang w:val="fr-CA"/>
              </w:rPr>
            </w:pPr>
          </w:p>
        </w:tc>
        <w:tc>
          <w:tcPr>
            <w:tcW w:w="2330" w:type="pct"/>
          </w:tcPr>
          <w:p w:rsidR="00E9644A" w:rsidRPr="004F4118" w:rsidRDefault="00E9644A" w:rsidP="00C66082">
            <w:pPr>
              <w:jc w:val="both"/>
              <w:rPr>
                <w:sz w:val="20"/>
                <w:szCs w:val="20"/>
                <w:lang w:val="fr-CA"/>
              </w:rPr>
            </w:pPr>
            <w:r w:rsidRPr="004F4118">
              <w:rPr>
                <w:sz w:val="20"/>
                <w:szCs w:val="20"/>
                <w:lang w:val="fr-CA"/>
              </w:rPr>
              <w:t>Toutes les demandes présentées par les intimées contre la demanderesse sont rejetées. La déclaration demandée par la demanderesse est accordée : l’accord de 2005 est terminé.</w:t>
            </w:r>
          </w:p>
          <w:p w:rsidR="00E9644A" w:rsidRPr="004F4118" w:rsidRDefault="00E9644A" w:rsidP="00C66082">
            <w:pPr>
              <w:jc w:val="both"/>
              <w:rPr>
                <w:sz w:val="20"/>
                <w:szCs w:val="20"/>
                <w:lang w:val="fr-CA"/>
              </w:rPr>
            </w:pPr>
            <w:r w:rsidRPr="004F4118">
              <w:rPr>
                <w:sz w:val="20"/>
                <w:szCs w:val="20"/>
                <w:lang w:val="fr-CA"/>
              </w:rPr>
              <w:t xml:space="preserve"> </w:t>
            </w:r>
          </w:p>
        </w:tc>
      </w:tr>
      <w:tr w:rsidR="00E9644A" w:rsidRPr="004F4118" w:rsidTr="00C66082">
        <w:tc>
          <w:tcPr>
            <w:tcW w:w="2427" w:type="pct"/>
            <w:gridSpan w:val="2"/>
          </w:tcPr>
          <w:p w:rsidR="00E9644A" w:rsidRPr="004F4118" w:rsidRDefault="00E9644A" w:rsidP="00C66082">
            <w:pPr>
              <w:jc w:val="both"/>
              <w:rPr>
                <w:sz w:val="20"/>
                <w:szCs w:val="20"/>
                <w:lang w:val="fr-CA"/>
              </w:rPr>
            </w:pPr>
            <w:r w:rsidRPr="004F4118">
              <w:rPr>
                <w:sz w:val="20"/>
                <w:szCs w:val="20"/>
                <w:lang w:val="fr-CA"/>
              </w:rPr>
              <w:t>1</w:t>
            </w:r>
            <w:r w:rsidRPr="004F4118">
              <w:rPr>
                <w:sz w:val="20"/>
                <w:szCs w:val="20"/>
                <w:vertAlign w:val="superscript"/>
                <w:lang w:val="fr-CA"/>
              </w:rPr>
              <w:t>er</w:t>
            </w:r>
            <w:r w:rsidRPr="004F4118">
              <w:rPr>
                <w:sz w:val="20"/>
                <w:szCs w:val="20"/>
                <w:lang w:val="fr-CA"/>
              </w:rPr>
              <w:t xml:space="preserve"> avril 2021</w:t>
            </w:r>
          </w:p>
          <w:p w:rsidR="00E9644A" w:rsidRPr="004F4118" w:rsidRDefault="00E9644A" w:rsidP="00C66082">
            <w:pPr>
              <w:jc w:val="both"/>
              <w:rPr>
                <w:sz w:val="20"/>
                <w:szCs w:val="20"/>
                <w:lang w:val="fr-CA"/>
              </w:rPr>
            </w:pPr>
            <w:r w:rsidRPr="004F4118">
              <w:rPr>
                <w:sz w:val="20"/>
                <w:szCs w:val="20"/>
                <w:lang w:val="fr-CA"/>
              </w:rPr>
              <w:t>Cour d’appel de l’Ontario</w:t>
            </w:r>
          </w:p>
          <w:p w:rsidR="00E9644A" w:rsidRPr="004F4118" w:rsidRDefault="00E9644A" w:rsidP="00C66082">
            <w:pPr>
              <w:jc w:val="both"/>
              <w:rPr>
                <w:sz w:val="20"/>
                <w:szCs w:val="20"/>
                <w:lang w:val="fr-CA"/>
              </w:rPr>
            </w:pPr>
            <w:r w:rsidRPr="004F4118">
              <w:rPr>
                <w:sz w:val="20"/>
                <w:szCs w:val="20"/>
                <w:lang w:val="fr-CA"/>
              </w:rPr>
              <w:t>(Juges Gillese, Lauwers et Benotto)</w:t>
            </w:r>
          </w:p>
          <w:p w:rsidR="00E9644A" w:rsidRPr="004F4118" w:rsidRDefault="00DF0AA3" w:rsidP="00C66082">
            <w:pPr>
              <w:jc w:val="both"/>
              <w:rPr>
                <w:sz w:val="20"/>
                <w:szCs w:val="20"/>
                <w:lang w:val="fr-CA"/>
              </w:rPr>
            </w:pPr>
            <w:hyperlink r:id="rId18" w:history="1">
              <w:r w:rsidR="00E9644A" w:rsidRPr="004F4118">
                <w:rPr>
                  <w:rStyle w:val="Hyperlink"/>
                  <w:sz w:val="20"/>
                  <w:szCs w:val="20"/>
                  <w:lang w:val="fr-CA"/>
                </w:rPr>
                <w:t>2021 ONCA 201</w:t>
              </w:r>
            </w:hyperlink>
            <w:r w:rsidR="00E9644A" w:rsidRPr="004F4118">
              <w:rPr>
                <w:sz w:val="20"/>
                <w:szCs w:val="20"/>
                <w:lang w:val="fr-CA"/>
              </w:rPr>
              <w:t xml:space="preserve"> (Dossiers : C67533 et C67557)</w:t>
            </w:r>
          </w:p>
          <w:p w:rsidR="00E9644A" w:rsidRPr="004F4118" w:rsidRDefault="00E9644A" w:rsidP="00C66082">
            <w:pPr>
              <w:jc w:val="both"/>
              <w:rPr>
                <w:sz w:val="20"/>
                <w:szCs w:val="20"/>
                <w:lang w:val="fr-CA"/>
              </w:rPr>
            </w:pPr>
          </w:p>
        </w:tc>
        <w:tc>
          <w:tcPr>
            <w:tcW w:w="243" w:type="pct"/>
          </w:tcPr>
          <w:p w:rsidR="00E9644A" w:rsidRPr="004F4118" w:rsidRDefault="00E9644A" w:rsidP="00C66082">
            <w:pPr>
              <w:jc w:val="both"/>
              <w:rPr>
                <w:sz w:val="20"/>
                <w:szCs w:val="20"/>
                <w:lang w:val="fr-CA"/>
              </w:rPr>
            </w:pPr>
          </w:p>
        </w:tc>
        <w:tc>
          <w:tcPr>
            <w:tcW w:w="2330" w:type="pct"/>
          </w:tcPr>
          <w:p w:rsidR="00E9644A" w:rsidRPr="004F4118" w:rsidRDefault="00E9644A" w:rsidP="00C66082">
            <w:pPr>
              <w:jc w:val="both"/>
              <w:rPr>
                <w:sz w:val="20"/>
                <w:szCs w:val="20"/>
                <w:lang w:val="fr-CA"/>
              </w:rPr>
            </w:pPr>
            <w:r w:rsidRPr="004F4118">
              <w:rPr>
                <w:sz w:val="20"/>
                <w:szCs w:val="20"/>
                <w:lang w:val="fr-CA"/>
              </w:rPr>
              <w:t xml:space="preserve">Les appels des intimées sont accueillis. Une déclaration est prononcée : l’accord de 2005 est valide et exécutoire. Il est ordonné à la demanderesse d’exécuter en nature ses obligations selon cet accord. </w:t>
            </w:r>
          </w:p>
          <w:p w:rsidR="00E9644A" w:rsidRPr="004F4118" w:rsidRDefault="00E9644A" w:rsidP="00C66082">
            <w:pPr>
              <w:jc w:val="both"/>
              <w:rPr>
                <w:sz w:val="20"/>
                <w:szCs w:val="20"/>
                <w:lang w:val="fr-CA"/>
              </w:rPr>
            </w:pPr>
          </w:p>
        </w:tc>
      </w:tr>
      <w:tr w:rsidR="00E9644A" w:rsidRPr="004F4118" w:rsidTr="00C66082">
        <w:tc>
          <w:tcPr>
            <w:tcW w:w="2427" w:type="pct"/>
            <w:gridSpan w:val="2"/>
          </w:tcPr>
          <w:p w:rsidR="00E9644A" w:rsidRPr="004F4118" w:rsidRDefault="00E9644A" w:rsidP="00C66082">
            <w:pPr>
              <w:jc w:val="both"/>
              <w:rPr>
                <w:sz w:val="20"/>
                <w:szCs w:val="20"/>
                <w:lang w:val="fr-CA"/>
              </w:rPr>
            </w:pPr>
            <w:r w:rsidRPr="004F4118">
              <w:rPr>
                <w:sz w:val="20"/>
                <w:szCs w:val="20"/>
                <w:lang w:val="fr-CA"/>
              </w:rPr>
              <w:t>26 mai 2021</w:t>
            </w:r>
          </w:p>
          <w:p w:rsidR="00E9644A" w:rsidRPr="004F4118" w:rsidRDefault="00E9644A" w:rsidP="00C66082">
            <w:pPr>
              <w:jc w:val="both"/>
              <w:rPr>
                <w:sz w:val="20"/>
                <w:szCs w:val="20"/>
                <w:lang w:val="fr-CA"/>
              </w:rPr>
            </w:pPr>
            <w:r w:rsidRPr="004F4118">
              <w:rPr>
                <w:sz w:val="20"/>
                <w:szCs w:val="20"/>
                <w:lang w:val="fr-CA"/>
              </w:rPr>
              <w:t>Cour suprême du Canada</w:t>
            </w:r>
          </w:p>
        </w:tc>
        <w:tc>
          <w:tcPr>
            <w:tcW w:w="243" w:type="pct"/>
          </w:tcPr>
          <w:p w:rsidR="00E9644A" w:rsidRPr="004F4118" w:rsidRDefault="00E9644A" w:rsidP="00C66082">
            <w:pPr>
              <w:jc w:val="both"/>
              <w:rPr>
                <w:sz w:val="20"/>
                <w:szCs w:val="20"/>
                <w:lang w:val="fr-CA"/>
              </w:rPr>
            </w:pPr>
          </w:p>
        </w:tc>
        <w:tc>
          <w:tcPr>
            <w:tcW w:w="2330" w:type="pct"/>
          </w:tcPr>
          <w:p w:rsidR="00E9644A" w:rsidRPr="004F4118" w:rsidRDefault="00E9644A" w:rsidP="00C66082">
            <w:pPr>
              <w:jc w:val="both"/>
              <w:rPr>
                <w:sz w:val="20"/>
                <w:szCs w:val="20"/>
                <w:lang w:val="fr-CA"/>
              </w:rPr>
            </w:pPr>
            <w:r w:rsidRPr="004F4118">
              <w:rPr>
                <w:sz w:val="20"/>
                <w:szCs w:val="20"/>
                <w:lang w:val="fr-CA"/>
              </w:rPr>
              <w:t>Une demande d’autorisation d’appel est déposée.</w:t>
            </w:r>
          </w:p>
          <w:p w:rsidR="00E9644A" w:rsidRPr="004F4118" w:rsidRDefault="00E9644A" w:rsidP="00C66082">
            <w:pPr>
              <w:jc w:val="both"/>
              <w:rPr>
                <w:sz w:val="20"/>
                <w:szCs w:val="20"/>
                <w:lang w:val="fr-CA"/>
              </w:rPr>
            </w:pPr>
          </w:p>
        </w:tc>
      </w:tr>
    </w:tbl>
    <w:p w:rsidR="00E9644A" w:rsidRPr="004F4118" w:rsidRDefault="00E9644A" w:rsidP="00E9644A">
      <w:pPr>
        <w:jc w:val="both"/>
        <w:rPr>
          <w:sz w:val="20"/>
          <w:lang w:val="fr-CA"/>
        </w:rPr>
      </w:pPr>
    </w:p>
    <w:p w:rsidR="00E9644A" w:rsidRPr="004F4118" w:rsidRDefault="00DF0AA3" w:rsidP="00E9644A">
      <w:pPr>
        <w:jc w:val="both"/>
        <w:rPr>
          <w:sz w:val="20"/>
          <w:szCs w:val="20"/>
          <w:lang w:val="fr-CA"/>
        </w:rPr>
      </w:pPr>
      <w:r>
        <w:rPr>
          <w:sz w:val="20"/>
        </w:rPr>
        <w:pict>
          <v:rect id="_x0000_i1038" style="width:2in;height:1pt" o:hrpct="0" o:hralign="center" o:hrstd="t" o:hrnoshade="t" o:hr="t" fillcolor="black [3213]" stroked="f"/>
        </w:pict>
      </w:r>
    </w:p>
    <w:p w:rsidR="00E9644A" w:rsidRPr="004F4118" w:rsidRDefault="00E9644A" w:rsidP="00E9644A">
      <w:pPr>
        <w:widowControl w:val="0"/>
        <w:tabs>
          <w:tab w:val="left" w:pos="3840"/>
        </w:tabs>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644A" w:rsidRPr="004F4118" w:rsidTr="00C66082">
        <w:tc>
          <w:tcPr>
            <w:tcW w:w="543" w:type="pct"/>
          </w:tcPr>
          <w:p w:rsidR="00E9644A" w:rsidRPr="004F4118" w:rsidRDefault="00E9644A" w:rsidP="00C66082">
            <w:pPr>
              <w:jc w:val="both"/>
              <w:rPr>
                <w:sz w:val="20"/>
                <w:szCs w:val="20"/>
              </w:rPr>
            </w:pPr>
            <w:r w:rsidRPr="004F4118">
              <w:rPr>
                <w:rStyle w:val="SCCFileNumberChar"/>
                <w:sz w:val="20"/>
                <w:szCs w:val="20"/>
              </w:rPr>
              <w:lastRenderedPageBreak/>
              <w:t>39693</w:t>
            </w:r>
          </w:p>
        </w:tc>
        <w:tc>
          <w:tcPr>
            <w:tcW w:w="4457" w:type="pct"/>
            <w:gridSpan w:val="3"/>
          </w:tcPr>
          <w:p w:rsidR="00E9644A" w:rsidRPr="004F4118" w:rsidRDefault="00E9644A" w:rsidP="00C66082">
            <w:pPr>
              <w:pStyle w:val="SCCLsocParty"/>
              <w:jc w:val="both"/>
              <w:rPr>
                <w:b/>
                <w:sz w:val="20"/>
                <w:szCs w:val="20"/>
                <w:lang w:val="en-US"/>
              </w:rPr>
            </w:pPr>
            <w:r w:rsidRPr="004F4118">
              <w:rPr>
                <w:b/>
                <w:sz w:val="20"/>
                <w:szCs w:val="20"/>
                <w:lang w:val="en-US"/>
              </w:rPr>
              <w:t>Joan Jack</w:t>
            </w:r>
            <w:r w:rsidR="00CB7BE3" w:rsidRPr="004F4118">
              <w:rPr>
                <w:b/>
                <w:sz w:val="20"/>
                <w:szCs w:val="20"/>
                <w:lang w:val="en-US"/>
              </w:rPr>
              <w:t xml:space="preserve"> and</w:t>
            </w:r>
            <w:r w:rsidRPr="004F4118">
              <w:rPr>
                <w:b/>
                <w:sz w:val="20"/>
                <w:szCs w:val="20"/>
                <w:lang w:val="en-US"/>
              </w:rPr>
              <w:t xml:space="preserve"> Louay Alghoul v. </w:t>
            </w:r>
            <w:r w:rsidR="00CB7BE3" w:rsidRPr="004F4118">
              <w:rPr>
                <w:b/>
                <w:sz w:val="20"/>
                <w:szCs w:val="20"/>
                <w:lang w:val="en-US"/>
              </w:rPr>
              <w:t>Garry Leslie Mclean, Roger Augustine, Angela Elizabeth Simone Sampson, Maragaret Anne Swan, Mariette Lucille Buckshot and Her Majesty the Queen in Right of Canada as represented by the Attorney General of Canada</w:t>
            </w:r>
          </w:p>
          <w:p w:rsidR="00E9644A" w:rsidRPr="004F4118" w:rsidRDefault="00E9644A" w:rsidP="00C66082">
            <w:pPr>
              <w:jc w:val="both"/>
              <w:rPr>
                <w:sz w:val="20"/>
                <w:szCs w:val="20"/>
              </w:rPr>
            </w:pPr>
            <w:r w:rsidRPr="004F4118">
              <w:rPr>
                <w:sz w:val="20"/>
                <w:szCs w:val="20"/>
              </w:rPr>
              <w:t>(F</w:t>
            </w:r>
            <w:r w:rsidRPr="004F4118">
              <w:rPr>
                <w:sz w:val="20"/>
              </w:rPr>
              <w:t>.</w:t>
            </w:r>
            <w:r w:rsidRPr="004F4118">
              <w:rPr>
                <w:sz w:val="20"/>
                <w:szCs w:val="20"/>
              </w:rPr>
              <w:t>C</w:t>
            </w:r>
            <w:r w:rsidRPr="004F4118">
              <w:rPr>
                <w:sz w:val="20"/>
              </w:rPr>
              <w:t>.</w:t>
            </w:r>
            <w:r w:rsidRPr="004F4118">
              <w:rPr>
                <w:sz w:val="20"/>
                <w:szCs w:val="20"/>
              </w:rPr>
              <w:t>) (Civil) (By Leave)</w:t>
            </w:r>
          </w:p>
        </w:tc>
      </w:tr>
      <w:tr w:rsidR="00E9644A" w:rsidRPr="004F4118" w:rsidTr="00C66082">
        <w:tc>
          <w:tcPr>
            <w:tcW w:w="5000" w:type="pct"/>
            <w:gridSpan w:val="4"/>
          </w:tcPr>
          <w:p w:rsidR="00E9644A" w:rsidRPr="004F4118" w:rsidRDefault="00CB7BE3" w:rsidP="00C66082">
            <w:pPr>
              <w:jc w:val="both"/>
              <w:rPr>
                <w:sz w:val="20"/>
                <w:szCs w:val="20"/>
              </w:rPr>
            </w:pPr>
            <w:r w:rsidRPr="004F4118">
              <w:rPr>
                <w:sz w:val="20"/>
                <w:szCs w:val="20"/>
              </w:rPr>
              <w:t>The application for leave to appeal from the judgment of the Federal Court of Appeal, Number A-340-19, 2021 FCA 65, dated March 31, 2021 is dismissed with costs.</w:t>
            </w:r>
          </w:p>
          <w:p w:rsidR="00CB7BE3" w:rsidRPr="004F4118" w:rsidRDefault="00CB7BE3" w:rsidP="00C66082">
            <w:pPr>
              <w:jc w:val="both"/>
              <w:rPr>
                <w:sz w:val="20"/>
                <w:szCs w:val="20"/>
              </w:rPr>
            </w:pPr>
          </w:p>
        </w:tc>
      </w:tr>
      <w:tr w:rsidR="00E9644A" w:rsidRPr="004F4118" w:rsidTr="00C66082">
        <w:tc>
          <w:tcPr>
            <w:tcW w:w="5000" w:type="pct"/>
            <w:gridSpan w:val="4"/>
          </w:tcPr>
          <w:p w:rsidR="00E9644A" w:rsidRPr="004F4118" w:rsidRDefault="00E9644A" w:rsidP="00C66082">
            <w:pPr>
              <w:jc w:val="both"/>
              <w:rPr>
                <w:sz w:val="20"/>
                <w:szCs w:val="20"/>
              </w:rPr>
            </w:pPr>
            <w:r w:rsidRPr="004F4118">
              <w:rPr>
                <w:sz w:val="20"/>
                <w:szCs w:val="20"/>
              </w:rPr>
              <w:t xml:space="preserve">Civil procedure — Class actions — Costs — Counsel fees — Former counsel seeking compensation for contributions to litigation and settlement of class action — Whether Federal Court of Appeal erred in determining where applicants have standing to seek payment of fees from class plaintiffs — Whether Federal Court of Appeal erred in its interpretation of the fair and reasonable test for counsel fees — </w:t>
            </w:r>
            <w:r w:rsidRPr="004F4118">
              <w:rPr>
                <w:i/>
                <w:sz w:val="20"/>
                <w:szCs w:val="20"/>
              </w:rPr>
              <w:t>Federal Courts Rules</w:t>
            </w:r>
            <w:r w:rsidRPr="004F4118">
              <w:rPr>
                <w:sz w:val="20"/>
                <w:szCs w:val="20"/>
              </w:rPr>
              <w:t>, SOR/98</w:t>
            </w:r>
            <w:r w:rsidRPr="004F4118">
              <w:rPr>
                <w:sz w:val="20"/>
                <w:szCs w:val="20"/>
              </w:rPr>
              <w:noBreakHyphen/>
              <w:t>106, Rule 334.4.</w:t>
            </w:r>
          </w:p>
        </w:tc>
      </w:tr>
      <w:tr w:rsidR="00E9644A" w:rsidRPr="004F4118" w:rsidTr="00C66082">
        <w:tc>
          <w:tcPr>
            <w:tcW w:w="5000" w:type="pct"/>
            <w:gridSpan w:val="4"/>
          </w:tcPr>
          <w:p w:rsidR="00E9644A" w:rsidRPr="004F4118" w:rsidRDefault="00E9644A" w:rsidP="00C66082">
            <w:pPr>
              <w:jc w:val="both"/>
              <w:rPr>
                <w:sz w:val="20"/>
                <w:szCs w:val="20"/>
              </w:rPr>
            </w:pPr>
          </w:p>
        </w:tc>
      </w:tr>
      <w:tr w:rsidR="00E9644A" w:rsidRPr="004F4118" w:rsidTr="00C66082">
        <w:tc>
          <w:tcPr>
            <w:tcW w:w="5000" w:type="pct"/>
            <w:gridSpan w:val="4"/>
          </w:tcPr>
          <w:p w:rsidR="00E9644A" w:rsidRPr="004F4118" w:rsidRDefault="00E9644A" w:rsidP="00C66082">
            <w:pPr>
              <w:jc w:val="both"/>
              <w:rPr>
                <w:sz w:val="20"/>
                <w:szCs w:val="20"/>
              </w:rPr>
            </w:pPr>
            <w:r w:rsidRPr="004F4118">
              <w:rPr>
                <w:sz w:val="20"/>
                <w:szCs w:val="20"/>
              </w:rPr>
              <w:t>In 2009, the applicants commenced a proposed class action in the Manitoba Court of Queen’s Bench against Canada, acting as counsel on behalf of survivors of Indian Day Schools (the “Manitoba Action”). In May 2016, the class plaintiffs terminated the applicants’ retainer and retained Gowling WLG as counsel instead. In 2016, Gowling filed a new action in Federal Court (the “Federal Action”); a Settlement Agreement was reached in March 2019, including a settlement of the merits of the Federal Action, as well as a settlement of the amount of legal fees and disbursements to be paid to Gowling. The applicants sought to intervene in the Federal Action, seeking to be compensated for their initial work in the Manitoba Action and for their contributions which led to the eventual settlement of the Federal Action.</w:t>
            </w:r>
          </w:p>
          <w:p w:rsidR="00E9644A" w:rsidRPr="004F4118" w:rsidRDefault="00E9644A" w:rsidP="00C66082">
            <w:pPr>
              <w:jc w:val="both"/>
              <w:rPr>
                <w:sz w:val="20"/>
                <w:szCs w:val="20"/>
              </w:rPr>
            </w:pPr>
          </w:p>
          <w:p w:rsidR="00E9644A" w:rsidRPr="004F4118" w:rsidRDefault="00E9644A" w:rsidP="00C66082">
            <w:pPr>
              <w:jc w:val="both"/>
              <w:rPr>
                <w:sz w:val="20"/>
                <w:szCs w:val="20"/>
              </w:rPr>
            </w:pPr>
            <w:r w:rsidRPr="004F4118">
              <w:rPr>
                <w:sz w:val="20"/>
                <w:szCs w:val="20"/>
              </w:rPr>
              <w:t>In August 2019, Federal Court issued two orders: the first order approved the Settlement Agreement, and the second approved the class counsel fee provisions of the Settlement. In approving the fees, the Federal Court also held that any claim between the applicants and Gowling was not properly before the Federal Court, and should instead be referred to the Manitoba courts. The Federal Court of Appeal dismissed the applicants’ appeal of the Federal Court decision.</w:t>
            </w:r>
          </w:p>
          <w:p w:rsidR="00E9644A" w:rsidRPr="004F4118" w:rsidRDefault="00E9644A" w:rsidP="00C66082">
            <w:pPr>
              <w:jc w:val="both"/>
              <w:rPr>
                <w:sz w:val="20"/>
                <w:szCs w:val="20"/>
              </w:rPr>
            </w:pPr>
          </w:p>
        </w:tc>
      </w:tr>
      <w:tr w:rsidR="00E9644A" w:rsidRPr="004F4118" w:rsidTr="00C66082">
        <w:tc>
          <w:tcPr>
            <w:tcW w:w="2427" w:type="pct"/>
            <w:gridSpan w:val="2"/>
          </w:tcPr>
          <w:p w:rsidR="00E9644A" w:rsidRPr="004F4118" w:rsidRDefault="00E9644A" w:rsidP="00C66082">
            <w:pPr>
              <w:jc w:val="both"/>
              <w:rPr>
                <w:sz w:val="20"/>
                <w:szCs w:val="20"/>
              </w:rPr>
            </w:pPr>
            <w:r w:rsidRPr="004F4118">
              <w:rPr>
                <w:sz w:val="20"/>
                <w:szCs w:val="20"/>
              </w:rPr>
              <w:t>August 19, 2019</w:t>
            </w:r>
          </w:p>
          <w:p w:rsidR="00E9644A" w:rsidRPr="004F4118" w:rsidRDefault="00E9644A" w:rsidP="00C66082">
            <w:pPr>
              <w:jc w:val="both"/>
              <w:rPr>
                <w:sz w:val="20"/>
                <w:szCs w:val="20"/>
              </w:rPr>
            </w:pPr>
            <w:r w:rsidRPr="004F4118">
              <w:rPr>
                <w:sz w:val="20"/>
                <w:szCs w:val="20"/>
              </w:rPr>
              <w:t>Federal Court</w:t>
            </w:r>
          </w:p>
          <w:p w:rsidR="00E9644A" w:rsidRPr="004F4118" w:rsidRDefault="00E9644A" w:rsidP="00C66082">
            <w:pPr>
              <w:jc w:val="both"/>
              <w:rPr>
                <w:sz w:val="20"/>
                <w:szCs w:val="20"/>
              </w:rPr>
            </w:pPr>
            <w:r w:rsidRPr="004F4118">
              <w:rPr>
                <w:sz w:val="20"/>
                <w:szCs w:val="20"/>
              </w:rPr>
              <w:t>(Phelan J.)</w:t>
            </w:r>
          </w:p>
          <w:p w:rsidR="00E9644A" w:rsidRPr="004F4118" w:rsidRDefault="00DF0AA3" w:rsidP="00C66082">
            <w:pPr>
              <w:jc w:val="both"/>
              <w:rPr>
                <w:sz w:val="20"/>
                <w:szCs w:val="20"/>
              </w:rPr>
            </w:pPr>
            <w:hyperlink r:id="rId19" w:history="1">
              <w:r w:rsidR="00E9644A" w:rsidRPr="004F4118">
                <w:rPr>
                  <w:rStyle w:val="Hyperlink"/>
                  <w:sz w:val="20"/>
                  <w:szCs w:val="20"/>
                </w:rPr>
                <w:t>2019 FC 1077</w:t>
              </w:r>
            </w:hyperlink>
          </w:p>
          <w:p w:rsidR="00E9644A" w:rsidRPr="004F4118" w:rsidRDefault="00E9644A" w:rsidP="00C66082">
            <w:pPr>
              <w:jc w:val="both"/>
              <w:rPr>
                <w:sz w:val="20"/>
                <w:szCs w:val="20"/>
              </w:rPr>
            </w:pPr>
          </w:p>
        </w:tc>
        <w:tc>
          <w:tcPr>
            <w:tcW w:w="243" w:type="pct"/>
          </w:tcPr>
          <w:p w:rsidR="00E9644A" w:rsidRPr="004F4118" w:rsidRDefault="00E9644A" w:rsidP="00C66082">
            <w:pPr>
              <w:jc w:val="both"/>
              <w:rPr>
                <w:sz w:val="20"/>
                <w:szCs w:val="20"/>
              </w:rPr>
            </w:pPr>
          </w:p>
        </w:tc>
        <w:tc>
          <w:tcPr>
            <w:tcW w:w="2330" w:type="pct"/>
          </w:tcPr>
          <w:p w:rsidR="00E9644A" w:rsidRPr="004F4118" w:rsidRDefault="00E9644A" w:rsidP="00C66082">
            <w:pPr>
              <w:jc w:val="both"/>
              <w:rPr>
                <w:sz w:val="20"/>
                <w:szCs w:val="20"/>
              </w:rPr>
            </w:pPr>
            <w:r w:rsidRPr="004F4118">
              <w:rPr>
                <w:sz w:val="20"/>
                <w:szCs w:val="20"/>
              </w:rPr>
              <w:t xml:space="preserve">Fee Approval Order for class action settlement. </w:t>
            </w:r>
          </w:p>
          <w:p w:rsidR="00E9644A" w:rsidRPr="004F4118" w:rsidRDefault="00E9644A" w:rsidP="00C66082">
            <w:pPr>
              <w:jc w:val="both"/>
              <w:rPr>
                <w:sz w:val="20"/>
                <w:szCs w:val="20"/>
              </w:rPr>
            </w:pPr>
          </w:p>
        </w:tc>
      </w:tr>
      <w:tr w:rsidR="00E9644A" w:rsidRPr="004F4118" w:rsidTr="00C66082">
        <w:tc>
          <w:tcPr>
            <w:tcW w:w="2427" w:type="pct"/>
            <w:gridSpan w:val="2"/>
          </w:tcPr>
          <w:p w:rsidR="00E9644A" w:rsidRPr="004F4118" w:rsidRDefault="00E9644A" w:rsidP="00C66082">
            <w:pPr>
              <w:jc w:val="both"/>
              <w:rPr>
                <w:sz w:val="20"/>
                <w:szCs w:val="20"/>
              </w:rPr>
            </w:pPr>
            <w:r w:rsidRPr="004F4118">
              <w:rPr>
                <w:sz w:val="20"/>
                <w:szCs w:val="20"/>
              </w:rPr>
              <w:t>March 31, 2021</w:t>
            </w:r>
          </w:p>
          <w:p w:rsidR="00E9644A" w:rsidRPr="004F4118" w:rsidRDefault="00E9644A" w:rsidP="00C66082">
            <w:pPr>
              <w:jc w:val="both"/>
              <w:rPr>
                <w:sz w:val="20"/>
                <w:szCs w:val="20"/>
              </w:rPr>
            </w:pPr>
            <w:r w:rsidRPr="004F4118">
              <w:rPr>
                <w:sz w:val="20"/>
                <w:szCs w:val="20"/>
              </w:rPr>
              <w:t>Federal Court of Appeal</w:t>
            </w:r>
          </w:p>
          <w:p w:rsidR="00E9644A" w:rsidRPr="004F4118" w:rsidRDefault="00E9644A" w:rsidP="00C66082">
            <w:pPr>
              <w:jc w:val="both"/>
              <w:rPr>
                <w:sz w:val="20"/>
                <w:szCs w:val="20"/>
                <w:lang w:val="en-US"/>
              </w:rPr>
            </w:pPr>
            <w:r w:rsidRPr="004F4118">
              <w:rPr>
                <w:sz w:val="20"/>
                <w:szCs w:val="20"/>
                <w:lang w:val="en-US"/>
              </w:rPr>
              <w:t>(Boivin, Locke and LeBlanc JJ.A.)</w:t>
            </w:r>
          </w:p>
          <w:p w:rsidR="00E9644A" w:rsidRPr="004F4118" w:rsidRDefault="00DF0AA3" w:rsidP="00C66082">
            <w:pPr>
              <w:jc w:val="both"/>
              <w:rPr>
                <w:sz w:val="20"/>
                <w:szCs w:val="20"/>
                <w:lang w:val="fr-CA"/>
              </w:rPr>
            </w:pPr>
            <w:hyperlink r:id="rId20" w:history="1">
              <w:r w:rsidR="00E9644A" w:rsidRPr="004F4118">
                <w:rPr>
                  <w:rStyle w:val="Hyperlink"/>
                  <w:sz w:val="20"/>
                  <w:szCs w:val="20"/>
                  <w:lang w:val="fr-CA"/>
                </w:rPr>
                <w:t>2021 FCA 65</w:t>
              </w:r>
            </w:hyperlink>
          </w:p>
          <w:p w:rsidR="00E9644A" w:rsidRPr="004F4118" w:rsidRDefault="00E9644A" w:rsidP="00C66082">
            <w:pPr>
              <w:jc w:val="both"/>
              <w:rPr>
                <w:sz w:val="20"/>
                <w:szCs w:val="20"/>
              </w:rPr>
            </w:pPr>
          </w:p>
        </w:tc>
        <w:tc>
          <w:tcPr>
            <w:tcW w:w="243" w:type="pct"/>
          </w:tcPr>
          <w:p w:rsidR="00E9644A" w:rsidRPr="004F4118" w:rsidRDefault="00E9644A" w:rsidP="00C66082">
            <w:pPr>
              <w:jc w:val="both"/>
              <w:rPr>
                <w:sz w:val="20"/>
                <w:szCs w:val="20"/>
              </w:rPr>
            </w:pPr>
          </w:p>
        </w:tc>
        <w:tc>
          <w:tcPr>
            <w:tcW w:w="2330" w:type="pct"/>
          </w:tcPr>
          <w:p w:rsidR="00E9644A" w:rsidRPr="004F4118" w:rsidRDefault="00E9644A" w:rsidP="00C66082">
            <w:pPr>
              <w:jc w:val="both"/>
              <w:rPr>
                <w:sz w:val="20"/>
                <w:szCs w:val="20"/>
              </w:rPr>
            </w:pPr>
            <w:r w:rsidRPr="004F4118">
              <w:rPr>
                <w:sz w:val="20"/>
                <w:szCs w:val="20"/>
              </w:rPr>
              <w:t xml:space="preserve">Appeal dismissed. </w:t>
            </w:r>
          </w:p>
          <w:p w:rsidR="00E9644A" w:rsidRPr="004F4118" w:rsidRDefault="00E9644A" w:rsidP="00C66082">
            <w:pPr>
              <w:jc w:val="both"/>
              <w:rPr>
                <w:sz w:val="20"/>
                <w:szCs w:val="20"/>
              </w:rPr>
            </w:pPr>
          </w:p>
        </w:tc>
      </w:tr>
      <w:tr w:rsidR="00E9644A" w:rsidRPr="004F4118" w:rsidTr="00C66082">
        <w:tc>
          <w:tcPr>
            <w:tcW w:w="2427" w:type="pct"/>
            <w:gridSpan w:val="2"/>
          </w:tcPr>
          <w:p w:rsidR="00E9644A" w:rsidRPr="004F4118" w:rsidRDefault="00E9644A" w:rsidP="00C66082">
            <w:pPr>
              <w:jc w:val="both"/>
              <w:rPr>
                <w:sz w:val="20"/>
                <w:szCs w:val="20"/>
              </w:rPr>
            </w:pPr>
            <w:r w:rsidRPr="004F4118">
              <w:rPr>
                <w:sz w:val="20"/>
                <w:szCs w:val="20"/>
              </w:rPr>
              <w:t>May 31, 2021</w:t>
            </w:r>
          </w:p>
          <w:p w:rsidR="00E9644A" w:rsidRPr="004F4118" w:rsidRDefault="00E9644A" w:rsidP="00C66082">
            <w:pPr>
              <w:jc w:val="both"/>
              <w:rPr>
                <w:sz w:val="20"/>
                <w:szCs w:val="20"/>
              </w:rPr>
            </w:pPr>
            <w:r w:rsidRPr="004F4118">
              <w:rPr>
                <w:sz w:val="20"/>
                <w:szCs w:val="20"/>
              </w:rPr>
              <w:t>Supreme Court of Canada</w:t>
            </w:r>
          </w:p>
        </w:tc>
        <w:tc>
          <w:tcPr>
            <w:tcW w:w="243" w:type="pct"/>
          </w:tcPr>
          <w:p w:rsidR="00E9644A" w:rsidRPr="004F4118" w:rsidRDefault="00E9644A" w:rsidP="00C66082">
            <w:pPr>
              <w:jc w:val="both"/>
              <w:rPr>
                <w:sz w:val="20"/>
                <w:szCs w:val="20"/>
              </w:rPr>
            </w:pPr>
          </w:p>
        </w:tc>
        <w:tc>
          <w:tcPr>
            <w:tcW w:w="2330" w:type="pct"/>
          </w:tcPr>
          <w:p w:rsidR="00E9644A" w:rsidRPr="004F4118" w:rsidRDefault="00E9644A" w:rsidP="00C66082">
            <w:pPr>
              <w:jc w:val="both"/>
              <w:rPr>
                <w:sz w:val="20"/>
                <w:szCs w:val="20"/>
              </w:rPr>
            </w:pPr>
            <w:r w:rsidRPr="004F4118">
              <w:rPr>
                <w:sz w:val="20"/>
                <w:szCs w:val="20"/>
              </w:rPr>
              <w:t>Application for leave to appeal filed</w:t>
            </w:r>
          </w:p>
          <w:p w:rsidR="00E9644A" w:rsidRPr="004F4118" w:rsidRDefault="00E9644A" w:rsidP="00C66082">
            <w:pPr>
              <w:jc w:val="both"/>
              <w:rPr>
                <w:sz w:val="20"/>
                <w:szCs w:val="20"/>
              </w:rPr>
            </w:pPr>
          </w:p>
        </w:tc>
      </w:tr>
    </w:tbl>
    <w:p w:rsidR="00E9644A" w:rsidRPr="004F4118" w:rsidRDefault="00E9644A" w:rsidP="00E9644A">
      <w:pPr>
        <w:jc w:val="both"/>
        <w:rPr>
          <w:sz w:val="20"/>
        </w:rPr>
      </w:pPr>
    </w:p>
    <w:p w:rsidR="00E9644A" w:rsidRPr="004F4118" w:rsidRDefault="00DF0AA3" w:rsidP="00E9644A">
      <w:pPr>
        <w:jc w:val="both"/>
        <w:rPr>
          <w:sz w:val="20"/>
        </w:rPr>
      </w:pPr>
      <w:r>
        <w:rPr>
          <w:sz w:val="20"/>
        </w:rPr>
        <w:pict>
          <v:rect id="_x0000_i1039" style="width:2in;height:1pt" o:hrpct="0" o:hralign="center" o:hrstd="t" o:hrnoshade="t" o:hr="t" fillcolor="black [3213]" stroked="f"/>
        </w:pict>
      </w:r>
    </w:p>
    <w:p w:rsidR="00E9644A" w:rsidRPr="004F4118" w:rsidRDefault="00E9644A" w:rsidP="00E9644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9644A" w:rsidRPr="004F4118" w:rsidTr="00C66082">
        <w:tc>
          <w:tcPr>
            <w:tcW w:w="543" w:type="pct"/>
          </w:tcPr>
          <w:p w:rsidR="00E9644A" w:rsidRPr="004F4118" w:rsidRDefault="00E9644A" w:rsidP="00C66082">
            <w:pPr>
              <w:jc w:val="both"/>
              <w:rPr>
                <w:sz w:val="20"/>
                <w:szCs w:val="20"/>
              </w:rPr>
            </w:pPr>
            <w:r w:rsidRPr="004F4118">
              <w:rPr>
                <w:rStyle w:val="SCCFileNumberChar"/>
                <w:sz w:val="20"/>
                <w:szCs w:val="20"/>
              </w:rPr>
              <w:t>39693</w:t>
            </w:r>
          </w:p>
        </w:tc>
        <w:tc>
          <w:tcPr>
            <w:tcW w:w="4457" w:type="pct"/>
          </w:tcPr>
          <w:p w:rsidR="00E9644A" w:rsidRPr="004F4118" w:rsidRDefault="00E9644A" w:rsidP="00C66082">
            <w:pPr>
              <w:pStyle w:val="SCCLsocParty"/>
              <w:jc w:val="both"/>
              <w:rPr>
                <w:b/>
                <w:sz w:val="20"/>
                <w:szCs w:val="20"/>
              </w:rPr>
            </w:pPr>
            <w:r w:rsidRPr="004F4118">
              <w:rPr>
                <w:b/>
                <w:sz w:val="20"/>
                <w:szCs w:val="20"/>
              </w:rPr>
              <w:t>Joan Jack</w:t>
            </w:r>
            <w:r w:rsidR="00CB7BE3" w:rsidRPr="004F4118">
              <w:rPr>
                <w:b/>
                <w:sz w:val="20"/>
                <w:szCs w:val="20"/>
              </w:rPr>
              <w:t xml:space="preserve"> et</w:t>
            </w:r>
            <w:r w:rsidRPr="004F4118">
              <w:rPr>
                <w:b/>
                <w:sz w:val="20"/>
                <w:szCs w:val="20"/>
              </w:rPr>
              <w:t xml:space="preserve"> Louay Alghoul c. </w:t>
            </w:r>
            <w:r w:rsidR="00CB7BE3" w:rsidRPr="004F4118">
              <w:rPr>
                <w:b/>
                <w:sz w:val="20"/>
                <w:szCs w:val="20"/>
              </w:rPr>
              <w:t>Garry Leslie Mclean, Roger Augustine, Angela Elizabeth Simone Sampson, Maragaret Anne Swan, Mariette Lucille Buckshot et Sa Majesté la Reine du chef du Canada représentée par le procureur général du Canada</w:t>
            </w:r>
          </w:p>
          <w:p w:rsidR="00E9644A" w:rsidRPr="004F4118" w:rsidRDefault="00E9644A" w:rsidP="00C66082">
            <w:pPr>
              <w:jc w:val="both"/>
              <w:rPr>
                <w:sz w:val="20"/>
                <w:szCs w:val="20"/>
                <w:lang w:val="fr-CA"/>
              </w:rPr>
            </w:pPr>
            <w:r w:rsidRPr="004F4118">
              <w:rPr>
                <w:sz w:val="20"/>
                <w:szCs w:val="20"/>
                <w:lang w:val="fr-CA"/>
              </w:rPr>
              <w:t>(C</w:t>
            </w:r>
            <w:r w:rsidRPr="004F4118">
              <w:rPr>
                <w:sz w:val="20"/>
                <w:lang w:val="fr-CA"/>
              </w:rPr>
              <w:t>.</w:t>
            </w:r>
            <w:r w:rsidRPr="004F4118">
              <w:rPr>
                <w:sz w:val="20"/>
                <w:szCs w:val="20"/>
                <w:lang w:val="fr-CA"/>
              </w:rPr>
              <w:t>F</w:t>
            </w:r>
            <w:r w:rsidRPr="004F4118">
              <w:rPr>
                <w:sz w:val="20"/>
                <w:lang w:val="fr-CA"/>
              </w:rPr>
              <w:t>.</w:t>
            </w:r>
            <w:r w:rsidRPr="004F4118">
              <w:rPr>
                <w:sz w:val="20"/>
                <w:szCs w:val="20"/>
                <w:lang w:val="fr-CA"/>
              </w:rPr>
              <w:t>) (Civile) (Autorisation)</w:t>
            </w:r>
          </w:p>
        </w:tc>
      </w:tr>
      <w:tr w:rsidR="00E9644A" w:rsidRPr="004F4118" w:rsidTr="00C66082">
        <w:tc>
          <w:tcPr>
            <w:tcW w:w="5000" w:type="pct"/>
            <w:gridSpan w:val="2"/>
          </w:tcPr>
          <w:p w:rsidR="00E9644A" w:rsidRPr="004F4118" w:rsidRDefault="00CB7BE3" w:rsidP="00C66082">
            <w:pPr>
              <w:jc w:val="both"/>
              <w:rPr>
                <w:sz w:val="20"/>
                <w:szCs w:val="20"/>
                <w:lang w:val="fr-CA"/>
              </w:rPr>
            </w:pPr>
            <w:r w:rsidRPr="004F4118">
              <w:rPr>
                <w:sz w:val="20"/>
                <w:szCs w:val="20"/>
                <w:lang w:val="fr-CA"/>
              </w:rPr>
              <w:t>La demande d’autorisation d’appel de l’arrêt de la Cour d’appel fédérale, numéro A-340-19, 2021 FCA 65, daté du 31 mars 2021, est rejetée avec dépens.</w:t>
            </w:r>
          </w:p>
          <w:p w:rsidR="00CB7BE3" w:rsidRPr="004F4118" w:rsidRDefault="00CB7BE3" w:rsidP="00C66082">
            <w:pPr>
              <w:jc w:val="both"/>
              <w:rPr>
                <w:sz w:val="20"/>
                <w:szCs w:val="20"/>
                <w:lang w:val="fr-CA"/>
              </w:rPr>
            </w:pPr>
          </w:p>
        </w:tc>
      </w:tr>
    </w:tbl>
    <w:p w:rsidR="00CB7BE3" w:rsidRPr="004F4118" w:rsidRDefault="00CB7BE3">
      <w:pPr>
        <w:rPr>
          <w:lang w:val="fr-CA"/>
        </w:rPr>
      </w:pPr>
      <w:r w:rsidRPr="004F411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9644A" w:rsidRPr="004F4118" w:rsidTr="00C66082">
        <w:tc>
          <w:tcPr>
            <w:tcW w:w="5000" w:type="pct"/>
            <w:gridSpan w:val="3"/>
          </w:tcPr>
          <w:p w:rsidR="00E9644A" w:rsidRPr="004F4118" w:rsidRDefault="00E9644A" w:rsidP="00C66082">
            <w:pPr>
              <w:jc w:val="both"/>
              <w:rPr>
                <w:sz w:val="20"/>
                <w:szCs w:val="20"/>
                <w:lang w:val="fr-CA"/>
              </w:rPr>
            </w:pPr>
            <w:r w:rsidRPr="004F4118">
              <w:rPr>
                <w:sz w:val="20"/>
                <w:szCs w:val="20"/>
                <w:lang w:val="fr-CA"/>
              </w:rPr>
              <w:lastRenderedPageBreak/>
              <w:t>Procédure civile — Recours collectifs — Dépens — Honoraires des avocats — Avocats précédents sollicitant une contrepartie pour leurs contributions au litige et au règlement du recours collectif — La Cour d’appel fédérale a</w:t>
            </w:r>
            <w:r w:rsidRPr="004F4118">
              <w:rPr>
                <w:sz w:val="20"/>
                <w:szCs w:val="20"/>
                <w:lang w:val="fr-CA"/>
              </w:rPr>
              <w:noBreakHyphen/>
              <w:t>t</w:t>
            </w:r>
            <w:r w:rsidRPr="004F4118">
              <w:rPr>
                <w:sz w:val="20"/>
                <w:szCs w:val="20"/>
                <w:lang w:val="fr-CA"/>
              </w:rPr>
              <w:noBreakHyphen/>
              <w:t>elle commis une erreur en décidant que les demandeurs étaient fondés à solliciter le paiement des honoraires de la part des demandeurs du recours collectif? — La Cour d’appel fédérale a</w:t>
            </w:r>
            <w:r w:rsidRPr="004F4118">
              <w:rPr>
                <w:sz w:val="20"/>
                <w:szCs w:val="20"/>
                <w:lang w:val="fr-CA"/>
              </w:rPr>
              <w:noBreakHyphen/>
              <w:t>t</w:t>
            </w:r>
            <w:r w:rsidRPr="004F4118">
              <w:rPr>
                <w:sz w:val="20"/>
                <w:szCs w:val="20"/>
                <w:lang w:val="fr-CA"/>
              </w:rPr>
              <w:noBreakHyphen/>
              <w:t>elle commis une erreur dans son interprétation du critère des honoraires d’avocats « justes et raisonnables » —</w:t>
            </w:r>
            <w:r w:rsidRPr="004F4118">
              <w:rPr>
                <w:i/>
                <w:sz w:val="20"/>
                <w:szCs w:val="20"/>
                <w:lang w:val="fr-CA"/>
              </w:rPr>
              <w:t xml:space="preserve"> Règles des Cours fédérales</w:t>
            </w:r>
            <w:r w:rsidRPr="004F4118">
              <w:rPr>
                <w:sz w:val="20"/>
                <w:szCs w:val="20"/>
                <w:lang w:val="fr-CA"/>
              </w:rPr>
              <w:t>, DORS/98</w:t>
            </w:r>
            <w:r w:rsidRPr="004F4118">
              <w:rPr>
                <w:sz w:val="20"/>
                <w:szCs w:val="20"/>
                <w:lang w:val="fr-CA"/>
              </w:rPr>
              <w:noBreakHyphen/>
              <w:t>106, Règle 334.4.</w:t>
            </w:r>
          </w:p>
        </w:tc>
      </w:tr>
      <w:tr w:rsidR="00E9644A" w:rsidRPr="004F4118" w:rsidTr="00C66082">
        <w:tc>
          <w:tcPr>
            <w:tcW w:w="5000" w:type="pct"/>
            <w:gridSpan w:val="3"/>
          </w:tcPr>
          <w:p w:rsidR="00E9644A" w:rsidRPr="004F4118" w:rsidRDefault="00E9644A" w:rsidP="00C66082">
            <w:pPr>
              <w:jc w:val="both"/>
              <w:rPr>
                <w:sz w:val="20"/>
                <w:szCs w:val="20"/>
                <w:lang w:val="fr-CA"/>
              </w:rPr>
            </w:pPr>
          </w:p>
        </w:tc>
      </w:tr>
      <w:tr w:rsidR="00E9644A" w:rsidRPr="004F4118" w:rsidTr="00C66082">
        <w:tc>
          <w:tcPr>
            <w:tcW w:w="5000" w:type="pct"/>
            <w:gridSpan w:val="3"/>
          </w:tcPr>
          <w:p w:rsidR="00E9644A" w:rsidRPr="004F4118" w:rsidRDefault="00E9644A" w:rsidP="00C66082">
            <w:pPr>
              <w:jc w:val="both"/>
              <w:rPr>
                <w:sz w:val="20"/>
                <w:szCs w:val="20"/>
                <w:lang w:val="fr-CA"/>
              </w:rPr>
            </w:pPr>
            <w:r w:rsidRPr="004F4118">
              <w:rPr>
                <w:sz w:val="20"/>
                <w:szCs w:val="20"/>
                <w:lang w:val="fr-CA"/>
              </w:rPr>
              <w:t>En 2009, les demandeurs ont commencé, à la Cour du Banc de la Reine du Manitoba, un projet de recours collectif contre le Canada. Ils agissaient à titre d’avocats pour le compte des survivants des externats indiens (« l’action intentée au Manitoba »). En 2016, les demandeurs du recours collectif ont mis fin au mandat de représentation des demandeurs et ont plutôt retenu les services de Gowling WLG, à titre d’avocats. En 2016, Gowling a déposé une nouvelle action à la Cour fédérale (« l’action intentée à la Cour fédérale »); une convention de règlement a été conclue en mars 2019, elle comprenait le règlement au fond de l’action intentée à la Cour fédérale, ainsi que le règlement du montant des honoraires des avocats et les débours devant être payés à Gowling. Les demandeurs ont demandé à intervenir dans l’action intentée à la Cour fédérale, ils demandaient à être rémunérés en contrepartie de leur travail initial dans l’action intentée au Manitoba et de leurs contributions qui ont mené au règlement final de l’action intentée à la Cour fédérale.</w:t>
            </w:r>
          </w:p>
          <w:p w:rsidR="00E9644A" w:rsidRPr="004F4118" w:rsidRDefault="00E9644A" w:rsidP="00C66082">
            <w:pPr>
              <w:jc w:val="both"/>
              <w:rPr>
                <w:sz w:val="20"/>
                <w:szCs w:val="20"/>
                <w:lang w:val="fr-CA"/>
              </w:rPr>
            </w:pPr>
          </w:p>
          <w:p w:rsidR="00E9644A" w:rsidRPr="004F4118" w:rsidRDefault="00E9644A" w:rsidP="00C66082">
            <w:pPr>
              <w:jc w:val="both"/>
              <w:rPr>
                <w:sz w:val="20"/>
                <w:szCs w:val="20"/>
                <w:lang w:val="fr-CA"/>
              </w:rPr>
            </w:pPr>
            <w:r w:rsidRPr="004F4118">
              <w:rPr>
                <w:sz w:val="20"/>
                <w:szCs w:val="20"/>
                <w:lang w:val="fr-CA"/>
              </w:rPr>
              <w:t>En août 2019, la Cour fédérale a rendu deux ordonnances : la première ordonnance approuvait la convention de règlement et la seconde approuvait les modalités de la convention de règlement sur les honoraires des avocats du recours collectif. En approuvant les honoraires, la Cour fédérale a aussi décidé que toute réclamation entre les demandeurs et Gowling n’avait pas été adéquatement déposée à la Cour fédérale et devrait plutôt être renvoyée aux tribunaux du Manitoba. La Cour d’appel fédérale a rejeté l’appel interjeté par les demandeurs à l’encontre de la décision de la Cour fédérale.</w:t>
            </w:r>
          </w:p>
          <w:p w:rsidR="00E9644A" w:rsidRPr="004F4118" w:rsidRDefault="00E9644A" w:rsidP="00C66082">
            <w:pPr>
              <w:jc w:val="both"/>
              <w:rPr>
                <w:sz w:val="20"/>
                <w:szCs w:val="20"/>
                <w:lang w:val="fr-CA"/>
              </w:rPr>
            </w:pPr>
          </w:p>
        </w:tc>
      </w:tr>
      <w:tr w:rsidR="00E9644A" w:rsidRPr="004F4118" w:rsidTr="00C66082">
        <w:tc>
          <w:tcPr>
            <w:tcW w:w="2427" w:type="pct"/>
          </w:tcPr>
          <w:p w:rsidR="00E9644A" w:rsidRPr="004F4118" w:rsidRDefault="00E9644A" w:rsidP="00C66082">
            <w:pPr>
              <w:jc w:val="both"/>
              <w:rPr>
                <w:sz w:val="20"/>
                <w:szCs w:val="20"/>
                <w:lang w:val="fr-CA"/>
              </w:rPr>
            </w:pPr>
            <w:r w:rsidRPr="004F4118">
              <w:rPr>
                <w:sz w:val="20"/>
                <w:szCs w:val="20"/>
                <w:lang w:val="fr-CA"/>
              </w:rPr>
              <w:t>19 août 2019</w:t>
            </w:r>
          </w:p>
          <w:p w:rsidR="00E9644A" w:rsidRPr="004F4118" w:rsidRDefault="00E9644A" w:rsidP="00C66082">
            <w:pPr>
              <w:jc w:val="both"/>
              <w:rPr>
                <w:sz w:val="20"/>
                <w:szCs w:val="20"/>
                <w:lang w:val="fr-CA"/>
              </w:rPr>
            </w:pPr>
            <w:r w:rsidRPr="004F4118">
              <w:rPr>
                <w:sz w:val="20"/>
                <w:szCs w:val="20"/>
                <w:lang w:val="fr-CA"/>
              </w:rPr>
              <w:t xml:space="preserve">Cour fédérale </w:t>
            </w:r>
          </w:p>
          <w:p w:rsidR="00E9644A" w:rsidRPr="004F4118" w:rsidRDefault="00E9644A" w:rsidP="00C66082">
            <w:pPr>
              <w:jc w:val="both"/>
              <w:rPr>
                <w:sz w:val="20"/>
                <w:szCs w:val="20"/>
                <w:lang w:val="fr-CA"/>
              </w:rPr>
            </w:pPr>
            <w:r w:rsidRPr="004F4118">
              <w:rPr>
                <w:sz w:val="20"/>
                <w:szCs w:val="20"/>
                <w:lang w:val="fr-CA"/>
              </w:rPr>
              <w:t>(juge Phelan)</w:t>
            </w:r>
          </w:p>
          <w:p w:rsidR="00E9644A" w:rsidRPr="004F4118" w:rsidRDefault="00E9644A" w:rsidP="00C66082">
            <w:pPr>
              <w:jc w:val="both"/>
              <w:rPr>
                <w:rStyle w:val="Hyperlink"/>
                <w:sz w:val="20"/>
                <w:szCs w:val="20"/>
                <w:lang w:val="fr-CA"/>
              </w:rPr>
            </w:pPr>
            <w:r w:rsidRPr="004F4118">
              <w:rPr>
                <w:rStyle w:val="Hyperlink"/>
                <w:sz w:val="20"/>
                <w:szCs w:val="20"/>
              </w:rPr>
              <w:fldChar w:fldCharType="begin"/>
            </w:r>
            <w:r w:rsidRPr="004F4118">
              <w:rPr>
                <w:rStyle w:val="Hyperlink"/>
                <w:sz w:val="20"/>
                <w:szCs w:val="20"/>
                <w:lang w:val="fr-CA"/>
              </w:rPr>
              <w:instrText xml:space="preserve"> HYPERLINK "https://www.canlii.org/fr/ca/cfpi/doc/2019/2019cf1077/2019cf1077.html" </w:instrText>
            </w:r>
            <w:r w:rsidRPr="004F4118">
              <w:rPr>
                <w:rStyle w:val="Hyperlink"/>
                <w:sz w:val="20"/>
                <w:szCs w:val="20"/>
              </w:rPr>
              <w:fldChar w:fldCharType="separate"/>
            </w:r>
            <w:r w:rsidRPr="004F4118">
              <w:rPr>
                <w:rStyle w:val="Hyperlink"/>
                <w:sz w:val="20"/>
                <w:szCs w:val="20"/>
                <w:lang w:val="fr-CA"/>
              </w:rPr>
              <w:t>2019 CF 1077</w:t>
            </w:r>
          </w:p>
          <w:p w:rsidR="00E9644A" w:rsidRPr="004F4118" w:rsidRDefault="00E9644A" w:rsidP="00C66082">
            <w:pPr>
              <w:jc w:val="both"/>
              <w:rPr>
                <w:sz w:val="20"/>
                <w:szCs w:val="20"/>
                <w:lang w:val="fr-CA"/>
              </w:rPr>
            </w:pPr>
            <w:r w:rsidRPr="004F4118">
              <w:rPr>
                <w:rStyle w:val="Hyperlink"/>
                <w:sz w:val="20"/>
                <w:szCs w:val="20"/>
              </w:rPr>
              <w:fldChar w:fldCharType="end"/>
            </w:r>
          </w:p>
        </w:tc>
        <w:tc>
          <w:tcPr>
            <w:tcW w:w="243" w:type="pct"/>
          </w:tcPr>
          <w:p w:rsidR="00E9644A" w:rsidRPr="004F4118" w:rsidRDefault="00E9644A" w:rsidP="00C66082">
            <w:pPr>
              <w:jc w:val="both"/>
              <w:rPr>
                <w:sz w:val="20"/>
                <w:szCs w:val="20"/>
                <w:lang w:val="fr-CA"/>
              </w:rPr>
            </w:pPr>
          </w:p>
        </w:tc>
        <w:tc>
          <w:tcPr>
            <w:tcW w:w="2330" w:type="pct"/>
          </w:tcPr>
          <w:p w:rsidR="00E9644A" w:rsidRPr="004F4118" w:rsidRDefault="00E9644A" w:rsidP="00C66082">
            <w:pPr>
              <w:jc w:val="both"/>
              <w:rPr>
                <w:sz w:val="20"/>
                <w:szCs w:val="20"/>
                <w:lang w:val="fr-CA"/>
              </w:rPr>
            </w:pPr>
            <w:r w:rsidRPr="004F4118">
              <w:rPr>
                <w:sz w:val="20"/>
                <w:szCs w:val="20"/>
                <w:lang w:val="fr-CA"/>
              </w:rPr>
              <w:t xml:space="preserve">Ordonnances d’approbation des honoraires des avocats dans la convention de règlement du recours collectif. </w:t>
            </w:r>
          </w:p>
          <w:p w:rsidR="00E9644A" w:rsidRPr="004F4118" w:rsidRDefault="00E9644A" w:rsidP="00C66082">
            <w:pPr>
              <w:jc w:val="both"/>
              <w:rPr>
                <w:sz w:val="20"/>
                <w:szCs w:val="20"/>
                <w:lang w:val="fr-CA"/>
              </w:rPr>
            </w:pPr>
          </w:p>
        </w:tc>
      </w:tr>
      <w:tr w:rsidR="00E9644A" w:rsidRPr="004F4118" w:rsidTr="00C66082">
        <w:tc>
          <w:tcPr>
            <w:tcW w:w="2427" w:type="pct"/>
          </w:tcPr>
          <w:p w:rsidR="00E9644A" w:rsidRPr="004F4118" w:rsidRDefault="00E9644A" w:rsidP="00C66082">
            <w:pPr>
              <w:jc w:val="both"/>
              <w:rPr>
                <w:sz w:val="20"/>
                <w:szCs w:val="20"/>
                <w:lang w:val="fr-CA"/>
              </w:rPr>
            </w:pPr>
            <w:r w:rsidRPr="004F4118">
              <w:rPr>
                <w:sz w:val="20"/>
                <w:szCs w:val="20"/>
                <w:lang w:val="fr-CA"/>
              </w:rPr>
              <w:t>31 mars 2021</w:t>
            </w:r>
          </w:p>
          <w:p w:rsidR="00E9644A" w:rsidRPr="004F4118" w:rsidRDefault="00E9644A" w:rsidP="00C66082">
            <w:pPr>
              <w:jc w:val="both"/>
              <w:rPr>
                <w:sz w:val="20"/>
                <w:szCs w:val="20"/>
                <w:lang w:val="fr-CA"/>
              </w:rPr>
            </w:pPr>
            <w:r w:rsidRPr="004F4118">
              <w:rPr>
                <w:sz w:val="20"/>
                <w:szCs w:val="20"/>
                <w:lang w:val="fr-CA"/>
              </w:rPr>
              <w:t xml:space="preserve">Cour d’appel fédérale </w:t>
            </w:r>
          </w:p>
          <w:p w:rsidR="00E9644A" w:rsidRPr="004F4118" w:rsidRDefault="00E9644A" w:rsidP="00C66082">
            <w:pPr>
              <w:jc w:val="both"/>
              <w:rPr>
                <w:sz w:val="20"/>
                <w:szCs w:val="20"/>
                <w:lang w:val="fr-CA"/>
              </w:rPr>
            </w:pPr>
            <w:r w:rsidRPr="004F4118">
              <w:rPr>
                <w:sz w:val="20"/>
                <w:szCs w:val="20"/>
                <w:lang w:val="fr-CA"/>
              </w:rPr>
              <w:t>(juges Boivin, Locke et LeBlanc)</w:t>
            </w:r>
          </w:p>
          <w:p w:rsidR="00E9644A" w:rsidRPr="004F4118" w:rsidRDefault="00DF0AA3" w:rsidP="00C66082">
            <w:pPr>
              <w:jc w:val="both"/>
              <w:rPr>
                <w:sz w:val="20"/>
                <w:szCs w:val="20"/>
                <w:lang w:val="fr-CA"/>
              </w:rPr>
            </w:pPr>
            <w:hyperlink r:id="rId21" w:history="1">
              <w:r w:rsidR="00E9644A" w:rsidRPr="004F4118">
                <w:rPr>
                  <w:rStyle w:val="Hyperlink"/>
                  <w:sz w:val="20"/>
                  <w:szCs w:val="20"/>
                  <w:lang w:val="fr-CA"/>
                </w:rPr>
                <w:t>2021 FCA 65</w:t>
              </w:r>
            </w:hyperlink>
          </w:p>
          <w:p w:rsidR="00E9644A" w:rsidRPr="004F4118" w:rsidRDefault="00E9644A" w:rsidP="00C66082">
            <w:pPr>
              <w:jc w:val="both"/>
              <w:rPr>
                <w:sz w:val="20"/>
                <w:szCs w:val="20"/>
                <w:lang w:val="fr-CA"/>
              </w:rPr>
            </w:pPr>
          </w:p>
        </w:tc>
        <w:tc>
          <w:tcPr>
            <w:tcW w:w="243" w:type="pct"/>
          </w:tcPr>
          <w:p w:rsidR="00E9644A" w:rsidRPr="004F4118" w:rsidRDefault="00E9644A" w:rsidP="00C66082">
            <w:pPr>
              <w:jc w:val="both"/>
              <w:rPr>
                <w:sz w:val="20"/>
                <w:szCs w:val="20"/>
                <w:lang w:val="fr-CA"/>
              </w:rPr>
            </w:pPr>
          </w:p>
        </w:tc>
        <w:tc>
          <w:tcPr>
            <w:tcW w:w="2330" w:type="pct"/>
          </w:tcPr>
          <w:p w:rsidR="00E9644A" w:rsidRPr="004F4118" w:rsidRDefault="00E9644A" w:rsidP="00C66082">
            <w:pPr>
              <w:jc w:val="both"/>
              <w:rPr>
                <w:sz w:val="20"/>
                <w:szCs w:val="20"/>
              </w:rPr>
            </w:pPr>
            <w:r w:rsidRPr="004F4118">
              <w:rPr>
                <w:sz w:val="20"/>
                <w:szCs w:val="20"/>
              </w:rPr>
              <w:t xml:space="preserve">Appel rejeté. </w:t>
            </w:r>
          </w:p>
          <w:p w:rsidR="00E9644A" w:rsidRPr="004F4118" w:rsidRDefault="00E9644A" w:rsidP="00C66082">
            <w:pPr>
              <w:jc w:val="both"/>
              <w:rPr>
                <w:sz w:val="20"/>
                <w:szCs w:val="20"/>
              </w:rPr>
            </w:pPr>
          </w:p>
        </w:tc>
      </w:tr>
      <w:tr w:rsidR="00E9644A" w:rsidRPr="004F4118" w:rsidTr="00C66082">
        <w:tc>
          <w:tcPr>
            <w:tcW w:w="2427" w:type="pct"/>
          </w:tcPr>
          <w:p w:rsidR="00E9644A" w:rsidRPr="004F4118" w:rsidRDefault="00E9644A" w:rsidP="00C66082">
            <w:pPr>
              <w:jc w:val="both"/>
              <w:rPr>
                <w:sz w:val="20"/>
                <w:szCs w:val="20"/>
                <w:lang w:val="fr-CA"/>
              </w:rPr>
            </w:pPr>
            <w:r w:rsidRPr="004F4118">
              <w:rPr>
                <w:sz w:val="20"/>
                <w:szCs w:val="20"/>
                <w:lang w:val="fr-CA"/>
              </w:rPr>
              <w:t>31 mai 2021</w:t>
            </w:r>
          </w:p>
          <w:p w:rsidR="00E9644A" w:rsidRPr="004F4118" w:rsidRDefault="00E9644A" w:rsidP="00C66082">
            <w:pPr>
              <w:jc w:val="both"/>
              <w:rPr>
                <w:sz w:val="20"/>
                <w:szCs w:val="20"/>
                <w:lang w:val="fr-CA"/>
              </w:rPr>
            </w:pPr>
            <w:r w:rsidRPr="004F4118">
              <w:rPr>
                <w:sz w:val="20"/>
                <w:szCs w:val="20"/>
                <w:lang w:val="fr-CA"/>
              </w:rPr>
              <w:t>Cour suprême du Canada</w:t>
            </w:r>
          </w:p>
        </w:tc>
        <w:tc>
          <w:tcPr>
            <w:tcW w:w="243" w:type="pct"/>
          </w:tcPr>
          <w:p w:rsidR="00E9644A" w:rsidRPr="004F4118" w:rsidRDefault="00E9644A" w:rsidP="00C66082">
            <w:pPr>
              <w:jc w:val="both"/>
              <w:rPr>
                <w:sz w:val="20"/>
                <w:szCs w:val="20"/>
                <w:lang w:val="fr-CA"/>
              </w:rPr>
            </w:pPr>
          </w:p>
        </w:tc>
        <w:tc>
          <w:tcPr>
            <w:tcW w:w="2330" w:type="pct"/>
          </w:tcPr>
          <w:p w:rsidR="00E9644A" w:rsidRPr="004F4118" w:rsidRDefault="00E9644A" w:rsidP="00C66082">
            <w:pPr>
              <w:jc w:val="both"/>
              <w:rPr>
                <w:sz w:val="20"/>
                <w:szCs w:val="20"/>
              </w:rPr>
            </w:pPr>
            <w:r w:rsidRPr="004F4118">
              <w:rPr>
                <w:sz w:val="20"/>
                <w:szCs w:val="20"/>
              </w:rPr>
              <w:t>Demande d’autorisation d’appel déposée.</w:t>
            </w:r>
          </w:p>
          <w:p w:rsidR="00E9644A" w:rsidRPr="004F4118" w:rsidRDefault="00E9644A" w:rsidP="00C66082">
            <w:pPr>
              <w:jc w:val="both"/>
              <w:rPr>
                <w:sz w:val="20"/>
                <w:szCs w:val="20"/>
              </w:rPr>
            </w:pPr>
          </w:p>
        </w:tc>
      </w:tr>
    </w:tbl>
    <w:p w:rsidR="00E9644A" w:rsidRPr="004F4118" w:rsidRDefault="00E9644A" w:rsidP="00E9644A">
      <w:pPr>
        <w:jc w:val="both"/>
        <w:rPr>
          <w:sz w:val="20"/>
        </w:rPr>
      </w:pPr>
    </w:p>
    <w:p w:rsidR="00E9644A" w:rsidRPr="004F4118" w:rsidRDefault="00DF0AA3" w:rsidP="00E9644A">
      <w:pPr>
        <w:jc w:val="both"/>
        <w:rPr>
          <w:sz w:val="20"/>
          <w:szCs w:val="20"/>
        </w:rPr>
      </w:pPr>
      <w:r>
        <w:rPr>
          <w:sz w:val="20"/>
        </w:rPr>
        <w:pict>
          <v:rect id="_x0000_i1040" style="width:2in;height:1pt" o:hrpct="0" o:hralign="center" o:hrstd="t" o:hrnoshade="t" o:hr="t" fillcolor="black [3213]" stroked="f"/>
        </w:pict>
      </w:r>
    </w:p>
    <w:p w:rsidR="00E9644A" w:rsidRPr="004F4118" w:rsidRDefault="00E9644A" w:rsidP="00E9644A">
      <w:pPr>
        <w:widowControl w:val="0"/>
        <w:tabs>
          <w:tab w:val="left" w:pos="3840"/>
        </w:tabs>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644A" w:rsidRPr="004F4118" w:rsidTr="00C66082">
        <w:tc>
          <w:tcPr>
            <w:tcW w:w="543" w:type="pct"/>
          </w:tcPr>
          <w:p w:rsidR="00E9644A" w:rsidRPr="004F4118" w:rsidRDefault="00E9644A" w:rsidP="00C66082">
            <w:pPr>
              <w:jc w:val="both"/>
              <w:rPr>
                <w:sz w:val="20"/>
                <w:szCs w:val="20"/>
              </w:rPr>
            </w:pPr>
            <w:r w:rsidRPr="004F4118">
              <w:rPr>
                <w:b/>
                <w:sz w:val="20"/>
                <w:szCs w:val="20"/>
              </w:rPr>
              <w:t>39772</w:t>
            </w:r>
          </w:p>
        </w:tc>
        <w:tc>
          <w:tcPr>
            <w:tcW w:w="4457" w:type="pct"/>
            <w:gridSpan w:val="3"/>
          </w:tcPr>
          <w:p w:rsidR="00E9644A" w:rsidRPr="004F4118" w:rsidRDefault="00E9644A" w:rsidP="00C66082">
            <w:pPr>
              <w:jc w:val="both"/>
              <w:rPr>
                <w:b/>
                <w:sz w:val="20"/>
                <w:szCs w:val="20"/>
              </w:rPr>
            </w:pPr>
            <w:r w:rsidRPr="004F4118">
              <w:rPr>
                <w:b/>
                <w:sz w:val="20"/>
                <w:szCs w:val="20"/>
              </w:rPr>
              <w:t>Alberta Health Services v. United Nurses Association</w:t>
            </w:r>
          </w:p>
          <w:p w:rsidR="00E9644A" w:rsidRPr="004F4118" w:rsidRDefault="00E9644A" w:rsidP="00C66082">
            <w:pPr>
              <w:jc w:val="both"/>
              <w:rPr>
                <w:sz w:val="20"/>
                <w:szCs w:val="20"/>
              </w:rPr>
            </w:pPr>
            <w:r w:rsidRPr="004F4118">
              <w:rPr>
                <w:sz w:val="20"/>
                <w:szCs w:val="20"/>
              </w:rPr>
              <w:t>(Alta.) (Civil) (By Leave)</w:t>
            </w:r>
          </w:p>
        </w:tc>
      </w:tr>
      <w:tr w:rsidR="00E9644A" w:rsidRPr="004F4118" w:rsidTr="00C66082">
        <w:tc>
          <w:tcPr>
            <w:tcW w:w="5000" w:type="pct"/>
            <w:gridSpan w:val="4"/>
          </w:tcPr>
          <w:p w:rsidR="00E9644A" w:rsidRPr="004F4118" w:rsidRDefault="00CB7BE3" w:rsidP="00C66082">
            <w:pPr>
              <w:jc w:val="both"/>
              <w:rPr>
                <w:sz w:val="20"/>
                <w:szCs w:val="20"/>
              </w:rPr>
            </w:pPr>
            <w:r w:rsidRPr="004F4118">
              <w:rPr>
                <w:sz w:val="20"/>
                <w:szCs w:val="20"/>
              </w:rPr>
              <w:t>The application for leave to appeal from the judgment of the Court of Appeal of Alberta (Calgary), Number 1901-0146-AC, 2021 ABCA 194, dated May 25, 2021 is dismissed with costs.</w:t>
            </w:r>
          </w:p>
          <w:p w:rsidR="00CB7BE3" w:rsidRPr="004F4118" w:rsidRDefault="00CB7BE3" w:rsidP="00C66082">
            <w:pPr>
              <w:jc w:val="both"/>
              <w:rPr>
                <w:sz w:val="20"/>
                <w:szCs w:val="20"/>
              </w:rPr>
            </w:pPr>
          </w:p>
        </w:tc>
      </w:tr>
      <w:tr w:rsidR="00E9644A" w:rsidRPr="004F4118" w:rsidTr="00C66082">
        <w:tc>
          <w:tcPr>
            <w:tcW w:w="5000" w:type="pct"/>
            <w:gridSpan w:val="4"/>
          </w:tcPr>
          <w:p w:rsidR="00E9644A" w:rsidRPr="004F4118" w:rsidRDefault="00E9644A" w:rsidP="00C66082">
            <w:pPr>
              <w:jc w:val="both"/>
              <w:rPr>
                <w:sz w:val="20"/>
                <w:szCs w:val="20"/>
              </w:rPr>
            </w:pPr>
            <w:r w:rsidRPr="004F4118">
              <w:rPr>
                <w:sz w:val="20"/>
                <w:szCs w:val="20"/>
              </w:rPr>
              <w:t xml:space="preserve">Human rights — Discrimination — Family status discrimination — How should courts address divergent arbitral and human rights jurisprudence on discrimination on the basis of family status — Whether the interpretation of human rights concepts, such as the test for family status discrimination, raises a ‘general question of law of central importance to the legal system’ as defined in </w:t>
            </w:r>
            <w:r w:rsidRPr="004F4118">
              <w:rPr>
                <w:i/>
                <w:sz w:val="20"/>
                <w:szCs w:val="20"/>
              </w:rPr>
              <w:t>Canada (Minister of Citizenship and Immigration v. Vavilov</w:t>
            </w:r>
            <w:r w:rsidRPr="004F4118">
              <w:rPr>
                <w:sz w:val="20"/>
                <w:szCs w:val="20"/>
              </w:rPr>
              <w:t xml:space="preserve">, 2019 SCC 65 — Whether administrative decision makers are bound by </w:t>
            </w:r>
            <w:r w:rsidRPr="004F4118">
              <w:rPr>
                <w:i/>
                <w:sz w:val="20"/>
                <w:szCs w:val="20"/>
              </w:rPr>
              <w:t>stare decisis</w:t>
            </w:r>
            <w:r w:rsidRPr="004F4118">
              <w:rPr>
                <w:sz w:val="20"/>
                <w:szCs w:val="20"/>
              </w:rPr>
              <w:t xml:space="preserve"> where the relevant part of the judicial decision was </w:t>
            </w:r>
            <w:r w:rsidRPr="004F4118">
              <w:rPr>
                <w:i/>
                <w:sz w:val="20"/>
                <w:szCs w:val="20"/>
              </w:rPr>
              <w:t>obiter</w:t>
            </w:r>
            <w:r w:rsidRPr="004F4118">
              <w:rPr>
                <w:sz w:val="20"/>
                <w:szCs w:val="20"/>
              </w:rPr>
              <w:t xml:space="preserve"> or where the judicial decision concerns a general area of law, such as discrimination, but not a specific sub-part, such as family status discrimination.</w:t>
            </w:r>
          </w:p>
        </w:tc>
      </w:tr>
      <w:tr w:rsidR="00E9644A" w:rsidRPr="004F4118" w:rsidTr="00C66082">
        <w:tc>
          <w:tcPr>
            <w:tcW w:w="5000" w:type="pct"/>
            <w:gridSpan w:val="4"/>
          </w:tcPr>
          <w:p w:rsidR="00E9644A" w:rsidRPr="004F4118" w:rsidRDefault="00E9644A" w:rsidP="00C66082">
            <w:pPr>
              <w:jc w:val="both"/>
              <w:rPr>
                <w:sz w:val="20"/>
                <w:szCs w:val="20"/>
              </w:rPr>
            </w:pPr>
          </w:p>
        </w:tc>
      </w:tr>
      <w:tr w:rsidR="00E9644A" w:rsidRPr="004F4118" w:rsidTr="00C66082">
        <w:tc>
          <w:tcPr>
            <w:tcW w:w="5000" w:type="pct"/>
            <w:gridSpan w:val="4"/>
          </w:tcPr>
          <w:p w:rsidR="00E9644A" w:rsidRPr="004F4118" w:rsidRDefault="00E9644A" w:rsidP="00C66082">
            <w:pPr>
              <w:jc w:val="both"/>
              <w:rPr>
                <w:sz w:val="20"/>
                <w:szCs w:val="20"/>
              </w:rPr>
            </w:pPr>
            <w:r w:rsidRPr="004F4118">
              <w:rPr>
                <w:sz w:val="20"/>
                <w:szCs w:val="20"/>
              </w:rPr>
              <w:lastRenderedPageBreak/>
              <w:t>In order to comply with the terms of a collective agreement, Alberta Health Services changed its shift rotation. A registered nurse (“RN”) working full time was unable to coordinate childcare for her two infant children with her husband, who works shifts for another employer. After making unsuccessful attempts to find a way to care for her children while observing the new rotation, she made informal inquiries about the possibility of remaining in the earlier rotation. When that met with refusal, she formally requested a family status accommodation. When it was denied, the United Nurses Association (“UNA”) filed a grievance. the RN then asked to be transferred to casual status due to the childcare issues. Her request was granted.</w:t>
            </w:r>
          </w:p>
          <w:p w:rsidR="00E9644A" w:rsidRPr="004F4118" w:rsidRDefault="00E9644A" w:rsidP="00C66082">
            <w:pPr>
              <w:jc w:val="both"/>
              <w:rPr>
                <w:sz w:val="20"/>
                <w:szCs w:val="20"/>
              </w:rPr>
            </w:pPr>
          </w:p>
          <w:p w:rsidR="00E9644A" w:rsidRPr="004F4118" w:rsidRDefault="00E9644A" w:rsidP="00C66082">
            <w:pPr>
              <w:jc w:val="both"/>
              <w:rPr>
                <w:sz w:val="20"/>
                <w:szCs w:val="20"/>
              </w:rPr>
            </w:pPr>
            <w:r w:rsidRPr="004F4118">
              <w:rPr>
                <w:sz w:val="20"/>
                <w:szCs w:val="20"/>
              </w:rPr>
              <w:t xml:space="preserve">The Labour Arbitration Board applied the test set out in </w:t>
            </w:r>
            <w:r w:rsidRPr="004F4118">
              <w:rPr>
                <w:i/>
                <w:sz w:val="20"/>
                <w:szCs w:val="20"/>
              </w:rPr>
              <w:t>Canada (Attorney General) v. Johnstone</w:t>
            </w:r>
            <w:r w:rsidRPr="004F4118">
              <w:rPr>
                <w:sz w:val="20"/>
                <w:szCs w:val="20"/>
              </w:rPr>
              <w:t xml:space="preserve">, 2014 FCA 110, at para. 88, in which the Federal Court of Appeal held that it </w:t>
            </w:r>
            <w:r w:rsidRPr="004F4118">
              <w:rPr>
                <w:color w:val="000000"/>
                <w:sz w:val="20"/>
                <w:szCs w:val="20"/>
              </w:rPr>
              <w:t xml:space="preserve">“is only if the employee has sought out reasonable alternative childcare arrangements unsuccessfully, and remains unable to fulfill his or her parental obligations, that a </w:t>
            </w:r>
            <w:r w:rsidRPr="004F4118">
              <w:rPr>
                <w:i/>
                <w:iCs/>
                <w:color w:val="000000"/>
                <w:sz w:val="20"/>
                <w:szCs w:val="20"/>
              </w:rPr>
              <w:t xml:space="preserve">prima facie </w:t>
            </w:r>
            <w:r w:rsidRPr="004F4118">
              <w:rPr>
                <w:color w:val="000000"/>
                <w:sz w:val="20"/>
                <w:szCs w:val="20"/>
              </w:rPr>
              <w:t>case of discrimination will be made out”. T</w:t>
            </w:r>
            <w:r w:rsidRPr="004F4118">
              <w:rPr>
                <w:sz w:val="20"/>
                <w:szCs w:val="20"/>
              </w:rPr>
              <w:t xml:space="preserve">he Board found that the RN had not shown that no reasonable alternative would allow her to remain in her full time position, so she had not established </w:t>
            </w:r>
            <w:r w:rsidRPr="004F4118">
              <w:rPr>
                <w:i/>
                <w:sz w:val="20"/>
                <w:szCs w:val="20"/>
              </w:rPr>
              <w:t>prima facie</w:t>
            </w:r>
            <w:r w:rsidRPr="004F4118">
              <w:rPr>
                <w:sz w:val="20"/>
                <w:szCs w:val="20"/>
              </w:rPr>
              <w:t xml:space="preserve"> discrimination. It denied the grievance.</w:t>
            </w:r>
          </w:p>
          <w:p w:rsidR="00E9644A" w:rsidRPr="004F4118" w:rsidRDefault="00E9644A" w:rsidP="00C66082">
            <w:pPr>
              <w:jc w:val="both"/>
              <w:rPr>
                <w:sz w:val="20"/>
                <w:szCs w:val="20"/>
              </w:rPr>
            </w:pPr>
          </w:p>
          <w:p w:rsidR="00E9644A" w:rsidRPr="004F4118" w:rsidRDefault="00E9644A" w:rsidP="00C66082">
            <w:pPr>
              <w:jc w:val="both"/>
              <w:rPr>
                <w:sz w:val="20"/>
                <w:szCs w:val="20"/>
              </w:rPr>
            </w:pPr>
            <w:r w:rsidRPr="004F4118">
              <w:rPr>
                <w:sz w:val="20"/>
                <w:szCs w:val="20"/>
              </w:rPr>
              <w:t>The UNA requested judicial review. The reviewing judge found that it was unreasonable for the Board to put the self</w:t>
            </w:r>
            <w:r w:rsidRPr="004F4118">
              <w:rPr>
                <w:sz w:val="20"/>
                <w:szCs w:val="20"/>
              </w:rPr>
              <w:noBreakHyphen/>
              <w:t>accommodation analysis at the early stage of the inquiry, The Board’s decision was quashed and the entire matter was remitted to be reheard before a newly constituted panel. The Court of Appeal dismissed the appeal.</w:t>
            </w:r>
          </w:p>
          <w:p w:rsidR="00E9644A" w:rsidRPr="004F4118" w:rsidRDefault="00E9644A" w:rsidP="00C66082">
            <w:pPr>
              <w:jc w:val="both"/>
              <w:rPr>
                <w:sz w:val="20"/>
                <w:szCs w:val="20"/>
              </w:rPr>
            </w:pPr>
          </w:p>
        </w:tc>
      </w:tr>
      <w:tr w:rsidR="00E9644A" w:rsidRPr="004F4118" w:rsidTr="00C66082">
        <w:tc>
          <w:tcPr>
            <w:tcW w:w="2427" w:type="pct"/>
            <w:gridSpan w:val="2"/>
          </w:tcPr>
          <w:p w:rsidR="00E9644A" w:rsidRPr="004F4118" w:rsidRDefault="00E9644A" w:rsidP="00C66082">
            <w:pPr>
              <w:jc w:val="both"/>
              <w:rPr>
                <w:sz w:val="20"/>
                <w:szCs w:val="20"/>
              </w:rPr>
            </w:pPr>
            <w:r w:rsidRPr="004F4118">
              <w:rPr>
                <w:sz w:val="20"/>
                <w:szCs w:val="20"/>
              </w:rPr>
              <w:t>April 11, 2019</w:t>
            </w:r>
          </w:p>
          <w:p w:rsidR="00E9644A" w:rsidRPr="004F4118" w:rsidRDefault="00E9644A" w:rsidP="00C66082">
            <w:pPr>
              <w:jc w:val="both"/>
              <w:rPr>
                <w:sz w:val="20"/>
                <w:szCs w:val="20"/>
              </w:rPr>
            </w:pPr>
            <w:r w:rsidRPr="004F4118">
              <w:rPr>
                <w:sz w:val="20"/>
                <w:szCs w:val="20"/>
              </w:rPr>
              <w:t>Court of Queen’s Bench of Alberta</w:t>
            </w:r>
          </w:p>
          <w:p w:rsidR="00E9644A" w:rsidRPr="004F4118" w:rsidRDefault="00E9644A" w:rsidP="00C66082">
            <w:pPr>
              <w:jc w:val="both"/>
              <w:rPr>
                <w:sz w:val="20"/>
                <w:szCs w:val="20"/>
              </w:rPr>
            </w:pPr>
            <w:r w:rsidRPr="004F4118">
              <w:rPr>
                <w:sz w:val="20"/>
                <w:szCs w:val="20"/>
              </w:rPr>
              <w:t>(Hollins J.)</w:t>
            </w:r>
          </w:p>
          <w:p w:rsidR="00E9644A" w:rsidRPr="004F4118" w:rsidRDefault="00DF0AA3" w:rsidP="00C66082">
            <w:pPr>
              <w:jc w:val="both"/>
              <w:rPr>
                <w:sz w:val="20"/>
                <w:szCs w:val="20"/>
              </w:rPr>
            </w:pPr>
            <w:hyperlink r:id="rId22" w:history="1">
              <w:r w:rsidR="00E9644A" w:rsidRPr="004F4118">
                <w:rPr>
                  <w:color w:val="0000FF" w:themeColor="hyperlink"/>
                  <w:sz w:val="20"/>
                  <w:szCs w:val="20"/>
                  <w:u w:val="single"/>
                </w:rPr>
                <w:t>2019 ABQB 255</w:t>
              </w:r>
            </w:hyperlink>
          </w:p>
          <w:p w:rsidR="00E9644A" w:rsidRPr="004F4118" w:rsidRDefault="00E9644A" w:rsidP="00C66082">
            <w:pPr>
              <w:jc w:val="both"/>
              <w:rPr>
                <w:sz w:val="20"/>
                <w:szCs w:val="20"/>
              </w:rPr>
            </w:pPr>
          </w:p>
        </w:tc>
        <w:tc>
          <w:tcPr>
            <w:tcW w:w="243" w:type="pct"/>
          </w:tcPr>
          <w:p w:rsidR="00E9644A" w:rsidRPr="004F4118" w:rsidRDefault="00E9644A" w:rsidP="00C66082">
            <w:pPr>
              <w:jc w:val="both"/>
              <w:rPr>
                <w:sz w:val="20"/>
                <w:szCs w:val="20"/>
              </w:rPr>
            </w:pPr>
          </w:p>
        </w:tc>
        <w:tc>
          <w:tcPr>
            <w:tcW w:w="2330" w:type="pct"/>
          </w:tcPr>
          <w:p w:rsidR="00E9644A" w:rsidRPr="004F4118" w:rsidRDefault="00E9644A" w:rsidP="00C66082">
            <w:pPr>
              <w:jc w:val="both"/>
              <w:rPr>
                <w:sz w:val="20"/>
                <w:szCs w:val="20"/>
              </w:rPr>
            </w:pPr>
            <w:r w:rsidRPr="004F4118">
              <w:rPr>
                <w:sz w:val="20"/>
                <w:szCs w:val="20"/>
              </w:rPr>
              <w:t>Entire matter ordered reheard by new panel</w:t>
            </w:r>
          </w:p>
          <w:p w:rsidR="00E9644A" w:rsidRPr="004F4118" w:rsidRDefault="00E9644A" w:rsidP="00C66082">
            <w:pPr>
              <w:jc w:val="both"/>
              <w:rPr>
                <w:sz w:val="20"/>
                <w:szCs w:val="20"/>
              </w:rPr>
            </w:pPr>
          </w:p>
        </w:tc>
      </w:tr>
      <w:tr w:rsidR="00E9644A" w:rsidRPr="004F4118" w:rsidTr="00C66082">
        <w:tc>
          <w:tcPr>
            <w:tcW w:w="2427" w:type="pct"/>
            <w:gridSpan w:val="2"/>
          </w:tcPr>
          <w:p w:rsidR="00E9644A" w:rsidRPr="004F4118" w:rsidRDefault="00E9644A" w:rsidP="00C66082">
            <w:pPr>
              <w:jc w:val="both"/>
              <w:rPr>
                <w:sz w:val="20"/>
                <w:szCs w:val="20"/>
              </w:rPr>
            </w:pPr>
            <w:r w:rsidRPr="004F4118">
              <w:rPr>
                <w:sz w:val="20"/>
                <w:szCs w:val="20"/>
              </w:rPr>
              <w:t>May 25, 2021</w:t>
            </w:r>
          </w:p>
          <w:p w:rsidR="00E9644A" w:rsidRPr="004F4118" w:rsidRDefault="00E9644A" w:rsidP="00C66082">
            <w:pPr>
              <w:jc w:val="both"/>
              <w:rPr>
                <w:sz w:val="20"/>
                <w:szCs w:val="20"/>
              </w:rPr>
            </w:pPr>
            <w:r w:rsidRPr="004F4118">
              <w:rPr>
                <w:sz w:val="20"/>
                <w:szCs w:val="20"/>
              </w:rPr>
              <w:t>Court of Appeal of Alberta (Calgary)</w:t>
            </w:r>
          </w:p>
          <w:p w:rsidR="00E9644A" w:rsidRPr="004F4118" w:rsidRDefault="00E9644A" w:rsidP="00C66082">
            <w:pPr>
              <w:jc w:val="both"/>
              <w:rPr>
                <w:sz w:val="20"/>
                <w:szCs w:val="20"/>
              </w:rPr>
            </w:pPr>
            <w:r w:rsidRPr="004F4118">
              <w:rPr>
                <w:sz w:val="20"/>
                <w:szCs w:val="20"/>
              </w:rPr>
              <w:t>(Veldhuis, Wakeling, Schutz JJ.A.)</w:t>
            </w:r>
          </w:p>
          <w:p w:rsidR="00E9644A" w:rsidRPr="004F4118" w:rsidRDefault="00DF0AA3" w:rsidP="00C66082">
            <w:pPr>
              <w:jc w:val="both"/>
              <w:rPr>
                <w:sz w:val="20"/>
                <w:szCs w:val="20"/>
              </w:rPr>
            </w:pPr>
            <w:hyperlink r:id="rId23" w:history="1">
              <w:r w:rsidR="00E9644A" w:rsidRPr="004F4118">
                <w:rPr>
                  <w:color w:val="0000FF" w:themeColor="hyperlink"/>
                  <w:sz w:val="20"/>
                  <w:szCs w:val="20"/>
                  <w:u w:val="single"/>
                </w:rPr>
                <w:t>2021 ABCA 194</w:t>
              </w:r>
            </w:hyperlink>
          </w:p>
          <w:p w:rsidR="00E9644A" w:rsidRPr="004F4118" w:rsidRDefault="00E9644A" w:rsidP="00C66082">
            <w:pPr>
              <w:jc w:val="both"/>
              <w:rPr>
                <w:sz w:val="20"/>
                <w:szCs w:val="20"/>
              </w:rPr>
            </w:pPr>
          </w:p>
        </w:tc>
        <w:tc>
          <w:tcPr>
            <w:tcW w:w="243" w:type="pct"/>
          </w:tcPr>
          <w:p w:rsidR="00E9644A" w:rsidRPr="004F4118" w:rsidRDefault="00E9644A" w:rsidP="00C66082">
            <w:pPr>
              <w:jc w:val="both"/>
              <w:rPr>
                <w:sz w:val="20"/>
                <w:szCs w:val="20"/>
              </w:rPr>
            </w:pPr>
          </w:p>
        </w:tc>
        <w:tc>
          <w:tcPr>
            <w:tcW w:w="2330" w:type="pct"/>
          </w:tcPr>
          <w:p w:rsidR="00E9644A" w:rsidRPr="004F4118" w:rsidRDefault="00E9644A" w:rsidP="00C66082">
            <w:pPr>
              <w:jc w:val="both"/>
              <w:rPr>
                <w:sz w:val="20"/>
                <w:szCs w:val="20"/>
              </w:rPr>
            </w:pPr>
            <w:r w:rsidRPr="004F4118">
              <w:rPr>
                <w:sz w:val="20"/>
                <w:szCs w:val="20"/>
              </w:rPr>
              <w:t>Appeal dismissed</w:t>
            </w:r>
          </w:p>
          <w:p w:rsidR="00E9644A" w:rsidRPr="004F4118" w:rsidRDefault="00E9644A" w:rsidP="00C66082">
            <w:pPr>
              <w:jc w:val="both"/>
              <w:rPr>
                <w:sz w:val="20"/>
                <w:szCs w:val="20"/>
              </w:rPr>
            </w:pPr>
          </w:p>
        </w:tc>
      </w:tr>
      <w:tr w:rsidR="00E9644A" w:rsidRPr="004F4118" w:rsidTr="00C66082">
        <w:tc>
          <w:tcPr>
            <w:tcW w:w="2427" w:type="pct"/>
            <w:gridSpan w:val="2"/>
          </w:tcPr>
          <w:p w:rsidR="00E9644A" w:rsidRPr="004F4118" w:rsidRDefault="00E9644A" w:rsidP="00C66082">
            <w:pPr>
              <w:jc w:val="both"/>
              <w:rPr>
                <w:sz w:val="20"/>
                <w:szCs w:val="20"/>
              </w:rPr>
            </w:pPr>
            <w:r w:rsidRPr="004F4118">
              <w:rPr>
                <w:sz w:val="20"/>
                <w:szCs w:val="20"/>
              </w:rPr>
              <w:t>July 21, 2021</w:t>
            </w:r>
          </w:p>
          <w:p w:rsidR="00E9644A" w:rsidRPr="004F4118" w:rsidRDefault="00E9644A" w:rsidP="00C66082">
            <w:pPr>
              <w:jc w:val="both"/>
              <w:rPr>
                <w:sz w:val="20"/>
                <w:szCs w:val="20"/>
              </w:rPr>
            </w:pPr>
            <w:r w:rsidRPr="004F4118">
              <w:rPr>
                <w:sz w:val="20"/>
                <w:szCs w:val="20"/>
              </w:rPr>
              <w:t>Supreme Court of Canada</w:t>
            </w:r>
          </w:p>
        </w:tc>
        <w:tc>
          <w:tcPr>
            <w:tcW w:w="243" w:type="pct"/>
          </w:tcPr>
          <w:p w:rsidR="00E9644A" w:rsidRPr="004F4118" w:rsidRDefault="00E9644A" w:rsidP="00C66082">
            <w:pPr>
              <w:jc w:val="both"/>
              <w:rPr>
                <w:sz w:val="20"/>
                <w:szCs w:val="20"/>
              </w:rPr>
            </w:pPr>
          </w:p>
        </w:tc>
        <w:tc>
          <w:tcPr>
            <w:tcW w:w="2330" w:type="pct"/>
          </w:tcPr>
          <w:p w:rsidR="00E9644A" w:rsidRPr="004F4118" w:rsidRDefault="00E9644A" w:rsidP="00C66082">
            <w:pPr>
              <w:jc w:val="both"/>
              <w:rPr>
                <w:sz w:val="20"/>
                <w:szCs w:val="20"/>
              </w:rPr>
            </w:pPr>
            <w:r w:rsidRPr="004F4118">
              <w:rPr>
                <w:sz w:val="20"/>
                <w:szCs w:val="20"/>
              </w:rPr>
              <w:t>Application for leave to appeal filed</w:t>
            </w:r>
          </w:p>
          <w:p w:rsidR="00E9644A" w:rsidRPr="004F4118" w:rsidRDefault="00E9644A" w:rsidP="00C66082">
            <w:pPr>
              <w:jc w:val="both"/>
              <w:rPr>
                <w:sz w:val="20"/>
                <w:szCs w:val="20"/>
              </w:rPr>
            </w:pPr>
          </w:p>
        </w:tc>
      </w:tr>
    </w:tbl>
    <w:p w:rsidR="00E9644A" w:rsidRPr="004F4118" w:rsidRDefault="00E9644A" w:rsidP="00E9644A">
      <w:pPr>
        <w:jc w:val="both"/>
        <w:rPr>
          <w:sz w:val="20"/>
        </w:rPr>
      </w:pPr>
    </w:p>
    <w:p w:rsidR="00E9644A" w:rsidRPr="004F4118" w:rsidRDefault="00DF0AA3" w:rsidP="00E9644A">
      <w:pPr>
        <w:jc w:val="both"/>
        <w:rPr>
          <w:sz w:val="20"/>
        </w:rPr>
      </w:pPr>
      <w:r>
        <w:rPr>
          <w:sz w:val="20"/>
        </w:rPr>
        <w:pict>
          <v:rect id="_x0000_i1041" style="width:2in;height:1pt" o:hrpct="0" o:hralign="center" o:hrstd="t" o:hrnoshade="t" o:hr="t" fillcolor="black [3213]" stroked="f"/>
        </w:pict>
      </w:r>
    </w:p>
    <w:p w:rsidR="00E9644A" w:rsidRPr="004F4118" w:rsidRDefault="00E9644A" w:rsidP="00E9644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9644A" w:rsidRPr="004F4118" w:rsidTr="00C66082">
        <w:tc>
          <w:tcPr>
            <w:tcW w:w="543" w:type="pct"/>
          </w:tcPr>
          <w:p w:rsidR="00E9644A" w:rsidRPr="004F4118" w:rsidRDefault="00E9644A" w:rsidP="00C66082">
            <w:pPr>
              <w:jc w:val="both"/>
              <w:rPr>
                <w:sz w:val="20"/>
                <w:szCs w:val="20"/>
              </w:rPr>
            </w:pPr>
            <w:r w:rsidRPr="004F4118">
              <w:rPr>
                <w:b/>
                <w:sz w:val="20"/>
                <w:szCs w:val="20"/>
              </w:rPr>
              <w:t>39772</w:t>
            </w:r>
          </w:p>
        </w:tc>
        <w:tc>
          <w:tcPr>
            <w:tcW w:w="4457" w:type="pct"/>
          </w:tcPr>
          <w:p w:rsidR="00E9644A" w:rsidRPr="004F4118" w:rsidRDefault="00E9644A" w:rsidP="00C66082">
            <w:pPr>
              <w:jc w:val="both"/>
              <w:rPr>
                <w:b/>
                <w:sz w:val="20"/>
                <w:szCs w:val="20"/>
              </w:rPr>
            </w:pPr>
            <w:r w:rsidRPr="004F4118">
              <w:rPr>
                <w:b/>
                <w:sz w:val="20"/>
                <w:szCs w:val="20"/>
              </w:rPr>
              <w:t>Alberta Health Services c. United Nurses Association</w:t>
            </w:r>
          </w:p>
          <w:p w:rsidR="00E9644A" w:rsidRPr="004F4118" w:rsidRDefault="00E9644A" w:rsidP="00C66082">
            <w:pPr>
              <w:jc w:val="both"/>
              <w:rPr>
                <w:sz w:val="20"/>
                <w:szCs w:val="20"/>
              </w:rPr>
            </w:pPr>
            <w:r w:rsidRPr="004F4118">
              <w:rPr>
                <w:sz w:val="20"/>
                <w:szCs w:val="20"/>
              </w:rPr>
              <w:t>(Alb.) (Civile) (Autorisation)</w:t>
            </w:r>
          </w:p>
        </w:tc>
      </w:tr>
      <w:tr w:rsidR="00E9644A" w:rsidRPr="004F4118" w:rsidTr="00C66082">
        <w:tc>
          <w:tcPr>
            <w:tcW w:w="5000" w:type="pct"/>
            <w:gridSpan w:val="2"/>
          </w:tcPr>
          <w:p w:rsidR="00E9644A" w:rsidRPr="004F4118" w:rsidRDefault="00CB7BE3" w:rsidP="00C66082">
            <w:pPr>
              <w:jc w:val="both"/>
              <w:rPr>
                <w:sz w:val="20"/>
                <w:szCs w:val="20"/>
                <w:lang w:val="fr-CA"/>
              </w:rPr>
            </w:pPr>
            <w:r w:rsidRPr="004F4118">
              <w:rPr>
                <w:sz w:val="20"/>
                <w:szCs w:val="20"/>
                <w:lang w:val="fr-CA"/>
              </w:rPr>
              <w:t>La demande d’autorisation d’appel de l’arrêt de la Cour d’appel de l’Alberta (Calgary), numéro 1901-0146-AC, 2021 ABCA 194, daté du 25 mai 2021, est rejetée avec dépens.</w:t>
            </w:r>
          </w:p>
          <w:p w:rsidR="00CB7BE3" w:rsidRPr="004F4118" w:rsidRDefault="00CB7BE3" w:rsidP="00C66082">
            <w:pPr>
              <w:jc w:val="both"/>
              <w:rPr>
                <w:sz w:val="20"/>
                <w:szCs w:val="20"/>
                <w:lang w:val="fr-CA"/>
              </w:rPr>
            </w:pPr>
          </w:p>
        </w:tc>
      </w:tr>
      <w:tr w:rsidR="00E9644A" w:rsidRPr="004F4118" w:rsidTr="00C66082">
        <w:tc>
          <w:tcPr>
            <w:tcW w:w="5000" w:type="pct"/>
            <w:gridSpan w:val="2"/>
          </w:tcPr>
          <w:p w:rsidR="00E9644A" w:rsidRPr="004F4118" w:rsidRDefault="00E9644A" w:rsidP="00C66082">
            <w:pPr>
              <w:jc w:val="both"/>
              <w:rPr>
                <w:sz w:val="20"/>
                <w:szCs w:val="20"/>
                <w:lang w:val="fr-CA"/>
              </w:rPr>
            </w:pPr>
            <w:r w:rsidRPr="004F4118">
              <w:rPr>
                <w:sz w:val="20"/>
                <w:szCs w:val="20"/>
                <w:lang w:val="fr-CA"/>
              </w:rPr>
              <w:t>Droits de la personne — Discrimination — Discrimination fondée sur le statut de famille — Comment les tribunaux devraient</w:t>
            </w:r>
            <w:r w:rsidRPr="004F4118">
              <w:rPr>
                <w:sz w:val="20"/>
                <w:szCs w:val="20"/>
                <w:lang w:val="fr-CA"/>
              </w:rPr>
              <w:noBreakHyphen/>
              <w:t>ils traiter des décisions arbitrales et de droit de la personne divergentes rendues sur le fondement du statut de famille? — L’interprétation de concepts de droits de la personne tels que le critère permettant d’établir la discrimination fondée sur le statut de famille soulève</w:t>
            </w:r>
            <w:r w:rsidRPr="004F4118">
              <w:rPr>
                <w:sz w:val="20"/>
                <w:szCs w:val="20"/>
                <w:lang w:val="fr-CA"/>
              </w:rPr>
              <w:noBreakHyphen/>
              <w:t>t</w:t>
            </w:r>
            <w:r w:rsidRPr="004F4118">
              <w:rPr>
                <w:sz w:val="20"/>
                <w:szCs w:val="20"/>
                <w:lang w:val="fr-CA"/>
              </w:rPr>
              <w:noBreakHyphen/>
              <w:t xml:space="preserve">elle des « questions de droit générales qui sont d’importance capitale pour le système juridique dans son ensemble », comme elles sont définies dans </w:t>
            </w:r>
            <w:r w:rsidRPr="004F4118">
              <w:rPr>
                <w:i/>
                <w:sz w:val="20"/>
                <w:szCs w:val="20"/>
                <w:lang w:val="fr-CA"/>
              </w:rPr>
              <w:t>Canada (Ministre de la Citoyenneté et de l’Immigration c. Vavilov</w:t>
            </w:r>
            <w:r w:rsidRPr="004F4118">
              <w:rPr>
                <w:sz w:val="20"/>
                <w:szCs w:val="20"/>
                <w:lang w:val="fr-CA"/>
              </w:rPr>
              <w:t xml:space="preserve">, 2019 CSC 65 — Les décideurs administratifs sont-ils liés par la règle du </w:t>
            </w:r>
            <w:r w:rsidRPr="004F4118">
              <w:rPr>
                <w:i/>
                <w:sz w:val="20"/>
                <w:szCs w:val="20"/>
                <w:lang w:val="fr-CA"/>
              </w:rPr>
              <w:t>stare decisis</w:t>
            </w:r>
            <w:r w:rsidRPr="004F4118">
              <w:rPr>
                <w:sz w:val="20"/>
                <w:szCs w:val="20"/>
                <w:lang w:val="fr-CA"/>
              </w:rPr>
              <w:t xml:space="preserve">, lorsque la partie pertinente de la décision judiciaire était </w:t>
            </w:r>
            <w:r w:rsidRPr="004F4118">
              <w:rPr>
                <w:i/>
                <w:sz w:val="20"/>
                <w:szCs w:val="20"/>
                <w:lang w:val="fr-CA"/>
              </w:rPr>
              <w:t>obiter</w:t>
            </w:r>
            <w:r w:rsidRPr="004F4118">
              <w:rPr>
                <w:sz w:val="20"/>
                <w:szCs w:val="20"/>
                <w:lang w:val="fr-CA"/>
              </w:rPr>
              <w:t>, alors que la décision judiciaire porte sur un domaine de droit général, comme la discrimination, et non pas sur sous</w:t>
            </w:r>
            <w:r w:rsidRPr="004F4118">
              <w:rPr>
                <w:sz w:val="20"/>
                <w:szCs w:val="20"/>
                <w:lang w:val="fr-CA"/>
              </w:rPr>
              <w:noBreakHyphen/>
              <w:t>domaine précis comme la discrimination fondée sur le statut de famille.</w:t>
            </w:r>
          </w:p>
        </w:tc>
      </w:tr>
      <w:tr w:rsidR="00E9644A" w:rsidRPr="004F4118" w:rsidTr="00C66082">
        <w:tc>
          <w:tcPr>
            <w:tcW w:w="5000" w:type="pct"/>
            <w:gridSpan w:val="2"/>
          </w:tcPr>
          <w:p w:rsidR="00E9644A" w:rsidRPr="004F4118" w:rsidRDefault="00E9644A" w:rsidP="00C66082">
            <w:pPr>
              <w:jc w:val="both"/>
              <w:rPr>
                <w:sz w:val="20"/>
                <w:szCs w:val="20"/>
                <w:lang w:val="fr-CA"/>
              </w:rPr>
            </w:pPr>
          </w:p>
        </w:tc>
      </w:tr>
    </w:tbl>
    <w:p w:rsidR="00CB7BE3" w:rsidRPr="004F4118" w:rsidRDefault="00CB7BE3">
      <w:pPr>
        <w:rPr>
          <w:lang w:val="fr-CA"/>
        </w:rPr>
      </w:pPr>
      <w:r w:rsidRPr="004F411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9644A" w:rsidRPr="004F4118" w:rsidTr="00C66082">
        <w:tc>
          <w:tcPr>
            <w:tcW w:w="5000" w:type="pct"/>
            <w:gridSpan w:val="3"/>
          </w:tcPr>
          <w:p w:rsidR="00E9644A" w:rsidRPr="004F4118" w:rsidRDefault="00E9644A" w:rsidP="00C66082">
            <w:pPr>
              <w:jc w:val="both"/>
              <w:rPr>
                <w:sz w:val="20"/>
                <w:szCs w:val="20"/>
                <w:lang w:val="fr-CA"/>
              </w:rPr>
            </w:pPr>
            <w:r w:rsidRPr="004F4118">
              <w:rPr>
                <w:sz w:val="20"/>
                <w:szCs w:val="20"/>
                <w:lang w:val="fr-CA"/>
              </w:rPr>
              <w:lastRenderedPageBreak/>
              <w:t>Afin de se conformer aux modalités d’une convention collective, les services de santé de l’Alberta (Alberta Health Services) ont changé la rotation de leurs quarts de travail. Une infirmière agréée  qui travaillait à temps plein n’a pas été en mesure de coordonner les services de garde de ses deux nourrissons avec son mari qui effectue des quarts de travail auprès d’un autre employeur. Après avoir fait des tentatives infructueuses pour trouver un moyen de faire garder ses enfants tout en se conformant à la nouvelle rotation, elle a présenté des demandes informelles sur la possibilité de demeurer régie par la rotation antérieure. Quand elle a essuyé un refus, elle a formellement demandé une mesure d’adaptation fondée sur le statut de famille. Lorsque cette dernière a été refusée, la United Nurses Association (« UNA ») a déposé un grief. L’infirmière agréée a alors demandé que son statut soit changé pour celui d’une employée occasionnelle, en raison des difficultés liées à la garde de ses enfants. Sa demande a été accueillie.</w:t>
            </w:r>
          </w:p>
          <w:p w:rsidR="00E9644A" w:rsidRPr="004F4118" w:rsidRDefault="00E9644A" w:rsidP="00C66082">
            <w:pPr>
              <w:tabs>
                <w:tab w:val="left" w:pos="2637"/>
              </w:tabs>
              <w:jc w:val="both"/>
              <w:rPr>
                <w:sz w:val="20"/>
                <w:szCs w:val="20"/>
                <w:lang w:val="fr-CA"/>
              </w:rPr>
            </w:pPr>
          </w:p>
          <w:p w:rsidR="00E9644A" w:rsidRPr="004F4118" w:rsidRDefault="00E9644A" w:rsidP="00C66082">
            <w:pPr>
              <w:jc w:val="both"/>
              <w:rPr>
                <w:sz w:val="20"/>
                <w:szCs w:val="20"/>
                <w:lang w:val="fr-CA"/>
              </w:rPr>
            </w:pPr>
            <w:r w:rsidRPr="004F4118">
              <w:rPr>
                <w:sz w:val="20"/>
                <w:szCs w:val="20"/>
                <w:lang w:val="fr-CA"/>
              </w:rPr>
              <w:t xml:space="preserve">La Commission d’arbitrage a appliqué le critère énoncé dans </w:t>
            </w:r>
            <w:r w:rsidRPr="004F4118">
              <w:rPr>
                <w:i/>
                <w:sz w:val="20"/>
                <w:szCs w:val="20"/>
                <w:lang w:val="fr-CA"/>
              </w:rPr>
              <w:t>Canada (Procureur général) c. Johnstone</w:t>
            </w:r>
            <w:r w:rsidRPr="004F4118">
              <w:rPr>
                <w:sz w:val="20"/>
                <w:szCs w:val="20"/>
                <w:lang w:val="fr-CA"/>
              </w:rPr>
              <w:t>, 2014 CAF 110, par. 88, dans lequel la Cour d’appel fédérale a décidé que : « Ce n’est que lorsque l’employé a cherché sans succès une solution de rechange raisonnable pour s’acquitter de ses obligations liées à la garde des enfants et qu’il demeure incapable de remplir ses obligations parentales qu’une preuve de discrimination est établie de prime abord »</w:t>
            </w:r>
            <w:r w:rsidRPr="004F4118">
              <w:rPr>
                <w:color w:val="000000"/>
                <w:sz w:val="20"/>
                <w:szCs w:val="20"/>
                <w:lang w:val="fr-CA"/>
              </w:rPr>
              <w:t xml:space="preserve">. La Commission a conclu que l’infirmière agréée n’avait pas démontré qu’il n’existait pas de solution de rechange raisonnable lui permettant de maintenir son emploi à temps plein, elle n’avait donc pas établi de discrimination </w:t>
            </w:r>
            <w:r w:rsidRPr="004F4118">
              <w:rPr>
                <w:i/>
                <w:color w:val="000000"/>
                <w:sz w:val="20"/>
                <w:szCs w:val="20"/>
                <w:lang w:val="fr-CA"/>
              </w:rPr>
              <w:t>prima facie</w:t>
            </w:r>
            <w:r w:rsidRPr="004F4118">
              <w:rPr>
                <w:color w:val="000000"/>
                <w:sz w:val="20"/>
                <w:szCs w:val="20"/>
                <w:lang w:val="fr-CA"/>
              </w:rPr>
              <w:t xml:space="preserve">. La Commission a rejeté le grief. </w:t>
            </w:r>
          </w:p>
          <w:p w:rsidR="00E9644A" w:rsidRPr="004F4118" w:rsidRDefault="00E9644A" w:rsidP="00C66082">
            <w:pPr>
              <w:jc w:val="both"/>
              <w:rPr>
                <w:sz w:val="20"/>
                <w:szCs w:val="20"/>
                <w:lang w:val="fr-CA"/>
              </w:rPr>
            </w:pPr>
          </w:p>
          <w:p w:rsidR="00E9644A" w:rsidRPr="004F4118" w:rsidRDefault="00E9644A" w:rsidP="00C66082">
            <w:pPr>
              <w:jc w:val="both"/>
              <w:rPr>
                <w:sz w:val="20"/>
                <w:szCs w:val="20"/>
                <w:lang w:val="fr-CA"/>
              </w:rPr>
            </w:pPr>
            <w:r w:rsidRPr="004F4118">
              <w:rPr>
                <w:sz w:val="20"/>
                <w:szCs w:val="20"/>
                <w:lang w:val="fr-CA"/>
              </w:rPr>
              <w:t>L’UNA a demandé le contrôle judiciaire. Le juge chargé du contrôle judiciaire a conclu qu’il était déraisonnable que la Commission applique l’analyse d’auto</w:t>
            </w:r>
            <w:r w:rsidRPr="004F4118">
              <w:rPr>
                <w:sz w:val="20"/>
                <w:szCs w:val="20"/>
                <w:lang w:val="fr-CA"/>
              </w:rPr>
              <w:noBreakHyphen/>
              <w:t>adaptation dès le début de l’enquête. La décision de la Commission a été annulée et l’ensemble de l’affaire a été renvoyée pour être entendue de nouveau par une nouvelle formation. La Cour d’appel a rejeté l’appel.</w:t>
            </w:r>
          </w:p>
          <w:p w:rsidR="00E9644A" w:rsidRPr="004F4118" w:rsidRDefault="00E9644A" w:rsidP="00C66082">
            <w:pPr>
              <w:jc w:val="both"/>
              <w:rPr>
                <w:sz w:val="20"/>
                <w:szCs w:val="20"/>
                <w:lang w:val="fr-CA"/>
              </w:rPr>
            </w:pPr>
          </w:p>
        </w:tc>
      </w:tr>
      <w:tr w:rsidR="00E9644A" w:rsidRPr="004F4118" w:rsidTr="00C66082">
        <w:tc>
          <w:tcPr>
            <w:tcW w:w="2427" w:type="pct"/>
          </w:tcPr>
          <w:p w:rsidR="00E9644A" w:rsidRPr="004F4118" w:rsidRDefault="00E9644A" w:rsidP="00C66082">
            <w:pPr>
              <w:jc w:val="both"/>
              <w:rPr>
                <w:sz w:val="20"/>
                <w:szCs w:val="20"/>
                <w:lang w:val="fr-CA"/>
              </w:rPr>
            </w:pPr>
            <w:r w:rsidRPr="004F4118">
              <w:rPr>
                <w:sz w:val="20"/>
                <w:szCs w:val="20"/>
                <w:lang w:val="fr-CA"/>
              </w:rPr>
              <w:t>11 avril 2019</w:t>
            </w:r>
          </w:p>
          <w:p w:rsidR="00E9644A" w:rsidRPr="004F4118" w:rsidRDefault="00E9644A" w:rsidP="00C66082">
            <w:pPr>
              <w:jc w:val="both"/>
              <w:rPr>
                <w:sz w:val="20"/>
                <w:szCs w:val="20"/>
                <w:lang w:val="fr-CA"/>
              </w:rPr>
            </w:pPr>
            <w:r w:rsidRPr="004F4118">
              <w:rPr>
                <w:sz w:val="20"/>
                <w:szCs w:val="20"/>
                <w:lang w:val="fr-CA"/>
              </w:rPr>
              <w:t>Cour du banc de la Reine de l’Alberta</w:t>
            </w:r>
          </w:p>
          <w:p w:rsidR="00E9644A" w:rsidRPr="004F4118" w:rsidRDefault="00E9644A" w:rsidP="00C66082">
            <w:pPr>
              <w:jc w:val="both"/>
              <w:rPr>
                <w:sz w:val="20"/>
                <w:szCs w:val="20"/>
              </w:rPr>
            </w:pPr>
            <w:r w:rsidRPr="004F4118">
              <w:rPr>
                <w:sz w:val="20"/>
                <w:szCs w:val="20"/>
              </w:rPr>
              <w:t>(juge Hollins)</w:t>
            </w:r>
          </w:p>
          <w:p w:rsidR="00E9644A" w:rsidRPr="004F4118" w:rsidRDefault="00DF0AA3" w:rsidP="00C66082">
            <w:pPr>
              <w:jc w:val="both"/>
              <w:rPr>
                <w:sz w:val="20"/>
                <w:szCs w:val="20"/>
              </w:rPr>
            </w:pPr>
            <w:hyperlink r:id="rId24" w:history="1">
              <w:r w:rsidR="00E9644A" w:rsidRPr="004F4118">
                <w:rPr>
                  <w:color w:val="0000FF" w:themeColor="hyperlink"/>
                  <w:sz w:val="20"/>
                  <w:szCs w:val="20"/>
                  <w:u w:val="single"/>
                </w:rPr>
                <w:t>2019 ABQB 255</w:t>
              </w:r>
            </w:hyperlink>
          </w:p>
          <w:p w:rsidR="00E9644A" w:rsidRPr="004F4118" w:rsidRDefault="00E9644A" w:rsidP="00C66082">
            <w:pPr>
              <w:jc w:val="both"/>
              <w:rPr>
                <w:sz w:val="20"/>
                <w:szCs w:val="20"/>
              </w:rPr>
            </w:pPr>
          </w:p>
        </w:tc>
        <w:tc>
          <w:tcPr>
            <w:tcW w:w="243" w:type="pct"/>
          </w:tcPr>
          <w:p w:rsidR="00E9644A" w:rsidRPr="004F4118" w:rsidRDefault="00E9644A" w:rsidP="00C66082">
            <w:pPr>
              <w:jc w:val="both"/>
              <w:rPr>
                <w:sz w:val="20"/>
                <w:szCs w:val="20"/>
              </w:rPr>
            </w:pPr>
          </w:p>
        </w:tc>
        <w:tc>
          <w:tcPr>
            <w:tcW w:w="2330" w:type="pct"/>
          </w:tcPr>
          <w:p w:rsidR="00E9644A" w:rsidRPr="004F4118" w:rsidRDefault="00E9644A" w:rsidP="00C66082">
            <w:pPr>
              <w:jc w:val="both"/>
              <w:rPr>
                <w:sz w:val="20"/>
                <w:szCs w:val="20"/>
                <w:lang w:val="fr-CA"/>
              </w:rPr>
            </w:pPr>
            <w:r w:rsidRPr="004F4118">
              <w:rPr>
                <w:sz w:val="20"/>
                <w:szCs w:val="20"/>
                <w:lang w:val="fr-CA"/>
              </w:rPr>
              <w:t>Ordonnance selon laquelle l’ensemble de l’affaire doit être entendue de nouveau par une nouvelle formation</w:t>
            </w:r>
          </w:p>
          <w:p w:rsidR="00E9644A" w:rsidRPr="004F4118" w:rsidRDefault="00E9644A" w:rsidP="00C66082">
            <w:pPr>
              <w:jc w:val="both"/>
              <w:rPr>
                <w:sz w:val="20"/>
                <w:szCs w:val="20"/>
                <w:lang w:val="fr-CA"/>
              </w:rPr>
            </w:pPr>
          </w:p>
        </w:tc>
      </w:tr>
      <w:tr w:rsidR="00E9644A" w:rsidRPr="004F4118" w:rsidTr="00C66082">
        <w:tc>
          <w:tcPr>
            <w:tcW w:w="2427" w:type="pct"/>
          </w:tcPr>
          <w:p w:rsidR="00E9644A" w:rsidRPr="004F4118" w:rsidRDefault="00E9644A" w:rsidP="00C66082">
            <w:pPr>
              <w:jc w:val="both"/>
              <w:rPr>
                <w:sz w:val="20"/>
                <w:szCs w:val="20"/>
                <w:lang w:val="fr-CA"/>
              </w:rPr>
            </w:pPr>
            <w:r w:rsidRPr="004F4118">
              <w:rPr>
                <w:sz w:val="20"/>
                <w:szCs w:val="20"/>
                <w:lang w:val="fr-CA"/>
              </w:rPr>
              <w:t>25 mai 2021</w:t>
            </w:r>
          </w:p>
          <w:p w:rsidR="00E9644A" w:rsidRPr="004F4118" w:rsidRDefault="00E9644A" w:rsidP="00C66082">
            <w:pPr>
              <w:jc w:val="both"/>
              <w:rPr>
                <w:sz w:val="20"/>
                <w:szCs w:val="20"/>
                <w:lang w:val="fr-CA"/>
              </w:rPr>
            </w:pPr>
            <w:r w:rsidRPr="004F4118">
              <w:rPr>
                <w:sz w:val="20"/>
                <w:szCs w:val="20"/>
                <w:lang w:val="fr-CA"/>
              </w:rPr>
              <w:t>Cour d’appel de l’Alberta (Calgary)</w:t>
            </w:r>
          </w:p>
          <w:p w:rsidR="00E9644A" w:rsidRPr="004F4118" w:rsidRDefault="00E9644A" w:rsidP="00C66082">
            <w:pPr>
              <w:jc w:val="both"/>
              <w:rPr>
                <w:sz w:val="20"/>
                <w:szCs w:val="20"/>
              </w:rPr>
            </w:pPr>
            <w:r w:rsidRPr="004F4118">
              <w:rPr>
                <w:sz w:val="20"/>
                <w:szCs w:val="20"/>
              </w:rPr>
              <w:t>(juges Veldhuis, Wakeling, Schutz)</w:t>
            </w:r>
          </w:p>
          <w:p w:rsidR="00E9644A" w:rsidRPr="004F4118" w:rsidRDefault="00DF0AA3" w:rsidP="00C66082">
            <w:pPr>
              <w:jc w:val="both"/>
              <w:rPr>
                <w:sz w:val="20"/>
                <w:szCs w:val="20"/>
              </w:rPr>
            </w:pPr>
            <w:hyperlink r:id="rId25" w:history="1">
              <w:r w:rsidR="00E9644A" w:rsidRPr="004F4118">
                <w:rPr>
                  <w:color w:val="0000FF" w:themeColor="hyperlink"/>
                  <w:sz w:val="20"/>
                  <w:szCs w:val="20"/>
                  <w:u w:val="single"/>
                </w:rPr>
                <w:t>2021 ABCA 194</w:t>
              </w:r>
            </w:hyperlink>
          </w:p>
          <w:p w:rsidR="00E9644A" w:rsidRPr="004F4118" w:rsidRDefault="00E9644A" w:rsidP="00C66082">
            <w:pPr>
              <w:jc w:val="both"/>
              <w:rPr>
                <w:sz w:val="20"/>
                <w:szCs w:val="20"/>
              </w:rPr>
            </w:pPr>
          </w:p>
        </w:tc>
        <w:tc>
          <w:tcPr>
            <w:tcW w:w="243" w:type="pct"/>
          </w:tcPr>
          <w:p w:rsidR="00E9644A" w:rsidRPr="004F4118" w:rsidRDefault="00E9644A" w:rsidP="00C66082">
            <w:pPr>
              <w:jc w:val="both"/>
              <w:rPr>
                <w:sz w:val="20"/>
                <w:szCs w:val="20"/>
              </w:rPr>
            </w:pPr>
          </w:p>
        </w:tc>
        <w:tc>
          <w:tcPr>
            <w:tcW w:w="2330" w:type="pct"/>
          </w:tcPr>
          <w:p w:rsidR="00E9644A" w:rsidRPr="004F4118" w:rsidRDefault="00E9644A" w:rsidP="00C66082">
            <w:pPr>
              <w:jc w:val="both"/>
              <w:rPr>
                <w:sz w:val="20"/>
                <w:szCs w:val="20"/>
              </w:rPr>
            </w:pPr>
            <w:r w:rsidRPr="004F4118">
              <w:rPr>
                <w:sz w:val="20"/>
                <w:szCs w:val="20"/>
              </w:rPr>
              <w:t>Appel rejeté</w:t>
            </w:r>
          </w:p>
          <w:p w:rsidR="00E9644A" w:rsidRPr="004F4118" w:rsidRDefault="00E9644A" w:rsidP="00C66082">
            <w:pPr>
              <w:jc w:val="both"/>
              <w:rPr>
                <w:sz w:val="20"/>
                <w:szCs w:val="20"/>
              </w:rPr>
            </w:pPr>
          </w:p>
        </w:tc>
      </w:tr>
      <w:tr w:rsidR="00E9644A" w:rsidRPr="004F4118" w:rsidTr="00C66082">
        <w:tc>
          <w:tcPr>
            <w:tcW w:w="2427" w:type="pct"/>
          </w:tcPr>
          <w:p w:rsidR="00E9644A" w:rsidRPr="004F4118" w:rsidRDefault="00E9644A" w:rsidP="00C66082">
            <w:pPr>
              <w:jc w:val="both"/>
              <w:rPr>
                <w:sz w:val="20"/>
                <w:szCs w:val="20"/>
                <w:lang w:val="fr-CA"/>
              </w:rPr>
            </w:pPr>
            <w:r w:rsidRPr="004F4118">
              <w:rPr>
                <w:sz w:val="20"/>
                <w:szCs w:val="20"/>
                <w:lang w:val="fr-CA"/>
              </w:rPr>
              <w:t>21 juillet 2021</w:t>
            </w:r>
          </w:p>
          <w:p w:rsidR="00E9644A" w:rsidRPr="004F4118" w:rsidRDefault="00E9644A" w:rsidP="00C66082">
            <w:pPr>
              <w:jc w:val="both"/>
              <w:rPr>
                <w:sz w:val="20"/>
                <w:szCs w:val="20"/>
                <w:lang w:val="fr-CA"/>
              </w:rPr>
            </w:pPr>
            <w:r w:rsidRPr="004F4118">
              <w:rPr>
                <w:sz w:val="20"/>
                <w:szCs w:val="20"/>
                <w:lang w:val="fr-CA"/>
              </w:rPr>
              <w:t>Cour suprême du Canada</w:t>
            </w:r>
          </w:p>
        </w:tc>
        <w:tc>
          <w:tcPr>
            <w:tcW w:w="243" w:type="pct"/>
          </w:tcPr>
          <w:p w:rsidR="00E9644A" w:rsidRPr="004F4118" w:rsidRDefault="00E9644A" w:rsidP="00C66082">
            <w:pPr>
              <w:jc w:val="both"/>
              <w:rPr>
                <w:sz w:val="20"/>
                <w:szCs w:val="20"/>
                <w:lang w:val="fr-CA"/>
              </w:rPr>
            </w:pPr>
          </w:p>
        </w:tc>
        <w:tc>
          <w:tcPr>
            <w:tcW w:w="2330" w:type="pct"/>
          </w:tcPr>
          <w:p w:rsidR="00E9644A" w:rsidRPr="004F4118" w:rsidRDefault="00E9644A" w:rsidP="00C66082">
            <w:pPr>
              <w:jc w:val="both"/>
              <w:rPr>
                <w:sz w:val="20"/>
                <w:szCs w:val="20"/>
              </w:rPr>
            </w:pPr>
            <w:r w:rsidRPr="004F4118">
              <w:rPr>
                <w:sz w:val="20"/>
                <w:szCs w:val="20"/>
              </w:rPr>
              <w:t xml:space="preserve">Demande d’autorisation d’appel déposée </w:t>
            </w:r>
          </w:p>
          <w:p w:rsidR="00E9644A" w:rsidRPr="004F4118" w:rsidRDefault="00E9644A" w:rsidP="00C66082">
            <w:pPr>
              <w:jc w:val="both"/>
              <w:rPr>
                <w:sz w:val="20"/>
                <w:szCs w:val="20"/>
              </w:rPr>
            </w:pPr>
          </w:p>
        </w:tc>
      </w:tr>
    </w:tbl>
    <w:p w:rsidR="00E9644A" w:rsidRPr="004F4118" w:rsidRDefault="00E9644A" w:rsidP="00E9644A">
      <w:pPr>
        <w:jc w:val="both"/>
        <w:rPr>
          <w:sz w:val="20"/>
        </w:rPr>
      </w:pPr>
    </w:p>
    <w:p w:rsidR="00E9644A" w:rsidRPr="004F4118" w:rsidRDefault="00DF0AA3" w:rsidP="00E9644A">
      <w:pPr>
        <w:jc w:val="both"/>
        <w:rPr>
          <w:sz w:val="20"/>
          <w:szCs w:val="20"/>
        </w:rPr>
      </w:pPr>
      <w:r>
        <w:rPr>
          <w:sz w:val="20"/>
        </w:rPr>
        <w:pict>
          <v:rect id="_x0000_i1042" style="width:2in;height:1pt" o:hrpct="0" o:hralign="center" o:hrstd="t" o:hrnoshade="t" o:hr="t" fillcolor="black [3213]" stroked="f"/>
        </w:pict>
      </w:r>
    </w:p>
    <w:p w:rsidR="00E9644A" w:rsidRPr="004F4118" w:rsidRDefault="00E9644A" w:rsidP="00E9644A">
      <w:pPr>
        <w:widowControl w:val="0"/>
        <w:tabs>
          <w:tab w:val="left" w:pos="3840"/>
        </w:tabs>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9644A" w:rsidRPr="004F4118" w:rsidTr="00C66082">
        <w:tc>
          <w:tcPr>
            <w:tcW w:w="543" w:type="pct"/>
          </w:tcPr>
          <w:p w:rsidR="00E9644A" w:rsidRPr="004F4118" w:rsidRDefault="00E9644A" w:rsidP="00C66082">
            <w:pPr>
              <w:jc w:val="both"/>
              <w:rPr>
                <w:sz w:val="20"/>
                <w:szCs w:val="20"/>
              </w:rPr>
            </w:pPr>
            <w:r w:rsidRPr="004F4118">
              <w:rPr>
                <w:rStyle w:val="SCCFileNumberChar"/>
                <w:sz w:val="20"/>
                <w:szCs w:val="20"/>
              </w:rPr>
              <w:t>39819</w:t>
            </w:r>
          </w:p>
        </w:tc>
        <w:tc>
          <w:tcPr>
            <w:tcW w:w="4457" w:type="pct"/>
          </w:tcPr>
          <w:p w:rsidR="00E9644A" w:rsidRPr="004F4118" w:rsidRDefault="00E9644A" w:rsidP="00C66082">
            <w:pPr>
              <w:pStyle w:val="SCCLsocParty"/>
              <w:jc w:val="both"/>
              <w:rPr>
                <w:b/>
                <w:sz w:val="20"/>
                <w:szCs w:val="20"/>
                <w:lang w:val="en-US"/>
              </w:rPr>
            </w:pPr>
            <w:r w:rsidRPr="004F4118">
              <w:rPr>
                <w:b/>
                <w:sz w:val="20"/>
                <w:szCs w:val="20"/>
                <w:lang w:val="en-US"/>
              </w:rPr>
              <w:t>Paletta International Corporation v. Liberty Freezers London Ltd.</w:t>
            </w:r>
          </w:p>
          <w:p w:rsidR="00E9644A" w:rsidRPr="004F4118" w:rsidRDefault="00E9644A" w:rsidP="00C66082">
            <w:pPr>
              <w:jc w:val="both"/>
              <w:rPr>
                <w:sz w:val="20"/>
                <w:szCs w:val="20"/>
              </w:rPr>
            </w:pPr>
            <w:r w:rsidRPr="004F4118">
              <w:rPr>
                <w:sz w:val="20"/>
                <w:szCs w:val="20"/>
              </w:rPr>
              <w:t>(Ont.) (Civil) (By Leave)</w:t>
            </w:r>
          </w:p>
        </w:tc>
      </w:tr>
      <w:tr w:rsidR="00E9644A" w:rsidRPr="004F4118" w:rsidTr="00C66082">
        <w:tc>
          <w:tcPr>
            <w:tcW w:w="5000" w:type="pct"/>
            <w:gridSpan w:val="2"/>
          </w:tcPr>
          <w:p w:rsidR="00E9644A" w:rsidRPr="004F4118" w:rsidRDefault="00CB7BE3" w:rsidP="00C66082">
            <w:pPr>
              <w:jc w:val="both"/>
              <w:rPr>
                <w:sz w:val="20"/>
                <w:szCs w:val="20"/>
              </w:rPr>
            </w:pPr>
            <w:r w:rsidRPr="004F4118">
              <w:rPr>
                <w:sz w:val="20"/>
                <w:szCs w:val="20"/>
              </w:rPr>
              <w:t>The application for leave to appeal from the judgments of the Court of Appeal for Ontario, Number C67449, 2021 ONCA 383, dated June 4, 2021, and 2021 ONCA 512, dated July 16, 2021, is dismissed with costs.</w:t>
            </w:r>
          </w:p>
          <w:p w:rsidR="00CB7BE3" w:rsidRPr="004F4118" w:rsidRDefault="00CB7BE3" w:rsidP="00C66082">
            <w:pPr>
              <w:jc w:val="both"/>
              <w:rPr>
                <w:sz w:val="20"/>
                <w:szCs w:val="20"/>
              </w:rPr>
            </w:pPr>
          </w:p>
        </w:tc>
      </w:tr>
      <w:tr w:rsidR="00E9644A" w:rsidRPr="004F4118" w:rsidTr="00C66082">
        <w:tc>
          <w:tcPr>
            <w:tcW w:w="5000" w:type="pct"/>
            <w:gridSpan w:val="2"/>
          </w:tcPr>
          <w:p w:rsidR="00E9644A" w:rsidRPr="004F4118" w:rsidRDefault="00E9644A" w:rsidP="00C66082">
            <w:pPr>
              <w:jc w:val="both"/>
              <w:rPr>
                <w:sz w:val="20"/>
                <w:szCs w:val="20"/>
              </w:rPr>
            </w:pPr>
            <w:r w:rsidRPr="004F4118">
              <w:rPr>
                <w:sz w:val="20"/>
                <w:szCs w:val="20"/>
              </w:rPr>
              <w:t xml:space="preserve">Leases — Interpretation — Parties entering into agreement to lease — Lease to commence on substantial completion of landlord’s work — Court of Appeal finding palpable and overriding error in trial judge’s assessment of date of substantial completion — What is the legal basis upon which a contingent commencement date for a commercial lease may be enforced? — Is a contingent commencement date based on substantial completion a question of mixed fact and law, requiring contractual interpretation, or is it a clear standard as posited in </w:t>
            </w:r>
            <w:r w:rsidRPr="004F4118">
              <w:rPr>
                <w:i/>
                <w:sz w:val="20"/>
                <w:szCs w:val="20"/>
              </w:rPr>
              <w:t xml:space="preserve">Canada Square Corp. v. VS Services Ltd. </w:t>
            </w:r>
            <w:r w:rsidRPr="004F4118">
              <w:rPr>
                <w:sz w:val="20"/>
                <w:szCs w:val="20"/>
              </w:rPr>
              <w:t>(1982), 34 O.R. (2d) 250 (C.A.)?</w:t>
            </w:r>
          </w:p>
          <w:p w:rsidR="00CB7BE3" w:rsidRPr="004F4118" w:rsidRDefault="00CB7BE3" w:rsidP="00C66082">
            <w:pPr>
              <w:jc w:val="both"/>
              <w:rPr>
                <w:sz w:val="20"/>
                <w:szCs w:val="20"/>
              </w:rPr>
            </w:pPr>
          </w:p>
        </w:tc>
      </w:tr>
    </w:tbl>
    <w:p w:rsidR="00CB7BE3" w:rsidRPr="004F4118" w:rsidRDefault="00CB7BE3">
      <w:r w:rsidRPr="004F411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9644A" w:rsidRPr="004F4118" w:rsidTr="00C66082">
        <w:tc>
          <w:tcPr>
            <w:tcW w:w="5000" w:type="pct"/>
            <w:gridSpan w:val="3"/>
          </w:tcPr>
          <w:p w:rsidR="00E9644A" w:rsidRPr="004F4118" w:rsidRDefault="00E9644A" w:rsidP="00C66082">
            <w:pPr>
              <w:jc w:val="both"/>
              <w:rPr>
                <w:sz w:val="20"/>
                <w:szCs w:val="20"/>
              </w:rPr>
            </w:pPr>
            <w:r w:rsidRPr="004F4118">
              <w:rPr>
                <w:sz w:val="20"/>
                <w:szCs w:val="20"/>
              </w:rPr>
              <w:lastRenderedPageBreak/>
              <w:t>The applicant, Paletta International Corporation (“landlord”), and the respondent, Liberty Freezers London Ltd. (“tenant”) entered into an agreement to lease. The agreement to lease set out that the lease would commence when a retrofit of the landlord’s premises was substantially complete. When the retrofit took longer than the tenant thought it would, the tenant eventually advised the landlord that it would not be taking possession of the premises. The landlord commenced an action to recover damages for breach of contract. The trial judge concluded that the lease was valid and binding and that the tenant was in breach of the lease. He found that substantial completion had been achieved, and the lease had commenced, when the premises were ready for commercial occupancy in April 2012. He awarded the landlord damages, calculated from that commencement date. The Court of Appeal concluded that the trial judge made a palpable and overriding error in finding that substantial completion occurred in April 2012. While the trial judge correctly recognized that substantial completion effectively incorporated two conditions, he committed an error in finding that the landlord’s work was substantially complete in April 2012 because there was no evidence of substantial completion of the second condition until August 2013. The Court of Appeal undertook a fresh assessment of the landlord’s damages claim using that date as the commencement date. As a result, the tenant’s appeal was allowed on the issue of damages.</w:t>
            </w:r>
          </w:p>
        </w:tc>
      </w:tr>
      <w:tr w:rsidR="00E9644A" w:rsidRPr="004F4118" w:rsidTr="00C66082">
        <w:tc>
          <w:tcPr>
            <w:tcW w:w="5000" w:type="pct"/>
            <w:gridSpan w:val="3"/>
          </w:tcPr>
          <w:p w:rsidR="00E9644A" w:rsidRPr="004F4118" w:rsidRDefault="00E9644A" w:rsidP="00C66082">
            <w:pPr>
              <w:jc w:val="both"/>
              <w:rPr>
                <w:sz w:val="20"/>
                <w:szCs w:val="20"/>
              </w:rPr>
            </w:pPr>
          </w:p>
        </w:tc>
      </w:tr>
      <w:tr w:rsidR="00E9644A" w:rsidRPr="004F4118" w:rsidTr="00C66082">
        <w:tc>
          <w:tcPr>
            <w:tcW w:w="2427" w:type="pct"/>
          </w:tcPr>
          <w:p w:rsidR="00E9644A" w:rsidRPr="004F4118" w:rsidRDefault="00E9644A" w:rsidP="00C66082">
            <w:pPr>
              <w:jc w:val="both"/>
              <w:rPr>
                <w:sz w:val="20"/>
                <w:szCs w:val="20"/>
              </w:rPr>
            </w:pPr>
            <w:r w:rsidRPr="004F4118">
              <w:rPr>
                <w:sz w:val="20"/>
                <w:szCs w:val="20"/>
              </w:rPr>
              <w:t>August 26, 2019</w:t>
            </w:r>
          </w:p>
          <w:p w:rsidR="00E9644A" w:rsidRPr="004F4118" w:rsidRDefault="00E9644A" w:rsidP="00C66082">
            <w:pPr>
              <w:jc w:val="both"/>
              <w:rPr>
                <w:sz w:val="20"/>
                <w:szCs w:val="20"/>
              </w:rPr>
            </w:pPr>
            <w:r w:rsidRPr="004F4118">
              <w:rPr>
                <w:sz w:val="20"/>
                <w:szCs w:val="20"/>
              </w:rPr>
              <w:t>Ontario Superior Court of Justice</w:t>
            </w:r>
          </w:p>
          <w:p w:rsidR="00E9644A" w:rsidRPr="004F4118" w:rsidRDefault="00E9644A" w:rsidP="00C66082">
            <w:pPr>
              <w:jc w:val="both"/>
              <w:rPr>
                <w:sz w:val="20"/>
                <w:szCs w:val="20"/>
              </w:rPr>
            </w:pPr>
            <w:r w:rsidRPr="004F4118">
              <w:rPr>
                <w:sz w:val="20"/>
                <w:szCs w:val="20"/>
              </w:rPr>
              <w:t>(Parayeski J.)</w:t>
            </w:r>
          </w:p>
          <w:p w:rsidR="00E9644A" w:rsidRPr="004F4118" w:rsidRDefault="00E9644A" w:rsidP="00C66082">
            <w:pPr>
              <w:jc w:val="both"/>
              <w:rPr>
                <w:sz w:val="20"/>
                <w:szCs w:val="20"/>
              </w:rPr>
            </w:pPr>
            <w:r w:rsidRPr="004F4118">
              <w:rPr>
                <w:sz w:val="20"/>
                <w:szCs w:val="20"/>
              </w:rPr>
              <w:t>Unreported (Court file: 12</w:t>
            </w:r>
            <w:r w:rsidRPr="004F4118">
              <w:rPr>
                <w:sz w:val="20"/>
                <w:szCs w:val="20"/>
              </w:rPr>
              <w:noBreakHyphen/>
              <w:t>34437)</w:t>
            </w:r>
          </w:p>
          <w:p w:rsidR="00E9644A" w:rsidRPr="004F4118" w:rsidRDefault="00E9644A" w:rsidP="00C66082">
            <w:pPr>
              <w:jc w:val="both"/>
              <w:rPr>
                <w:sz w:val="20"/>
                <w:szCs w:val="20"/>
              </w:rPr>
            </w:pPr>
          </w:p>
        </w:tc>
        <w:tc>
          <w:tcPr>
            <w:tcW w:w="243" w:type="pct"/>
          </w:tcPr>
          <w:p w:rsidR="00E9644A" w:rsidRPr="004F4118" w:rsidRDefault="00E9644A" w:rsidP="00C66082">
            <w:pPr>
              <w:jc w:val="both"/>
              <w:rPr>
                <w:sz w:val="20"/>
                <w:szCs w:val="20"/>
              </w:rPr>
            </w:pPr>
          </w:p>
        </w:tc>
        <w:tc>
          <w:tcPr>
            <w:tcW w:w="2330" w:type="pct"/>
          </w:tcPr>
          <w:p w:rsidR="00E9644A" w:rsidRPr="004F4118" w:rsidRDefault="00E9644A" w:rsidP="00C66082">
            <w:pPr>
              <w:jc w:val="both"/>
              <w:rPr>
                <w:sz w:val="20"/>
                <w:szCs w:val="20"/>
              </w:rPr>
            </w:pPr>
            <w:r w:rsidRPr="004F4118">
              <w:rPr>
                <w:sz w:val="20"/>
                <w:szCs w:val="20"/>
              </w:rPr>
              <w:t xml:space="preserve">Applicant’s action granted and damages awarded; respondent’s counterclaim dismissed </w:t>
            </w:r>
          </w:p>
        </w:tc>
      </w:tr>
      <w:tr w:rsidR="00E9644A" w:rsidRPr="004F4118" w:rsidTr="00C66082">
        <w:tc>
          <w:tcPr>
            <w:tcW w:w="2427" w:type="pct"/>
          </w:tcPr>
          <w:p w:rsidR="00E9644A" w:rsidRPr="004F4118" w:rsidRDefault="00E9644A" w:rsidP="00C66082">
            <w:pPr>
              <w:jc w:val="both"/>
              <w:rPr>
                <w:sz w:val="20"/>
                <w:szCs w:val="20"/>
              </w:rPr>
            </w:pPr>
            <w:r w:rsidRPr="004F4118">
              <w:rPr>
                <w:sz w:val="20"/>
                <w:szCs w:val="20"/>
              </w:rPr>
              <w:t>June 4, 2021</w:t>
            </w:r>
          </w:p>
          <w:p w:rsidR="00E9644A" w:rsidRPr="004F4118" w:rsidRDefault="00E9644A" w:rsidP="00C66082">
            <w:pPr>
              <w:jc w:val="both"/>
              <w:rPr>
                <w:sz w:val="20"/>
                <w:szCs w:val="20"/>
              </w:rPr>
            </w:pPr>
            <w:r w:rsidRPr="004F4118">
              <w:rPr>
                <w:sz w:val="20"/>
                <w:szCs w:val="20"/>
              </w:rPr>
              <w:t>Court of Appeal for Ontario</w:t>
            </w:r>
          </w:p>
          <w:p w:rsidR="00E9644A" w:rsidRPr="004F4118" w:rsidRDefault="00E9644A" w:rsidP="00C66082">
            <w:pPr>
              <w:jc w:val="both"/>
              <w:rPr>
                <w:sz w:val="20"/>
                <w:szCs w:val="20"/>
              </w:rPr>
            </w:pPr>
            <w:r w:rsidRPr="004F4118">
              <w:rPr>
                <w:sz w:val="20"/>
                <w:szCs w:val="20"/>
              </w:rPr>
              <w:t>(Roberts, Zarnett and Sossin JJ.A.)</w:t>
            </w:r>
          </w:p>
          <w:p w:rsidR="00E9644A" w:rsidRPr="004F4118" w:rsidRDefault="00DF0AA3" w:rsidP="00C66082">
            <w:pPr>
              <w:jc w:val="both"/>
              <w:rPr>
                <w:sz w:val="20"/>
                <w:szCs w:val="20"/>
              </w:rPr>
            </w:pPr>
            <w:hyperlink r:id="rId26" w:history="1">
              <w:r w:rsidR="00E9644A" w:rsidRPr="004F4118">
                <w:rPr>
                  <w:rStyle w:val="Hyperlink"/>
                  <w:sz w:val="20"/>
                  <w:szCs w:val="20"/>
                </w:rPr>
                <w:t>2021 ONCA 383</w:t>
              </w:r>
            </w:hyperlink>
            <w:r w:rsidR="00E9644A" w:rsidRPr="004F4118">
              <w:rPr>
                <w:sz w:val="20"/>
                <w:szCs w:val="20"/>
              </w:rPr>
              <w:t xml:space="preserve"> (Docket: C67449) </w:t>
            </w:r>
          </w:p>
          <w:p w:rsidR="00E9644A" w:rsidRPr="004F4118" w:rsidRDefault="00E9644A" w:rsidP="00C66082">
            <w:pPr>
              <w:jc w:val="both"/>
              <w:rPr>
                <w:sz w:val="20"/>
                <w:szCs w:val="20"/>
                <w:lang w:val="fr-CA"/>
              </w:rPr>
            </w:pPr>
          </w:p>
        </w:tc>
        <w:tc>
          <w:tcPr>
            <w:tcW w:w="243" w:type="pct"/>
          </w:tcPr>
          <w:p w:rsidR="00E9644A" w:rsidRPr="004F4118" w:rsidRDefault="00E9644A" w:rsidP="00C66082">
            <w:pPr>
              <w:jc w:val="both"/>
              <w:rPr>
                <w:sz w:val="20"/>
                <w:szCs w:val="20"/>
                <w:lang w:val="fr-CA"/>
              </w:rPr>
            </w:pPr>
          </w:p>
        </w:tc>
        <w:tc>
          <w:tcPr>
            <w:tcW w:w="2330" w:type="pct"/>
          </w:tcPr>
          <w:p w:rsidR="00E9644A" w:rsidRPr="004F4118" w:rsidRDefault="00E9644A" w:rsidP="00C66082">
            <w:pPr>
              <w:jc w:val="both"/>
              <w:rPr>
                <w:sz w:val="20"/>
                <w:szCs w:val="20"/>
              </w:rPr>
            </w:pPr>
            <w:r w:rsidRPr="004F4118">
              <w:rPr>
                <w:sz w:val="20"/>
                <w:szCs w:val="20"/>
              </w:rPr>
              <w:t>Respondent’s appeal allowed on the issue of damages</w:t>
            </w:r>
          </w:p>
        </w:tc>
      </w:tr>
      <w:tr w:rsidR="00E9644A" w:rsidRPr="004F4118" w:rsidTr="00C66082">
        <w:tc>
          <w:tcPr>
            <w:tcW w:w="2427" w:type="pct"/>
          </w:tcPr>
          <w:p w:rsidR="00E9644A" w:rsidRPr="004F4118" w:rsidRDefault="00E9644A" w:rsidP="00C66082">
            <w:pPr>
              <w:jc w:val="both"/>
              <w:rPr>
                <w:sz w:val="20"/>
                <w:szCs w:val="20"/>
              </w:rPr>
            </w:pPr>
            <w:r w:rsidRPr="004F4118">
              <w:rPr>
                <w:sz w:val="20"/>
                <w:szCs w:val="20"/>
              </w:rPr>
              <w:t>July 16, 2021</w:t>
            </w:r>
          </w:p>
          <w:p w:rsidR="00E9644A" w:rsidRPr="004F4118" w:rsidRDefault="00E9644A" w:rsidP="00C66082">
            <w:pPr>
              <w:jc w:val="both"/>
              <w:rPr>
                <w:sz w:val="20"/>
                <w:szCs w:val="20"/>
              </w:rPr>
            </w:pPr>
            <w:r w:rsidRPr="004F4118">
              <w:rPr>
                <w:sz w:val="20"/>
                <w:szCs w:val="20"/>
              </w:rPr>
              <w:t>Court of Appeal for Ontario</w:t>
            </w:r>
          </w:p>
          <w:p w:rsidR="00E9644A" w:rsidRPr="004F4118" w:rsidRDefault="00E9644A" w:rsidP="00C66082">
            <w:pPr>
              <w:jc w:val="both"/>
              <w:rPr>
                <w:sz w:val="20"/>
                <w:szCs w:val="20"/>
              </w:rPr>
            </w:pPr>
            <w:r w:rsidRPr="004F4118">
              <w:rPr>
                <w:sz w:val="20"/>
                <w:szCs w:val="20"/>
              </w:rPr>
              <w:t>(Roberts, Zarnett and Sossin JJ.A.)</w:t>
            </w:r>
          </w:p>
          <w:p w:rsidR="00E9644A" w:rsidRPr="004F4118" w:rsidRDefault="00DF0AA3" w:rsidP="00C66082">
            <w:pPr>
              <w:jc w:val="both"/>
              <w:rPr>
                <w:sz w:val="20"/>
                <w:szCs w:val="20"/>
              </w:rPr>
            </w:pPr>
            <w:hyperlink r:id="rId27" w:history="1">
              <w:r w:rsidR="00E9644A" w:rsidRPr="004F4118">
                <w:rPr>
                  <w:rStyle w:val="Hyperlink"/>
                  <w:sz w:val="20"/>
                  <w:szCs w:val="20"/>
                </w:rPr>
                <w:t xml:space="preserve">2021 ONCA 512 </w:t>
              </w:r>
            </w:hyperlink>
            <w:r w:rsidR="00E9644A" w:rsidRPr="004F4118">
              <w:rPr>
                <w:sz w:val="20"/>
                <w:szCs w:val="20"/>
              </w:rPr>
              <w:t xml:space="preserve"> (Docket: C67449)</w:t>
            </w:r>
          </w:p>
          <w:p w:rsidR="00E9644A" w:rsidRPr="004F4118" w:rsidRDefault="00E9644A" w:rsidP="00C66082">
            <w:pPr>
              <w:jc w:val="both"/>
              <w:rPr>
                <w:sz w:val="20"/>
                <w:szCs w:val="20"/>
                <w:lang w:val="fr-CA"/>
              </w:rPr>
            </w:pPr>
          </w:p>
        </w:tc>
        <w:tc>
          <w:tcPr>
            <w:tcW w:w="243" w:type="pct"/>
          </w:tcPr>
          <w:p w:rsidR="00E9644A" w:rsidRPr="004F4118" w:rsidRDefault="00E9644A" w:rsidP="00C66082">
            <w:pPr>
              <w:jc w:val="both"/>
              <w:rPr>
                <w:sz w:val="20"/>
                <w:szCs w:val="20"/>
                <w:lang w:val="fr-CA"/>
              </w:rPr>
            </w:pPr>
          </w:p>
        </w:tc>
        <w:tc>
          <w:tcPr>
            <w:tcW w:w="2330" w:type="pct"/>
          </w:tcPr>
          <w:p w:rsidR="00E9644A" w:rsidRPr="004F4118" w:rsidRDefault="00E9644A" w:rsidP="00C66082">
            <w:pPr>
              <w:jc w:val="both"/>
              <w:rPr>
                <w:sz w:val="20"/>
                <w:szCs w:val="20"/>
              </w:rPr>
            </w:pPr>
            <w:r w:rsidRPr="004F4118">
              <w:rPr>
                <w:sz w:val="20"/>
                <w:szCs w:val="20"/>
              </w:rPr>
              <w:t>Rent differential damages not awarded</w:t>
            </w:r>
          </w:p>
        </w:tc>
      </w:tr>
      <w:tr w:rsidR="00E9644A" w:rsidRPr="004F4118" w:rsidTr="00C66082">
        <w:tc>
          <w:tcPr>
            <w:tcW w:w="2427" w:type="pct"/>
          </w:tcPr>
          <w:p w:rsidR="00E9644A" w:rsidRPr="004F4118" w:rsidRDefault="00E9644A" w:rsidP="00C66082">
            <w:pPr>
              <w:jc w:val="both"/>
              <w:rPr>
                <w:sz w:val="20"/>
                <w:szCs w:val="20"/>
              </w:rPr>
            </w:pPr>
            <w:r w:rsidRPr="004F4118">
              <w:rPr>
                <w:sz w:val="20"/>
                <w:szCs w:val="20"/>
              </w:rPr>
              <w:t>September 2, 2021</w:t>
            </w:r>
          </w:p>
          <w:p w:rsidR="00E9644A" w:rsidRPr="004F4118" w:rsidRDefault="00E9644A" w:rsidP="00C66082">
            <w:pPr>
              <w:jc w:val="both"/>
              <w:rPr>
                <w:sz w:val="20"/>
                <w:szCs w:val="20"/>
              </w:rPr>
            </w:pPr>
            <w:r w:rsidRPr="004F4118">
              <w:rPr>
                <w:sz w:val="20"/>
                <w:szCs w:val="20"/>
              </w:rPr>
              <w:t>Supreme Court of Canada</w:t>
            </w:r>
          </w:p>
        </w:tc>
        <w:tc>
          <w:tcPr>
            <w:tcW w:w="243" w:type="pct"/>
          </w:tcPr>
          <w:p w:rsidR="00E9644A" w:rsidRPr="004F4118" w:rsidRDefault="00E9644A" w:rsidP="00C66082">
            <w:pPr>
              <w:jc w:val="both"/>
              <w:rPr>
                <w:sz w:val="20"/>
                <w:szCs w:val="20"/>
              </w:rPr>
            </w:pPr>
          </w:p>
        </w:tc>
        <w:tc>
          <w:tcPr>
            <w:tcW w:w="2330" w:type="pct"/>
          </w:tcPr>
          <w:p w:rsidR="00E9644A" w:rsidRPr="004F4118" w:rsidRDefault="00E9644A" w:rsidP="00C66082">
            <w:pPr>
              <w:jc w:val="both"/>
              <w:rPr>
                <w:sz w:val="20"/>
                <w:szCs w:val="20"/>
              </w:rPr>
            </w:pPr>
            <w:r w:rsidRPr="004F4118">
              <w:rPr>
                <w:sz w:val="20"/>
                <w:szCs w:val="20"/>
              </w:rPr>
              <w:t>Application for leave to appeal filed</w:t>
            </w:r>
          </w:p>
          <w:p w:rsidR="00E9644A" w:rsidRPr="004F4118" w:rsidRDefault="00E9644A" w:rsidP="00C66082">
            <w:pPr>
              <w:jc w:val="both"/>
              <w:rPr>
                <w:sz w:val="20"/>
                <w:szCs w:val="20"/>
              </w:rPr>
            </w:pPr>
          </w:p>
        </w:tc>
      </w:tr>
    </w:tbl>
    <w:p w:rsidR="00E9644A" w:rsidRPr="004F4118" w:rsidRDefault="00E9644A" w:rsidP="00E9644A">
      <w:pPr>
        <w:jc w:val="both"/>
        <w:rPr>
          <w:sz w:val="20"/>
        </w:rPr>
      </w:pPr>
    </w:p>
    <w:p w:rsidR="00E9644A" w:rsidRPr="004F4118" w:rsidRDefault="00DF0AA3" w:rsidP="00E9644A">
      <w:pPr>
        <w:jc w:val="both"/>
        <w:rPr>
          <w:sz w:val="20"/>
        </w:rPr>
      </w:pPr>
      <w:r>
        <w:rPr>
          <w:sz w:val="20"/>
        </w:rPr>
        <w:pict>
          <v:rect id="_x0000_i1043" style="width:2in;height:1pt" o:hrpct="0" o:hralign="center" o:hrstd="t" o:hrnoshade="t" o:hr="t" fillcolor="black [3213]" stroked="f"/>
        </w:pict>
      </w:r>
    </w:p>
    <w:p w:rsidR="00E9644A" w:rsidRPr="004F4118" w:rsidRDefault="00E9644A" w:rsidP="00E9644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9644A" w:rsidRPr="004F4118" w:rsidTr="00C66082">
        <w:tc>
          <w:tcPr>
            <w:tcW w:w="543" w:type="pct"/>
          </w:tcPr>
          <w:p w:rsidR="00E9644A" w:rsidRPr="004F4118" w:rsidRDefault="00E9644A" w:rsidP="00C66082">
            <w:pPr>
              <w:jc w:val="both"/>
              <w:rPr>
                <w:sz w:val="20"/>
                <w:szCs w:val="20"/>
              </w:rPr>
            </w:pPr>
            <w:r w:rsidRPr="004F4118">
              <w:rPr>
                <w:rStyle w:val="SCCFileNumberChar"/>
                <w:sz w:val="20"/>
                <w:szCs w:val="20"/>
              </w:rPr>
              <w:t>39819</w:t>
            </w:r>
          </w:p>
        </w:tc>
        <w:tc>
          <w:tcPr>
            <w:tcW w:w="4457" w:type="pct"/>
          </w:tcPr>
          <w:p w:rsidR="00E9644A" w:rsidRPr="004F4118" w:rsidRDefault="00E9644A" w:rsidP="00C66082">
            <w:pPr>
              <w:pStyle w:val="SCCLsocParty"/>
              <w:jc w:val="both"/>
              <w:rPr>
                <w:b/>
                <w:sz w:val="20"/>
                <w:szCs w:val="20"/>
                <w:lang w:val="en-US"/>
              </w:rPr>
            </w:pPr>
            <w:r w:rsidRPr="004F4118">
              <w:rPr>
                <w:b/>
                <w:sz w:val="20"/>
                <w:szCs w:val="20"/>
                <w:lang w:val="en-US"/>
              </w:rPr>
              <w:t>Paletta International Corporation c. Liberty Freezers London Ltd.</w:t>
            </w:r>
          </w:p>
          <w:p w:rsidR="00E9644A" w:rsidRPr="004F4118" w:rsidRDefault="00E9644A" w:rsidP="00C66082">
            <w:pPr>
              <w:jc w:val="both"/>
              <w:rPr>
                <w:sz w:val="20"/>
                <w:szCs w:val="20"/>
              </w:rPr>
            </w:pPr>
            <w:r w:rsidRPr="004F4118">
              <w:rPr>
                <w:sz w:val="20"/>
                <w:szCs w:val="20"/>
              </w:rPr>
              <w:t>(Ont.) (Civile) (Sur autorisation)</w:t>
            </w:r>
          </w:p>
        </w:tc>
      </w:tr>
      <w:tr w:rsidR="00E9644A" w:rsidRPr="004F4118" w:rsidTr="00C66082">
        <w:tc>
          <w:tcPr>
            <w:tcW w:w="5000" w:type="pct"/>
            <w:gridSpan w:val="2"/>
          </w:tcPr>
          <w:p w:rsidR="00E9644A" w:rsidRPr="004F4118" w:rsidRDefault="00CB7BE3" w:rsidP="00C66082">
            <w:pPr>
              <w:jc w:val="both"/>
              <w:rPr>
                <w:sz w:val="20"/>
                <w:szCs w:val="20"/>
                <w:lang w:val="fr-CA"/>
              </w:rPr>
            </w:pPr>
            <w:r w:rsidRPr="004F4118">
              <w:rPr>
                <w:sz w:val="20"/>
                <w:szCs w:val="20"/>
                <w:lang w:val="fr-CA"/>
              </w:rPr>
              <w:t>La demande d’autorisation d’appel des arrêts de la Cour d’appel de l’Ontario, numéro C67449, 2021 ONCA 383, daté du 4 juin 2021, et 2021 ONCA 512, daté du 16 juillet 2021, est rejetée avec dépens.</w:t>
            </w:r>
          </w:p>
          <w:p w:rsidR="00CB7BE3" w:rsidRPr="004F4118" w:rsidRDefault="00CB7BE3" w:rsidP="00C66082">
            <w:pPr>
              <w:jc w:val="both"/>
              <w:rPr>
                <w:sz w:val="20"/>
                <w:szCs w:val="20"/>
                <w:lang w:val="fr-CA"/>
              </w:rPr>
            </w:pPr>
          </w:p>
        </w:tc>
      </w:tr>
      <w:tr w:rsidR="00E9644A" w:rsidRPr="004F4118" w:rsidTr="00C66082">
        <w:tc>
          <w:tcPr>
            <w:tcW w:w="5000" w:type="pct"/>
            <w:gridSpan w:val="2"/>
          </w:tcPr>
          <w:p w:rsidR="00E9644A" w:rsidRPr="004F4118" w:rsidRDefault="00E9644A" w:rsidP="00C66082">
            <w:pPr>
              <w:jc w:val="both"/>
              <w:rPr>
                <w:sz w:val="20"/>
                <w:szCs w:val="20"/>
                <w:lang w:val="fr-CA"/>
              </w:rPr>
            </w:pPr>
            <w:r w:rsidRPr="004F4118">
              <w:rPr>
                <w:sz w:val="20"/>
                <w:szCs w:val="20"/>
                <w:lang w:val="fr-CA"/>
              </w:rPr>
              <w:t>Baux — Interprétation — Accord de location entre les parties — Commencement de la location une fois les travaux menés par le locateur substantiellement achevés — Conclusion par la Cour d’appel à l’existence d’une erreur manifeste et déterminante dans l’évaluation par le juge du procès de la date de l’achèvement substantiel des travaux — Quel est le fondement juridique en fonction duquel une date de commencement contingente pour un bail commercial peut être appliquée ? — Une date de commencement contingente fondée sur l’achèvement substantiel de travaux est</w:t>
            </w:r>
            <w:r w:rsidRPr="004F4118">
              <w:rPr>
                <w:sz w:val="20"/>
                <w:szCs w:val="20"/>
                <w:lang w:val="fr-CA"/>
              </w:rPr>
              <w:noBreakHyphen/>
              <w:t>elle une question mixte de fait et de droit nécessitant une interprétation contractuelle, ou s’agit</w:t>
            </w:r>
            <w:r w:rsidRPr="004F4118">
              <w:rPr>
                <w:sz w:val="20"/>
                <w:szCs w:val="20"/>
                <w:lang w:val="fr-CA"/>
              </w:rPr>
              <w:noBreakHyphen/>
              <w:t xml:space="preserve">il d’une norme claire comme celle posée dans </w:t>
            </w:r>
            <w:r w:rsidRPr="004F4118">
              <w:rPr>
                <w:i/>
                <w:sz w:val="20"/>
                <w:szCs w:val="20"/>
                <w:lang w:val="fr-CA"/>
              </w:rPr>
              <w:t>Canada Square Corp.</w:t>
            </w:r>
            <w:r w:rsidRPr="004F4118">
              <w:rPr>
                <w:sz w:val="20"/>
                <w:szCs w:val="20"/>
                <w:lang w:val="fr-CA"/>
              </w:rPr>
              <w:t xml:space="preserve"> </w:t>
            </w:r>
            <w:r w:rsidRPr="004F4118">
              <w:rPr>
                <w:i/>
                <w:sz w:val="20"/>
                <w:szCs w:val="20"/>
                <w:lang w:val="fr-CA"/>
              </w:rPr>
              <w:t>c.</w:t>
            </w:r>
            <w:r w:rsidRPr="004F4118">
              <w:rPr>
                <w:sz w:val="20"/>
                <w:szCs w:val="20"/>
                <w:lang w:val="fr-CA"/>
              </w:rPr>
              <w:t xml:space="preserve"> </w:t>
            </w:r>
            <w:r w:rsidRPr="004F4118">
              <w:rPr>
                <w:i/>
                <w:sz w:val="20"/>
                <w:szCs w:val="20"/>
                <w:lang w:val="fr-CA"/>
              </w:rPr>
              <w:t>VS Services Ltd.</w:t>
            </w:r>
            <w:r w:rsidRPr="004F4118">
              <w:rPr>
                <w:sz w:val="20"/>
                <w:szCs w:val="20"/>
                <w:lang w:val="fr-CA"/>
              </w:rPr>
              <w:t xml:space="preserve"> (1982), 34 O.R. (2d) 250 (C.A.) ?</w:t>
            </w:r>
          </w:p>
          <w:p w:rsidR="00CB7BE3" w:rsidRPr="004F4118" w:rsidRDefault="00CB7BE3" w:rsidP="00C66082">
            <w:pPr>
              <w:jc w:val="both"/>
              <w:rPr>
                <w:sz w:val="20"/>
                <w:szCs w:val="20"/>
                <w:lang w:val="fr-CA"/>
              </w:rPr>
            </w:pPr>
          </w:p>
        </w:tc>
      </w:tr>
    </w:tbl>
    <w:p w:rsidR="00CB7BE3" w:rsidRPr="004F4118" w:rsidRDefault="00CB7BE3">
      <w:r w:rsidRPr="004F411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9644A" w:rsidRPr="004F4118" w:rsidTr="00C66082">
        <w:tc>
          <w:tcPr>
            <w:tcW w:w="5000" w:type="pct"/>
            <w:gridSpan w:val="3"/>
          </w:tcPr>
          <w:p w:rsidR="00E9644A" w:rsidRPr="004F4118" w:rsidRDefault="00E9644A" w:rsidP="00C66082">
            <w:pPr>
              <w:jc w:val="both"/>
              <w:rPr>
                <w:sz w:val="20"/>
                <w:szCs w:val="20"/>
                <w:lang w:val="fr-CA"/>
              </w:rPr>
            </w:pPr>
            <w:r w:rsidRPr="004F4118">
              <w:rPr>
                <w:sz w:val="20"/>
                <w:szCs w:val="20"/>
                <w:lang w:val="fr-CA"/>
              </w:rPr>
              <w:lastRenderedPageBreak/>
              <w:t>La demanderesse, Paletta international Corporation (« locatrice »), et l’intimée, Liberty Freezers London Ltd. (« locataire »), ont conclu un accord de location. Celui</w:t>
            </w:r>
            <w:r w:rsidRPr="004F4118">
              <w:rPr>
                <w:sz w:val="20"/>
                <w:szCs w:val="20"/>
                <w:lang w:val="fr-CA"/>
              </w:rPr>
              <w:noBreakHyphen/>
              <w:t>ci prévoyait que la location commencerait une fois que la mise aux normes des lieux par la locatrice serait substantiellement achevée. Lorsque la mise aux normes a pris plus longtemps que ne l’avait prévu la locataire, celle</w:t>
            </w:r>
            <w:r w:rsidRPr="004F4118">
              <w:rPr>
                <w:sz w:val="20"/>
                <w:szCs w:val="20"/>
                <w:lang w:val="fr-CA"/>
              </w:rPr>
              <w:noBreakHyphen/>
              <w:t>ci a fini par informer la locatrice qu’elle ne prendrait pas possession des lieux. La locatrice a intenté un recours en dommages</w:t>
            </w:r>
            <w:r w:rsidRPr="004F4118">
              <w:rPr>
                <w:sz w:val="20"/>
                <w:szCs w:val="20"/>
                <w:lang w:val="fr-CA"/>
              </w:rPr>
              <w:noBreakHyphen/>
              <w:t>intérêts pour violation de contrat. Le juge du procès a conclu que le bail était valide et contraignant et que la locataire n’avait pas respecté le bail. Il a conclu à l’achèvement substantiel de la mise aux normes et que la location avait commencé en avril 2012 lorsque des commerces pouvaient occuper les lieux. Il a accordé des dommages</w:t>
            </w:r>
            <w:r w:rsidRPr="004F4118">
              <w:rPr>
                <w:sz w:val="20"/>
                <w:szCs w:val="20"/>
                <w:lang w:val="fr-CA"/>
              </w:rPr>
              <w:noBreakHyphen/>
              <w:t>intérêts à la locatrice, calculés en fonction de cette date de commencement. La Cour d’appel a conclu que le juge du procès avait commis une erreur manifeste et déterminante en concluant que l’achèvement substantiel de la mise à niveau datait d’avril 2012. Bien que le juge du procès a reconnu à juste titre que l’achèvement substantiel dépendait de deux conditions, il a commis une erreur en concluant que les travaux de la locatrice étaient substantiellement achevés en avril 2012 parce qu’il n’y a pas eu de preuve de la réalisation de la seconde condition avant août 2013. La Cour d’appel a réexaminé la demande en dommages-intérêts de la locatrice en utilisant cette date comme celle du commencement de la location. En conséquence, l’appel de la locatrice a été accueilli quant à la question des dommages</w:t>
            </w:r>
            <w:r w:rsidRPr="004F4118">
              <w:rPr>
                <w:sz w:val="20"/>
                <w:szCs w:val="20"/>
                <w:lang w:val="fr-CA"/>
              </w:rPr>
              <w:noBreakHyphen/>
              <w:t>intérêts.</w:t>
            </w:r>
          </w:p>
        </w:tc>
      </w:tr>
      <w:tr w:rsidR="00E9644A" w:rsidRPr="004F4118" w:rsidTr="00C66082">
        <w:tc>
          <w:tcPr>
            <w:tcW w:w="5000" w:type="pct"/>
            <w:gridSpan w:val="3"/>
          </w:tcPr>
          <w:p w:rsidR="00E9644A" w:rsidRPr="004F4118" w:rsidRDefault="00E9644A" w:rsidP="00C66082">
            <w:pPr>
              <w:jc w:val="both"/>
              <w:rPr>
                <w:sz w:val="20"/>
                <w:szCs w:val="20"/>
                <w:lang w:val="fr-CA"/>
              </w:rPr>
            </w:pPr>
          </w:p>
        </w:tc>
      </w:tr>
      <w:tr w:rsidR="00E9644A" w:rsidRPr="004F4118" w:rsidTr="00C66082">
        <w:tc>
          <w:tcPr>
            <w:tcW w:w="2427" w:type="pct"/>
          </w:tcPr>
          <w:p w:rsidR="00E9644A" w:rsidRPr="004F4118" w:rsidRDefault="00E9644A" w:rsidP="00C66082">
            <w:pPr>
              <w:jc w:val="both"/>
              <w:rPr>
                <w:sz w:val="20"/>
                <w:szCs w:val="20"/>
                <w:lang w:val="fr-CA"/>
              </w:rPr>
            </w:pPr>
            <w:r w:rsidRPr="004F4118">
              <w:rPr>
                <w:sz w:val="20"/>
                <w:szCs w:val="20"/>
                <w:lang w:val="fr-CA"/>
              </w:rPr>
              <w:t>26 août 2019</w:t>
            </w:r>
          </w:p>
          <w:p w:rsidR="00E9644A" w:rsidRPr="004F4118" w:rsidRDefault="00E9644A" w:rsidP="00C66082">
            <w:pPr>
              <w:jc w:val="both"/>
              <w:rPr>
                <w:sz w:val="20"/>
                <w:szCs w:val="20"/>
                <w:lang w:val="fr-CA"/>
              </w:rPr>
            </w:pPr>
            <w:r w:rsidRPr="004F4118">
              <w:rPr>
                <w:sz w:val="20"/>
                <w:szCs w:val="20"/>
                <w:lang w:val="fr-CA"/>
              </w:rPr>
              <w:t xml:space="preserve">Cour supérieure de justice de l’Ontario </w:t>
            </w:r>
          </w:p>
          <w:p w:rsidR="00E9644A" w:rsidRPr="004F4118" w:rsidRDefault="00E9644A" w:rsidP="00C66082">
            <w:pPr>
              <w:jc w:val="both"/>
              <w:rPr>
                <w:sz w:val="20"/>
                <w:szCs w:val="20"/>
                <w:lang w:val="fr-CA"/>
              </w:rPr>
            </w:pPr>
            <w:r w:rsidRPr="004F4118">
              <w:rPr>
                <w:sz w:val="20"/>
                <w:szCs w:val="20"/>
                <w:lang w:val="fr-CA"/>
              </w:rPr>
              <w:t>(Juge Parayeski)</w:t>
            </w:r>
          </w:p>
          <w:p w:rsidR="00E9644A" w:rsidRPr="004F4118" w:rsidRDefault="00E9644A" w:rsidP="00C66082">
            <w:pPr>
              <w:jc w:val="both"/>
              <w:rPr>
                <w:sz w:val="20"/>
                <w:szCs w:val="20"/>
                <w:lang w:val="fr-CA"/>
              </w:rPr>
            </w:pPr>
            <w:r w:rsidRPr="004F4118">
              <w:rPr>
                <w:sz w:val="20"/>
                <w:szCs w:val="20"/>
                <w:lang w:val="fr-CA"/>
              </w:rPr>
              <w:t>Non publiée (N</w:t>
            </w:r>
            <w:r w:rsidRPr="004F4118">
              <w:rPr>
                <w:sz w:val="20"/>
                <w:szCs w:val="20"/>
                <w:vertAlign w:val="superscript"/>
                <w:lang w:val="fr-CA"/>
              </w:rPr>
              <w:t>o</w:t>
            </w:r>
            <w:r w:rsidRPr="004F4118">
              <w:rPr>
                <w:sz w:val="20"/>
                <w:szCs w:val="20"/>
                <w:lang w:val="fr-CA"/>
              </w:rPr>
              <w:t xml:space="preserve"> dossier : 12</w:t>
            </w:r>
            <w:r w:rsidRPr="004F4118">
              <w:rPr>
                <w:sz w:val="20"/>
                <w:szCs w:val="20"/>
                <w:lang w:val="fr-CA"/>
              </w:rPr>
              <w:noBreakHyphen/>
              <w:t>34437)</w:t>
            </w:r>
          </w:p>
          <w:p w:rsidR="00E9644A" w:rsidRPr="004F4118" w:rsidRDefault="00E9644A" w:rsidP="00C66082">
            <w:pPr>
              <w:jc w:val="both"/>
              <w:rPr>
                <w:sz w:val="20"/>
                <w:szCs w:val="20"/>
                <w:lang w:val="fr-CA"/>
              </w:rPr>
            </w:pPr>
          </w:p>
        </w:tc>
        <w:tc>
          <w:tcPr>
            <w:tcW w:w="243" w:type="pct"/>
          </w:tcPr>
          <w:p w:rsidR="00E9644A" w:rsidRPr="004F4118" w:rsidRDefault="00E9644A" w:rsidP="00C66082">
            <w:pPr>
              <w:jc w:val="both"/>
              <w:rPr>
                <w:sz w:val="20"/>
                <w:szCs w:val="20"/>
                <w:lang w:val="fr-CA"/>
              </w:rPr>
            </w:pPr>
          </w:p>
        </w:tc>
        <w:tc>
          <w:tcPr>
            <w:tcW w:w="2330" w:type="pct"/>
          </w:tcPr>
          <w:p w:rsidR="00E9644A" w:rsidRPr="004F4118" w:rsidRDefault="00E9644A" w:rsidP="00C66082">
            <w:pPr>
              <w:jc w:val="both"/>
              <w:rPr>
                <w:sz w:val="20"/>
                <w:szCs w:val="20"/>
                <w:lang w:val="fr-CA"/>
              </w:rPr>
            </w:pPr>
            <w:r w:rsidRPr="004F4118">
              <w:rPr>
                <w:sz w:val="20"/>
                <w:szCs w:val="20"/>
                <w:lang w:val="fr-CA"/>
              </w:rPr>
              <w:t>Demande de la demanderesse accueillie et dommages</w:t>
            </w:r>
            <w:r w:rsidRPr="004F4118">
              <w:rPr>
                <w:sz w:val="20"/>
                <w:szCs w:val="20"/>
                <w:lang w:val="fr-CA"/>
              </w:rPr>
              <w:noBreakHyphen/>
              <w:t xml:space="preserve">intérêts accordés; demande reconventionnelle de l’intimée rejetée </w:t>
            </w:r>
          </w:p>
        </w:tc>
      </w:tr>
      <w:tr w:rsidR="00E9644A" w:rsidRPr="004F4118" w:rsidTr="00C66082">
        <w:tc>
          <w:tcPr>
            <w:tcW w:w="2427" w:type="pct"/>
          </w:tcPr>
          <w:p w:rsidR="00E9644A" w:rsidRPr="004F4118" w:rsidRDefault="00E9644A" w:rsidP="00C66082">
            <w:pPr>
              <w:jc w:val="both"/>
              <w:rPr>
                <w:sz w:val="20"/>
                <w:szCs w:val="20"/>
                <w:lang w:val="fr-CA"/>
              </w:rPr>
            </w:pPr>
            <w:r w:rsidRPr="004F4118">
              <w:rPr>
                <w:sz w:val="20"/>
                <w:szCs w:val="20"/>
                <w:lang w:val="fr-CA"/>
              </w:rPr>
              <w:t>4 juin 2021</w:t>
            </w:r>
          </w:p>
          <w:p w:rsidR="00E9644A" w:rsidRPr="004F4118" w:rsidRDefault="00E9644A" w:rsidP="00C66082">
            <w:pPr>
              <w:jc w:val="both"/>
              <w:rPr>
                <w:sz w:val="20"/>
                <w:szCs w:val="20"/>
                <w:lang w:val="fr-CA"/>
              </w:rPr>
            </w:pPr>
            <w:r w:rsidRPr="004F4118">
              <w:rPr>
                <w:sz w:val="20"/>
                <w:szCs w:val="20"/>
                <w:lang w:val="fr-CA"/>
              </w:rPr>
              <w:t>Cour d’appel de l’Ontario</w:t>
            </w:r>
          </w:p>
          <w:p w:rsidR="00E9644A" w:rsidRPr="004F4118" w:rsidRDefault="00E9644A" w:rsidP="00C66082">
            <w:pPr>
              <w:jc w:val="both"/>
              <w:rPr>
                <w:sz w:val="20"/>
                <w:szCs w:val="20"/>
                <w:lang w:val="fr-CA"/>
              </w:rPr>
            </w:pPr>
            <w:r w:rsidRPr="004F4118">
              <w:rPr>
                <w:sz w:val="20"/>
                <w:szCs w:val="20"/>
                <w:lang w:val="fr-CA"/>
              </w:rPr>
              <w:t>(Juges Roberts, Zarnett et Sossin)</w:t>
            </w:r>
          </w:p>
          <w:p w:rsidR="00E9644A" w:rsidRPr="004F4118" w:rsidRDefault="00DF0AA3" w:rsidP="00C66082">
            <w:pPr>
              <w:jc w:val="both"/>
              <w:rPr>
                <w:sz w:val="20"/>
                <w:szCs w:val="20"/>
              </w:rPr>
            </w:pPr>
            <w:hyperlink r:id="rId28" w:history="1">
              <w:r w:rsidR="00E9644A" w:rsidRPr="004F4118">
                <w:rPr>
                  <w:rStyle w:val="Hyperlink"/>
                  <w:sz w:val="20"/>
                  <w:szCs w:val="20"/>
                </w:rPr>
                <w:t>2021 ONCA 383</w:t>
              </w:r>
            </w:hyperlink>
            <w:r w:rsidR="00E9644A" w:rsidRPr="004F4118">
              <w:rPr>
                <w:sz w:val="20"/>
                <w:szCs w:val="20"/>
              </w:rPr>
              <w:t xml:space="preserve"> (Dossier : C67449) </w:t>
            </w:r>
          </w:p>
          <w:p w:rsidR="00E9644A" w:rsidRPr="004F4118" w:rsidRDefault="00E9644A" w:rsidP="00C66082">
            <w:pPr>
              <w:jc w:val="both"/>
              <w:rPr>
                <w:sz w:val="20"/>
                <w:szCs w:val="20"/>
                <w:lang w:val="fr-CA"/>
              </w:rPr>
            </w:pPr>
          </w:p>
        </w:tc>
        <w:tc>
          <w:tcPr>
            <w:tcW w:w="243" w:type="pct"/>
          </w:tcPr>
          <w:p w:rsidR="00E9644A" w:rsidRPr="004F4118" w:rsidRDefault="00E9644A" w:rsidP="00C66082">
            <w:pPr>
              <w:jc w:val="both"/>
              <w:rPr>
                <w:sz w:val="20"/>
                <w:szCs w:val="20"/>
                <w:lang w:val="fr-CA"/>
              </w:rPr>
            </w:pPr>
          </w:p>
        </w:tc>
        <w:tc>
          <w:tcPr>
            <w:tcW w:w="2330" w:type="pct"/>
          </w:tcPr>
          <w:p w:rsidR="00E9644A" w:rsidRPr="004F4118" w:rsidRDefault="00E9644A" w:rsidP="00C66082">
            <w:pPr>
              <w:jc w:val="both"/>
              <w:rPr>
                <w:sz w:val="20"/>
                <w:szCs w:val="20"/>
                <w:lang w:val="fr-CA"/>
              </w:rPr>
            </w:pPr>
            <w:r w:rsidRPr="004F4118">
              <w:rPr>
                <w:sz w:val="20"/>
                <w:szCs w:val="20"/>
                <w:lang w:val="fr-CA"/>
              </w:rPr>
              <w:t>Appel de l’intimée accueilli quant à la question des dommages</w:t>
            </w:r>
            <w:r w:rsidRPr="004F4118">
              <w:rPr>
                <w:sz w:val="20"/>
                <w:szCs w:val="20"/>
                <w:lang w:val="fr-CA"/>
              </w:rPr>
              <w:noBreakHyphen/>
              <w:t>intérêts</w:t>
            </w:r>
          </w:p>
        </w:tc>
      </w:tr>
      <w:tr w:rsidR="00E9644A" w:rsidRPr="004F4118" w:rsidTr="00C66082">
        <w:tc>
          <w:tcPr>
            <w:tcW w:w="2427" w:type="pct"/>
          </w:tcPr>
          <w:p w:rsidR="00E9644A" w:rsidRPr="004F4118" w:rsidRDefault="00E9644A" w:rsidP="00C66082">
            <w:pPr>
              <w:jc w:val="both"/>
              <w:rPr>
                <w:sz w:val="20"/>
                <w:szCs w:val="20"/>
                <w:lang w:val="fr-CA"/>
              </w:rPr>
            </w:pPr>
            <w:r w:rsidRPr="004F4118">
              <w:rPr>
                <w:sz w:val="20"/>
                <w:szCs w:val="20"/>
                <w:lang w:val="fr-CA"/>
              </w:rPr>
              <w:t>16 juillet 2021</w:t>
            </w:r>
          </w:p>
          <w:p w:rsidR="00E9644A" w:rsidRPr="004F4118" w:rsidRDefault="00E9644A" w:rsidP="00C66082">
            <w:pPr>
              <w:jc w:val="both"/>
              <w:rPr>
                <w:sz w:val="20"/>
                <w:szCs w:val="20"/>
                <w:lang w:val="fr-CA"/>
              </w:rPr>
            </w:pPr>
            <w:r w:rsidRPr="004F4118">
              <w:rPr>
                <w:sz w:val="20"/>
                <w:szCs w:val="20"/>
                <w:lang w:val="fr-CA"/>
              </w:rPr>
              <w:t>Cour d’appel de l’Ontario</w:t>
            </w:r>
          </w:p>
          <w:p w:rsidR="00E9644A" w:rsidRPr="004F4118" w:rsidRDefault="00E9644A" w:rsidP="00C66082">
            <w:pPr>
              <w:jc w:val="both"/>
              <w:rPr>
                <w:sz w:val="20"/>
                <w:szCs w:val="20"/>
                <w:lang w:val="fr-CA"/>
              </w:rPr>
            </w:pPr>
            <w:r w:rsidRPr="004F4118">
              <w:rPr>
                <w:sz w:val="20"/>
                <w:szCs w:val="20"/>
                <w:lang w:val="fr-CA"/>
              </w:rPr>
              <w:t>(Juges Roberts, Zarnett et Sossin)</w:t>
            </w:r>
          </w:p>
          <w:p w:rsidR="00E9644A" w:rsidRPr="004F4118" w:rsidRDefault="00DF0AA3" w:rsidP="00C66082">
            <w:pPr>
              <w:jc w:val="both"/>
              <w:rPr>
                <w:sz w:val="20"/>
                <w:szCs w:val="20"/>
              </w:rPr>
            </w:pPr>
            <w:hyperlink r:id="rId29" w:history="1">
              <w:r w:rsidR="00E9644A" w:rsidRPr="004F4118">
                <w:rPr>
                  <w:rStyle w:val="Hyperlink"/>
                  <w:sz w:val="20"/>
                  <w:szCs w:val="20"/>
                </w:rPr>
                <w:t xml:space="preserve">2021 ONCA 512 </w:t>
              </w:r>
            </w:hyperlink>
            <w:r w:rsidR="00E9644A" w:rsidRPr="004F4118">
              <w:rPr>
                <w:sz w:val="20"/>
                <w:szCs w:val="20"/>
              </w:rPr>
              <w:t>(Dossier : C67449)</w:t>
            </w:r>
          </w:p>
          <w:p w:rsidR="00E9644A" w:rsidRPr="004F4118" w:rsidRDefault="00E9644A" w:rsidP="00C66082">
            <w:pPr>
              <w:jc w:val="both"/>
              <w:rPr>
                <w:sz w:val="20"/>
                <w:szCs w:val="20"/>
                <w:lang w:val="fr-CA"/>
              </w:rPr>
            </w:pPr>
          </w:p>
        </w:tc>
        <w:tc>
          <w:tcPr>
            <w:tcW w:w="243" w:type="pct"/>
          </w:tcPr>
          <w:p w:rsidR="00E9644A" w:rsidRPr="004F4118" w:rsidRDefault="00E9644A" w:rsidP="00C66082">
            <w:pPr>
              <w:jc w:val="both"/>
              <w:rPr>
                <w:sz w:val="20"/>
                <w:szCs w:val="20"/>
                <w:lang w:val="fr-CA"/>
              </w:rPr>
            </w:pPr>
          </w:p>
        </w:tc>
        <w:tc>
          <w:tcPr>
            <w:tcW w:w="2330" w:type="pct"/>
          </w:tcPr>
          <w:p w:rsidR="00E9644A" w:rsidRPr="004F4118" w:rsidRDefault="00E9644A" w:rsidP="00C66082">
            <w:pPr>
              <w:jc w:val="both"/>
              <w:rPr>
                <w:sz w:val="20"/>
                <w:szCs w:val="20"/>
                <w:lang w:val="fr-CA"/>
              </w:rPr>
            </w:pPr>
            <w:r w:rsidRPr="004F4118">
              <w:rPr>
                <w:sz w:val="20"/>
                <w:szCs w:val="20"/>
                <w:lang w:val="fr-CA"/>
              </w:rPr>
              <w:t>Dommages-intérêts pour la différence de loyer non accordés</w:t>
            </w:r>
          </w:p>
        </w:tc>
      </w:tr>
      <w:tr w:rsidR="00E9644A" w:rsidRPr="004F4118" w:rsidTr="00C66082">
        <w:tc>
          <w:tcPr>
            <w:tcW w:w="2427" w:type="pct"/>
          </w:tcPr>
          <w:p w:rsidR="00E9644A" w:rsidRPr="004F4118" w:rsidRDefault="00E9644A" w:rsidP="00C66082">
            <w:pPr>
              <w:jc w:val="both"/>
              <w:rPr>
                <w:sz w:val="20"/>
                <w:szCs w:val="20"/>
                <w:lang w:val="fr-CA"/>
              </w:rPr>
            </w:pPr>
            <w:r w:rsidRPr="004F4118">
              <w:rPr>
                <w:sz w:val="20"/>
                <w:szCs w:val="20"/>
                <w:lang w:val="fr-CA"/>
              </w:rPr>
              <w:t>2 septembre 2021</w:t>
            </w:r>
          </w:p>
          <w:p w:rsidR="00E9644A" w:rsidRPr="004F4118" w:rsidRDefault="00E9644A" w:rsidP="00C66082">
            <w:pPr>
              <w:jc w:val="both"/>
              <w:rPr>
                <w:sz w:val="20"/>
                <w:szCs w:val="20"/>
                <w:lang w:val="fr-CA"/>
              </w:rPr>
            </w:pPr>
            <w:r w:rsidRPr="004F4118">
              <w:rPr>
                <w:sz w:val="20"/>
                <w:szCs w:val="20"/>
                <w:lang w:val="fr-CA"/>
              </w:rPr>
              <w:t>Cour suprême du Canada</w:t>
            </w:r>
          </w:p>
        </w:tc>
        <w:tc>
          <w:tcPr>
            <w:tcW w:w="243" w:type="pct"/>
          </w:tcPr>
          <w:p w:rsidR="00E9644A" w:rsidRPr="004F4118" w:rsidRDefault="00E9644A" w:rsidP="00C66082">
            <w:pPr>
              <w:jc w:val="both"/>
              <w:rPr>
                <w:sz w:val="20"/>
                <w:szCs w:val="20"/>
                <w:lang w:val="fr-CA"/>
              </w:rPr>
            </w:pPr>
          </w:p>
        </w:tc>
        <w:tc>
          <w:tcPr>
            <w:tcW w:w="2330" w:type="pct"/>
          </w:tcPr>
          <w:p w:rsidR="00E9644A" w:rsidRPr="004F4118" w:rsidRDefault="00E9644A" w:rsidP="00C66082">
            <w:pPr>
              <w:jc w:val="both"/>
              <w:rPr>
                <w:sz w:val="20"/>
                <w:szCs w:val="20"/>
              </w:rPr>
            </w:pPr>
            <w:r w:rsidRPr="004F4118">
              <w:rPr>
                <w:sz w:val="20"/>
                <w:szCs w:val="20"/>
                <w:lang w:val="fr-CA"/>
              </w:rPr>
              <w:t>Demande d’autorisation d’appel déposée</w:t>
            </w:r>
          </w:p>
          <w:p w:rsidR="00E9644A" w:rsidRPr="004F4118" w:rsidRDefault="00E9644A" w:rsidP="00C66082">
            <w:pPr>
              <w:jc w:val="both"/>
              <w:rPr>
                <w:sz w:val="20"/>
                <w:szCs w:val="20"/>
              </w:rPr>
            </w:pPr>
          </w:p>
        </w:tc>
      </w:tr>
    </w:tbl>
    <w:p w:rsidR="004B2E86" w:rsidRPr="004F4118" w:rsidRDefault="004B2E86" w:rsidP="004B2E86">
      <w:pPr>
        <w:jc w:val="both"/>
        <w:rPr>
          <w:sz w:val="20"/>
          <w:szCs w:val="20"/>
          <w:lang w:val="fr-CA"/>
        </w:rPr>
      </w:pPr>
    </w:p>
    <w:p w:rsidR="00102792" w:rsidRPr="004F4118" w:rsidRDefault="00DF0AA3" w:rsidP="004B2E86">
      <w:pPr>
        <w:jc w:val="both"/>
        <w:rPr>
          <w:sz w:val="20"/>
          <w:szCs w:val="20"/>
          <w:lang w:val="fr-CA"/>
        </w:rPr>
      </w:pPr>
      <w:r>
        <w:rPr>
          <w:sz w:val="20"/>
          <w:szCs w:val="20"/>
        </w:rPr>
        <w:pict>
          <v:rect id="_x0000_i1044" style="width:2in;height:1pt" o:hrpct="0" o:hralign="center" o:hrstd="t" o:hrnoshade="t" o:hr="t" fillcolor="black" stroked="f"/>
        </w:pict>
      </w:r>
    </w:p>
    <w:p w:rsidR="00E06F20" w:rsidRPr="004F4118" w:rsidRDefault="00E06F20" w:rsidP="00102792">
      <w:pPr>
        <w:jc w:val="both"/>
        <w:rPr>
          <w:sz w:val="20"/>
          <w:lang w:val="fr-CA"/>
        </w:rPr>
      </w:pPr>
    </w:p>
    <w:p w:rsidR="00890FEB" w:rsidRPr="004F4118" w:rsidRDefault="00890FEB" w:rsidP="008D292F">
      <w:pPr>
        <w:rPr>
          <w:sz w:val="20"/>
          <w:szCs w:val="20"/>
          <w:lang w:val="fr-CA"/>
        </w:rPr>
      </w:pPr>
    </w:p>
    <w:p w:rsidR="00890FEB" w:rsidRPr="004F4118" w:rsidRDefault="00890FEB" w:rsidP="008D292F">
      <w:pPr>
        <w:rPr>
          <w:b/>
          <w:sz w:val="20"/>
          <w:szCs w:val="20"/>
          <w:lang w:val="fr-CA"/>
        </w:rPr>
        <w:sectPr w:rsidR="00890FEB" w:rsidRPr="004F4118" w:rsidSect="008D292F">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p w:rsidR="00693C38" w:rsidRPr="004F4118" w:rsidRDefault="00DD0BDC" w:rsidP="00567602">
      <w:pPr>
        <w:pStyle w:val="Header1StyleE"/>
        <w:pBdr>
          <w:bottom w:val="single" w:sz="12" w:space="1" w:color="auto"/>
        </w:pBdr>
        <w:rPr>
          <w:lang w:val="fr-CA"/>
        </w:rPr>
      </w:pPr>
      <w:bookmarkStart w:id="4" w:name="_Toc94247969"/>
      <w:r w:rsidRPr="004F4118">
        <w:rPr>
          <w:lang w:val="fr-CA"/>
        </w:rPr>
        <w:lastRenderedPageBreak/>
        <w:t>Motions</w:t>
      </w:r>
      <w:r w:rsidR="00271E1E" w:rsidRPr="004F4118">
        <w:rPr>
          <w:lang w:val="fr-CA"/>
        </w:rPr>
        <w:t xml:space="preserve"> / </w:t>
      </w:r>
      <w:r w:rsidR="00693C38" w:rsidRPr="004F4118">
        <w:rPr>
          <w:lang w:val="fr-CA"/>
        </w:rPr>
        <w:br/>
      </w:r>
      <w:r w:rsidRPr="004F4118">
        <w:rPr>
          <w:lang w:val="fr-CA"/>
        </w:rPr>
        <w:t>Requêtes</w:t>
      </w:r>
      <w:bookmarkEnd w:id="4"/>
    </w:p>
    <w:p w:rsidR="00890FEB" w:rsidRPr="004F4118" w:rsidRDefault="00890FEB" w:rsidP="00890FEB">
      <w:pPr>
        <w:rPr>
          <w:sz w:val="20"/>
          <w:szCs w:val="20"/>
          <w:lang w:val="fr-CA"/>
        </w:rPr>
      </w:pPr>
    </w:p>
    <w:p w:rsidR="008859F1" w:rsidRPr="004F4118" w:rsidRDefault="00E8642A" w:rsidP="008859F1">
      <w:pPr>
        <w:rPr>
          <w:b/>
          <w:sz w:val="20"/>
          <w:szCs w:val="20"/>
          <w:lang w:val="fr-CA"/>
        </w:rPr>
      </w:pPr>
      <w:r w:rsidRPr="004F4118">
        <w:rPr>
          <w:b/>
          <w:sz w:val="20"/>
          <w:szCs w:val="20"/>
          <w:lang w:val="fr-CA"/>
        </w:rPr>
        <w:t>JANUARY</w:t>
      </w:r>
      <w:r w:rsidR="008859F1" w:rsidRPr="004F4118">
        <w:rPr>
          <w:b/>
          <w:sz w:val="20"/>
          <w:szCs w:val="20"/>
          <w:lang w:val="fr-CA"/>
        </w:rPr>
        <w:t xml:space="preserve"> </w:t>
      </w:r>
      <w:r w:rsidR="00691D1D" w:rsidRPr="004F4118">
        <w:rPr>
          <w:b/>
          <w:sz w:val="20"/>
          <w:szCs w:val="20"/>
          <w:lang w:val="fr-CA"/>
        </w:rPr>
        <w:t>1</w:t>
      </w:r>
      <w:r w:rsidR="00CB7BE3" w:rsidRPr="004F4118">
        <w:rPr>
          <w:b/>
          <w:sz w:val="20"/>
          <w:szCs w:val="20"/>
          <w:lang w:val="fr-CA"/>
        </w:rPr>
        <w:t>9</w:t>
      </w:r>
      <w:r w:rsidR="008859F1" w:rsidRPr="004F4118">
        <w:rPr>
          <w:b/>
          <w:sz w:val="20"/>
          <w:szCs w:val="20"/>
          <w:lang w:val="fr-CA"/>
        </w:rPr>
        <w:t>, 20</w:t>
      </w:r>
      <w:r w:rsidR="005967EF" w:rsidRPr="004F4118">
        <w:rPr>
          <w:b/>
          <w:sz w:val="20"/>
          <w:szCs w:val="20"/>
          <w:lang w:val="fr-CA"/>
        </w:rPr>
        <w:t>2</w:t>
      </w:r>
      <w:r w:rsidRPr="004F4118">
        <w:rPr>
          <w:b/>
          <w:sz w:val="20"/>
          <w:szCs w:val="20"/>
          <w:lang w:val="fr-CA"/>
        </w:rPr>
        <w:t>2</w:t>
      </w:r>
      <w:r w:rsidR="008859F1" w:rsidRPr="004F4118">
        <w:rPr>
          <w:b/>
          <w:sz w:val="20"/>
          <w:szCs w:val="20"/>
          <w:lang w:val="fr-CA"/>
        </w:rPr>
        <w:t xml:space="preserve"> / LE </w:t>
      </w:r>
      <w:r w:rsidR="00691D1D" w:rsidRPr="004F4118">
        <w:rPr>
          <w:b/>
          <w:sz w:val="20"/>
          <w:szCs w:val="20"/>
          <w:lang w:val="fr-CA"/>
        </w:rPr>
        <w:t>1</w:t>
      </w:r>
      <w:r w:rsidR="00CB7BE3" w:rsidRPr="004F4118">
        <w:rPr>
          <w:b/>
          <w:sz w:val="20"/>
          <w:szCs w:val="20"/>
          <w:lang w:val="fr-CA"/>
        </w:rPr>
        <w:t>9</w:t>
      </w:r>
      <w:r w:rsidR="008859F1" w:rsidRPr="004F4118">
        <w:rPr>
          <w:b/>
          <w:sz w:val="20"/>
          <w:szCs w:val="20"/>
          <w:lang w:val="fr-CA"/>
        </w:rPr>
        <w:t xml:space="preserve"> </w:t>
      </w:r>
      <w:r w:rsidRPr="004F4118">
        <w:rPr>
          <w:b/>
          <w:sz w:val="20"/>
          <w:szCs w:val="20"/>
          <w:lang w:val="fr-CA"/>
        </w:rPr>
        <w:t>JANVIER</w:t>
      </w:r>
      <w:r w:rsidR="008859F1" w:rsidRPr="004F4118">
        <w:rPr>
          <w:b/>
          <w:sz w:val="20"/>
          <w:szCs w:val="20"/>
          <w:lang w:val="fr-CA"/>
        </w:rPr>
        <w:t xml:space="preserve"> 20</w:t>
      </w:r>
      <w:r w:rsidR="005967EF" w:rsidRPr="004F4118">
        <w:rPr>
          <w:b/>
          <w:sz w:val="20"/>
          <w:szCs w:val="20"/>
          <w:lang w:val="fr-CA"/>
        </w:rPr>
        <w:t>2</w:t>
      </w:r>
      <w:r w:rsidRPr="004F4118">
        <w:rPr>
          <w:b/>
          <w:sz w:val="20"/>
          <w:szCs w:val="20"/>
          <w:lang w:val="fr-CA"/>
        </w:rPr>
        <w:t>2</w:t>
      </w:r>
    </w:p>
    <w:p w:rsidR="00102792" w:rsidRPr="004F4118"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4F4118" w:rsidTr="00691D1D">
        <w:tc>
          <w:tcPr>
            <w:tcW w:w="4410" w:type="dxa"/>
            <w:tcBorders>
              <w:top w:val="nil"/>
              <w:left w:val="nil"/>
              <w:bottom w:val="nil"/>
              <w:right w:val="nil"/>
            </w:tcBorders>
          </w:tcPr>
          <w:p w:rsidR="00D93A6C" w:rsidRPr="004F4118" w:rsidRDefault="00CB7BE3" w:rsidP="00691D1D">
            <w:pPr>
              <w:jc w:val="both"/>
              <w:rPr>
                <w:rFonts w:cs="Times New Roman"/>
                <w:b/>
                <w:bCs/>
                <w:sz w:val="20"/>
                <w:szCs w:val="20"/>
                <w:lang w:val="en-US"/>
              </w:rPr>
            </w:pPr>
            <w:r w:rsidRPr="004F4118">
              <w:rPr>
                <w:rFonts w:eastAsia="Times New Roman" w:cs="Times New Roman"/>
                <w:b/>
                <w:sz w:val="20"/>
                <w:szCs w:val="20"/>
                <w:lang w:val="en-US" w:eastAsia="en-CA"/>
              </w:rPr>
              <w:t>Motion to proceed with the appeal</w:t>
            </w:r>
          </w:p>
        </w:tc>
        <w:tc>
          <w:tcPr>
            <w:tcW w:w="810" w:type="dxa"/>
            <w:tcBorders>
              <w:top w:val="nil"/>
              <w:left w:val="nil"/>
              <w:bottom w:val="nil"/>
              <w:right w:val="nil"/>
            </w:tcBorders>
          </w:tcPr>
          <w:p w:rsidR="00D93A6C" w:rsidRPr="004F4118"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4F4118" w:rsidRDefault="00CB7BE3" w:rsidP="00691D1D">
            <w:pPr>
              <w:jc w:val="both"/>
              <w:rPr>
                <w:rFonts w:cs="Times New Roman"/>
                <w:b/>
                <w:bCs/>
                <w:sz w:val="20"/>
                <w:szCs w:val="20"/>
                <w:lang w:val="fr-CA"/>
              </w:rPr>
            </w:pPr>
            <w:r w:rsidRPr="004F4118">
              <w:rPr>
                <w:rFonts w:eastAsia="Times New Roman" w:cs="Times New Roman"/>
                <w:b/>
                <w:sz w:val="20"/>
                <w:szCs w:val="20"/>
                <w:lang w:val="fr-CA" w:eastAsia="en-CA"/>
              </w:rPr>
              <w:t>Requête pour procéder avec l’appel</w:t>
            </w:r>
          </w:p>
        </w:tc>
      </w:tr>
    </w:tbl>
    <w:p w:rsidR="00D93A6C" w:rsidRPr="004F4118" w:rsidRDefault="00D93A6C" w:rsidP="00102792">
      <w:pPr>
        <w:tabs>
          <w:tab w:val="left" w:pos="-1440"/>
          <w:tab w:val="left" w:pos="-720"/>
        </w:tabs>
        <w:jc w:val="both"/>
        <w:rPr>
          <w:rFonts w:eastAsia="Times New Roman" w:cs="Times New Roman"/>
          <w:sz w:val="20"/>
          <w:szCs w:val="20"/>
          <w:lang w:val="fr-CA" w:eastAsia="en-CA"/>
        </w:rPr>
      </w:pPr>
    </w:p>
    <w:p w:rsidR="00D93A6C" w:rsidRPr="004F4118" w:rsidRDefault="00D93A6C" w:rsidP="00102792">
      <w:pPr>
        <w:tabs>
          <w:tab w:val="left" w:pos="-1440"/>
          <w:tab w:val="left" w:pos="-720"/>
        </w:tabs>
        <w:jc w:val="both"/>
        <w:rPr>
          <w:rFonts w:eastAsia="Times New Roman" w:cs="Times New Roman"/>
          <w:sz w:val="20"/>
          <w:szCs w:val="20"/>
          <w:lang w:val="fr-CA" w:eastAsia="en-CA"/>
        </w:rPr>
      </w:pPr>
    </w:p>
    <w:p w:rsidR="00CB7BE3" w:rsidRPr="004F4118" w:rsidRDefault="00CB7BE3" w:rsidP="00CB7BE3">
      <w:pPr>
        <w:rPr>
          <w:rFonts w:cs="Times New Roman"/>
          <w:b/>
          <w:bCs/>
          <w:sz w:val="20"/>
          <w:szCs w:val="20"/>
        </w:rPr>
      </w:pPr>
      <w:r w:rsidRPr="004F4118">
        <w:rPr>
          <w:rFonts w:cs="Times New Roman"/>
          <w:b/>
          <w:bCs/>
          <w:sz w:val="20"/>
          <w:szCs w:val="20"/>
        </w:rPr>
        <w:t>HER MAJESTY THE QUEEN v. OCEAN WILLIAM STORM HILBACH AND CURTIS ZWOZDESKY</w:t>
      </w:r>
    </w:p>
    <w:p w:rsidR="00CB7BE3" w:rsidRPr="004F4118" w:rsidRDefault="00CB7BE3" w:rsidP="00CB7BE3">
      <w:pPr>
        <w:rPr>
          <w:rFonts w:cs="Times New Roman"/>
          <w:bCs/>
          <w:sz w:val="20"/>
          <w:szCs w:val="20"/>
        </w:rPr>
      </w:pPr>
      <w:r w:rsidRPr="004F4118">
        <w:rPr>
          <w:rFonts w:cs="Times New Roman"/>
          <w:bCs/>
          <w:sz w:val="20"/>
          <w:szCs w:val="20"/>
        </w:rPr>
        <w:t>(Alta.) (39438)</w:t>
      </w:r>
    </w:p>
    <w:p w:rsidR="00CB7BE3" w:rsidRPr="004F4118" w:rsidRDefault="00CB7BE3" w:rsidP="00CB7BE3">
      <w:pPr>
        <w:rPr>
          <w:rFonts w:cs="Times New Roman"/>
          <w:sz w:val="20"/>
          <w:szCs w:val="20"/>
        </w:rPr>
      </w:pPr>
    </w:p>
    <w:p w:rsidR="00CB7BE3" w:rsidRPr="004F4118" w:rsidRDefault="00CB7BE3" w:rsidP="00CB7BE3">
      <w:pPr>
        <w:rPr>
          <w:rFonts w:cs="Times New Roman"/>
          <w:sz w:val="20"/>
          <w:szCs w:val="20"/>
        </w:rPr>
      </w:pPr>
      <w:r w:rsidRPr="004F4118">
        <w:rPr>
          <w:rFonts w:cs="Times New Roman"/>
          <w:b/>
          <w:bCs/>
          <w:sz w:val="20"/>
          <w:szCs w:val="20"/>
          <w:u w:val="single"/>
        </w:rPr>
        <w:t>THE COURT</w:t>
      </w:r>
      <w:r w:rsidRPr="004F4118">
        <w:rPr>
          <w:rFonts w:cs="Times New Roman"/>
          <w:b/>
          <w:bCs/>
          <w:sz w:val="20"/>
          <w:szCs w:val="20"/>
        </w:rPr>
        <w:t>:</w:t>
      </w:r>
    </w:p>
    <w:p w:rsidR="00CB7BE3" w:rsidRPr="004F4118" w:rsidRDefault="00CB7BE3" w:rsidP="00CB7BE3">
      <w:pPr>
        <w:rPr>
          <w:rFonts w:cs="Times New Roman"/>
          <w:sz w:val="20"/>
          <w:szCs w:val="20"/>
        </w:rPr>
      </w:pPr>
    </w:p>
    <w:p w:rsidR="00CB7BE3" w:rsidRPr="004F4118" w:rsidRDefault="00CB7BE3" w:rsidP="00CB7BE3">
      <w:pPr>
        <w:rPr>
          <w:rFonts w:cs="Times New Roman"/>
          <w:sz w:val="20"/>
          <w:szCs w:val="20"/>
        </w:rPr>
      </w:pPr>
      <w:r w:rsidRPr="004F4118">
        <w:rPr>
          <w:rFonts w:cs="Times New Roman"/>
          <w:b/>
          <w:bCs/>
          <w:sz w:val="20"/>
          <w:szCs w:val="20"/>
        </w:rPr>
        <w:t xml:space="preserve">UPON APPLICATION </w:t>
      </w:r>
      <w:r w:rsidRPr="004F4118">
        <w:rPr>
          <w:rFonts w:cs="Times New Roman"/>
          <w:sz w:val="20"/>
          <w:szCs w:val="20"/>
        </w:rPr>
        <w:t xml:space="preserve">by the appellant to proceed with the appeal, notwithstanding the death of the respondent, Mr. Zwozdesky, pursuant to s. 76 of the </w:t>
      </w:r>
      <w:r w:rsidRPr="004F4118">
        <w:rPr>
          <w:rFonts w:cs="Times New Roman"/>
          <w:i/>
          <w:sz w:val="20"/>
          <w:szCs w:val="20"/>
        </w:rPr>
        <w:t>Supreme Court Act</w:t>
      </w:r>
      <w:r w:rsidRPr="004F4118">
        <w:rPr>
          <w:rFonts w:cs="Times New Roman"/>
          <w:sz w:val="20"/>
          <w:szCs w:val="20"/>
        </w:rPr>
        <w:t xml:space="preserve">; </w:t>
      </w:r>
    </w:p>
    <w:p w:rsidR="00CB7BE3" w:rsidRPr="004F4118" w:rsidRDefault="00CB7BE3" w:rsidP="00CB7BE3">
      <w:pPr>
        <w:spacing w:line="233" w:lineRule="auto"/>
        <w:rPr>
          <w:rFonts w:cs="Times New Roman"/>
          <w:sz w:val="20"/>
          <w:szCs w:val="20"/>
        </w:rPr>
      </w:pPr>
    </w:p>
    <w:p w:rsidR="00CB7BE3" w:rsidRPr="004F4118" w:rsidRDefault="00CB7BE3" w:rsidP="00CB7BE3">
      <w:pPr>
        <w:spacing w:line="233" w:lineRule="auto"/>
        <w:rPr>
          <w:rFonts w:cs="Times New Roman"/>
          <w:sz w:val="20"/>
          <w:szCs w:val="20"/>
        </w:rPr>
      </w:pPr>
      <w:r w:rsidRPr="004F4118">
        <w:rPr>
          <w:rFonts w:cs="Times New Roman"/>
          <w:b/>
          <w:bCs/>
          <w:sz w:val="20"/>
          <w:szCs w:val="20"/>
        </w:rPr>
        <w:t>AND THE MATERIAL FILED</w:t>
      </w:r>
      <w:r w:rsidRPr="004F4118">
        <w:rPr>
          <w:rFonts w:cs="Times New Roman"/>
          <w:sz w:val="20"/>
          <w:szCs w:val="20"/>
        </w:rPr>
        <w:t xml:space="preserve"> having been read;</w:t>
      </w:r>
    </w:p>
    <w:p w:rsidR="00CB7BE3" w:rsidRPr="004F4118" w:rsidRDefault="00CB7BE3" w:rsidP="00CB7BE3">
      <w:pPr>
        <w:spacing w:line="233" w:lineRule="auto"/>
        <w:rPr>
          <w:rFonts w:cs="Times New Roman"/>
          <w:sz w:val="20"/>
          <w:szCs w:val="20"/>
        </w:rPr>
      </w:pPr>
    </w:p>
    <w:p w:rsidR="00CB7BE3" w:rsidRPr="004F4118" w:rsidRDefault="00CB7BE3" w:rsidP="00CB7BE3">
      <w:pPr>
        <w:spacing w:line="233" w:lineRule="auto"/>
        <w:rPr>
          <w:rFonts w:cs="Times New Roman"/>
          <w:b/>
          <w:bCs/>
          <w:sz w:val="20"/>
          <w:szCs w:val="20"/>
        </w:rPr>
      </w:pPr>
      <w:r w:rsidRPr="004F4118">
        <w:rPr>
          <w:rFonts w:cs="Times New Roman"/>
          <w:b/>
          <w:bCs/>
          <w:sz w:val="20"/>
          <w:szCs w:val="20"/>
        </w:rPr>
        <w:t>IT IS HEREBY ORDERED THAT:</w:t>
      </w:r>
    </w:p>
    <w:p w:rsidR="00CB7BE3" w:rsidRPr="004F4118" w:rsidRDefault="00CB7BE3" w:rsidP="00CB7BE3">
      <w:pPr>
        <w:spacing w:line="233" w:lineRule="auto"/>
        <w:rPr>
          <w:rFonts w:cs="Times New Roman"/>
          <w:sz w:val="20"/>
          <w:szCs w:val="20"/>
        </w:rPr>
      </w:pPr>
    </w:p>
    <w:p w:rsidR="00CB7BE3" w:rsidRPr="004F4118" w:rsidRDefault="00CB7BE3" w:rsidP="00CB7BE3">
      <w:pPr>
        <w:spacing w:line="228" w:lineRule="auto"/>
        <w:rPr>
          <w:rFonts w:cs="Times New Roman"/>
          <w:sz w:val="20"/>
          <w:szCs w:val="20"/>
        </w:rPr>
      </w:pPr>
      <w:r w:rsidRPr="004F4118">
        <w:rPr>
          <w:rFonts w:cs="Times New Roman"/>
          <w:sz w:val="20"/>
          <w:szCs w:val="20"/>
        </w:rPr>
        <w:t xml:space="preserve">The motion is granted. </w:t>
      </w:r>
    </w:p>
    <w:p w:rsidR="00CB7BE3" w:rsidRPr="004F4118" w:rsidRDefault="00CB7BE3" w:rsidP="00CB7BE3">
      <w:pPr>
        <w:spacing w:line="228" w:lineRule="auto"/>
        <w:rPr>
          <w:rFonts w:cs="Times New Roman"/>
          <w:sz w:val="20"/>
          <w:szCs w:val="20"/>
        </w:rPr>
      </w:pPr>
    </w:p>
    <w:p w:rsidR="00CB7BE3" w:rsidRPr="004F4118" w:rsidRDefault="00CB7BE3" w:rsidP="00CB7BE3">
      <w:pPr>
        <w:spacing w:line="228" w:lineRule="auto"/>
        <w:rPr>
          <w:rFonts w:cs="Times New Roman"/>
          <w:sz w:val="20"/>
          <w:szCs w:val="20"/>
        </w:rPr>
      </w:pPr>
      <w:r w:rsidRPr="004F4118">
        <w:rPr>
          <w:rFonts w:cs="Times New Roman"/>
          <w:sz w:val="20"/>
          <w:szCs w:val="20"/>
        </w:rPr>
        <w:t>The hearing of the appeal will proceed as scheduled on March 22, 2022.</w:t>
      </w:r>
    </w:p>
    <w:p w:rsidR="00CB7BE3" w:rsidRPr="004F4118" w:rsidRDefault="00CB7BE3" w:rsidP="00CB7BE3">
      <w:pPr>
        <w:spacing w:line="228" w:lineRule="auto"/>
        <w:rPr>
          <w:rFonts w:cs="Times New Roman"/>
          <w:sz w:val="20"/>
          <w:szCs w:val="20"/>
        </w:rPr>
      </w:pPr>
    </w:p>
    <w:p w:rsidR="00CB7BE3" w:rsidRPr="004F4118" w:rsidRDefault="00CB7BE3" w:rsidP="00CB7BE3">
      <w:pPr>
        <w:spacing w:line="230" w:lineRule="auto"/>
        <w:rPr>
          <w:rFonts w:cs="Times New Roman"/>
          <w:sz w:val="20"/>
          <w:szCs w:val="20"/>
        </w:rPr>
      </w:pPr>
      <w:r w:rsidRPr="004F4118">
        <w:rPr>
          <w:rFonts w:cs="Times New Roman"/>
          <w:sz w:val="20"/>
          <w:szCs w:val="20"/>
        </w:rPr>
        <w:t xml:space="preserve">Dane F. Bullerwell and Katherine E. Clackson are appointed as </w:t>
      </w:r>
      <w:r w:rsidRPr="004F4118">
        <w:rPr>
          <w:rFonts w:eastAsia="Times New Roman" w:cs="Times New Roman"/>
          <w:i/>
          <w:sz w:val="20"/>
          <w:szCs w:val="20"/>
          <w:lang w:eastAsia="en-CA"/>
        </w:rPr>
        <w:t>amici curiae</w:t>
      </w:r>
      <w:r w:rsidRPr="004F4118">
        <w:rPr>
          <w:rFonts w:eastAsia="Times New Roman" w:cs="Times New Roman"/>
          <w:sz w:val="20"/>
          <w:szCs w:val="20"/>
          <w:lang w:eastAsia="en-CA"/>
        </w:rPr>
        <w:t xml:space="preserve"> pursuant to Rule 92 of the </w:t>
      </w:r>
      <w:r w:rsidRPr="004F4118">
        <w:rPr>
          <w:rFonts w:eastAsia="Times New Roman" w:cs="Times New Roman"/>
          <w:i/>
          <w:sz w:val="20"/>
          <w:szCs w:val="20"/>
          <w:lang w:eastAsia="en-CA"/>
        </w:rPr>
        <w:t>Rules of the Supreme Court of Canada</w:t>
      </w:r>
      <w:r w:rsidRPr="004F4118">
        <w:rPr>
          <w:rFonts w:eastAsia="Times New Roman" w:cs="Times New Roman"/>
          <w:sz w:val="20"/>
          <w:szCs w:val="20"/>
          <w:lang w:eastAsia="en-CA"/>
        </w:rPr>
        <w:t>, to make submissions in response to the appellant’s position, and the constitutional questions specific to Mr. Zwozdesky’s matter.</w:t>
      </w:r>
    </w:p>
    <w:p w:rsidR="00102792" w:rsidRPr="004F4118" w:rsidRDefault="00102792" w:rsidP="00102792">
      <w:pPr>
        <w:spacing w:line="228" w:lineRule="auto"/>
        <w:rPr>
          <w:sz w:val="20"/>
        </w:rPr>
      </w:pPr>
    </w:p>
    <w:p w:rsidR="005967EF" w:rsidRPr="004F4118" w:rsidRDefault="005967EF" w:rsidP="00102792">
      <w:pPr>
        <w:spacing w:line="228" w:lineRule="auto"/>
        <w:rPr>
          <w:sz w:val="20"/>
          <w:szCs w:val="20"/>
        </w:rPr>
      </w:pPr>
    </w:p>
    <w:p w:rsidR="009F1B55" w:rsidRPr="004F4118" w:rsidRDefault="009F1B55" w:rsidP="009F1B55">
      <w:pPr>
        <w:rPr>
          <w:rFonts w:cs="Times New Roman"/>
          <w:sz w:val="20"/>
          <w:szCs w:val="20"/>
          <w:lang w:val="fr-CA"/>
        </w:rPr>
      </w:pPr>
      <w:r w:rsidRPr="004F4118">
        <w:rPr>
          <w:rFonts w:cs="Times New Roman"/>
          <w:b/>
          <w:sz w:val="20"/>
          <w:szCs w:val="20"/>
          <w:lang w:val="fr-CA"/>
        </w:rPr>
        <w:t xml:space="preserve">À LA SUITE DE LA DEMANDE </w:t>
      </w:r>
      <w:r w:rsidRPr="004F4118">
        <w:rPr>
          <w:rFonts w:cs="Times New Roman"/>
          <w:sz w:val="20"/>
          <w:szCs w:val="20"/>
          <w:lang w:val="fr-CA"/>
        </w:rPr>
        <w:t xml:space="preserve">de l’appelante en vue de poursuivre l’appel, en dépit du décès de l’intimé, M. Zwozdesky, en application de l’art. 76 de la </w:t>
      </w:r>
      <w:r w:rsidRPr="004F4118">
        <w:rPr>
          <w:rFonts w:cs="Times New Roman"/>
          <w:i/>
          <w:sz w:val="20"/>
          <w:szCs w:val="20"/>
          <w:lang w:val="fr-CA"/>
        </w:rPr>
        <w:t>Loi sur la Cour suprême</w:t>
      </w:r>
      <w:r w:rsidRPr="004F4118">
        <w:rPr>
          <w:rFonts w:cs="Times New Roman"/>
          <w:sz w:val="20"/>
          <w:szCs w:val="20"/>
          <w:lang w:val="fr-CA"/>
        </w:rPr>
        <w:t>;</w:t>
      </w:r>
    </w:p>
    <w:p w:rsidR="009F1B55" w:rsidRPr="004F4118" w:rsidRDefault="009F1B55" w:rsidP="009F1B55">
      <w:pPr>
        <w:rPr>
          <w:rFonts w:cs="Times New Roman"/>
          <w:sz w:val="20"/>
          <w:szCs w:val="20"/>
          <w:lang w:val="fr-CA"/>
        </w:rPr>
      </w:pPr>
    </w:p>
    <w:p w:rsidR="009F1B55" w:rsidRPr="004F4118" w:rsidRDefault="009F1B55" w:rsidP="009F1B55">
      <w:pPr>
        <w:rPr>
          <w:rFonts w:cs="Times New Roman"/>
          <w:sz w:val="20"/>
          <w:szCs w:val="20"/>
          <w:lang w:val="fr-CA"/>
        </w:rPr>
      </w:pPr>
      <w:r w:rsidRPr="004F4118">
        <w:rPr>
          <w:rFonts w:cs="Times New Roman"/>
          <w:b/>
          <w:sz w:val="20"/>
          <w:szCs w:val="20"/>
          <w:lang w:val="fr-CA"/>
        </w:rPr>
        <w:t>ET APRÈS EXAMEN</w:t>
      </w:r>
      <w:r w:rsidRPr="004F4118">
        <w:rPr>
          <w:rFonts w:cs="Times New Roman"/>
          <w:sz w:val="20"/>
          <w:szCs w:val="20"/>
          <w:lang w:val="fr-CA"/>
        </w:rPr>
        <w:t xml:space="preserve"> des documents déposés;</w:t>
      </w:r>
    </w:p>
    <w:p w:rsidR="009F1B55" w:rsidRPr="004F4118" w:rsidRDefault="009F1B55" w:rsidP="009F1B55">
      <w:pPr>
        <w:rPr>
          <w:rFonts w:cs="Times New Roman"/>
          <w:sz w:val="20"/>
          <w:szCs w:val="20"/>
          <w:lang w:val="fr-CA"/>
        </w:rPr>
      </w:pPr>
    </w:p>
    <w:p w:rsidR="009F1B55" w:rsidRPr="004F4118" w:rsidRDefault="009F1B55" w:rsidP="009F1B55">
      <w:pPr>
        <w:rPr>
          <w:rFonts w:cs="Times New Roman"/>
          <w:b/>
          <w:sz w:val="20"/>
          <w:szCs w:val="20"/>
          <w:lang w:val="fr-CA"/>
        </w:rPr>
      </w:pPr>
      <w:r w:rsidRPr="004F4118">
        <w:rPr>
          <w:rFonts w:cs="Times New Roman"/>
          <w:b/>
          <w:sz w:val="20"/>
          <w:szCs w:val="20"/>
          <w:lang w:val="fr-CA"/>
        </w:rPr>
        <w:t>IL EST PAR LA PRÉSENTE ORDONNÉ CE QUI SUIT :</w:t>
      </w:r>
    </w:p>
    <w:p w:rsidR="009F1B55" w:rsidRPr="004F4118" w:rsidRDefault="009F1B55" w:rsidP="009F1B55">
      <w:pPr>
        <w:rPr>
          <w:rFonts w:cs="Times New Roman"/>
          <w:sz w:val="20"/>
          <w:szCs w:val="20"/>
          <w:lang w:val="fr-CA"/>
        </w:rPr>
      </w:pPr>
    </w:p>
    <w:p w:rsidR="009F1B55" w:rsidRPr="004F4118" w:rsidRDefault="009F1B55" w:rsidP="009F1B55">
      <w:pPr>
        <w:rPr>
          <w:rFonts w:cs="Times New Roman"/>
          <w:sz w:val="20"/>
          <w:szCs w:val="20"/>
          <w:lang w:val="fr-CA"/>
        </w:rPr>
      </w:pPr>
      <w:r w:rsidRPr="004F4118">
        <w:rPr>
          <w:rFonts w:cs="Times New Roman"/>
          <w:sz w:val="20"/>
          <w:szCs w:val="20"/>
          <w:lang w:val="fr-CA"/>
        </w:rPr>
        <w:t>La requête est accueillie.</w:t>
      </w:r>
    </w:p>
    <w:p w:rsidR="009F1B55" w:rsidRPr="004F4118" w:rsidRDefault="009F1B55" w:rsidP="009F1B55">
      <w:pPr>
        <w:rPr>
          <w:rFonts w:cs="Times New Roman"/>
          <w:sz w:val="20"/>
          <w:szCs w:val="20"/>
          <w:lang w:val="fr-CA"/>
        </w:rPr>
      </w:pPr>
    </w:p>
    <w:p w:rsidR="009F1B55" w:rsidRPr="004F4118" w:rsidRDefault="009F1B55" w:rsidP="009F1B55">
      <w:pPr>
        <w:rPr>
          <w:rFonts w:cs="Times New Roman"/>
          <w:sz w:val="20"/>
          <w:szCs w:val="20"/>
          <w:lang w:val="fr-CA"/>
        </w:rPr>
      </w:pPr>
      <w:r w:rsidRPr="004F4118">
        <w:rPr>
          <w:rFonts w:cs="Times New Roman"/>
          <w:sz w:val="20"/>
          <w:szCs w:val="20"/>
          <w:lang w:val="fr-CA"/>
        </w:rPr>
        <w:t>L’audition de l’appel aura lieu comme prévu le 22 mars 2022.</w:t>
      </w:r>
    </w:p>
    <w:p w:rsidR="009F1B55" w:rsidRPr="004F4118" w:rsidRDefault="009F1B55" w:rsidP="009F1B55">
      <w:pPr>
        <w:rPr>
          <w:rFonts w:cs="Times New Roman"/>
          <w:sz w:val="20"/>
          <w:szCs w:val="20"/>
          <w:lang w:val="fr-CA"/>
        </w:rPr>
      </w:pPr>
    </w:p>
    <w:p w:rsidR="009F1B55" w:rsidRPr="004F4118" w:rsidRDefault="009F1B55" w:rsidP="009F1B55">
      <w:pPr>
        <w:rPr>
          <w:rFonts w:cs="Times New Roman"/>
          <w:sz w:val="20"/>
          <w:szCs w:val="20"/>
          <w:lang w:val="fr-CA"/>
        </w:rPr>
      </w:pPr>
      <w:r w:rsidRPr="004F4118">
        <w:rPr>
          <w:rFonts w:cs="Times New Roman"/>
          <w:sz w:val="20"/>
          <w:szCs w:val="20"/>
          <w:lang w:val="fr-CA"/>
        </w:rPr>
        <w:t xml:space="preserve">Dane F. Bullerwell et Katherine E. Clackson sont nommés </w:t>
      </w:r>
      <w:r w:rsidRPr="004F4118">
        <w:rPr>
          <w:rFonts w:cs="Times New Roman"/>
          <w:i/>
          <w:sz w:val="20"/>
          <w:szCs w:val="20"/>
          <w:lang w:val="fr-CA"/>
        </w:rPr>
        <w:t>amici curiae</w:t>
      </w:r>
      <w:r w:rsidRPr="004F4118">
        <w:rPr>
          <w:rFonts w:cs="Times New Roman"/>
          <w:sz w:val="20"/>
          <w:szCs w:val="20"/>
          <w:lang w:val="fr-CA"/>
        </w:rPr>
        <w:t xml:space="preserve"> en vertu de l’art. 92 des </w:t>
      </w:r>
      <w:r w:rsidRPr="004F4118">
        <w:rPr>
          <w:rFonts w:cs="Times New Roman"/>
          <w:i/>
          <w:sz w:val="20"/>
          <w:szCs w:val="20"/>
          <w:lang w:val="fr-CA"/>
        </w:rPr>
        <w:t>Règles de la Cour suprême du Canada</w:t>
      </w:r>
      <w:r w:rsidRPr="004F4118">
        <w:rPr>
          <w:rFonts w:cs="Times New Roman"/>
          <w:sz w:val="20"/>
          <w:szCs w:val="20"/>
          <w:lang w:val="fr-CA"/>
        </w:rPr>
        <w:t xml:space="preserve">, pour présenter des observations en réponse à la position de l’appelante et aux questions constitutionnelles spécifiques à l’affaire de M. Zwozdesky. </w:t>
      </w:r>
    </w:p>
    <w:p w:rsidR="00CB7BE3" w:rsidRPr="004F4118" w:rsidRDefault="00CB7BE3" w:rsidP="00102792">
      <w:pPr>
        <w:spacing w:line="232" w:lineRule="auto"/>
        <w:rPr>
          <w:rFonts w:cs="Times New Roman"/>
          <w:sz w:val="20"/>
          <w:lang w:val="fr-CA"/>
        </w:rPr>
      </w:pPr>
    </w:p>
    <w:p w:rsidR="00102792" w:rsidRPr="004F4118" w:rsidRDefault="00DF0AA3"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7" style="width:2in;height:1pt" o:hrpct="0" o:hralign="center" o:hrstd="t" o:hrnoshade="t" o:hr="t" fillcolor="black [3213]" stroked="f"/>
        </w:pict>
      </w:r>
    </w:p>
    <w:p w:rsidR="005967EF" w:rsidRPr="004F4118" w:rsidRDefault="005967EF" w:rsidP="00102792">
      <w:pPr>
        <w:rPr>
          <w:rFonts w:eastAsia="Times New Roman" w:cs="Times New Roman"/>
          <w:sz w:val="20"/>
          <w:szCs w:val="20"/>
          <w:lang w:val="fr-CA" w:eastAsia="en-CA"/>
        </w:rPr>
      </w:pPr>
    </w:p>
    <w:p w:rsidR="008D4F13" w:rsidRPr="004F4118" w:rsidRDefault="008D4F13">
      <w:pPr>
        <w:rPr>
          <w:rFonts w:eastAsia="Times New Roman" w:cs="Times New Roman"/>
          <w:sz w:val="20"/>
          <w:szCs w:val="20"/>
          <w:lang w:val="fr-CA" w:eastAsia="en-CA"/>
        </w:rPr>
      </w:pPr>
      <w:r w:rsidRPr="004F4118">
        <w:rPr>
          <w:rFonts w:eastAsia="Times New Roman" w:cs="Times New Roman"/>
          <w:sz w:val="20"/>
          <w:szCs w:val="20"/>
          <w:lang w:val="fr-CA" w:eastAsia="en-CA"/>
        </w:rPr>
        <w:br w:type="page"/>
      </w:r>
    </w:p>
    <w:p w:rsidR="008D4F13" w:rsidRPr="004F4118" w:rsidRDefault="008D4F13" w:rsidP="008D4F13">
      <w:pPr>
        <w:rPr>
          <w:b/>
          <w:sz w:val="20"/>
          <w:szCs w:val="20"/>
          <w:lang w:val="fr-CA"/>
        </w:rPr>
      </w:pPr>
      <w:r w:rsidRPr="004F4118">
        <w:rPr>
          <w:b/>
          <w:sz w:val="20"/>
          <w:szCs w:val="20"/>
          <w:lang w:val="fr-CA"/>
        </w:rPr>
        <w:lastRenderedPageBreak/>
        <w:t>JANUARY 25, 2022 / LE 25 JANVIER 2022</w:t>
      </w:r>
    </w:p>
    <w:p w:rsidR="008D4F13" w:rsidRPr="004F4118" w:rsidRDefault="008D4F13" w:rsidP="008D4F13">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8D4F13" w:rsidRPr="004F4118" w:rsidTr="00C66082">
        <w:tc>
          <w:tcPr>
            <w:tcW w:w="4410" w:type="dxa"/>
            <w:tcBorders>
              <w:top w:val="nil"/>
              <w:left w:val="nil"/>
              <w:bottom w:val="nil"/>
              <w:right w:val="nil"/>
            </w:tcBorders>
          </w:tcPr>
          <w:p w:rsidR="008D4F13" w:rsidRPr="004F4118" w:rsidRDefault="008D4F13" w:rsidP="00C66082">
            <w:pPr>
              <w:jc w:val="both"/>
              <w:rPr>
                <w:rFonts w:cs="Times New Roman"/>
                <w:b/>
                <w:bCs/>
                <w:sz w:val="20"/>
                <w:szCs w:val="20"/>
                <w:lang w:val="en-US"/>
              </w:rPr>
            </w:pPr>
            <w:r w:rsidRPr="004F4118">
              <w:rPr>
                <w:rFonts w:eastAsia="Times New Roman" w:cs="Times New Roman"/>
                <w:b/>
                <w:sz w:val="20"/>
                <w:szCs w:val="20"/>
                <w:lang w:val="en-US" w:eastAsia="en-CA"/>
              </w:rPr>
              <w:t>Motion to file a reply factum on appeal</w:t>
            </w:r>
          </w:p>
        </w:tc>
        <w:tc>
          <w:tcPr>
            <w:tcW w:w="810" w:type="dxa"/>
            <w:tcBorders>
              <w:top w:val="nil"/>
              <w:left w:val="nil"/>
              <w:bottom w:val="nil"/>
              <w:right w:val="nil"/>
            </w:tcBorders>
          </w:tcPr>
          <w:p w:rsidR="008D4F13" w:rsidRPr="004F4118" w:rsidRDefault="008D4F13" w:rsidP="00C66082">
            <w:pPr>
              <w:jc w:val="both"/>
              <w:rPr>
                <w:rFonts w:cs="Times New Roman"/>
                <w:b/>
                <w:bCs/>
                <w:sz w:val="20"/>
                <w:szCs w:val="20"/>
                <w:lang w:val="en-US"/>
              </w:rPr>
            </w:pPr>
          </w:p>
        </w:tc>
        <w:tc>
          <w:tcPr>
            <w:tcW w:w="4399" w:type="dxa"/>
            <w:tcBorders>
              <w:top w:val="nil"/>
              <w:left w:val="nil"/>
              <w:bottom w:val="nil"/>
              <w:right w:val="nil"/>
            </w:tcBorders>
          </w:tcPr>
          <w:p w:rsidR="008D4F13" w:rsidRPr="004F4118" w:rsidRDefault="008D4F13" w:rsidP="00C66082">
            <w:pPr>
              <w:jc w:val="both"/>
              <w:rPr>
                <w:rFonts w:cs="Times New Roman"/>
                <w:b/>
                <w:bCs/>
                <w:sz w:val="20"/>
                <w:szCs w:val="20"/>
                <w:lang w:val="fr-CA"/>
              </w:rPr>
            </w:pPr>
            <w:r w:rsidRPr="004F4118">
              <w:rPr>
                <w:rFonts w:eastAsia="Times New Roman" w:cs="Times New Roman"/>
                <w:b/>
                <w:sz w:val="20"/>
                <w:szCs w:val="20"/>
                <w:lang w:val="fr-CA" w:eastAsia="en-CA"/>
              </w:rPr>
              <w:t>Requête pour déposer un mémoire en réplique sur appel</w:t>
            </w:r>
          </w:p>
        </w:tc>
      </w:tr>
    </w:tbl>
    <w:p w:rsidR="008D4F13" w:rsidRPr="004F4118" w:rsidRDefault="008D4F13" w:rsidP="008D4F13">
      <w:pPr>
        <w:tabs>
          <w:tab w:val="left" w:pos="-1440"/>
          <w:tab w:val="left" w:pos="-720"/>
        </w:tabs>
        <w:jc w:val="both"/>
        <w:rPr>
          <w:rFonts w:eastAsia="Times New Roman" w:cs="Times New Roman"/>
          <w:sz w:val="20"/>
          <w:szCs w:val="20"/>
          <w:lang w:val="fr-CA" w:eastAsia="en-CA"/>
        </w:rPr>
      </w:pPr>
    </w:p>
    <w:p w:rsidR="008D4F13" w:rsidRPr="004F4118" w:rsidRDefault="008D4F13" w:rsidP="008D4F13">
      <w:pPr>
        <w:tabs>
          <w:tab w:val="left" w:pos="-1440"/>
          <w:tab w:val="left" w:pos="-720"/>
        </w:tabs>
        <w:jc w:val="both"/>
        <w:rPr>
          <w:rFonts w:eastAsia="Times New Roman" w:cs="Times New Roman"/>
          <w:sz w:val="20"/>
          <w:szCs w:val="20"/>
          <w:lang w:val="fr-CA" w:eastAsia="en-CA"/>
        </w:rPr>
      </w:pPr>
    </w:p>
    <w:p w:rsidR="008D4F13" w:rsidRPr="004F4118" w:rsidRDefault="008D4F13" w:rsidP="008D4F13">
      <w:pPr>
        <w:pStyle w:val="SCCSsocParty"/>
        <w:jc w:val="both"/>
        <w:rPr>
          <w:rFonts w:eastAsiaTheme="minorEastAsia"/>
          <w:b/>
          <w:bCs/>
          <w:i w:val="0"/>
          <w:sz w:val="20"/>
          <w:szCs w:val="20"/>
          <w:lang w:val="fr-CA"/>
        </w:rPr>
      </w:pPr>
      <w:r w:rsidRPr="004F4118">
        <w:rPr>
          <w:rFonts w:eastAsiaTheme="minorEastAsia"/>
          <w:b/>
          <w:bCs/>
          <w:i w:val="0"/>
          <w:caps/>
          <w:sz w:val="20"/>
          <w:szCs w:val="20"/>
          <w:lang w:val="fr-CA"/>
        </w:rPr>
        <w:t>HER MAJESTY THE QUEEN</w:t>
      </w:r>
      <w:r w:rsidRPr="004F4118">
        <w:rPr>
          <w:rFonts w:eastAsiaTheme="minorEastAsia"/>
          <w:b/>
          <w:bCs/>
          <w:i w:val="0"/>
          <w:sz w:val="20"/>
          <w:szCs w:val="20"/>
          <w:lang w:val="fr-CA"/>
        </w:rPr>
        <w:t xml:space="preserve"> v. </w:t>
      </w:r>
      <w:r w:rsidRPr="004F4118">
        <w:rPr>
          <w:rFonts w:eastAsiaTheme="minorEastAsia"/>
          <w:b/>
          <w:bCs/>
          <w:i w:val="0"/>
          <w:caps/>
          <w:sz w:val="20"/>
          <w:szCs w:val="20"/>
          <w:lang w:val="fr-CA"/>
        </w:rPr>
        <w:t>MÉLANIE STE-MARIE, MICHEL STE-MARIE, DAX STE-MARIE AND RICHARD FELX</w:t>
      </w:r>
    </w:p>
    <w:p w:rsidR="008D4F13" w:rsidRPr="004F4118" w:rsidRDefault="008D4F13" w:rsidP="008D4F13">
      <w:pPr>
        <w:jc w:val="both"/>
        <w:rPr>
          <w:sz w:val="20"/>
          <w:szCs w:val="20"/>
          <w:lang w:val="fr-CA"/>
        </w:rPr>
      </w:pPr>
      <w:r w:rsidRPr="004F4118">
        <w:rPr>
          <w:sz w:val="20"/>
          <w:szCs w:val="20"/>
          <w:lang w:val="fr-CA"/>
        </w:rPr>
        <w:t xml:space="preserve">(Que.) (39381) </w:t>
      </w:r>
    </w:p>
    <w:p w:rsidR="008D4F13" w:rsidRPr="00DF0AA3" w:rsidRDefault="008D4F13" w:rsidP="008D4F13">
      <w:pPr>
        <w:rPr>
          <w:sz w:val="20"/>
          <w:szCs w:val="20"/>
          <w:lang w:val="fr-CA"/>
        </w:rPr>
      </w:pPr>
      <w:bookmarkStart w:id="5" w:name="_GoBack"/>
      <w:bookmarkEnd w:id="5"/>
    </w:p>
    <w:p w:rsidR="008D4F13" w:rsidRPr="004F4118" w:rsidRDefault="008D4F13" w:rsidP="008D4F13">
      <w:pPr>
        <w:rPr>
          <w:sz w:val="20"/>
          <w:szCs w:val="20"/>
        </w:rPr>
      </w:pPr>
      <w:r w:rsidRPr="004F4118">
        <w:rPr>
          <w:b/>
          <w:bCs/>
          <w:sz w:val="20"/>
          <w:szCs w:val="20"/>
          <w:u w:val="single"/>
        </w:rPr>
        <w:t>KASIRER J:</w:t>
      </w:r>
    </w:p>
    <w:p w:rsidR="008D4F13" w:rsidRPr="004F4118" w:rsidRDefault="008D4F13" w:rsidP="008D4F13">
      <w:pPr>
        <w:jc w:val="both"/>
        <w:rPr>
          <w:sz w:val="20"/>
          <w:szCs w:val="20"/>
        </w:rPr>
      </w:pPr>
    </w:p>
    <w:p w:rsidR="008D4F13" w:rsidRPr="004F4118" w:rsidRDefault="008D4F13" w:rsidP="008D4F13">
      <w:pPr>
        <w:jc w:val="both"/>
        <w:rPr>
          <w:bCs/>
          <w:sz w:val="20"/>
          <w:szCs w:val="20"/>
        </w:rPr>
      </w:pPr>
      <w:r w:rsidRPr="004F4118">
        <w:rPr>
          <w:b/>
          <w:bCs/>
          <w:sz w:val="20"/>
          <w:szCs w:val="20"/>
        </w:rPr>
        <w:t xml:space="preserve">UPON APPLICATION </w:t>
      </w:r>
      <w:r w:rsidRPr="004F4118">
        <w:rPr>
          <w:bCs/>
          <w:sz w:val="20"/>
          <w:szCs w:val="20"/>
        </w:rPr>
        <w:t xml:space="preserve">by the respondent, Michel Ste-Marie, </w:t>
      </w:r>
      <w:r w:rsidRPr="004F4118">
        <w:rPr>
          <w:sz w:val="20"/>
          <w:szCs w:val="20"/>
        </w:rPr>
        <w:t>for an order granting leave to serve and file a factum not exceeding ten (10) pages in length in reply to the factums of the interveners;</w:t>
      </w:r>
    </w:p>
    <w:p w:rsidR="008D4F13" w:rsidRPr="004F4118" w:rsidRDefault="008D4F13" w:rsidP="008D4F13">
      <w:pPr>
        <w:jc w:val="both"/>
        <w:rPr>
          <w:bCs/>
          <w:sz w:val="20"/>
          <w:szCs w:val="20"/>
        </w:rPr>
      </w:pPr>
    </w:p>
    <w:p w:rsidR="008D4F13" w:rsidRPr="004F4118" w:rsidRDefault="008D4F13" w:rsidP="008D4F13">
      <w:pPr>
        <w:jc w:val="both"/>
        <w:rPr>
          <w:sz w:val="20"/>
          <w:szCs w:val="20"/>
        </w:rPr>
      </w:pPr>
      <w:r w:rsidRPr="004F4118">
        <w:rPr>
          <w:b/>
          <w:bCs/>
          <w:sz w:val="20"/>
          <w:szCs w:val="20"/>
        </w:rPr>
        <w:t>AND THE MATERIAL FILED</w:t>
      </w:r>
      <w:r w:rsidRPr="004F4118">
        <w:rPr>
          <w:sz w:val="20"/>
          <w:szCs w:val="20"/>
        </w:rPr>
        <w:t xml:space="preserve"> having been read;</w:t>
      </w:r>
    </w:p>
    <w:p w:rsidR="008D4F13" w:rsidRPr="004F4118" w:rsidRDefault="008D4F13" w:rsidP="008D4F13">
      <w:pPr>
        <w:jc w:val="both"/>
        <w:rPr>
          <w:sz w:val="20"/>
          <w:szCs w:val="20"/>
        </w:rPr>
      </w:pPr>
    </w:p>
    <w:p w:rsidR="008D4F13" w:rsidRPr="004F4118" w:rsidRDefault="008D4F13" w:rsidP="008D4F13">
      <w:pPr>
        <w:jc w:val="both"/>
        <w:rPr>
          <w:b/>
          <w:bCs/>
          <w:sz w:val="20"/>
          <w:szCs w:val="20"/>
        </w:rPr>
      </w:pPr>
      <w:r w:rsidRPr="004F4118">
        <w:rPr>
          <w:b/>
          <w:bCs/>
          <w:sz w:val="20"/>
          <w:szCs w:val="20"/>
        </w:rPr>
        <w:t>IT IS HEREBY ORDERED THAT:</w:t>
      </w:r>
    </w:p>
    <w:p w:rsidR="008D4F13" w:rsidRPr="004F4118" w:rsidRDefault="008D4F13" w:rsidP="008D4F13">
      <w:pPr>
        <w:jc w:val="both"/>
        <w:rPr>
          <w:sz w:val="20"/>
          <w:szCs w:val="20"/>
        </w:rPr>
      </w:pPr>
    </w:p>
    <w:p w:rsidR="008D4F13" w:rsidRPr="004F4118" w:rsidRDefault="008D4F13" w:rsidP="008D4F13">
      <w:pPr>
        <w:jc w:val="both"/>
        <w:rPr>
          <w:sz w:val="20"/>
          <w:szCs w:val="20"/>
        </w:rPr>
      </w:pPr>
      <w:r w:rsidRPr="004F4118">
        <w:rPr>
          <w:sz w:val="20"/>
          <w:szCs w:val="20"/>
        </w:rPr>
        <w:t>The motion is granted in part.</w:t>
      </w:r>
    </w:p>
    <w:p w:rsidR="008D4F13" w:rsidRPr="004F4118" w:rsidRDefault="008D4F13" w:rsidP="008D4F13">
      <w:pPr>
        <w:jc w:val="both"/>
        <w:rPr>
          <w:sz w:val="20"/>
          <w:szCs w:val="20"/>
        </w:rPr>
      </w:pPr>
    </w:p>
    <w:p w:rsidR="00CA2DEA" w:rsidRPr="004F4118" w:rsidRDefault="008D4F13" w:rsidP="008D4F13">
      <w:pPr>
        <w:tabs>
          <w:tab w:val="left" w:pos="-1440"/>
          <w:tab w:val="left" w:pos="-720"/>
        </w:tabs>
        <w:jc w:val="both"/>
        <w:rPr>
          <w:sz w:val="20"/>
          <w:szCs w:val="20"/>
          <w:lang w:val="en-US"/>
        </w:rPr>
      </w:pPr>
      <w:r w:rsidRPr="004F4118">
        <w:rPr>
          <w:sz w:val="20"/>
          <w:szCs w:val="20"/>
        </w:rPr>
        <w:t>The respondent, Michel Ste-Marie, is permitted to serve and file a reply factum not exceeding five (5) pages in length on or before January 28, 2022.</w:t>
      </w:r>
    </w:p>
    <w:p w:rsidR="008D4F13" w:rsidRPr="004F4118" w:rsidRDefault="008D4F13" w:rsidP="0010587F">
      <w:pPr>
        <w:tabs>
          <w:tab w:val="left" w:pos="-1440"/>
          <w:tab w:val="left" w:pos="-720"/>
        </w:tabs>
        <w:jc w:val="both"/>
        <w:rPr>
          <w:sz w:val="20"/>
          <w:szCs w:val="20"/>
          <w:lang w:val="en-US"/>
        </w:rPr>
      </w:pPr>
    </w:p>
    <w:p w:rsidR="008D4F13" w:rsidRPr="004F4118" w:rsidRDefault="008D4F13" w:rsidP="0010587F">
      <w:pPr>
        <w:tabs>
          <w:tab w:val="left" w:pos="-1440"/>
          <w:tab w:val="left" w:pos="-720"/>
        </w:tabs>
        <w:jc w:val="both"/>
        <w:rPr>
          <w:sz w:val="20"/>
          <w:szCs w:val="20"/>
          <w:lang w:val="en-US"/>
        </w:rPr>
      </w:pPr>
    </w:p>
    <w:p w:rsidR="008D4F13" w:rsidRPr="004F4118" w:rsidRDefault="008D4F13" w:rsidP="008D4F13">
      <w:pPr>
        <w:jc w:val="both"/>
        <w:rPr>
          <w:sz w:val="20"/>
          <w:szCs w:val="20"/>
          <w:lang w:val="fr-CA"/>
        </w:rPr>
      </w:pPr>
      <w:r w:rsidRPr="004F4118">
        <w:rPr>
          <w:b/>
          <w:bCs/>
          <w:sz w:val="20"/>
          <w:szCs w:val="20"/>
          <w:lang w:val="fr-CA"/>
        </w:rPr>
        <w:t xml:space="preserve">À LA SUITE DE LA DEMANDE </w:t>
      </w:r>
      <w:r w:rsidRPr="004F4118">
        <w:rPr>
          <w:sz w:val="20"/>
          <w:szCs w:val="20"/>
          <w:lang w:val="fr-CA"/>
        </w:rPr>
        <w:t>présentée par l’intimé, Michel Ste-Marie, en vue d’obtenir la permission de signifier et de déposer un mémoire d’au plus dix (10) pages en réplique aux mémoires des intervenants;</w:t>
      </w:r>
    </w:p>
    <w:p w:rsidR="008D4F13" w:rsidRPr="004F4118" w:rsidRDefault="008D4F13" w:rsidP="008D4F13">
      <w:pPr>
        <w:ind w:left="-18"/>
        <w:rPr>
          <w:color w:val="000000" w:themeColor="text1"/>
          <w:sz w:val="20"/>
          <w:szCs w:val="20"/>
          <w:lang w:val="fr-CA"/>
        </w:rPr>
      </w:pPr>
    </w:p>
    <w:p w:rsidR="008D4F13" w:rsidRPr="004F4118" w:rsidRDefault="008D4F13" w:rsidP="008D4F13">
      <w:pPr>
        <w:ind w:left="-18"/>
        <w:jc w:val="both"/>
        <w:rPr>
          <w:sz w:val="20"/>
          <w:szCs w:val="20"/>
          <w:lang w:val="fr-CA"/>
        </w:rPr>
      </w:pPr>
      <w:r w:rsidRPr="004F4118">
        <w:rPr>
          <w:b/>
          <w:bCs/>
          <w:sz w:val="20"/>
          <w:szCs w:val="20"/>
          <w:lang w:val="fr-CA"/>
        </w:rPr>
        <w:t xml:space="preserve">ET APRÈS EXAMEN </w:t>
      </w:r>
      <w:r w:rsidRPr="004F4118">
        <w:rPr>
          <w:bCs/>
          <w:sz w:val="20"/>
          <w:szCs w:val="20"/>
          <w:lang w:val="fr-CA"/>
        </w:rPr>
        <w:t>des documents déposés</w:t>
      </w:r>
      <w:r w:rsidRPr="004F4118">
        <w:rPr>
          <w:sz w:val="20"/>
          <w:szCs w:val="20"/>
          <w:lang w:val="fr-CA"/>
        </w:rPr>
        <w:t>;</w:t>
      </w:r>
    </w:p>
    <w:p w:rsidR="008D4F13" w:rsidRPr="004F4118" w:rsidRDefault="008D4F13" w:rsidP="008D4F13">
      <w:pPr>
        <w:ind w:left="-18"/>
        <w:jc w:val="both"/>
        <w:rPr>
          <w:bCs/>
          <w:sz w:val="20"/>
          <w:szCs w:val="20"/>
          <w:lang w:val="fr-CA"/>
        </w:rPr>
      </w:pPr>
    </w:p>
    <w:p w:rsidR="008D4F13" w:rsidRPr="004F4118" w:rsidRDefault="008D4F13" w:rsidP="008D4F13">
      <w:pPr>
        <w:ind w:left="-18"/>
        <w:jc w:val="both"/>
        <w:rPr>
          <w:b/>
          <w:bCs/>
          <w:sz w:val="20"/>
          <w:szCs w:val="20"/>
          <w:lang w:val="fr-CA"/>
        </w:rPr>
      </w:pPr>
      <w:r w:rsidRPr="004F4118">
        <w:rPr>
          <w:b/>
          <w:bCs/>
          <w:sz w:val="20"/>
          <w:szCs w:val="20"/>
          <w:lang w:val="fr-CA"/>
        </w:rPr>
        <w:t>IL EST ORDONNÉ CE QUI SUIT :</w:t>
      </w:r>
    </w:p>
    <w:p w:rsidR="008D4F13" w:rsidRPr="004F4118" w:rsidRDefault="008D4F13" w:rsidP="008D4F13">
      <w:pPr>
        <w:tabs>
          <w:tab w:val="left" w:pos="161"/>
        </w:tabs>
        <w:ind w:left="-18" w:firstLine="18"/>
        <w:jc w:val="both"/>
        <w:rPr>
          <w:sz w:val="20"/>
          <w:szCs w:val="20"/>
          <w:lang w:val="fr-CA"/>
        </w:rPr>
      </w:pPr>
    </w:p>
    <w:p w:rsidR="008D4F13" w:rsidRPr="004F4118" w:rsidRDefault="008D4F13" w:rsidP="008D4F13">
      <w:pPr>
        <w:tabs>
          <w:tab w:val="left" w:pos="-1440"/>
        </w:tabs>
        <w:ind w:left="22" w:hanging="22"/>
        <w:jc w:val="both"/>
        <w:rPr>
          <w:sz w:val="20"/>
          <w:szCs w:val="20"/>
          <w:lang w:val="fr-CA"/>
        </w:rPr>
      </w:pPr>
      <w:r w:rsidRPr="004F4118">
        <w:rPr>
          <w:sz w:val="20"/>
          <w:szCs w:val="20"/>
          <w:lang w:val="fr-CA"/>
        </w:rPr>
        <w:t>La requête est accueillie en partie.</w:t>
      </w:r>
    </w:p>
    <w:p w:rsidR="008D4F13" w:rsidRPr="004F4118" w:rsidRDefault="008D4F13" w:rsidP="008D4F13">
      <w:pPr>
        <w:tabs>
          <w:tab w:val="left" w:pos="-1440"/>
        </w:tabs>
        <w:ind w:left="22" w:hanging="22"/>
        <w:jc w:val="both"/>
        <w:rPr>
          <w:sz w:val="20"/>
          <w:szCs w:val="20"/>
          <w:lang w:val="fr-CA"/>
        </w:rPr>
      </w:pPr>
    </w:p>
    <w:p w:rsidR="008D4F13" w:rsidRPr="004F4118" w:rsidRDefault="008D4F13" w:rsidP="008D4F13">
      <w:pPr>
        <w:tabs>
          <w:tab w:val="left" w:pos="-1440"/>
          <w:tab w:val="left" w:pos="-720"/>
        </w:tabs>
        <w:jc w:val="both"/>
        <w:rPr>
          <w:sz w:val="20"/>
          <w:szCs w:val="20"/>
          <w:lang w:val="fr-CA"/>
        </w:rPr>
      </w:pPr>
      <w:r w:rsidRPr="004F4118">
        <w:rPr>
          <w:sz w:val="20"/>
          <w:szCs w:val="20"/>
          <w:lang w:val="fr-CA"/>
        </w:rPr>
        <w:t>L’intimé, Michel Ste-Marie, est autorisé à signifier et déposer un mémoire en réplique d’au plus cinq (5) pages au plus tard le 28 janvier 2022.</w:t>
      </w:r>
    </w:p>
    <w:p w:rsidR="008D4F13" w:rsidRPr="004F4118" w:rsidRDefault="008D4F13" w:rsidP="0010587F">
      <w:pPr>
        <w:tabs>
          <w:tab w:val="left" w:pos="-1440"/>
          <w:tab w:val="left" w:pos="-720"/>
        </w:tabs>
        <w:jc w:val="both"/>
        <w:rPr>
          <w:sz w:val="20"/>
          <w:szCs w:val="20"/>
          <w:lang w:val="fr-CA"/>
        </w:rPr>
      </w:pPr>
    </w:p>
    <w:p w:rsidR="008D4F13" w:rsidRPr="004F4118" w:rsidRDefault="00DF0AA3"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48" style="width:2in;height:1pt" o:hrpct="0" o:hralign="center" o:hrstd="t" o:hrnoshade="t" o:hr="t" fillcolor="black [3213]" stroked="f"/>
        </w:pict>
      </w:r>
    </w:p>
    <w:p w:rsidR="008D4F13" w:rsidRPr="004F4118" w:rsidRDefault="008D4F13" w:rsidP="0010587F">
      <w:pPr>
        <w:tabs>
          <w:tab w:val="left" w:pos="-1440"/>
          <w:tab w:val="left" w:pos="-720"/>
        </w:tabs>
        <w:jc w:val="both"/>
        <w:rPr>
          <w:sz w:val="20"/>
          <w:szCs w:val="20"/>
          <w:lang w:val="fr-CA"/>
        </w:rPr>
      </w:pPr>
    </w:p>
    <w:p w:rsidR="008D4F13" w:rsidRPr="004F4118" w:rsidRDefault="008D4F13" w:rsidP="0010587F">
      <w:pPr>
        <w:tabs>
          <w:tab w:val="left" w:pos="-1440"/>
          <w:tab w:val="left" w:pos="-720"/>
        </w:tabs>
        <w:jc w:val="both"/>
        <w:rPr>
          <w:sz w:val="20"/>
          <w:szCs w:val="20"/>
          <w:lang w:val="fr-CA"/>
        </w:rPr>
      </w:pPr>
    </w:p>
    <w:p w:rsidR="00890FEB" w:rsidRPr="004F4118" w:rsidRDefault="00890FEB" w:rsidP="00831CA9">
      <w:pPr>
        <w:jc w:val="both"/>
        <w:rPr>
          <w:sz w:val="20"/>
          <w:szCs w:val="20"/>
          <w:lang w:val="fr-CA"/>
        </w:rPr>
      </w:pPr>
    </w:p>
    <w:p w:rsidR="00831CA9" w:rsidRPr="004F4118" w:rsidRDefault="00831CA9" w:rsidP="00831CA9">
      <w:pPr>
        <w:jc w:val="both"/>
        <w:rPr>
          <w:sz w:val="20"/>
          <w:szCs w:val="20"/>
          <w:lang w:val="fr-CA"/>
        </w:rPr>
        <w:sectPr w:rsidR="00831CA9" w:rsidRPr="004F4118" w:rsidSect="00831CA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p w:rsidR="00567602" w:rsidRPr="004F4118" w:rsidRDefault="001434B9" w:rsidP="001434B9">
      <w:pPr>
        <w:pStyle w:val="Header1StyleE"/>
        <w:pBdr>
          <w:bottom w:val="single" w:sz="12" w:space="0" w:color="auto"/>
        </w:pBdr>
        <w:rPr>
          <w:lang w:val="fr-CA"/>
        </w:rPr>
      </w:pPr>
      <w:bookmarkStart w:id="6" w:name="_Toc94247970"/>
      <w:r w:rsidRPr="004F4118">
        <w:rPr>
          <w:lang w:val="fr-CA"/>
        </w:rPr>
        <w:lastRenderedPageBreak/>
        <w:t xml:space="preserve">Agenda and case summaries for </w:t>
      </w:r>
      <w:r w:rsidR="007E6E2A" w:rsidRPr="004F4118">
        <w:rPr>
          <w:lang w:val="fr-CA"/>
        </w:rPr>
        <w:t>Febru</w:t>
      </w:r>
      <w:r w:rsidR="00172473" w:rsidRPr="004F4118">
        <w:rPr>
          <w:lang w:val="fr-CA"/>
        </w:rPr>
        <w:t>ary</w:t>
      </w:r>
      <w:r w:rsidR="00567602" w:rsidRPr="004F4118">
        <w:rPr>
          <w:lang w:val="fr-CA"/>
        </w:rPr>
        <w:t xml:space="preserve"> </w:t>
      </w:r>
      <w:r w:rsidR="0034657E" w:rsidRPr="004F4118">
        <w:rPr>
          <w:lang w:val="fr-CA"/>
        </w:rPr>
        <w:t>20</w:t>
      </w:r>
      <w:r w:rsidR="00172473" w:rsidRPr="004F4118">
        <w:rPr>
          <w:lang w:val="fr-CA"/>
        </w:rPr>
        <w:t>2</w:t>
      </w:r>
      <w:r w:rsidR="00E8642A" w:rsidRPr="004F4118">
        <w:rPr>
          <w:lang w:val="fr-CA"/>
        </w:rPr>
        <w:t>2</w:t>
      </w:r>
      <w:r w:rsidR="00271E1E" w:rsidRPr="004F4118">
        <w:rPr>
          <w:lang w:val="fr-CA"/>
        </w:rPr>
        <w:t xml:space="preserve"> / </w:t>
      </w:r>
      <w:r w:rsidR="00567602" w:rsidRPr="004F4118">
        <w:rPr>
          <w:lang w:val="fr-CA"/>
        </w:rPr>
        <w:br/>
      </w:r>
      <w:r w:rsidRPr="004F4118">
        <w:rPr>
          <w:lang w:val="fr-CA"/>
        </w:rPr>
        <w:t>Calendrier et sommaires des causes d</w:t>
      </w:r>
      <w:r w:rsidR="00172473" w:rsidRPr="004F4118">
        <w:rPr>
          <w:lang w:val="fr-CA"/>
        </w:rPr>
        <w:t xml:space="preserve">e </w:t>
      </w:r>
      <w:r w:rsidR="007E6E2A" w:rsidRPr="004F4118">
        <w:rPr>
          <w:lang w:val="fr-CA"/>
        </w:rPr>
        <w:t>fé</w:t>
      </w:r>
      <w:r w:rsidR="00172473" w:rsidRPr="004F4118">
        <w:rPr>
          <w:lang w:val="fr-CA"/>
        </w:rPr>
        <w:t>v</w:t>
      </w:r>
      <w:r w:rsidR="007E6E2A" w:rsidRPr="004F4118">
        <w:rPr>
          <w:lang w:val="fr-CA"/>
        </w:rPr>
        <w:t>r</w:t>
      </w:r>
      <w:r w:rsidR="00172473" w:rsidRPr="004F4118">
        <w:rPr>
          <w:lang w:val="fr-CA"/>
        </w:rPr>
        <w:t xml:space="preserve">ier </w:t>
      </w:r>
      <w:r w:rsidR="0034657E" w:rsidRPr="004F4118">
        <w:rPr>
          <w:lang w:val="fr-CA"/>
        </w:rPr>
        <w:t>20</w:t>
      </w:r>
      <w:r w:rsidR="00172473" w:rsidRPr="004F4118">
        <w:rPr>
          <w:lang w:val="fr-CA"/>
        </w:rPr>
        <w:t>2</w:t>
      </w:r>
      <w:r w:rsidR="00E8642A" w:rsidRPr="004F4118">
        <w:rPr>
          <w:lang w:val="fr-CA"/>
        </w:rPr>
        <w:t>2</w:t>
      </w:r>
      <w:bookmarkEnd w:id="6"/>
    </w:p>
    <w:p w:rsidR="00567602" w:rsidRPr="004F4118" w:rsidRDefault="00567602" w:rsidP="004B66B4">
      <w:pPr>
        <w:rPr>
          <w:sz w:val="20"/>
          <w:szCs w:val="20"/>
          <w:lang w:val="fr-CA"/>
        </w:rPr>
      </w:pPr>
    </w:p>
    <w:p w:rsidR="00102926" w:rsidRPr="004F4118" w:rsidRDefault="009B36BA" w:rsidP="00782AE4">
      <w:pPr>
        <w:jc w:val="both"/>
        <w:rPr>
          <w:b/>
          <w:sz w:val="20"/>
          <w:szCs w:val="20"/>
          <w:lang w:val="fr-CA"/>
        </w:rPr>
      </w:pPr>
      <w:r w:rsidRPr="004F4118">
        <w:rPr>
          <w:b/>
          <w:sz w:val="20"/>
          <w:szCs w:val="20"/>
          <w:lang w:val="fr-CA"/>
        </w:rPr>
        <w:t>JANUARY</w:t>
      </w:r>
      <w:r w:rsidR="00102792" w:rsidRPr="004F4118">
        <w:rPr>
          <w:b/>
          <w:sz w:val="20"/>
          <w:szCs w:val="20"/>
          <w:lang w:val="fr-CA"/>
        </w:rPr>
        <w:t xml:space="preserve"> </w:t>
      </w:r>
      <w:r w:rsidR="007E6E2A" w:rsidRPr="004F4118">
        <w:rPr>
          <w:b/>
          <w:sz w:val="20"/>
          <w:szCs w:val="20"/>
          <w:lang w:val="fr-CA"/>
        </w:rPr>
        <w:t>28</w:t>
      </w:r>
      <w:r w:rsidR="00102792" w:rsidRPr="004F4118">
        <w:rPr>
          <w:b/>
          <w:sz w:val="20"/>
          <w:szCs w:val="20"/>
          <w:lang w:val="fr-CA"/>
        </w:rPr>
        <w:t xml:space="preserve"> </w:t>
      </w:r>
      <w:r w:rsidR="0034657E" w:rsidRPr="004F4118">
        <w:rPr>
          <w:b/>
          <w:sz w:val="20"/>
          <w:szCs w:val="20"/>
          <w:lang w:val="fr-CA"/>
        </w:rPr>
        <w:t>20</w:t>
      </w:r>
      <w:r w:rsidR="00172473" w:rsidRPr="004F4118">
        <w:rPr>
          <w:b/>
          <w:sz w:val="20"/>
          <w:szCs w:val="20"/>
          <w:lang w:val="fr-CA"/>
        </w:rPr>
        <w:t>2</w:t>
      </w:r>
      <w:r w:rsidR="00E8642A" w:rsidRPr="004F4118">
        <w:rPr>
          <w:b/>
          <w:sz w:val="20"/>
          <w:szCs w:val="20"/>
          <w:lang w:val="fr-CA"/>
        </w:rPr>
        <w:t>2</w:t>
      </w:r>
      <w:r w:rsidR="00102792" w:rsidRPr="004F4118">
        <w:rPr>
          <w:b/>
          <w:sz w:val="20"/>
          <w:szCs w:val="20"/>
          <w:lang w:val="fr-CA"/>
        </w:rPr>
        <w:t xml:space="preserve"> / LE </w:t>
      </w:r>
      <w:r w:rsidR="007E6E2A" w:rsidRPr="004F4118">
        <w:rPr>
          <w:b/>
          <w:sz w:val="20"/>
          <w:szCs w:val="20"/>
          <w:lang w:val="fr-CA"/>
        </w:rPr>
        <w:t>28</w:t>
      </w:r>
      <w:r w:rsidR="00873743" w:rsidRPr="004F4118">
        <w:rPr>
          <w:b/>
          <w:sz w:val="20"/>
          <w:szCs w:val="20"/>
          <w:lang w:val="fr-CA"/>
        </w:rPr>
        <w:t>JANVIER</w:t>
      </w:r>
      <w:r w:rsidR="00102792" w:rsidRPr="004F4118">
        <w:rPr>
          <w:b/>
          <w:sz w:val="20"/>
          <w:szCs w:val="20"/>
          <w:lang w:val="fr-CA"/>
        </w:rPr>
        <w:t xml:space="preserve"> </w:t>
      </w:r>
      <w:r w:rsidR="0034657E" w:rsidRPr="004F4118">
        <w:rPr>
          <w:b/>
          <w:sz w:val="20"/>
          <w:szCs w:val="20"/>
          <w:lang w:val="fr-CA"/>
        </w:rPr>
        <w:t>20</w:t>
      </w:r>
      <w:r w:rsidR="00172473" w:rsidRPr="004F4118">
        <w:rPr>
          <w:b/>
          <w:sz w:val="20"/>
          <w:szCs w:val="20"/>
          <w:lang w:val="fr-CA"/>
        </w:rPr>
        <w:t>2</w:t>
      </w:r>
      <w:r w:rsidR="00E8642A" w:rsidRPr="004F4118">
        <w:rPr>
          <w:b/>
          <w:sz w:val="20"/>
          <w:szCs w:val="20"/>
          <w:lang w:val="fr-CA"/>
        </w:rPr>
        <w:t>2</w:t>
      </w:r>
    </w:p>
    <w:p w:rsidR="00102792" w:rsidRPr="004F4118"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4F4118" w:rsidTr="00102792">
        <w:tc>
          <w:tcPr>
            <w:tcW w:w="2398" w:type="dxa"/>
            <w:tcMar>
              <w:top w:w="58" w:type="dxa"/>
              <w:left w:w="58" w:type="dxa"/>
              <w:bottom w:w="58" w:type="dxa"/>
              <w:right w:w="58" w:type="dxa"/>
            </w:tcMar>
            <w:hideMark/>
          </w:tcPr>
          <w:p w:rsidR="00102792" w:rsidRPr="004F4118" w:rsidRDefault="00102792">
            <w:pPr>
              <w:rPr>
                <w:b/>
                <w:color w:val="000000"/>
                <w:lang w:val="en-US"/>
              </w:rPr>
            </w:pPr>
            <w:r w:rsidRPr="004F4118">
              <w:rPr>
                <w:b/>
                <w:color w:val="000000"/>
                <w:sz w:val="20"/>
                <w:szCs w:val="20"/>
              </w:rPr>
              <w:t>DATE OF HEARING /</w:t>
            </w:r>
          </w:p>
          <w:p w:rsidR="00102792" w:rsidRPr="004F4118" w:rsidRDefault="00102792">
            <w:pPr>
              <w:rPr>
                <w:color w:val="000000"/>
              </w:rPr>
            </w:pPr>
            <w:r w:rsidRPr="004F4118">
              <w:rPr>
                <w:b/>
                <w:color w:val="000000"/>
                <w:sz w:val="20"/>
                <w:szCs w:val="20"/>
              </w:rPr>
              <w:t>DATE D’AUDITION</w:t>
            </w:r>
          </w:p>
        </w:tc>
        <w:tc>
          <w:tcPr>
            <w:tcW w:w="7178" w:type="dxa"/>
            <w:tcMar>
              <w:top w:w="58" w:type="dxa"/>
              <w:left w:w="58" w:type="dxa"/>
              <w:bottom w:w="58" w:type="dxa"/>
              <w:right w:w="58" w:type="dxa"/>
            </w:tcMar>
            <w:hideMark/>
          </w:tcPr>
          <w:p w:rsidR="00102792" w:rsidRPr="004F4118" w:rsidRDefault="00102792">
            <w:pPr>
              <w:rPr>
                <w:b/>
                <w:color w:val="000000"/>
                <w:lang w:val="fr-CA"/>
              </w:rPr>
            </w:pPr>
            <w:r w:rsidRPr="004F4118">
              <w:rPr>
                <w:b/>
                <w:color w:val="000000"/>
                <w:sz w:val="20"/>
                <w:szCs w:val="20"/>
                <w:lang w:val="fr-CA"/>
              </w:rPr>
              <w:t>NAME AND CASE NUMBER /</w:t>
            </w:r>
          </w:p>
          <w:p w:rsidR="00102792" w:rsidRPr="004F4118" w:rsidRDefault="00102792">
            <w:pPr>
              <w:rPr>
                <w:color w:val="000000"/>
                <w:lang w:val="fr-CA"/>
              </w:rPr>
            </w:pPr>
            <w:r w:rsidRPr="004F4118">
              <w:rPr>
                <w:b/>
                <w:color w:val="000000"/>
                <w:sz w:val="20"/>
                <w:szCs w:val="20"/>
                <w:lang w:val="fr-CA"/>
              </w:rPr>
              <w:t>NOM DE LA CAUSE ET NUMÉRO</w:t>
            </w:r>
          </w:p>
        </w:tc>
      </w:tr>
      <w:tr w:rsidR="00102792" w:rsidRPr="004F4118" w:rsidTr="00102792">
        <w:tc>
          <w:tcPr>
            <w:tcW w:w="2398" w:type="dxa"/>
            <w:tcMar>
              <w:top w:w="58" w:type="dxa"/>
              <w:left w:w="58" w:type="dxa"/>
              <w:bottom w:w="58" w:type="dxa"/>
              <w:right w:w="58" w:type="dxa"/>
            </w:tcMar>
            <w:hideMark/>
          </w:tcPr>
          <w:p w:rsidR="00102792" w:rsidRPr="004F4118" w:rsidRDefault="00102792" w:rsidP="007E6E2A">
            <w:pPr>
              <w:rPr>
                <w:color w:val="000000"/>
              </w:rPr>
            </w:pPr>
            <w:r w:rsidRPr="004F4118">
              <w:rPr>
                <w:color w:val="000000"/>
                <w:sz w:val="20"/>
                <w:szCs w:val="20"/>
              </w:rPr>
              <w:t>20</w:t>
            </w:r>
            <w:r w:rsidR="00172473" w:rsidRPr="004F4118">
              <w:rPr>
                <w:color w:val="000000"/>
                <w:sz w:val="20"/>
                <w:szCs w:val="20"/>
              </w:rPr>
              <w:t>2</w:t>
            </w:r>
            <w:r w:rsidR="00E8642A" w:rsidRPr="004F4118">
              <w:rPr>
                <w:color w:val="000000"/>
                <w:sz w:val="20"/>
                <w:szCs w:val="20"/>
              </w:rPr>
              <w:t>2</w:t>
            </w:r>
            <w:r w:rsidRPr="004F4118">
              <w:rPr>
                <w:color w:val="000000"/>
                <w:sz w:val="20"/>
                <w:szCs w:val="20"/>
              </w:rPr>
              <w:t>-</w:t>
            </w:r>
            <w:r w:rsidR="00172473" w:rsidRPr="004F4118">
              <w:rPr>
                <w:color w:val="000000"/>
                <w:sz w:val="20"/>
                <w:szCs w:val="20"/>
              </w:rPr>
              <w:t>0</w:t>
            </w:r>
            <w:r w:rsidR="007E6E2A" w:rsidRPr="004F4118">
              <w:rPr>
                <w:color w:val="000000"/>
                <w:sz w:val="20"/>
                <w:szCs w:val="20"/>
              </w:rPr>
              <w:t>2</w:t>
            </w:r>
            <w:r w:rsidRPr="004F4118">
              <w:rPr>
                <w:color w:val="000000"/>
                <w:sz w:val="20"/>
                <w:szCs w:val="20"/>
              </w:rPr>
              <w:t>-</w:t>
            </w:r>
            <w:r w:rsidR="00A878C5" w:rsidRPr="004F4118">
              <w:rPr>
                <w:color w:val="000000"/>
                <w:sz w:val="20"/>
                <w:szCs w:val="20"/>
              </w:rPr>
              <w:t>08</w:t>
            </w:r>
          </w:p>
        </w:tc>
        <w:tc>
          <w:tcPr>
            <w:tcW w:w="7178" w:type="dxa"/>
            <w:tcMar>
              <w:top w:w="58" w:type="dxa"/>
              <w:left w:w="58" w:type="dxa"/>
              <w:bottom w:w="58" w:type="dxa"/>
              <w:right w:w="58" w:type="dxa"/>
            </w:tcMar>
            <w:hideMark/>
          </w:tcPr>
          <w:p w:rsidR="00102792" w:rsidRPr="004F4118" w:rsidRDefault="00A878C5">
            <w:pPr>
              <w:rPr>
                <w:sz w:val="20"/>
              </w:rPr>
            </w:pPr>
            <w:r w:rsidRPr="004F4118">
              <w:rPr>
                <w:i/>
                <w:iCs/>
                <w:sz w:val="20"/>
              </w:rPr>
              <w:t>Eugene Ndhlovu v. Her Majesty the Queen</w:t>
            </w:r>
            <w:r w:rsidRPr="004F4118">
              <w:rPr>
                <w:iCs/>
                <w:sz w:val="20"/>
              </w:rPr>
              <w:t xml:space="preserve"> </w:t>
            </w:r>
            <w:r w:rsidRPr="004F4118">
              <w:rPr>
                <w:sz w:val="20"/>
              </w:rPr>
              <w:t>(Alta.) (Criminal) (By Leave) (</w:t>
            </w:r>
            <w:hyperlink r:id="rId42" w:history="1">
              <w:r w:rsidRPr="004F4118">
                <w:rPr>
                  <w:rStyle w:val="Hyperlink"/>
                  <w:sz w:val="20"/>
                </w:rPr>
                <w:t>39360</w:t>
              </w:r>
            </w:hyperlink>
            <w:r w:rsidRPr="004F4118">
              <w:rPr>
                <w:sz w:val="20"/>
              </w:rPr>
              <w:t>)</w:t>
            </w:r>
          </w:p>
          <w:p w:rsidR="004D1AAA" w:rsidRPr="004F4118" w:rsidRDefault="004D1AAA">
            <w:pPr>
              <w:rPr>
                <w:color w:val="000000"/>
              </w:rPr>
            </w:pPr>
            <w:r w:rsidRPr="004F4118">
              <w:rPr>
                <w:color w:val="333333"/>
                <w:sz w:val="20"/>
              </w:rPr>
              <w:t>(Later start time: 10:30 a.m. / Horaire modifié: audience débutant à 10 h 30)</w:t>
            </w:r>
          </w:p>
        </w:tc>
      </w:tr>
      <w:tr w:rsidR="00102792" w:rsidRPr="004F4118" w:rsidTr="00102792">
        <w:tc>
          <w:tcPr>
            <w:tcW w:w="2398" w:type="dxa"/>
            <w:tcMar>
              <w:top w:w="58" w:type="dxa"/>
              <w:left w:w="58" w:type="dxa"/>
              <w:bottom w:w="58" w:type="dxa"/>
              <w:right w:w="58" w:type="dxa"/>
            </w:tcMar>
            <w:hideMark/>
          </w:tcPr>
          <w:p w:rsidR="00102792" w:rsidRPr="004F4118" w:rsidRDefault="00102792" w:rsidP="007E6E2A">
            <w:pPr>
              <w:rPr>
                <w:color w:val="000000"/>
              </w:rPr>
            </w:pPr>
            <w:r w:rsidRPr="004F4118">
              <w:rPr>
                <w:color w:val="000000"/>
                <w:sz w:val="20"/>
                <w:szCs w:val="20"/>
              </w:rPr>
              <w:t>20</w:t>
            </w:r>
            <w:r w:rsidR="00172473" w:rsidRPr="004F4118">
              <w:rPr>
                <w:color w:val="000000"/>
                <w:sz w:val="20"/>
                <w:szCs w:val="20"/>
              </w:rPr>
              <w:t>2</w:t>
            </w:r>
            <w:r w:rsidR="00E8642A" w:rsidRPr="004F4118">
              <w:rPr>
                <w:color w:val="000000"/>
                <w:sz w:val="20"/>
                <w:szCs w:val="20"/>
              </w:rPr>
              <w:t>2</w:t>
            </w:r>
            <w:r w:rsidRPr="004F4118">
              <w:rPr>
                <w:color w:val="000000"/>
                <w:sz w:val="20"/>
                <w:szCs w:val="20"/>
              </w:rPr>
              <w:t>-</w:t>
            </w:r>
            <w:r w:rsidR="00172473" w:rsidRPr="004F4118">
              <w:rPr>
                <w:color w:val="000000"/>
                <w:sz w:val="20"/>
                <w:szCs w:val="20"/>
              </w:rPr>
              <w:t>0</w:t>
            </w:r>
            <w:r w:rsidR="007E6E2A" w:rsidRPr="004F4118">
              <w:rPr>
                <w:color w:val="000000"/>
                <w:sz w:val="20"/>
                <w:szCs w:val="20"/>
              </w:rPr>
              <w:t>2</w:t>
            </w:r>
            <w:r w:rsidRPr="004F4118">
              <w:rPr>
                <w:color w:val="000000"/>
                <w:sz w:val="20"/>
                <w:szCs w:val="20"/>
              </w:rPr>
              <w:t>-</w:t>
            </w:r>
            <w:r w:rsidR="00A878C5" w:rsidRPr="004F4118">
              <w:rPr>
                <w:color w:val="000000"/>
                <w:sz w:val="20"/>
                <w:szCs w:val="20"/>
              </w:rPr>
              <w:t>09</w:t>
            </w:r>
          </w:p>
        </w:tc>
        <w:tc>
          <w:tcPr>
            <w:tcW w:w="7178" w:type="dxa"/>
            <w:tcMar>
              <w:top w:w="58" w:type="dxa"/>
              <w:left w:w="58" w:type="dxa"/>
              <w:bottom w:w="58" w:type="dxa"/>
              <w:right w:w="58" w:type="dxa"/>
            </w:tcMar>
            <w:hideMark/>
          </w:tcPr>
          <w:p w:rsidR="00102792" w:rsidRPr="004F4118" w:rsidRDefault="00A878C5">
            <w:pPr>
              <w:rPr>
                <w:color w:val="000000"/>
                <w:lang w:val="fr-CA"/>
              </w:rPr>
            </w:pPr>
            <w:r w:rsidRPr="004F4118">
              <w:rPr>
                <w:i/>
                <w:iCs/>
                <w:sz w:val="20"/>
                <w:lang w:val="fr-CA"/>
              </w:rPr>
              <w:t xml:space="preserve">Sa Majesté la Reine c. Marc-André Boulanger </w:t>
            </w:r>
            <w:r w:rsidRPr="004F4118">
              <w:rPr>
                <w:sz w:val="20"/>
                <w:lang w:val="fr-CA"/>
              </w:rPr>
              <w:t>(Qc) (Criminelle) (De plein droit) (</w:t>
            </w:r>
            <w:hyperlink r:id="rId43" w:history="1">
              <w:r w:rsidRPr="004F4118">
                <w:rPr>
                  <w:rStyle w:val="Hyperlink"/>
                  <w:sz w:val="20"/>
                  <w:lang w:val="fr-CA"/>
                </w:rPr>
                <w:t>39710</w:t>
              </w:r>
            </w:hyperlink>
            <w:r w:rsidRPr="004F4118">
              <w:rPr>
                <w:sz w:val="20"/>
                <w:lang w:val="fr-CA"/>
              </w:rPr>
              <w:t>)</w:t>
            </w:r>
          </w:p>
        </w:tc>
      </w:tr>
      <w:tr w:rsidR="00102792" w:rsidRPr="004F4118" w:rsidTr="00102792">
        <w:tc>
          <w:tcPr>
            <w:tcW w:w="2398" w:type="dxa"/>
            <w:tcMar>
              <w:top w:w="58" w:type="dxa"/>
              <w:left w:w="58" w:type="dxa"/>
              <w:bottom w:w="58" w:type="dxa"/>
              <w:right w:w="58" w:type="dxa"/>
            </w:tcMar>
            <w:hideMark/>
          </w:tcPr>
          <w:p w:rsidR="00102792" w:rsidRPr="004F4118" w:rsidRDefault="00102792" w:rsidP="007E6E2A">
            <w:pPr>
              <w:rPr>
                <w:color w:val="000000"/>
              </w:rPr>
            </w:pPr>
            <w:r w:rsidRPr="004F4118">
              <w:rPr>
                <w:color w:val="000000"/>
                <w:sz w:val="20"/>
                <w:szCs w:val="20"/>
              </w:rPr>
              <w:t>20</w:t>
            </w:r>
            <w:r w:rsidR="00172473" w:rsidRPr="004F4118">
              <w:rPr>
                <w:color w:val="000000"/>
                <w:sz w:val="20"/>
                <w:szCs w:val="20"/>
              </w:rPr>
              <w:t>2</w:t>
            </w:r>
            <w:r w:rsidR="00E8642A" w:rsidRPr="004F4118">
              <w:rPr>
                <w:color w:val="000000"/>
                <w:sz w:val="20"/>
                <w:szCs w:val="20"/>
              </w:rPr>
              <w:t>2</w:t>
            </w:r>
            <w:r w:rsidRPr="004F4118">
              <w:rPr>
                <w:color w:val="000000"/>
                <w:sz w:val="20"/>
                <w:szCs w:val="20"/>
              </w:rPr>
              <w:t>-</w:t>
            </w:r>
            <w:r w:rsidR="00172473" w:rsidRPr="004F4118">
              <w:rPr>
                <w:color w:val="000000"/>
                <w:sz w:val="20"/>
                <w:szCs w:val="20"/>
              </w:rPr>
              <w:t>0</w:t>
            </w:r>
            <w:r w:rsidR="007E6E2A" w:rsidRPr="004F4118">
              <w:rPr>
                <w:color w:val="000000"/>
                <w:sz w:val="20"/>
                <w:szCs w:val="20"/>
              </w:rPr>
              <w:t>2</w:t>
            </w:r>
            <w:r w:rsidRPr="004F4118">
              <w:rPr>
                <w:color w:val="000000"/>
                <w:sz w:val="20"/>
                <w:szCs w:val="20"/>
              </w:rPr>
              <w:t>-</w:t>
            </w:r>
            <w:r w:rsidR="00873743" w:rsidRPr="004F4118">
              <w:rPr>
                <w:color w:val="000000"/>
                <w:sz w:val="20"/>
                <w:szCs w:val="20"/>
              </w:rPr>
              <w:t>1</w:t>
            </w:r>
            <w:r w:rsidR="00A878C5" w:rsidRPr="004F4118">
              <w:rPr>
                <w:color w:val="000000"/>
                <w:sz w:val="20"/>
                <w:szCs w:val="20"/>
              </w:rPr>
              <w:t>0</w:t>
            </w:r>
          </w:p>
        </w:tc>
        <w:tc>
          <w:tcPr>
            <w:tcW w:w="7178" w:type="dxa"/>
            <w:tcMar>
              <w:top w:w="58" w:type="dxa"/>
              <w:left w:w="58" w:type="dxa"/>
              <w:bottom w:w="58" w:type="dxa"/>
              <w:right w:w="58" w:type="dxa"/>
            </w:tcMar>
            <w:hideMark/>
          </w:tcPr>
          <w:p w:rsidR="00102792" w:rsidRPr="004F4118" w:rsidRDefault="00A878C5">
            <w:pPr>
              <w:rPr>
                <w:color w:val="000000"/>
              </w:rPr>
            </w:pPr>
            <w:r w:rsidRPr="004F4118">
              <w:rPr>
                <w:i/>
                <w:iCs/>
                <w:sz w:val="20"/>
                <w:lang w:val="fr-CA"/>
              </w:rPr>
              <w:t xml:space="preserve">Sa Majesté la Reine c. Mélanie Ste-Marie, et al. </w:t>
            </w:r>
            <w:r w:rsidRPr="004F4118">
              <w:rPr>
                <w:sz w:val="20"/>
              </w:rPr>
              <w:t>(Qc) (Criminelle) (Autorisation) (</w:t>
            </w:r>
            <w:hyperlink r:id="rId44" w:history="1">
              <w:r w:rsidRPr="004F4118">
                <w:rPr>
                  <w:rStyle w:val="Hyperlink"/>
                  <w:sz w:val="20"/>
                </w:rPr>
                <w:t>39381</w:t>
              </w:r>
            </w:hyperlink>
            <w:r w:rsidRPr="004F4118">
              <w:rPr>
                <w:sz w:val="20"/>
              </w:rPr>
              <w:t>)</w:t>
            </w:r>
          </w:p>
        </w:tc>
      </w:tr>
      <w:tr w:rsidR="00102792" w:rsidRPr="004F4118" w:rsidTr="00102792">
        <w:trPr>
          <w:trHeight w:val="302"/>
        </w:trPr>
        <w:tc>
          <w:tcPr>
            <w:tcW w:w="2398" w:type="dxa"/>
            <w:tcMar>
              <w:top w:w="58" w:type="dxa"/>
              <w:left w:w="58" w:type="dxa"/>
              <w:bottom w:w="58" w:type="dxa"/>
              <w:right w:w="58" w:type="dxa"/>
            </w:tcMar>
            <w:hideMark/>
          </w:tcPr>
          <w:p w:rsidR="00102792" w:rsidRPr="004F4118" w:rsidRDefault="00102792" w:rsidP="00A878C5">
            <w:pPr>
              <w:rPr>
                <w:color w:val="000000"/>
              </w:rPr>
            </w:pPr>
            <w:r w:rsidRPr="004F4118">
              <w:rPr>
                <w:color w:val="000000"/>
                <w:sz w:val="20"/>
                <w:szCs w:val="20"/>
              </w:rPr>
              <w:t>20</w:t>
            </w:r>
            <w:r w:rsidR="00172473" w:rsidRPr="004F4118">
              <w:rPr>
                <w:color w:val="000000"/>
                <w:sz w:val="20"/>
                <w:szCs w:val="20"/>
              </w:rPr>
              <w:t>2</w:t>
            </w:r>
            <w:r w:rsidR="00E8642A" w:rsidRPr="004F4118">
              <w:rPr>
                <w:color w:val="000000"/>
                <w:sz w:val="20"/>
                <w:szCs w:val="20"/>
              </w:rPr>
              <w:t>2</w:t>
            </w:r>
            <w:r w:rsidRPr="004F4118">
              <w:rPr>
                <w:color w:val="000000"/>
                <w:sz w:val="20"/>
                <w:szCs w:val="20"/>
              </w:rPr>
              <w:t>-</w:t>
            </w:r>
            <w:r w:rsidR="00172473" w:rsidRPr="004F4118">
              <w:rPr>
                <w:color w:val="000000"/>
                <w:sz w:val="20"/>
                <w:szCs w:val="20"/>
              </w:rPr>
              <w:t>0</w:t>
            </w:r>
            <w:r w:rsidR="007E6E2A" w:rsidRPr="004F4118">
              <w:rPr>
                <w:color w:val="000000"/>
                <w:sz w:val="20"/>
                <w:szCs w:val="20"/>
              </w:rPr>
              <w:t>2</w:t>
            </w:r>
            <w:r w:rsidRPr="004F4118">
              <w:rPr>
                <w:color w:val="000000"/>
                <w:sz w:val="20"/>
                <w:szCs w:val="20"/>
              </w:rPr>
              <w:t>-</w:t>
            </w:r>
            <w:r w:rsidR="00873743" w:rsidRPr="004F4118">
              <w:rPr>
                <w:color w:val="000000"/>
                <w:sz w:val="20"/>
                <w:szCs w:val="20"/>
              </w:rPr>
              <w:t>1</w:t>
            </w:r>
            <w:r w:rsidR="00E8642A" w:rsidRPr="004F4118">
              <w:rPr>
                <w:color w:val="000000"/>
                <w:sz w:val="20"/>
                <w:szCs w:val="20"/>
              </w:rPr>
              <w:t>4</w:t>
            </w:r>
          </w:p>
        </w:tc>
        <w:tc>
          <w:tcPr>
            <w:tcW w:w="7178" w:type="dxa"/>
            <w:tcMar>
              <w:top w:w="58" w:type="dxa"/>
              <w:left w:w="58" w:type="dxa"/>
              <w:bottom w:w="58" w:type="dxa"/>
              <w:right w:w="58" w:type="dxa"/>
            </w:tcMar>
            <w:hideMark/>
          </w:tcPr>
          <w:p w:rsidR="00102792" w:rsidRPr="004F4118" w:rsidRDefault="00A878C5">
            <w:pPr>
              <w:rPr>
                <w:color w:val="000000"/>
              </w:rPr>
            </w:pPr>
            <w:r w:rsidRPr="004F4118">
              <w:rPr>
                <w:i/>
                <w:iCs/>
                <w:sz w:val="20"/>
              </w:rPr>
              <w:t xml:space="preserve">James Andrew Beaver v. Her Majesty the Queen </w:t>
            </w:r>
            <w:r w:rsidRPr="004F4118">
              <w:rPr>
                <w:sz w:val="20"/>
              </w:rPr>
              <w:t>(Alta.) (Criminal) (By Leave) (</w:t>
            </w:r>
            <w:hyperlink r:id="rId45" w:history="1">
              <w:r w:rsidRPr="004F4118">
                <w:rPr>
                  <w:rStyle w:val="Hyperlink"/>
                  <w:sz w:val="20"/>
                </w:rPr>
                <w:t>39480</w:t>
              </w:r>
            </w:hyperlink>
            <w:r w:rsidRPr="004F4118">
              <w:rPr>
                <w:sz w:val="20"/>
              </w:rPr>
              <w:t>)</w:t>
            </w:r>
          </w:p>
        </w:tc>
      </w:tr>
      <w:tr w:rsidR="00102792" w:rsidRPr="004F4118" w:rsidTr="00102792">
        <w:tc>
          <w:tcPr>
            <w:tcW w:w="2398" w:type="dxa"/>
            <w:tcMar>
              <w:top w:w="58" w:type="dxa"/>
              <w:left w:w="58" w:type="dxa"/>
              <w:bottom w:w="58" w:type="dxa"/>
              <w:right w:w="58" w:type="dxa"/>
            </w:tcMar>
            <w:hideMark/>
          </w:tcPr>
          <w:p w:rsidR="00102792" w:rsidRPr="004F4118" w:rsidRDefault="00102792" w:rsidP="00A878C5">
            <w:pPr>
              <w:rPr>
                <w:color w:val="000000"/>
              </w:rPr>
            </w:pPr>
            <w:r w:rsidRPr="004F4118">
              <w:rPr>
                <w:color w:val="000000"/>
                <w:sz w:val="20"/>
                <w:szCs w:val="20"/>
              </w:rPr>
              <w:t>20</w:t>
            </w:r>
            <w:r w:rsidR="00172473" w:rsidRPr="004F4118">
              <w:rPr>
                <w:color w:val="000000"/>
                <w:sz w:val="20"/>
                <w:szCs w:val="20"/>
              </w:rPr>
              <w:t>2</w:t>
            </w:r>
            <w:r w:rsidR="00E8642A" w:rsidRPr="004F4118">
              <w:rPr>
                <w:color w:val="000000"/>
                <w:sz w:val="20"/>
                <w:szCs w:val="20"/>
              </w:rPr>
              <w:t>2</w:t>
            </w:r>
            <w:r w:rsidRPr="004F4118">
              <w:rPr>
                <w:color w:val="000000"/>
                <w:sz w:val="20"/>
                <w:szCs w:val="20"/>
              </w:rPr>
              <w:t>-</w:t>
            </w:r>
            <w:r w:rsidR="00172473" w:rsidRPr="004F4118">
              <w:rPr>
                <w:color w:val="000000"/>
                <w:sz w:val="20"/>
                <w:szCs w:val="20"/>
              </w:rPr>
              <w:t>0</w:t>
            </w:r>
            <w:r w:rsidR="007E6E2A" w:rsidRPr="004F4118">
              <w:rPr>
                <w:color w:val="000000"/>
                <w:sz w:val="20"/>
                <w:szCs w:val="20"/>
              </w:rPr>
              <w:t>2</w:t>
            </w:r>
            <w:r w:rsidRPr="004F4118">
              <w:rPr>
                <w:color w:val="000000"/>
                <w:sz w:val="20"/>
                <w:szCs w:val="20"/>
              </w:rPr>
              <w:t>-1</w:t>
            </w:r>
            <w:r w:rsidR="00A878C5" w:rsidRPr="004F4118">
              <w:rPr>
                <w:color w:val="000000"/>
                <w:sz w:val="20"/>
                <w:szCs w:val="20"/>
              </w:rPr>
              <w:t>4</w:t>
            </w:r>
          </w:p>
        </w:tc>
        <w:tc>
          <w:tcPr>
            <w:tcW w:w="7178" w:type="dxa"/>
            <w:tcMar>
              <w:top w:w="58" w:type="dxa"/>
              <w:left w:w="58" w:type="dxa"/>
              <w:bottom w:w="58" w:type="dxa"/>
              <w:right w:w="58" w:type="dxa"/>
            </w:tcMar>
            <w:hideMark/>
          </w:tcPr>
          <w:p w:rsidR="00102792" w:rsidRPr="004F4118" w:rsidRDefault="00A878C5">
            <w:pPr>
              <w:rPr>
                <w:color w:val="000000"/>
                <w:lang w:val="fr-CA"/>
              </w:rPr>
            </w:pPr>
            <w:r w:rsidRPr="004F4118">
              <w:rPr>
                <w:i/>
                <w:iCs/>
                <w:sz w:val="20"/>
              </w:rPr>
              <w:t xml:space="preserve">Brian John Lambert v. Her Majesty the Queen </w:t>
            </w:r>
            <w:r w:rsidRPr="004F4118">
              <w:rPr>
                <w:sz w:val="20"/>
              </w:rPr>
              <w:t>(Alta.) (Criminal) (By Leave) (</w:t>
            </w:r>
            <w:hyperlink r:id="rId46" w:history="1">
              <w:r w:rsidRPr="004F4118">
                <w:rPr>
                  <w:rStyle w:val="Hyperlink"/>
                  <w:sz w:val="20"/>
                </w:rPr>
                <w:t>39481</w:t>
              </w:r>
            </w:hyperlink>
            <w:r w:rsidRPr="004F4118">
              <w:rPr>
                <w:sz w:val="20"/>
              </w:rPr>
              <w:t>)</w:t>
            </w:r>
          </w:p>
        </w:tc>
      </w:tr>
      <w:tr w:rsidR="00102792" w:rsidRPr="004F4118" w:rsidTr="00102792">
        <w:tc>
          <w:tcPr>
            <w:tcW w:w="2398" w:type="dxa"/>
            <w:tcMar>
              <w:top w:w="58" w:type="dxa"/>
              <w:left w:w="58" w:type="dxa"/>
              <w:bottom w:w="58" w:type="dxa"/>
              <w:right w:w="58" w:type="dxa"/>
            </w:tcMar>
            <w:hideMark/>
          </w:tcPr>
          <w:p w:rsidR="00102792" w:rsidRPr="004F4118" w:rsidRDefault="00102792" w:rsidP="00A878C5">
            <w:pPr>
              <w:rPr>
                <w:color w:val="000000"/>
              </w:rPr>
            </w:pPr>
            <w:r w:rsidRPr="004F4118">
              <w:rPr>
                <w:color w:val="000000"/>
                <w:sz w:val="20"/>
                <w:szCs w:val="20"/>
              </w:rPr>
              <w:t>20</w:t>
            </w:r>
            <w:r w:rsidR="00172473" w:rsidRPr="004F4118">
              <w:rPr>
                <w:color w:val="000000"/>
                <w:sz w:val="20"/>
                <w:szCs w:val="20"/>
              </w:rPr>
              <w:t>2</w:t>
            </w:r>
            <w:r w:rsidR="00E8642A" w:rsidRPr="004F4118">
              <w:rPr>
                <w:color w:val="000000"/>
                <w:sz w:val="20"/>
                <w:szCs w:val="20"/>
              </w:rPr>
              <w:t>2</w:t>
            </w:r>
            <w:r w:rsidRPr="004F4118">
              <w:rPr>
                <w:color w:val="000000"/>
                <w:sz w:val="20"/>
                <w:szCs w:val="20"/>
              </w:rPr>
              <w:t>-</w:t>
            </w:r>
            <w:r w:rsidR="00172473" w:rsidRPr="004F4118">
              <w:rPr>
                <w:color w:val="000000"/>
                <w:sz w:val="20"/>
                <w:szCs w:val="20"/>
              </w:rPr>
              <w:t>0</w:t>
            </w:r>
            <w:r w:rsidR="007E6E2A" w:rsidRPr="004F4118">
              <w:rPr>
                <w:color w:val="000000"/>
                <w:sz w:val="20"/>
                <w:szCs w:val="20"/>
              </w:rPr>
              <w:t>2</w:t>
            </w:r>
            <w:r w:rsidRPr="004F4118">
              <w:rPr>
                <w:color w:val="000000"/>
                <w:sz w:val="20"/>
                <w:szCs w:val="20"/>
              </w:rPr>
              <w:t>-</w:t>
            </w:r>
            <w:r w:rsidR="00E8642A" w:rsidRPr="004F4118">
              <w:rPr>
                <w:color w:val="000000"/>
                <w:sz w:val="20"/>
                <w:szCs w:val="20"/>
              </w:rPr>
              <w:t>1</w:t>
            </w:r>
            <w:r w:rsidR="00A878C5" w:rsidRPr="004F4118">
              <w:rPr>
                <w:color w:val="000000"/>
                <w:sz w:val="20"/>
                <w:szCs w:val="20"/>
              </w:rPr>
              <w:t>5</w:t>
            </w:r>
          </w:p>
        </w:tc>
        <w:tc>
          <w:tcPr>
            <w:tcW w:w="7178" w:type="dxa"/>
            <w:tcMar>
              <w:top w:w="58" w:type="dxa"/>
              <w:left w:w="58" w:type="dxa"/>
              <w:bottom w:w="58" w:type="dxa"/>
              <w:right w:w="58" w:type="dxa"/>
            </w:tcMar>
            <w:hideMark/>
          </w:tcPr>
          <w:p w:rsidR="00102792" w:rsidRPr="004F4118" w:rsidRDefault="00A878C5">
            <w:pPr>
              <w:rPr>
                <w:color w:val="000000"/>
              </w:rPr>
            </w:pPr>
            <w:r w:rsidRPr="004F4118">
              <w:rPr>
                <w:i/>
                <w:iCs/>
                <w:sz w:val="20"/>
              </w:rPr>
              <w:t xml:space="preserve">A.E v. Her Majesty the Queen </w:t>
            </w:r>
            <w:r w:rsidRPr="004F4118">
              <w:rPr>
                <w:sz w:val="20"/>
              </w:rPr>
              <w:t>(Alta.) (Criminal) (As of Right) (</w:t>
            </w:r>
            <w:hyperlink r:id="rId47" w:history="1">
              <w:r w:rsidRPr="004F4118">
                <w:rPr>
                  <w:rStyle w:val="Hyperlink"/>
                  <w:sz w:val="20"/>
                </w:rPr>
                <w:t>39699</w:t>
              </w:r>
            </w:hyperlink>
            <w:r w:rsidRPr="004F4118">
              <w:rPr>
                <w:sz w:val="20"/>
              </w:rPr>
              <w:t>)</w:t>
            </w:r>
          </w:p>
        </w:tc>
      </w:tr>
      <w:tr w:rsidR="00102792" w:rsidRPr="004F4118" w:rsidTr="00102792">
        <w:tc>
          <w:tcPr>
            <w:tcW w:w="2398" w:type="dxa"/>
            <w:tcMar>
              <w:top w:w="58" w:type="dxa"/>
              <w:left w:w="58" w:type="dxa"/>
              <w:bottom w:w="58" w:type="dxa"/>
              <w:right w:w="58" w:type="dxa"/>
            </w:tcMar>
            <w:hideMark/>
          </w:tcPr>
          <w:p w:rsidR="00102792" w:rsidRPr="004F4118" w:rsidRDefault="00102792" w:rsidP="00A878C5">
            <w:pPr>
              <w:rPr>
                <w:color w:val="000000"/>
              </w:rPr>
            </w:pPr>
            <w:r w:rsidRPr="004F4118">
              <w:rPr>
                <w:color w:val="000000"/>
                <w:sz w:val="20"/>
                <w:szCs w:val="20"/>
              </w:rPr>
              <w:t>20</w:t>
            </w:r>
            <w:r w:rsidR="00172473" w:rsidRPr="004F4118">
              <w:rPr>
                <w:color w:val="000000"/>
                <w:sz w:val="20"/>
                <w:szCs w:val="20"/>
              </w:rPr>
              <w:t>2</w:t>
            </w:r>
            <w:r w:rsidR="00E8642A" w:rsidRPr="004F4118">
              <w:rPr>
                <w:color w:val="000000"/>
                <w:sz w:val="20"/>
                <w:szCs w:val="20"/>
              </w:rPr>
              <w:t>2</w:t>
            </w:r>
            <w:r w:rsidRPr="004F4118">
              <w:rPr>
                <w:color w:val="000000"/>
                <w:sz w:val="20"/>
                <w:szCs w:val="20"/>
              </w:rPr>
              <w:t>-</w:t>
            </w:r>
            <w:r w:rsidR="00172473" w:rsidRPr="004F4118">
              <w:rPr>
                <w:color w:val="000000"/>
                <w:sz w:val="20"/>
                <w:szCs w:val="20"/>
              </w:rPr>
              <w:t>0</w:t>
            </w:r>
            <w:r w:rsidR="007E6E2A" w:rsidRPr="004F4118">
              <w:rPr>
                <w:color w:val="000000"/>
                <w:sz w:val="20"/>
                <w:szCs w:val="20"/>
              </w:rPr>
              <w:t>2</w:t>
            </w:r>
            <w:r w:rsidRPr="004F4118">
              <w:rPr>
                <w:color w:val="000000"/>
                <w:sz w:val="20"/>
                <w:szCs w:val="20"/>
              </w:rPr>
              <w:t>-1</w:t>
            </w:r>
            <w:r w:rsidR="00A878C5" w:rsidRPr="004F4118">
              <w:rPr>
                <w:color w:val="000000"/>
                <w:sz w:val="20"/>
                <w:szCs w:val="20"/>
              </w:rPr>
              <w:t>5</w:t>
            </w:r>
          </w:p>
        </w:tc>
        <w:tc>
          <w:tcPr>
            <w:tcW w:w="7178" w:type="dxa"/>
            <w:tcMar>
              <w:top w:w="58" w:type="dxa"/>
              <w:left w:w="58" w:type="dxa"/>
              <w:bottom w:w="58" w:type="dxa"/>
              <w:right w:w="58" w:type="dxa"/>
            </w:tcMar>
            <w:hideMark/>
          </w:tcPr>
          <w:p w:rsidR="00102792" w:rsidRPr="004F4118" w:rsidRDefault="00A878C5">
            <w:pPr>
              <w:rPr>
                <w:color w:val="000000"/>
                <w:lang w:val="fr-CA"/>
              </w:rPr>
            </w:pPr>
            <w:r w:rsidRPr="004F4118">
              <w:rPr>
                <w:i/>
                <w:iCs/>
                <w:sz w:val="20"/>
              </w:rPr>
              <w:t xml:space="preserve">T.C.F. v. Her Majesty the Queen </w:t>
            </w:r>
            <w:r w:rsidRPr="004F4118">
              <w:rPr>
                <w:sz w:val="20"/>
              </w:rPr>
              <w:t>(Alta.) (Criminal) (As of Right) (</w:t>
            </w:r>
            <w:hyperlink r:id="rId48" w:history="1">
              <w:r w:rsidRPr="004F4118">
                <w:rPr>
                  <w:rStyle w:val="Hyperlink"/>
                  <w:sz w:val="20"/>
                </w:rPr>
                <w:t>39703</w:t>
              </w:r>
            </w:hyperlink>
            <w:r w:rsidRPr="004F4118">
              <w:rPr>
                <w:sz w:val="20"/>
              </w:rPr>
              <w:t>)</w:t>
            </w:r>
          </w:p>
        </w:tc>
      </w:tr>
      <w:tr w:rsidR="00102792" w:rsidRPr="004F4118" w:rsidTr="00102792">
        <w:tc>
          <w:tcPr>
            <w:tcW w:w="2398" w:type="dxa"/>
            <w:tcMar>
              <w:top w:w="58" w:type="dxa"/>
              <w:left w:w="58" w:type="dxa"/>
              <w:bottom w:w="58" w:type="dxa"/>
              <w:right w:w="58" w:type="dxa"/>
            </w:tcMar>
            <w:hideMark/>
          </w:tcPr>
          <w:p w:rsidR="00102792" w:rsidRPr="004F4118" w:rsidRDefault="00102792" w:rsidP="00A878C5">
            <w:pPr>
              <w:rPr>
                <w:color w:val="000000"/>
              </w:rPr>
            </w:pPr>
            <w:r w:rsidRPr="004F4118">
              <w:rPr>
                <w:color w:val="000000"/>
                <w:sz w:val="20"/>
                <w:szCs w:val="20"/>
              </w:rPr>
              <w:t>20</w:t>
            </w:r>
            <w:r w:rsidR="00172473" w:rsidRPr="004F4118">
              <w:rPr>
                <w:color w:val="000000"/>
                <w:sz w:val="20"/>
                <w:szCs w:val="20"/>
              </w:rPr>
              <w:t>2</w:t>
            </w:r>
            <w:r w:rsidR="00E8642A" w:rsidRPr="004F4118">
              <w:rPr>
                <w:color w:val="000000"/>
                <w:sz w:val="20"/>
                <w:szCs w:val="20"/>
              </w:rPr>
              <w:t>2</w:t>
            </w:r>
            <w:r w:rsidRPr="004F4118">
              <w:rPr>
                <w:color w:val="000000"/>
                <w:sz w:val="20"/>
                <w:szCs w:val="20"/>
              </w:rPr>
              <w:t>-</w:t>
            </w:r>
            <w:r w:rsidR="00172473" w:rsidRPr="004F4118">
              <w:rPr>
                <w:color w:val="000000"/>
                <w:sz w:val="20"/>
                <w:szCs w:val="20"/>
              </w:rPr>
              <w:t>0</w:t>
            </w:r>
            <w:r w:rsidR="007E6E2A" w:rsidRPr="004F4118">
              <w:rPr>
                <w:color w:val="000000"/>
                <w:sz w:val="20"/>
                <w:szCs w:val="20"/>
              </w:rPr>
              <w:t>2</w:t>
            </w:r>
            <w:r w:rsidRPr="004F4118">
              <w:rPr>
                <w:color w:val="000000"/>
                <w:sz w:val="20"/>
                <w:szCs w:val="20"/>
              </w:rPr>
              <w:t>-</w:t>
            </w:r>
            <w:r w:rsidR="00A878C5" w:rsidRPr="004F4118">
              <w:rPr>
                <w:color w:val="000000"/>
                <w:sz w:val="20"/>
                <w:szCs w:val="20"/>
              </w:rPr>
              <w:t>16</w:t>
            </w:r>
          </w:p>
        </w:tc>
        <w:tc>
          <w:tcPr>
            <w:tcW w:w="7178" w:type="dxa"/>
            <w:tcMar>
              <w:top w:w="58" w:type="dxa"/>
              <w:left w:w="58" w:type="dxa"/>
              <w:bottom w:w="58" w:type="dxa"/>
              <w:right w:w="58" w:type="dxa"/>
            </w:tcMar>
            <w:hideMark/>
          </w:tcPr>
          <w:p w:rsidR="00102792" w:rsidRPr="004F4118" w:rsidRDefault="00A878C5">
            <w:pPr>
              <w:rPr>
                <w:color w:val="000000"/>
              </w:rPr>
            </w:pPr>
            <w:r w:rsidRPr="004F4118">
              <w:rPr>
                <w:i/>
                <w:iCs/>
                <w:sz w:val="20"/>
              </w:rPr>
              <w:t xml:space="preserve">Annapolis Group Inc. v. Halifax Regional Municipality </w:t>
            </w:r>
            <w:r w:rsidRPr="004F4118">
              <w:rPr>
                <w:sz w:val="20"/>
              </w:rPr>
              <w:t>(N.S.) (Civil) (By Leave) (</w:t>
            </w:r>
            <w:hyperlink r:id="rId49" w:history="1">
              <w:r w:rsidRPr="004F4118">
                <w:rPr>
                  <w:rStyle w:val="Hyperlink"/>
                  <w:sz w:val="20"/>
                </w:rPr>
                <w:t>39594</w:t>
              </w:r>
            </w:hyperlink>
            <w:r w:rsidRPr="004F4118">
              <w:rPr>
                <w:sz w:val="20"/>
              </w:rPr>
              <w:t>)</w:t>
            </w:r>
          </w:p>
        </w:tc>
      </w:tr>
    </w:tbl>
    <w:p w:rsidR="00102792" w:rsidRPr="004F4118" w:rsidRDefault="00102792" w:rsidP="00102792">
      <w:pPr>
        <w:rPr>
          <w:color w:val="000000"/>
          <w:sz w:val="20"/>
          <w:szCs w:val="20"/>
        </w:rPr>
      </w:pPr>
    </w:p>
    <w:p w:rsidR="00102792" w:rsidRPr="004F4118" w:rsidRDefault="00102792" w:rsidP="00102792">
      <w:pPr>
        <w:jc w:val="both"/>
        <w:rPr>
          <w:color w:val="000000"/>
          <w:sz w:val="20"/>
          <w:szCs w:val="20"/>
        </w:rPr>
      </w:pPr>
      <w:r w:rsidRPr="004F4118">
        <w:rPr>
          <w:b/>
          <w:bCs/>
          <w:color w:val="000000"/>
          <w:sz w:val="20"/>
          <w:szCs w:val="20"/>
        </w:rPr>
        <w:t>NOTE:</w:t>
      </w:r>
      <w:r w:rsidRPr="004F4118">
        <w:rPr>
          <w:color w:val="000000"/>
          <w:sz w:val="20"/>
          <w:szCs w:val="20"/>
        </w:rPr>
        <w:t> This agenda is subject to change. Hearings normally commence at 9:30 a.m.</w:t>
      </w:r>
      <w:r w:rsidR="00172473" w:rsidRPr="004F4118">
        <w:rPr>
          <w:color w:val="000000"/>
          <w:sz w:val="20"/>
          <w:szCs w:val="20"/>
        </w:rPr>
        <w:t>, ET</w:t>
      </w:r>
      <w:r w:rsidRPr="004F4118">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4F4118" w:rsidRDefault="00102792" w:rsidP="00102792">
      <w:pPr>
        <w:jc w:val="both"/>
        <w:rPr>
          <w:color w:val="000000"/>
          <w:sz w:val="20"/>
          <w:szCs w:val="20"/>
        </w:rPr>
      </w:pPr>
    </w:p>
    <w:p w:rsidR="00102792" w:rsidRPr="004F4118" w:rsidRDefault="00102792" w:rsidP="00102792">
      <w:pPr>
        <w:jc w:val="both"/>
        <w:rPr>
          <w:color w:val="000000"/>
          <w:sz w:val="20"/>
          <w:szCs w:val="20"/>
          <w:lang w:val="fr-CA"/>
        </w:rPr>
      </w:pPr>
      <w:r w:rsidRPr="004F4118">
        <w:rPr>
          <w:color w:val="000000"/>
          <w:sz w:val="20"/>
          <w:szCs w:val="20"/>
          <w:lang w:val="fr-CA"/>
        </w:rPr>
        <w:t>Ce calendrier est sujet à modification. Les audiences débutent normalement à 9h30</w:t>
      </w:r>
      <w:r w:rsidR="00172473" w:rsidRPr="004F4118">
        <w:rPr>
          <w:color w:val="000000"/>
          <w:sz w:val="20"/>
          <w:szCs w:val="20"/>
          <w:lang w:val="fr-CA"/>
        </w:rPr>
        <w:t>, HE</w:t>
      </w:r>
      <w:r w:rsidRPr="004F4118">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A878C5" w:rsidRPr="004F4118" w:rsidRDefault="00A878C5" w:rsidP="00A878C5">
      <w:pPr>
        <w:widowControl w:val="0"/>
        <w:jc w:val="both"/>
        <w:rPr>
          <w:sz w:val="20"/>
          <w:lang w:val="fr-CA"/>
        </w:rPr>
      </w:pPr>
    </w:p>
    <w:p w:rsidR="00A878C5" w:rsidRPr="004F4118" w:rsidRDefault="00DF0AA3" w:rsidP="00A878C5">
      <w:pPr>
        <w:widowControl w:val="0"/>
        <w:jc w:val="both"/>
        <w:rPr>
          <w:sz w:val="20"/>
          <w:lang w:val="fr-CA"/>
        </w:rPr>
      </w:pPr>
      <w:r>
        <w:rPr>
          <w:sz w:val="20"/>
        </w:rPr>
        <w:pict>
          <v:rect id="_x0000_i1051" style="width:2in;height:1pt" o:hrpct="0" o:hralign="center" o:hrstd="t" o:hrnoshade="t" o:hr="t" fillcolor="black [3213]" stroked="f"/>
        </w:pict>
      </w:r>
    </w:p>
    <w:p w:rsidR="00A878C5" w:rsidRPr="004F4118" w:rsidRDefault="00A878C5" w:rsidP="00A878C5">
      <w:pPr>
        <w:widowControl w:val="0"/>
        <w:jc w:val="both"/>
        <w:rPr>
          <w:sz w:val="20"/>
        </w:rPr>
      </w:pPr>
    </w:p>
    <w:p w:rsidR="00A878C5" w:rsidRPr="004F4118" w:rsidRDefault="00A878C5" w:rsidP="00A878C5">
      <w:pPr>
        <w:widowControl w:val="0"/>
        <w:tabs>
          <w:tab w:val="left" w:pos="720"/>
        </w:tabs>
        <w:ind w:left="1440" w:hanging="1440"/>
        <w:jc w:val="both"/>
        <w:rPr>
          <w:b/>
          <w:i/>
          <w:sz w:val="20"/>
        </w:rPr>
      </w:pPr>
      <w:r w:rsidRPr="004F4118">
        <w:rPr>
          <w:b/>
          <w:sz w:val="20"/>
        </w:rPr>
        <w:fldChar w:fldCharType="begin"/>
      </w:r>
      <w:r w:rsidRPr="004F4118">
        <w:rPr>
          <w:b/>
          <w:sz w:val="20"/>
        </w:rPr>
        <w:instrText xml:space="preserve"> SEQ CHAPTER \h \r 1</w:instrText>
      </w:r>
      <w:r w:rsidRPr="004F4118">
        <w:rPr>
          <w:b/>
          <w:sz w:val="20"/>
        </w:rPr>
        <w:fldChar w:fldCharType="end"/>
      </w:r>
      <w:r w:rsidRPr="004F4118">
        <w:rPr>
          <w:b/>
          <w:sz w:val="20"/>
        </w:rPr>
        <w:t>39360</w:t>
      </w:r>
      <w:r w:rsidRPr="004F4118">
        <w:rPr>
          <w:b/>
          <w:sz w:val="20"/>
        </w:rPr>
        <w:tab/>
      </w:r>
      <w:bookmarkStart w:id="7" w:name="3"/>
      <w:bookmarkEnd w:id="7"/>
      <w:r w:rsidRPr="004F4118">
        <w:rPr>
          <w:b/>
          <w:i/>
          <w:sz w:val="20"/>
        </w:rPr>
        <w:t>Eugene Ndhlovu v. Her Majesty the Queen</w:t>
      </w:r>
    </w:p>
    <w:p w:rsidR="00A878C5" w:rsidRPr="004F4118" w:rsidRDefault="00A878C5" w:rsidP="00A878C5">
      <w:pPr>
        <w:widowControl w:val="0"/>
        <w:tabs>
          <w:tab w:val="left" w:pos="720"/>
        </w:tabs>
        <w:ind w:left="1440" w:hanging="1440"/>
        <w:jc w:val="both"/>
        <w:rPr>
          <w:sz w:val="20"/>
        </w:rPr>
      </w:pPr>
      <w:r w:rsidRPr="004F4118">
        <w:rPr>
          <w:sz w:val="20"/>
        </w:rPr>
        <w:tab/>
        <w:t>(Alta.) (Criminal) (By Leave)</w:t>
      </w:r>
    </w:p>
    <w:p w:rsidR="00A878C5" w:rsidRPr="004F4118" w:rsidRDefault="00A878C5" w:rsidP="00A878C5">
      <w:pPr>
        <w:widowControl w:val="0"/>
        <w:ind w:left="1440" w:hanging="1440"/>
        <w:jc w:val="both"/>
        <w:rPr>
          <w:sz w:val="20"/>
        </w:rPr>
      </w:pPr>
    </w:p>
    <w:p w:rsidR="00A878C5" w:rsidRPr="004F4118" w:rsidRDefault="00A878C5" w:rsidP="00A878C5">
      <w:pPr>
        <w:widowControl w:val="0"/>
        <w:ind w:left="1440" w:hanging="1440"/>
        <w:jc w:val="both"/>
        <w:rPr>
          <w:sz w:val="20"/>
        </w:rPr>
      </w:pPr>
      <w:r w:rsidRPr="004F4118">
        <w:rPr>
          <w:sz w:val="20"/>
        </w:rPr>
        <w:t>(</w:t>
      </w:r>
      <w:r w:rsidRPr="004F4118">
        <w:rPr>
          <w:smallCaps/>
          <w:sz w:val="20"/>
        </w:rPr>
        <w:t>Publication Ban</w:t>
      </w:r>
      <w:r w:rsidRPr="004F4118">
        <w:rPr>
          <w:sz w:val="20"/>
        </w:rPr>
        <w:t>)</w:t>
      </w:r>
    </w:p>
    <w:p w:rsidR="00A878C5" w:rsidRPr="004F4118" w:rsidRDefault="00A878C5" w:rsidP="00A878C5">
      <w:pPr>
        <w:widowControl w:val="0"/>
        <w:ind w:left="1440" w:hanging="1440"/>
        <w:jc w:val="both"/>
        <w:rPr>
          <w:sz w:val="20"/>
        </w:rPr>
      </w:pPr>
    </w:p>
    <w:p w:rsidR="00A878C5" w:rsidRPr="004F4118" w:rsidRDefault="00A878C5" w:rsidP="00A878C5">
      <w:pPr>
        <w:jc w:val="both"/>
        <w:rPr>
          <w:sz w:val="20"/>
        </w:rPr>
      </w:pPr>
      <w:r w:rsidRPr="004F4118">
        <w:rPr>
          <w:i/>
          <w:sz w:val="20"/>
        </w:rPr>
        <w:t xml:space="preserve">Charter of Rights </w:t>
      </w:r>
      <w:r w:rsidRPr="004F4118">
        <w:rPr>
          <w:sz w:val="20"/>
        </w:rPr>
        <w:t xml:space="preserve">- Right to life, liberty and security of the person - Criminal law - Registration of sex offenders - Whether ss. 490.012 and 490.013(2.1) of the </w:t>
      </w:r>
      <w:r w:rsidRPr="004F4118">
        <w:rPr>
          <w:i/>
          <w:sz w:val="20"/>
        </w:rPr>
        <w:t>Criminal Code</w:t>
      </w:r>
      <w:r w:rsidRPr="004F4118">
        <w:rPr>
          <w:sz w:val="20"/>
        </w:rPr>
        <w:t xml:space="preserve"> violate s. 7 of the </w:t>
      </w:r>
      <w:r w:rsidRPr="004F4118">
        <w:rPr>
          <w:i/>
          <w:sz w:val="20"/>
        </w:rPr>
        <w:t>Charter</w:t>
      </w:r>
      <w:r w:rsidRPr="004F4118">
        <w:rPr>
          <w:sz w:val="20"/>
        </w:rPr>
        <w:t xml:space="preserve"> - If so, whether the violation can be saved under s. 1 of the </w:t>
      </w:r>
      <w:r w:rsidRPr="004F4118">
        <w:rPr>
          <w:i/>
          <w:sz w:val="20"/>
        </w:rPr>
        <w:t>Charter</w:t>
      </w:r>
      <w:r w:rsidRPr="004F4118">
        <w:rPr>
          <w:sz w:val="20"/>
        </w:rPr>
        <w:t xml:space="preserve"> - Sections 490.012 and 490.013(2.1) of the </w:t>
      </w:r>
      <w:r w:rsidRPr="004F4118">
        <w:rPr>
          <w:i/>
          <w:sz w:val="20"/>
        </w:rPr>
        <w:t>Criminal Code</w:t>
      </w:r>
      <w:r w:rsidRPr="004F4118">
        <w:rPr>
          <w:sz w:val="20"/>
        </w:rPr>
        <w:t>, R.S.C. 1985, c. C</w:t>
      </w:r>
      <w:r w:rsidRPr="004F4118">
        <w:rPr>
          <w:sz w:val="20"/>
        </w:rPr>
        <w:noBreakHyphen/>
        <w:t xml:space="preserve">46 - Sections 1 and 7 of the </w:t>
      </w:r>
      <w:r w:rsidRPr="004F4118">
        <w:rPr>
          <w:i/>
          <w:sz w:val="20"/>
        </w:rPr>
        <w:t>Canadian Charter of Rights and Freedoms</w:t>
      </w:r>
      <w:r w:rsidRPr="004F4118">
        <w:rPr>
          <w:sz w:val="20"/>
        </w:rPr>
        <w:t>.</w:t>
      </w:r>
    </w:p>
    <w:p w:rsidR="00A878C5" w:rsidRPr="004F4118" w:rsidRDefault="00A878C5" w:rsidP="00A878C5">
      <w:pPr>
        <w:widowControl w:val="0"/>
        <w:ind w:left="1440" w:hanging="1440"/>
        <w:jc w:val="both"/>
        <w:rPr>
          <w:sz w:val="20"/>
        </w:rPr>
      </w:pPr>
    </w:p>
    <w:p w:rsidR="00A878C5" w:rsidRPr="004F4118" w:rsidRDefault="00A878C5" w:rsidP="00A878C5">
      <w:pPr>
        <w:widowControl w:val="0"/>
        <w:jc w:val="both"/>
        <w:rPr>
          <w:sz w:val="20"/>
        </w:rPr>
      </w:pPr>
      <w:r w:rsidRPr="004F4118">
        <w:rPr>
          <w:sz w:val="20"/>
        </w:rPr>
        <w:t xml:space="preserve">The appellant pled guilty to two charges of sexual assault, contrary to s. 271 of the </w:t>
      </w:r>
      <w:r w:rsidRPr="004F4118">
        <w:rPr>
          <w:i/>
          <w:sz w:val="20"/>
        </w:rPr>
        <w:t>Criminal Code</w:t>
      </w:r>
      <w:r w:rsidRPr="004F4118">
        <w:rPr>
          <w:sz w:val="20"/>
        </w:rPr>
        <w:t xml:space="preserve">, R.S.C. 1985, c. C-46. The assaults had been committed against two complainants during the course of a party. The sentencing judge found the appellant was at low risk to reoffend, and sentenced him to six months of imprisonment and three years of probation. The appellant challenged the constitutionality of ss. 490.012 and 490.013(2.1) of the </w:t>
      </w:r>
      <w:r w:rsidRPr="004F4118">
        <w:rPr>
          <w:i/>
          <w:sz w:val="20"/>
        </w:rPr>
        <w:t>Criminal Code</w:t>
      </w:r>
      <w:r w:rsidRPr="004F4118">
        <w:rPr>
          <w:sz w:val="20"/>
        </w:rPr>
        <w:t xml:space="preserve">, which require him to register and report for life under the </w:t>
      </w:r>
      <w:r w:rsidRPr="004F4118">
        <w:rPr>
          <w:i/>
          <w:sz w:val="20"/>
        </w:rPr>
        <w:t>Sex Offender Information Registration Act</w:t>
      </w:r>
      <w:r w:rsidRPr="004F4118">
        <w:rPr>
          <w:sz w:val="20"/>
        </w:rPr>
        <w:t xml:space="preserve">, S.C. 2004, c. 10, as a result of his convictions for more than one designated offence. The sentencing judge held that ss. 490.012 and 490.013(2.1) violate s. 7 of the </w:t>
      </w:r>
      <w:r w:rsidRPr="004F4118">
        <w:rPr>
          <w:i/>
          <w:sz w:val="20"/>
        </w:rPr>
        <w:t>Charter</w:t>
      </w:r>
      <w:r w:rsidRPr="004F4118">
        <w:rPr>
          <w:sz w:val="20"/>
        </w:rPr>
        <w:t xml:space="preserve"> and cannot be saved under s. 1, and declared the sections to be of no force or effect.</w:t>
      </w:r>
    </w:p>
    <w:p w:rsidR="00A878C5" w:rsidRPr="004F4118" w:rsidRDefault="00A878C5" w:rsidP="00A878C5">
      <w:pPr>
        <w:widowControl w:val="0"/>
        <w:jc w:val="both"/>
        <w:rPr>
          <w:sz w:val="20"/>
        </w:rPr>
      </w:pPr>
    </w:p>
    <w:p w:rsidR="002333AB" w:rsidRPr="004F4118" w:rsidRDefault="002333AB">
      <w:pPr>
        <w:rPr>
          <w:sz w:val="20"/>
        </w:rPr>
      </w:pPr>
      <w:r w:rsidRPr="004F4118">
        <w:rPr>
          <w:sz w:val="20"/>
        </w:rPr>
        <w:br w:type="page"/>
      </w:r>
    </w:p>
    <w:p w:rsidR="00A878C5" w:rsidRPr="004F4118" w:rsidRDefault="00A878C5" w:rsidP="00A878C5">
      <w:pPr>
        <w:widowControl w:val="0"/>
        <w:jc w:val="both"/>
        <w:rPr>
          <w:sz w:val="20"/>
        </w:rPr>
      </w:pPr>
      <w:r w:rsidRPr="004F4118">
        <w:rPr>
          <w:sz w:val="20"/>
        </w:rPr>
        <w:lastRenderedPageBreak/>
        <w:t xml:space="preserve">The Crown appealed the sentencing judge’s declaration of unconstitutionality. The majority of the Court of Appeal for Alberta allowed the appeal, holding that the sentencing judge had erred in finding that the appellant had established a deprivation of his right to life, liberty or security of the person under s. 7 of the </w:t>
      </w:r>
      <w:r w:rsidRPr="004F4118">
        <w:rPr>
          <w:i/>
          <w:sz w:val="20"/>
        </w:rPr>
        <w:t>Charter</w:t>
      </w:r>
      <w:r w:rsidRPr="004F4118">
        <w:rPr>
          <w:sz w:val="20"/>
        </w:rPr>
        <w:t>. Khullar J.A., dissenting, would have dismissed the appeal and upheld the sentencing judge’s decision.</w:t>
      </w:r>
    </w:p>
    <w:p w:rsidR="00A878C5" w:rsidRPr="004F4118" w:rsidRDefault="00A878C5" w:rsidP="00A878C5">
      <w:pPr>
        <w:widowControl w:val="0"/>
        <w:jc w:val="both"/>
        <w:rPr>
          <w:sz w:val="20"/>
        </w:rPr>
      </w:pPr>
    </w:p>
    <w:p w:rsidR="00A878C5" w:rsidRPr="004F4118" w:rsidRDefault="00DF0AA3" w:rsidP="00A878C5">
      <w:pPr>
        <w:widowControl w:val="0"/>
        <w:jc w:val="both"/>
        <w:rPr>
          <w:sz w:val="20"/>
        </w:rPr>
      </w:pPr>
      <w:r>
        <w:rPr>
          <w:sz w:val="20"/>
        </w:rPr>
        <w:pict>
          <v:rect id="_x0000_i1052" style="width:2in;height:1pt" o:hrpct="0" o:hralign="center" o:hrstd="t" o:hrnoshade="t" o:hr="t" fillcolor="black [3213]" stroked="f"/>
        </w:pict>
      </w:r>
    </w:p>
    <w:p w:rsidR="00A878C5" w:rsidRPr="004F4118" w:rsidRDefault="00A878C5" w:rsidP="00A878C5">
      <w:pPr>
        <w:widowControl w:val="0"/>
        <w:jc w:val="both"/>
        <w:rPr>
          <w:sz w:val="20"/>
        </w:rPr>
      </w:pPr>
    </w:p>
    <w:p w:rsidR="00A878C5" w:rsidRPr="004F4118" w:rsidRDefault="00A878C5" w:rsidP="00A878C5">
      <w:pPr>
        <w:pStyle w:val="SCCLsocParty"/>
        <w:jc w:val="both"/>
        <w:rPr>
          <w:b/>
          <w:i/>
          <w:sz w:val="20"/>
          <w:szCs w:val="20"/>
        </w:rPr>
      </w:pPr>
      <w:r w:rsidRPr="004F4118">
        <w:rPr>
          <w:rStyle w:val="SCCFileNumberChar"/>
          <w:sz w:val="20"/>
          <w:szCs w:val="20"/>
          <w:lang w:val="fr-CA"/>
        </w:rPr>
        <w:t>39360</w:t>
      </w:r>
      <w:r w:rsidRPr="004F4118">
        <w:rPr>
          <w:rStyle w:val="SCCFileNumberChar"/>
          <w:sz w:val="20"/>
          <w:szCs w:val="20"/>
          <w:lang w:val="fr-CA"/>
        </w:rPr>
        <w:tab/>
      </w:r>
      <w:r w:rsidRPr="004F4118">
        <w:rPr>
          <w:b/>
          <w:i/>
          <w:sz w:val="20"/>
          <w:szCs w:val="20"/>
        </w:rPr>
        <w:t>Eugene Ndhlovu c. Sa Majesté la Reine</w:t>
      </w:r>
    </w:p>
    <w:p w:rsidR="00A878C5" w:rsidRPr="004F4118" w:rsidRDefault="00A878C5" w:rsidP="00A878C5">
      <w:pPr>
        <w:widowControl w:val="0"/>
        <w:ind w:firstLine="720"/>
        <w:jc w:val="both"/>
        <w:rPr>
          <w:sz w:val="20"/>
          <w:lang w:val="fr-CA"/>
        </w:rPr>
      </w:pPr>
      <w:r w:rsidRPr="004F4118">
        <w:rPr>
          <w:sz w:val="20"/>
          <w:lang w:val="fr-CA"/>
        </w:rPr>
        <w:t>(Alb.) (Criminelle) (Sur autorisation)</w:t>
      </w:r>
    </w:p>
    <w:p w:rsidR="00A878C5" w:rsidRPr="004F4118" w:rsidRDefault="00A878C5" w:rsidP="00A878C5">
      <w:pPr>
        <w:jc w:val="both"/>
        <w:rPr>
          <w:sz w:val="20"/>
          <w:lang w:val="fr-CA"/>
        </w:rPr>
      </w:pPr>
    </w:p>
    <w:p w:rsidR="00A878C5" w:rsidRPr="004F4118" w:rsidRDefault="00A878C5" w:rsidP="00A878C5">
      <w:pPr>
        <w:pStyle w:val="SCCBanSummary0"/>
        <w:rPr>
          <w:sz w:val="20"/>
          <w:szCs w:val="20"/>
          <w:lang w:val="fr-CA"/>
        </w:rPr>
      </w:pPr>
      <w:r w:rsidRPr="004F4118">
        <w:rPr>
          <w:sz w:val="20"/>
          <w:szCs w:val="20"/>
          <w:lang w:val="fr-CA"/>
        </w:rPr>
        <w:t>(Ordonnance de non</w:t>
      </w:r>
      <w:r w:rsidRPr="004F4118">
        <w:rPr>
          <w:sz w:val="20"/>
          <w:szCs w:val="20"/>
          <w:lang w:val="fr-CA"/>
        </w:rPr>
        <w:noBreakHyphen/>
        <w:t>publication dans le dossier)</w:t>
      </w:r>
    </w:p>
    <w:p w:rsidR="00A878C5" w:rsidRPr="004F4118" w:rsidRDefault="00A878C5" w:rsidP="00A878C5">
      <w:pPr>
        <w:widowControl w:val="0"/>
        <w:jc w:val="both"/>
        <w:rPr>
          <w:sz w:val="20"/>
          <w:lang w:val="fr-CA"/>
        </w:rPr>
      </w:pPr>
    </w:p>
    <w:p w:rsidR="00A878C5" w:rsidRPr="004F4118" w:rsidRDefault="00A878C5" w:rsidP="00A878C5">
      <w:pPr>
        <w:jc w:val="both"/>
        <w:rPr>
          <w:sz w:val="20"/>
          <w:lang w:val="fr-CA"/>
        </w:rPr>
      </w:pPr>
      <w:r w:rsidRPr="004F4118">
        <w:rPr>
          <w:i/>
          <w:sz w:val="20"/>
          <w:lang w:val="fr-CA"/>
        </w:rPr>
        <w:t xml:space="preserve">Charte des droits </w:t>
      </w:r>
      <w:r w:rsidRPr="004F4118">
        <w:rPr>
          <w:sz w:val="20"/>
          <w:lang w:val="fr-CA"/>
        </w:rPr>
        <w:t xml:space="preserve">- Droit à la vie, à la liberté et à la sécurité de la personne - Droit criminel -Enregistrement des délinquants sexuels - L’article 490.012 et le paragraphe 490.013(2.1) du </w:t>
      </w:r>
      <w:r w:rsidRPr="004F4118">
        <w:rPr>
          <w:i/>
          <w:sz w:val="20"/>
          <w:lang w:val="fr-CA"/>
        </w:rPr>
        <w:t xml:space="preserve">Code criminel </w:t>
      </w:r>
      <w:r w:rsidRPr="004F4118">
        <w:rPr>
          <w:sz w:val="20"/>
          <w:lang w:val="fr-CA"/>
        </w:rPr>
        <w:t>violent</w:t>
      </w:r>
      <w:r w:rsidRPr="004F4118">
        <w:rPr>
          <w:sz w:val="20"/>
          <w:lang w:val="fr-CA"/>
        </w:rPr>
        <w:noBreakHyphen/>
        <w:t xml:space="preserve">ils l’art. 7 de la </w:t>
      </w:r>
      <w:r w:rsidRPr="004F4118">
        <w:rPr>
          <w:i/>
          <w:sz w:val="20"/>
          <w:lang w:val="fr-CA"/>
        </w:rPr>
        <w:t>Charte</w:t>
      </w:r>
      <w:r w:rsidRPr="004F4118">
        <w:rPr>
          <w:sz w:val="20"/>
          <w:lang w:val="fr-CA"/>
        </w:rPr>
        <w:t>? - Dans l’affirmative, la violation peut</w:t>
      </w:r>
      <w:r w:rsidRPr="004F4118">
        <w:rPr>
          <w:sz w:val="20"/>
          <w:lang w:val="fr-CA"/>
        </w:rPr>
        <w:noBreakHyphen/>
        <w:t xml:space="preserve">elle être sauvegardée par application de l’article premier de la </w:t>
      </w:r>
      <w:r w:rsidRPr="004F4118">
        <w:rPr>
          <w:i/>
          <w:sz w:val="20"/>
          <w:lang w:val="fr-CA"/>
        </w:rPr>
        <w:t>Charte</w:t>
      </w:r>
      <w:r w:rsidRPr="004F4118">
        <w:rPr>
          <w:sz w:val="20"/>
          <w:lang w:val="fr-CA"/>
        </w:rPr>
        <w:t xml:space="preserve">? - Articles 490.012 et 490.013(2.1) du </w:t>
      </w:r>
      <w:r w:rsidRPr="004F4118">
        <w:rPr>
          <w:i/>
          <w:sz w:val="20"/>
          <w:lang w:val="fr-CA"/>
        </w:rPr>
        <w:t>Code criminel</w:t>
      </w:r>
      <w:r w:rsidRPr="004F4118">
        <w:rPr>
          <w:sz w:val="20"/>
          <w:lang w:val="fr-CA"/>
        </w:rPr>
        <w:t>, L.R.C. 1985, c. C</w:t>
      </w:r>
      <w:r w:rsidRPr="004F4118">
        <w:rPr>
          <w:sz w:val="20"/>
          <w:lang w:val="fr-CA"/>
        </w:rPr>
        <w:noBreakHyphen/>
        <w:t xml:space="preserve">46 - Article premier et article 7 de la </w:t>
      </w:r>
      <w:r w:rsidRPr="004F4118">
        <w:rPr>
          <w:i/>
          <w:sz w:val="20"/>
          <w:lang w:val="fr-CA"/>
        </w:rPr>
        <w:t>Charte canadienne des droits et libertés</w:t>
      </w:r>
      <w:r w:rsidRPr="004F4118">
        <w:rPr>
          <w:sz w:val="20"/>
          <w:lang w:val="fr-CA"/>
        </w:rPr>
        <w:t>.</w:t>
      </w:r>
    </w:p>
    <w:p w:rsidR="00A878C5" w:rsidRPr="004F4118" w:rsidRDefault="00A878C5" w:rsidP="00A878C5">
      <w:pPr>
        <w:widowControl w:val="0"/>
        <w:jc w:val="both"/>
        <w:rPr>
          <w:sz w:val="20"/>
          <w:lang w:val="fr-CA"/>
        </w:rPr>
      </w:pPr>
    </w:p>
    <w:p w:rsidR="00A878C5" w:rsidRPr="004F4118" w:rsidRDefault="00A878C5" w:rsidP="00A878C5">
      <w:pPr>
        <w:widowControl w:val="0"/>
        <w:jc w:val="both"/>
        <w:rPr>
          <w:sz w:val="20"/>
          <w:lang w:val="fr-CA" w:eastAsia="en-CA"/>
        </w:rPr>
      </w:pPr>
      <w:r w:rsidRPr="004F4118">
        <w:rPr>
          <w:sz w:val="20"/>
          <w:lang w:val="fr-CA" w:eastAsia="en-CA"/>
        </w:rPr>
        <w:t xml:space="preserve">L’appelant a plaidé coupable à deux chefs d’accusation d’agression sexuelle, en contravention de l’art. 271 du </w:t>
      </w:r>
      <w:r w:rsidRPr="004F4118">
        <w:rPr>
          <w:i/>
          <w:sz w:val="20"/>
          <w:lang w:val="fr-CA" w:eastAsia="en-CA"/>
        </w:rPr>
        <w:t>Code criminel</w:t>
      </w:r>
      <w:r w:rsidRPr="004F4118">
        <w:rPr>
          <w:sz w:val="20"/>
          <w:lang w:val="fr-CA" w:eastAsia="en-CA"/>
        </w:rPr>
        <w:t>, L.R.C. 1985, c. C</w:t>
      </w:r>
      <w:r w:rsidRPr="004F4118">
        <w:rPr>
          <w:sz w:val="20"/>
          <w:lang w:val="fr-CA" w:eastAsia="en-CA"/>
        </w:rPr>
        <w:noBreakHyphen/>
        <w:t xml:space="preserve">46. Les agressions ont été commises à l’encontre de deux plaignantes pendant une fête. La juge chargée de la détermination de la peine a conclu que l’appelant présentait un faible risque de récidive, et l’a condamné à une peine de six mois d’emprisonnement et à une période de probation de trois ans. L’appelant a contesté la constitutionnalité de l’art. 490.012 et du par. 490.013(2.1) du </w:t>
      </w:r>
      <w:r w:rsidRPr="004F4118">
        <w:rPr>
          <w:i/>
          <w:sz w:val="20"/>
          <w:lang w:val="fr-CA" w:eastAsia="en-CA"/>
        </w:rPr>
        <w:t>Code criminel</w:t>
      </w:r>
      <w:r w:rsidRPr="004F4118">
        <w:rPr>
          <w:sz w:val="20"/>
          <w:lang w:val="fr-CA" w:eastAsia="en-CA"/>
        </w:rPr>
        <w:t xml:space="preserve">, aux termes desquels il doit s’enregistrer et comparaître au bureau d’inscription à perpétuité en vertu de la </w:t>
      </w:r>
      <w:r w:rsidRPr="004F4118">
        <w:rPr>
          <w:i/>
          <w:sz w:val="20"/>
          <w:lang w:val="fr-CA" w:eastAsia="en-CA"/>
        </w:rPr>
        <w:t>Loi sur l’enregistrement de renseignements sur les délinquants sexuels</w:t>
      </w:r>
      <w:r w:rsidRPr="004F4118">
        <w:rPr>
          <w:sz w:val="20"/>
          <w:lang w:val="fr-CA" w:eastAsia="en-CA"/>
        </w:rPr>
        <w:t xml:space="preserve">, L.C. 2004, c. 10, en conséquence des déclarations de culpabilité prononcées à son égard pour </w:t>
      </w:r>
      <w:r w:rsidRPr="004F4118">
        <w:rPr>
          <w:sz w:val="20"/>
          <w:lang w:val="fr-CA"/>
        </w:rPr>
        <w:t>plus d’une infraction désignée</w:t>
      </w:r>
      <w:r w:rsidRPr="004F4118">
        <w:rPr>
          <w:sz w:val="20"/>
          <w:lang w:val="fr-CA" w:eastAsia="en-CA"/>
        </w:rPr>
        <w:t xml:space="preserve">. La juge chargée de la détermination de la peine a conclu que l’art. 490.012 et le par. 490.013(2.1) violent l’art. 7 de la </w:t>
      </w:r>
      <w:r w:rsidRPr="004F4118">
        <w:rPr>
          <w:i/>
          <w:sz w:val="20"/>
          <w:lang w:val="fr-CA" w:eastAsia="en-CA"/>
        </w:rPr>
        <w:t>Charte</w:t>
      </w:r>
      <w:r w:rsidRPr="004F4118">
        <w:rPr>
          <w:sz w:val="20"/>
          <w:lang w:val="fr-CA" w:eastAsia="en-CA"/>
        </w:rPr>
        <w:t xml:space="preserve"> et ne peuvent être sauvegardés par application de l’article premier, et a déclaré que ces dispositions étaient inopérantes.</w:t>
      </w:r>
    </w:p>
    <w:p w:rsidR="00A878C5" w:rsidRPr="004F4118" w:rsidRDefault="00A878C5" w:rsidP="00A878C5">
      <w:pPr>
        <w:widowControl w:val="0"/>
        <w:jc w:val="both"/>
        <w:rPr>
          <w:sz w:val="20"/>
          <w:lang w:val="fr-CA" w:eastAsia="en-CA"/>
        </w:rPr>
      </w:pPr>
    </w:p>
    <w:p w:rsidR="00A878C5" w:rsidRPr="004F4118" w:rsidRDefault="00A878C5" w:rsidP="00A878C5">
      <w:pPr>
        <w:widowControl w:val="0"/>
        <w:jc w:val="both"/>
        <w:rPr>
          <w:sz w:val="20"/>
          <w:lang w:val="fr-CA" w:eastAsia="en-CA"/>
        </w:rPr>
      </w:pPr>
      <w:r w:rsidRPr="004F4118">
        <w:rPr>
          <w:sz w:val="20"/>
          <w:lang w:val="fr-CA" w:eastAsia="en-CA"/>
        </w:rPr>
        <w:t xml:space="preserve">La Couronne a fait appel de la déclaration d’inconstitutionnalité prononcée par la juge chargée de la détermination de la peine. Les juges majoritaires de la Cour d’appel de l’Alberta ont accueilli l’appel, statuant que la juge chargée de la détermination de la peine a commis une erreur en concluant que l’appelant avait établi qu’il y avait eu atteinte à son droit à la vie, à la liberté et à la sécurité de la personne garanti par l’art. 7 de la </w:t>
      </w:r>
      <w:r w:rsidRPr="004F4118">
        <w:rPr>
          <w:i/>
          <w:sz w:val="20"/>
          <w:lang w:val="fr-CA" w:eastAsia="en-CA"/>
        </w:rPr>
        <w:t>Charte</w:t>
      </w:r>
      <w:r w:rsidRPr="004F4118">
        <w:rPr>
          <w:sz w:val="20"/>
          <w:lang w:val="fr-CA" w:eastAsia="en-CA"/>
        </w:rPr>
        <w:t>. La juge Khullar, dissidente, aurait rejeté l’appel et confirmé la décision de la juge chargée de la détermination de la peine.</w:t>
      </w:r>
    </w:p>
    <w:p w:rsidR="00A878C5" w:rsidRPr="004F4118" w:rsidRDefault="00A878C5" w:rsidP="00A878C5">
      <w:pPr>
        <w:jc w:val="both"/>
        <w:rPr>
          <w:sz w:val="20"/>
          <w:lang w:val="fr-CA"/>
        </w:rPr>
      </w:pPr>
    </w:p>
    <w:p w:rsidR="00A878C5" w:rsidRPr="004F4118" w:rsidRDefault="00DF0AA3" w:rsidP="00A878C5">
      <w:pPr>
        <w:widowControl w:val="0"/>
        <w:jc w:val="both"/>
        <w:rPr>
          <w:sz w:val="20"/>
          <w:lang w:val="fr-CA"/>
        </w:rPr>
      </w:pPr>
      <w:r>
        <w:rPr>
          <w:sz w:val="20"/>
        </w:rPr>
        <w:pict>
          <v:rect id="_x0000_i1053" style="width:2in;height:1pt" o:hrpct="0" o:hralign="center" o:hrstd="t" o:hrnoshade="t" o:hr="t" fillcolor="black [3213]" stroked="f"/>
        </w:pict>
      </w:r>
    </w:p>
    <w:p w:rsidR="00A878C5" w:rsidRPr="004F4118" w:rsidRDefault="00A878C5" w:rsidP="00A878C5">
      <w:pPr>
        <w:widowControl w:val="0"/>
        <w:jc w:val="both"/>
        <w:rPr>
          <w:sz w:val="20"/>
          <w:lang w:val="fr-CA"/>
        </w:rPr>
      </w:pPr>
    </w:p>
    <w:p w:rsidR="00A878C5" w:rsidRPr="004F4118" w:rsidRDefault="00A878C5" w:rsidP="00A878C5">
      <w:pPr>
        <w:pStyle w:val="SCCLsocParty"/>
        <w:jc w:val="both"/>
        <w:rPr>
          <w:b/>
          <w:i/>
          <w:sz w:val="20"/>
          <w:szCs w:val="20"/>
          <w:lang w:val="en-US"/>
        </w:rPr>
      </w:pPr>
      <w:r w:rsidRPr="004F4118">
        <w:rPr>
          <w:b/>
          <w:sz w:val="20"/>
          <w:szCs w:val="20"/>
        </w:rPr>
        <w:fldChar w:fldCharType="begin"/>
      </w:r>
      <w:r w:rsidRPr="004F4118">
        <w:rPr>
          <w:b/>
          <w:sz w:val="20"/>
          <w:szCs w:val="20"/>
          <w:lang w:val="en-US"/>
        </w:rPr>
        <w:instrText xml:space="preserve"> SEQ CHAPTER \h \r 1</w:instrText>
      </w:r>
      <w:r w:rsidRPr="004F4118">
        <w:rPr>
          <w:b/>
          <w:sz w:val="20"/>
          <w:szCs w:val="20"/>
        </w:rPr>
        <w:fldChar w:fldCharType="end"/>
      </w:r>
      <w:r w:rsidRPr="004F4118">
        <w:rPr>
          <w:b/>
          <w:sz w:val="20"/>
          <w:szCs w:val="20"/>
          <w:lang w:val="en-US"/>
        </w:rPr>
        <w:t>39710</w:t>
      </w:r>
      <w:r w:rsidRPr="004F4118">
        <w:rPr>
          <w:b/>
          <w:sz w:val="20"/>
          <w:szCs w:val="20"/>
          <w:lang w:val="en-US"/>
        </w:rPr>
        <w:tab/>
      </w:r>
      <w:r w:rsidRPr="004F4118">
        <w:rPr>
          <w:b/>
          <w:i/>
          <w:sz w:val="20"/>
          <w:szCs w:val="20"/>
          <w:lang w:val="en-US"/>
        </w:rPr>
        <w:t>Her Majesty the Queen v. Marc-André Boulanger</w:t>
      </w:r>
    </w:p>
    <w:p w:rsidR="00A878C5" w:rsidRPr="004F4118" w:rsidRDefault="00A878C5" w:rsidP="00A878C5">
      <w:pPr>
        <w:widowControl w:val="0"/>
        <w:jc w:val="both"/>
        <w:rPr>
          <w:sz w:val="20"/>
        </w:rPr>
      </w:pPr>
      <w:r w:rsidRPr="004F4118">
        <w:rPr>
          <w:b/>
          <w:i/>
          <w:sz w:val="20"/>
        </w:rPr>
        <w:tab/>
      </w:r>
      <w:r w:rsidRPr="004F4118">
        <w:rPr>
          <w:sz w:val="20"/>
        </w:rPr>
        <w:t>(Que.) (Criminal) (As of Right)</w:t>
      </w:r>
    </w:p>
    <w:p w:rsidR="00A878C5" w:rsidRPr="004F4118" w:rsidRDefault="00A878C5" w:rsidP="00A878C5">
      <w:pPr>
        <w:widowControl w:val="0"/>
        <w:jc w:val="both"/>
        <w:rPr>
          <w:sz w:val="20"/>
        </w:rPr>
      </w:pPr>
    </w:p>
    <w:p w:rsidR="00A878C5" w:rsidRPr="004F4118" w:rsidRDefault="00A878C5" w:rsidP="00A878C5">
      <w:pPr>
        <w:widowControl w:val="0"/>
        <w:jc w:val="both"/>
        <w:rPr>
          <w:sz w:val="20"/>
        </w:rPr>
      </w:pPr>
      <w:r w:rsidRPr="004F4118">
        <w:rPr>
          <w:sz w:val="20"/>
        </w:rPr>
        <w:t>Charter of Rights - Right to be tried within a reasonable time - Criminal law - Whether majority erred in law in refusing to subtract 84</w:t>
      </w:r>
      <w:r w:rsidRPr="004F4118">
        <w:rPr>
          <w:sz w:val="20"/>
        </w:rPr>
        <w:noBreakHyphen/>
        <w:t>day delay for which respondent admitted being responsible and which was attributable to his conduct - Whether majority erred in law in interfering with trial judge’s decision to attribute to respondent 112-day delay caused by fact that his lawyer was unavailable, even though that finding was within judge’s discretion.</w:t>
      </w:r>
    </w:p>
    <w:p w:rsidR="00A878C5" w:rsidRPr="004F4118" w:rsidRDefault="00A878C5" w:rsidP="00A878C5">
      <w:pPr>
        <w:widowControl w:val="0"/>
        <w:jc w:val="both"/>
        <w:rPr>
          <w:sz w:val="20"/>
        </w:rPr>
      </w:pPr>
    </w:p>
    <w:p w:rsidR="00A878C5" w:rsidRPr="004F4118" w:rsidRDefault="00A878C5" w:rsidP="00A878C5">
      <w:pPr>
        <w:widowControl w:val="0"/>
        <w:spacing w:before="60" w:after="60" w:line="0" w:lineRule="atLeast"/>
        <w:jc w:val="both"/>
        <w:rPr>
          <w:sz w:val="20"/>
        </w:rPr>
      </w:pPr>
      <w:r w:rsidRPr="004F4118">
        <w:rPr>
          <w:sz w:val="20"/>
        </w:rPr>
        <w:t xml:space="preserve">The respondent, Marc-André Boulanger, faced four charges laid under, among other things, the </w:t>
      </w:r>
      <w:r w:rsidRPr="004F4118">
        <w:rPr>
          <w:i/>
          <w:sz w:val="20"/>
        </w:rPr>
        <w:t>Controlled Drugs and Substances Act</w:t>
      </w:r>
      <w:r w:rsidRPr="004F4118">
        <w:rPr>
          <w:sz w:val="20"/>
        </w:rPr>
        <w:t xml:space="preserve">. The Court of Québec granted the respondent’s motion for a stay of proceedings for unreasonable delay under s. 11(b) of the </w:t>
      </w:r>
      <w:r w:rsidRPr="004F4118">
        <w:rPr>
          <w:i/>
          <w:sz w:val="20"/>
        </w:rPr>
        <w:t xml:space="preserve">Canadian Charter of Rights and Freedoms </w:t>
      </w:r>
      <w:r w:rsidRPr="004F4118">
        <w:rPr>
          <w:sz w:val="20"/>
        </w:rPr>
        <w:t xml:space="preserve">and entered a stay of proceedings on the four charges. The trial judge found a net delay of 32 months and 10 days, which was therefore above the presumptive ceiling of 30 months. </w:t>
      </w:r>
    </w:p>
    <w:p w:rsidR="00A878C5" w:rsidRPr="004F4118" w:rsidRDefault="00A878C5" w:rsidP="00A878C5">
      <w:pPr>
        <w:widowControl w:val="0"/>
        <w:spacing w:before="60" w:after="60" w:line="0" w:lineRule="atLeast"/>
        <w:jc w:val="both"/>
        <w:rPr>
          <w:sz w:val="20"/>
        </w:rPr>
      </w:pPr>
    </w:p>
    <w:p w:rsidR="002333AB" w:rsidRPr="004F4118" w:rsidRDefault="002333AB">
      <w:pPr>
        <w:rPr>
          <w:sz w:val="20"/>
        </w:rPr>
      </w:pPr>
      <w:r w:rsidRPr="004F4118">
        <w:rPr>
          <w:sz w:val="20"/>
        </w:rPr>
        <w:br w:type="page"/>
      </w:r>
    </w:p>
    <w:p w:rsidR="00A878C5" w:rsidRPr="004F4118" w:rsidRDefault="00A878C5" w:rsidP="00A878C5">
      <w:pPr>
        <w:widowControl w:val="0"/>
        <w:spacing w:before="60" w:after="60" w:line="0" w:lineRule="atLeast"/>
        <w:jc w:val="both"/>
        <w:rPr>
          <w:sz w:val="20"/>
        </w:rPr>
      </w:pPr>
      <w:r w:rsidRPr="004F4118">
        <w:rPr>
          <w:sz w:val="20"/>
        </w:rPr>
        <w:lastRenderedPageBreak/>
        <w:t>The majority of the Quebec Court of Appeal dismissed the prosecution’s appeal from the Court of Québec’s decision. Although the majority’s analysis differed from that of the trial judge with regard to the delay related to the unavailability of the respondent’s lawyer, the majority was of the view that the trial judge had correctly stayed the proceedings and agreed with the judge’s overall assessment of the main cause of the delay in the progress of this case: the absence of a carefully crafted prosecution plan. Chamberland J.A., dissenting, would have allowed the appeal, set aside the Court of Québec’s decision, dismissed the respondent’s motion for a stay of proceedings, and referred the case back to the same judge for a decision on the outcome of the trial. In his view, 84 days had to be added to the defence delay, resulting in a net delay below the applicable 30</w:t>
      </w:r>
      <w:r w:rsidRPr="004F4118">
        <w:rPr>
          <w:sz w:val="20"/>
        </w:rPr>
        <w:noBreakHyphen/>
        <w:t>month ceiling.</w:t>
      </w:r>
    </w:p>
    <w:p w:rsidR="00A878C5" w:rsidRPr="004F4118" w:rsidRDefault="00A878C5" w:rsidP="00A878C5">
      <w:pPr>
        <w:widowControl w:val="0"/>
        <w:spacing w:before="60" w:after="60" w:line="0" w:lineRule="atLeast"/>
        <w:jc w:val="both"/>
        <w:rPr>
          <w:sz w:val="20"/>
        </w:rPr>
      </w:pPr>
    </w:p>
    <w:p w:rsidR="00A878C5" w:rsidRPr="004F4118" w:rsidRDefault="00DF0AA3" w:rsidP="00A878C5">
      <w:pPr>
        <w:widowControl w:val="0"/>
        <w:spacing w:before="60" w:after="60" w:line="0" w:lineRule="atLeast"/>
        <w:jc w:val="both"/>
        <w:rPr>
          <w:sz w:val="20"/>
        </w:rPr>
      </w:pPr>
      <w:r>
        <w:rPr>
          <w:sz w:val="20"/>
        </w:rPr>
        <w:pict>
          <v:rect id="_x0000_i1054" style="width:2in;height:1pt" o:hrpct="0" o:hralign="center" o:hrstd="t" o:hrnoshade="t" o:hr="t" fillcolor="black [3213]" stroked="f"/>
        </w:pict>
      </w:r>
    </w:p>
    <w:p w:rsidR="00A878C5" w:rsidRPr="004F4118" w:rsidRDefault="00A878C5" w:rsidP="00A878C5">
      <w:pPr>
        <w:widowControl w:val="0"/>
        <w:spacing w:before="60" w:after="60" w:line="0" w:lineRule="atLeast"/>
        <w:jc w:val="both"/>
        <w:rPr>
          <w:sz w:val="20"/>
        </w:rPr>
      </w:pPr>
    </w:p>
    <w:p w:rsidR="00A878C5" w:rsidRPr="004F4118" w:rsidRDefault="00A878C5" w:rsidP="00A878C5">
      <w:pPr>
        <w:pStyle w:val="SCCLsocParty"/>
        <w:jc w:val="both"/>
        <w:rPr>
          <w:b/>
          <w:i/>
          <w:sz w:val="20"/>
          <w:szCs w:val="20"/>
        </w:rPr>
      </w:pPr>
      <w:r w:rsidRPr="004F4118">
        <w:rPr>
          <w:b/>
          <w:sz w:val="20"/>
          <w:szCs w:val="20"/>
        </w:rPr>
        <w:fldChar w:fldCharType="begin"/>
      </w:r>
      <w:r w:rsidRPr="004F4118">
        <w:rPr>
          <w:b/>
          <w:sz w:val="20"/>
          <w:szCs w:val="20"/>
        </w:rPr>
        <w:instrText xml:space="preserve"> SEQ CHAPTER \h \r 1</w:instrText>
      </w:r>
      <w:r w:rsidRPr="004F4118">
        <w:rPr>
          <w:b/>
          <w:sz w:val="20"/>
          <w:szCs w:val="20"/>
        </w:rPr>
        <w:fldChar w:fldCharType="end"/>
      </w:r>
      <w:r w:rsidRPr="004F4118">
        <w:rPr>
          <w:b/>
          <w:sz w:val="20"/>
          <w:szCs w:val="20"/>
        </w:rPr>
        <w:t>39710</w:t>
      </w:r>
      <w:r w:rsidRPr="004F4118">
        <w:rPr>
          <w:b/>
          <w:sz w:val="20"/>
          <w:szCs w:val="20"/>
        </w:rPr>
        <w:tab/>
      </w:r>
      <w:r w:rsidRPr="004F4118">
        <w:rPr>
          <w:b/>
          <w:i/>
          <w:sz w:val="20"/>
          <w:szCs w:val="20"/>
        </w:rPr>
        <w:t>Sa Majesté la Reine c. Marc-André Boulanger</w:t>
      </w:r>
    </w:p>
    <w:p w:rsidR="00A878C5" w:rsidRPr="004F4118" w:rsidRDefault="00A878C5" w:rsidP="00A878C5">
      <w:pPr>
        <w:widowControl w:val="0"/>
        <w:jc w:val="both"/>
        <w:rPr>
          <w:sz w:val="20"/>
          <w:lang w:val="fr-CA"/>
        </w:rPr>
      </w:pPr>
      <w:r w:rsidRPr="004F4118">
        <w:rPr>
          <w:b/>
          <w:i/>
          <w:sz w:val="20"/>
          <w:lang w:val="fr-CA"/>
        </w:rPr>
        <w:tab/>
      </w:r>
      <w:r w:rsidRPr="004F4118">
        <w:rPr>
          <w:sz w:val="20"/>
          <w:lang w:val="fr-CA"/>
        </w:rPr>
        <w:t>(Que.) (Criminelle) (De plein droit)</w:t>
      </w:r>
    </w:p>
    <w:p w:rsidR="00A878C5" w:rsidRPr="004F4118" w:rsidRDefault="00A878C5" w:rsidP="00A878C5">
      <w:pPr>
        <w:widowControl w:val="0"/>
        <w:jc w:val="both"/>
        <w:rPr>
          <w:sz w:val="20"/>
          <w:lang w:val="fr-CA"/>
        </w:rPr>
      </w:pPr>
    </w:p>
    <w:p w:rsidR="00A878C5" w:rsidRPr="004F4118" w:rsidRDefault="00A878C5" w:rsidP="00A878C5">
      <w:pPr>
        <w:widowControl w:val="0"/>
        <w:jc w:val="both"/>
        <w:rPr>
          <w:sz w:val="20"/>
          <w:lang w:val="fr-CA"/>
        </w:rPr>
      </w:pPr>
      <w:r w:rsidRPr="004F4118">
        <w:rPr>
          <w:i/>
          <w:sz w:val="20"/>
          <w:lang w:val="fr-CA"/>
        </w:rPr>
        <w:t>Charte des droits</w:t>
      </w:r>
      <w:r w:rsidRPr="004F4118">
        <w:rPr>
          <w:sz w:val="20"/>
          <w:lang w:val="fr-CA"/>
        </w:rPr>
        <w:t xml:space="preserve"> - Procès dans un délai raisonnable - Droit criminel - Les juges majoritaires ont-ils erré en droit en refusant de soustraire le délai de 84 jours dont l’intimé admettait être responsable et qui était imputable à sa conduite? - Les juges majoritaires ont-ils erré en droit en intervenant à l’égard de la décision du juge de première instance d’imputer à l’intimé le délai de 112 jours causé par l’indisponibilité de son avocate alors que cette conclusion relevait de la discrétion du juge?</w:t>
      </w:r>
    </w:p>
    <w:p w:rsidR="00A878C5" w:rsidRPr="004F4118" w:rsidRDefault="00A878C5" w:rsidP="00A878C5">
      <w:pPr>
        <w:widowControl w:val="0"/>
        <w:jc w:val="both"/>
        <w:rPr>
          <w:sz w:val="20"/>
          <w:lang w:val="fr-CA"/>
        </w:rPr>
      </w:pPr>
    </w:p>
    <w:p w:rsidR="00A878C5" w:rsidRPr="004F4118" w:rsidRDefault="00A878C5" w:rsidP="00A878C5">
      <w:pPr>
        <w:widowControl w:val="0"/>
        <w:spacing w:before="60" w:after="60" w:line="0" w:lineRule="atLeast"/>
        <w:jc w:val="both"/>
        <w:rPr>
          <w:sz w:val="20"/>
          <w:lang w:val="fr-CA"/>
        </w:rPr>
      </w:pPr>
      <w:r w:rsidRPr="004F4118">
        <w:rPr>
          <w:sz w:val="20"/>
          <w:lang w:val="fr-CA"/>
        </w:rPr>
        <w:t xml:space="preserve">L’intimé, Marc-André Boulanger, fait face à quatre chefs d’accusation portés notamment en vertu de la </w:t>
      </w:r>
      <w:r w:rsidRPr="004F4118">
        <w:rPr>
          <w:i/>
          <w:sz w:val="20"/>
          <w:lang w:val="fr-CA"/>
        </w:rPr>
        <w:t>Loi réglementant certaines drogues et autres substances</w:t>
      </w:r>
      <w:r w:rsidRPr="004F4118">
        <w:rPr>
          <w:sz w:val="20"/>
          <w:lang w:val="fr-CA"/>
        </w:rPr>
        <w:t xml:space="preserve">. La Cour du Québec accueille la requête de l’intimé en arrêt des procédures pour délais déraisonnables en vertu de l’al. 11b) de la </w:t>
      </w:r>
      <w:r w:rsidRPr="004F4118">
        <w:rPr>
          <w:i/>
          <w:sz w:val="20"/>
          <w:lang w:val="fr-CA"/>
        </w:rPr>
        <w:t xml:space="preserve">Charte canadienne des droits et libertés </w:t>
      </w:r>
      <w:r w:rsidRPr="004F4118">
        <w:rPr>
          <w:sz w:val="20"/>
          <w:lang w:val="fr-CA"/>
        </w:rPr>
        <w:t xml:space="preserve">et ordonne l’arrêt des procédures sur les quatre chefs d’accusation reprochés. Selon le juge de première instance, il s’agit d’un délai net de 32 mois et 10 jours qui excède donc le plafond présumé de 30 mois. </w:t>
      </w:r>
    </w:p>
    <w:p w:rsidR="00A878C5" w:rsidRPr="004F4118" w:rsidRDefault="00A878C5" w:rsidP="00A878C5">
      <w:pPr>
        <w:widowControl w:val="0"/>
        <w:spacing w:before="60" w:after="60" w:line="0" w:lineRule="atLeast"/>
        <w:jc w:val="both"/>
        <w:rPr>
          <w:sz w:val="20"/>
          <w:lang w:val="fr-CA"/>
        </w:rPr>
      </w:pPr>
    </w:p>
    <w:p w:rsidR="00A878C5" w:rsidRPr="004F4118" w:rsidRDefault="00A878C5" w:rsidP="00A878C5">
      <w:pPr>
        <w:widowControl w:val="0"/>
        <w:spacing w:before="60" w:after="60" w:line="0" w:lineRule="atLeast"/>
        <w:jc w:val="both"/>
        <w:rPr>
          <w:sz w:val="20"/>
          <w:lang w:val="fr-CA"/>
        </w:rPr>
      </w:pPr>
      <w:r w:rsidRPr="004F4118">
        <w:rPr>
          <w:sz w:val="20"/>
          <w:lang w:val="fr-CA"/>
        </w:rPr>
        <w:t>Les juges majoritaires à la Cour d’appel du Québec rejettent l’appel de la poursuite de la décision de la Cour du Québec. Bien que l’analyse des juges majoritaires diverge de celle du juge d’instance quant aux délais relatifs à l’indisponibilité de l’avocate de l’intimé, ils sont d’avis que le juge d’instance a eu raison d’ordonner l’arrêt des procédures et partagent son évaluation globale de la cause principale des délais dans le cheminement de ce dossier : l’absence d’un plan de poursuite soigneusement conçu. Le juge Chamberland, dissident, aurait accueilli l’appel, infirmé la décision de la Cour du Québec, rejeté la requête de l’intimé en arrêt des procédures, et retourné le dossier devant le même juge, pour que celui-ci se prononce sur l’issue du procès. À son avis, il faut ajouter 84 jours aux délais imputables à la défense ce qui mène à un délai net inférieur au plafond de 30 mois applicable.</w:t>
      </w:r>
    </w:p>
    <w:p w:rsidR="00A878C5" w:rsidRPr="004F4118" w:rsidRDefault="00A878C5" w:rsidP="00A878C5">
      <w:pPr>
        <w:widowControl w:val="0"/>
        <w:jc w:val="both"/>
        <w:rPr>
          <w:sz w:val="20"/>
          <w:lang w:val="fr-CA"/>
        </w:rPr>
      </w:pPr>
    </w:p>
    <w:p w:rsidR="00A878C5" w:rsidRPr="004F4118" w:rsidRDefault="00DF0AA3" w:rsidP="00A878C5">
      <w:pPr>
        <w:widowControl w:val="0"/>
        <w:jc w:val="both"/>
        <w:rPr>
          <w:sz w:val="20"/>
          <w:lang w:val="fr-CA"/>
        </w:rPr>
      </w:pPr>
      <w:r>
        <w:rPr>
          <w:sz w:val="20"/>
        </w:rPr>
        <w:pict>
          <v:rect id="_x0000_i1055" style="width:2in;height:1pt" o:hrpct="0" o:hralign="center" o:hrstd="t" o:hrnoshade="t" o:hr="t" fillcolor="black [3213]" stroked="f"/>
        </w:pict>
      </w:r>
    </w:p>
    <w:p w:rsidR="00A878C5" w:rsidRPr="004F4118" w:rsidRDefault="00A878C5" w:rsidP="00A878C5">
      <w:pPr>
        <w:widowControl w:val="0"/>
        <w:tabs>
          <w:tab w:val="left" w:pos="720"/>
        </w:tabs>
        <w:ind w:left="2160" w:hanging="2160"/>
        <w:jc w:val="both"/>
        <w:rPr>
          <w:sz w:val="20"/>
          <w:szCs w:val="20"/>
        </w:rPr>
      </w:pPr>
    </w:p>
    <w:p w:rsidR="00A878C5" w:rsidRPr="004F4118" w:rsidRDefault="00A878C5" w:rsidP="00A878C5">
      <w:pPr>
        <w:widowControl w:val="0"/>
        <w:tabs>
          <w:tab w:val="left" w:pos="720"/>
        </w:tabs>
        <w:ind w:left="2160" w:hanging="2160"/>
        <w:jc w:val="both"/>
        <w:rPr>
          <w:b/>
          <w:i/>
          <w:sz w:val="20"/>
          <w:szCs w:val="20"/>
          <w:lang w:val="fr-CA"/>
        </w:rPr>
      </w:pPr>
      <w:r w:rsidRPr="004F4118">
        <w:rPr>
          <w:b/>
          <w:sz w:val="20"/>
          <w:szCs w:val="20"/>
        </w:rPr>
        <w:fldChar w:fldCharType="begin"/>
      </w:r>
      <w:r w:rsidRPr="004F4118">
        <w:rPr>
          <w:b/>
          <w:sz w:val="20"/>
          <w:szCs w:val="20"/>
          <w:lang w:val="fr-CA"/>
        </w:rPr>
        <w:instrText xml:space="preserve"> SEQ CHAPTER \h \r 1</w:instrText>
      </w:r>
      <w:r w:rsidRPr="004F4118">
        <w:rPr>
          <w:b/>
          <w:sz w:val="20"/>
          <w:szCs w:val="20"/>
        </w:rPr>
        <w:fldChar w:fldCharType="end"/>
      </w:r>
      <w:r w:rsidRPr="004F4118">
        <w:rPr>
          <w:b/>
          <w:sz w:val="20"/>
          <w:szCs w:val="20"/>
          <w:lang w:val="fr-CA"/>
        </w:rPr>
        <w:t>39381</w:t>
      </w:r>
      <w:r w:rsidRPr="004F4118">
        <w:rPr>
          <w:sz w:val="20"/>
          <w:szCs w:val="20"/>
          <w:lang w:val="fr-CA"/>
        </w:rPr>
        <w:tab/>
      </w:r>
      <w:r w:rsidRPr="004F4118">
        <w:rPr>
          <w:b/>
          <w:i/>
          <w:sz w:val="20"/>
          <w:szCs w:val="20"/>
          <w:lang w:val="fr-CA"/>
        </w:rPr>
        <w:t>Her Majesty the Queen v. Mélanie Ste-Marie et al.</w:t>
      </w:r>
    </w:p>
    <w:p w:rsidR="00A878C5" w:rsidRPr="004F4118" w:rsidRDefault="00A878C5" w:rsidP="00A878C5">
      <w:pPr>
        <w:widowControl w:val="0"/>
        <w:tabs>
          <w:tab w:val="left" w:pos="720"/>
        </w:tabs>
        <w:ind w:left="2160" w:hanging="2160"/>
        <w:jc w:val="both"/>
        <w:rPr>
          <w:sz w:val="20"/>
          <w:szCs w:val="20"/>
        </w:rPr>
      </w:pPr>
      <w:r w:rsidRPr="004F4118">
        <w:rPr>
          <w:b/>
          <w:i/>
          <w:sz w:val="20"/>
          <w:szCs w:val="20"/>
          <w:lang w:val="fr-CA"/>
        </w:rPr>
        <w:tab/>
      </w:r>
      <w:r w:rsidRPr="004F4118">
        <w:rPr>
          <w:sz w:val="20"/>
          <w:szCs w:val="20"/>
        </w:rPr>
        <w:t>(Que.) (Criminal) (By Leave)</w:t>
      </w:r>
    </w:p>
    <w:p w:rsidR="00A878C5" w:rsidRPr="004F4118" w:rsidRDefault="00A878C5" w:rsidP="00A878C5">
      <w:pPr>
        <w:pStyle w:val="SCCBanSummary0"/>
        <w:rPr>
          <w:i/>
          <w:smallCaps w:val="0"/>
          <w:sz w:val="20"/>
          <w:szCs w:val="20"/>
        </w:rPr>
      </w:pPr>
    </w:p>
    <w:p w:rsidR="00A878C5" w:rsidRPr="004F4118" w:rsidRDefault="00A878C5" w:rsidP="00A878C5">
      <w:pPr>
        <w:pStyle w:val="SCCBanSummary0"/>
        <w:rPr>
          <w:sz w:val="20"/>
          <w:szCs w:val="20"/>
        </w:rPr>
      </w:pPr>
      <w:r w:rsidRPr="004F4118">
        <w:rPr>
          <w:smallCaps w:val="0"/>
          <w:sz w:val="20"/>
          <w:szCs w:val="20"/>
        </w:rPr>
        <w:t xml:space="preserve">Charter of Rights </w:t>
      </w:r>
      <w:r w:rsidRPr="004F4118">
        <w:rPr>
          <w:smallCaps w:val="0"/>
          <w:sz w:val="20"/>
          <w:szCs w:val="20"/>
        </w:rPr>
        <w:noBreakHyphen/>
        <w:t xml:space="preserve"> Criminal law </w:t>
      </w:r>
      <w:r w:rsidRPr="004F4118">
        <w:rPr>
          <w:smallCaps w:val="0"/>
          <w:sz w:val="20"/>
          <w:szCs w:val="20"/>
        </w:rPr>
        <w:noBreakHyphen/>
        <w:t xml:space="preserve"> Right to be tried within a reasonable time </w:t>
      </w:r>
      <w:r w:rsidRPr="004F4118">
        <w:rPr>
          <w:smallCaps w:val="0"/>
          <w:sz w:val="20"/>
          <w:szCs w:val="20"/>
        </w:rPr>
        <w:noBreakHyphen/>
        <w:t xml:space="preserve"> Remedy </w:t>
      </w:r>
      <w:r w:rsidRPr="004F4118">
        <w:rPr>
          <w:smallCaps w:val="0"/>
          <w:sz w:val="20"/>
          <w:szCs w:val="20"/>
        </w:rPr>
        <w:noBreakHyphen/>
        <w:t xml:space="preserve"> Whether Quebec Court of Appeal erred in law in granting final stay of proceedings without addressing point of law validly raised by Crown, respondent in Court of Appeal, namely proper attribution of delay relating to extraordinary recourses exercised by defence </w:t>
      </w:r>
      <w:r w:rsidRPr="004F4118">
        <w:rPr>
          <w:smallCaps w:val="0"/>
          <w:sz w:val="20"/>
          <w:szCs w:val="20"/>
        </w:rPr>
        <w:noBreakHyphen/>
        <w:t xml:space="preserve"> Whether Quebec Court of Appeal erred in law in reviewing only part of legal framework of decision on motion for stay of proceedings under s. 11(b) of </w:t>
      </w:r>
      <w:r w:rsidRPr="004F4118">
        <w:rPr>
          <w:i/>
          <w:smallCaps w:val="0"/>
          <w:sz w:val="20"/>
          <w:szCs w:val="20"/>
        </w:rPr>
        <w:t>Canadian Charter of Rights and Freedoms</w:t>
      </w:r>
      <w:r w:rsidRPr="004F4118">
        <w:rPr>
          <w:smallCaps w:val="0"/>
          <w:sz w:val="20"/>
          <w:szCs w:val="20"/>
        </w:rPr>
        <w:t>, though framework ill</w:t>
      </w:r>
      <w:r w:rsidRPr="004F4118">
        <w:rPr>
          <w:smallCaps w:val="0"/>
          <w:sz w:val="20"/>
          <w:szCs w:val="20"/>
        </w:rPr>
        <w:noBreakHyphen/>
        <w:t>defined by trial judge.</w:t>
      </w:r>
    </w:p>
    <w:p w:rsidR="00A878C5" w:rsidRPr="004F4118" w:rsidRDefault="00A878C5" w:rsidP="00A878C5">
      <w:pPr>
        <w:widowControl w:val="0"/>
        <w:jc w:val="both"/>
        <w:rPr>
          <w:sz w:val="20"/>
          <w:szCs w:val="20"/>
        </w:rPr>
      </w:pPr>
    </w:p>
    <w:p w:rsidR="002333AB" w:rsidRPr="004F4118" w:rsidRDefault="002333AB">
      <w:pPr>
        <w:rPr>
          <w:sz w:val="20"/>
          <w:szCs w:val="20"/>
        </w:rPr>
      </w:pPr>
      <w:r w:rsidRPr="004F4118">
        <w:rPr>
          <w:sz w:val="20"/>
          <w:szCs w:val="20"/>
        </w:rPr>
        <w:br w:type="page"/>
      </w:r>
    </w:p>
    <w:p w:rsidR="00A878C5" w:rsidRPr="004F4118" w:rsidRDefault="00A878C5" w:rsidP="00A878C5">
      <w:pPr>
        <w:jc w:val="both"/>
        <w:rPr>
          <w:sz w:val="20"/>
          <w:szCs w:val="20"/>
        </w:rPr>
      </w:pPr>
      <w:r w:rsidRPr="004F4118">
        <w:rPr>
          <w:sz w:val="20"/>
          <w:szCs w:val="20"/>
        </w:rPr>
        <w:lastRenderedPageBreak/>
        <w:t>The respondents, Mélanie Ste</w:t>
      </w:r>
      <w:r w:rsidRPr="004F4118">
        <w:rPr>
          <w:sz w:val="20"/>
          <w:szCs w:val="20"/>
        </w:rPr>
        <w:noBreakHyphen/>
        <w:t>Marie, Michel Ste</w:t>
      </w:r>
      <w:r w:rsidRPr="004F4118">
        <w:rPr>
          <w:sz w:val="20"/>
          <w:szCs w:val="20"/>
        </w:rPr>
        <w:noBreakHyphen/>
        <w:t>Marie, Dax Ste</w:t>
      </w:r>
      <w:r w:rsidRPr="004F4118">
        <w:rPr>
          <w:sz w:val="20"/>
          <w:szCs w:val="20"/>
        </w:rPr>
        <w:noBreakHyphen/>
        <w:t xml:space="preserve">Marie and Richard Felx, were charged with conspiracy to launder proceeds of crime, laundering proceeds of crime, and commission of an offence for a criminal organization. In the Court of Québec, the respondents moved for a stay of proceedings for unreasonable delay. The Court of Québec found that s. 11(b) of the </w:t>
      </w:r>
      <w:r w:rsidRPr="004F4118">
        <w:rPr>
          <w:i/>
          <w:sz w:val="20"/>
          <w:szCs w:val="20"/>
        </w:rPr>
        <w:t>Charter</w:t>
      </w:r>
      <w:r w:rsidRPr="004F4118">
        <w:rPr>
          <w:sz w:val="20"/>
          <w:szCs w:val="20"/>
        </w:rPr>
        <w:t xml:space="preserve"> had been infringed but declined to stay the proceedings. It convicted the respondents of the offences charged. On appeal from the guilty verdicts, the Quebec Court of Appeal had to determine whether the Court of Québec had erred in declining to stay the proceedings after finding unreasonable delay. The Court of Appeal allowed the respondents’ appeals, quashed the convictions and ordered a stay of proceedings. </w:t>
      </w:r>
    </w:p>
    <w:p w:rsidR="00A878C5" w:rsidRPr="004F4118" w:rsidRDefault="00A878C5" w:rsidP="00A878C5">
      <w:pPr>
        <w:widowControl w:val="0"/>
        <w:jc w:val="both"/>
        <w:rPr>
          <w:sz w:val="20"/>
        </w:rPr>
      </w:pPr>
    </w:p>
    <w:p w:rsidR="00A878C5" w:rsidRPr="004F4118" w:rsidRDefault="00DF0AA3" w:rsidP="00A878C5">
      <w:pPr>
        <w:widowControl w:val="0"/>
        <w:jc w:val="both"/>
        <w:rPr>
          <w:sz w:val="20"/>
          <w:szCs w:val="20"/>
        </w:rPr>
      </w:pPr>
      <w:r>
        <w:rPr>
          <w:sz w:val="20"/>
        </w:rPr>
        <w:pict>
          <v:rect id="_x0000_i1056" style="width:2in;height:1pt" o:hrpct="0" o:hralign="center" o:hrstd="t" o:hrnoshade="t" o:hr="t" fillcolor="black [3213]" stroked="f"/>
        </w:pict>
      </w:r>
    </w:p>
    <w:p w:rsidR="00A878C5" w:rsidRPr="004F4118" w:rsidRDefault="00A878C5" w:rsidP="00A878C5">
      <w:pPr>
        <w:widowControl w:val="0"/>
        <w:jc w:val="both"/>
        <w:rPr>
          <w:sz w:val="20"/>
          <w:szCs w:val="20"/>
        </w:rPr>
      </w:pPr>
    </w:p>
    <w:p w:rsidR="00A878C5" w:rsidRPr="004F4118" w:rsidRDefault="00A878C5" w:rsidP="00A878C5">
      <w:pPr>
        <w:widowControl w:val="0"/>
        <w:tabs>
          <w:tab w:val="left" w:pos="720"/>
        </w:tabs>
        <w:ind w:left="2160" w:hanging="2160"/>
        <w:jc w:val="both"/>
        <w:rPr>
          <w:b/>
          <w:i/>
          <w:sz w:val="20"/>
          <w:szCs w:val="20"/>
          <w:lang w:val="fr-CA"/>
        </w:rPr>
      </w:pPr>
      <w:r w:rsidRPr="004F4118">
        <w:rPr>
          <w:b/>
          <w:sz w:val="20"/>
          <w:szCs w:val="20"/>
          <w:lang w:val="fr-CA"/>
        </w:rPr>
        <w:fldChar w:fldCharType="begin"/>
      </w:r>
      <w:r w:rsidRPr="004F4118">
        <w:rPr>
          <w:b/>
          <w:sz w:val="20"/>
          <w:szCs w:val="20"/>
          <w:lang w:val="fr-CA"/>
        </w:rPr>
        <w:instrText xml:space="preserve"> SEQ CHAPTER \h \r 1</w:instrText>
      </w:r>
      <w:r w:rsidRPr="004F4118">
        <w:rPr>
          <w:b/>
          <w:sz w:val="20"/>
          <w:szCs w:val="20"/>
        </w:rPr>
        <w:fldChar w:fldCharType="end"/>
      </w:r>
      <w:r w:rsidRPr="004F4118">
        <w:rPr>
          <w:b/>
          <w:sz w:val="20"/>
          <w:szCs w:val="20"/>
          <w:lang w:val="fr-CA"/>
        </w:rPr>
        <w:t>39381</w:t>
      </w:r>
      <w:r w:rsidRPr="004F4118">
        <w:rPr>
          <w:sz w:val="20"/>
          <w:szCs w:val="20"/>
          <w:lang w:val="fr-CA"/>
        </w:rPr>
        <w:tab/>
      </w:r>
      <w:r w:rsidRPr="004F4118">
        <w:rPr>
          <w:b/>
          <w:i/>
          <w:sz w:val="20"/>
          <w:szCs w:val="20"/>
          <w:lang w:val="fr-CA"/>
        </w:rPr>
        <w:t>Sa Majesté la Reine c. Mélanie Ste-Marie et al.</w:t>
      </w:r>
    </w:p>
    <w:p w:rsidR="00A878C5" w:rsidRPr="004F4118" w:rsidRDefault="00A878C5" w:rsidP="00A878C5">
      <w:pPr>
        <w:widowControl w:val="0"/>
        <w:tabs>
          <w:tab w:val="left" w:pos="720"/>
        </w:tabs>
        <w:ind w:left="2160" w:hanging="2160"/>
        <w:jc w:val="both"/>
        <w:rPr>
          <w:sz w:val="20"/>
          <w:szCs w:val="20"/>
          <w:lang w:val="fr-CA"/>
        </w:rPr>
      </w:pPr>
      <w:r w:rsidRPr="004F4118">
        <w:rPr>
          <w:b/>
          <w:i/>
          <w:sz w:val="20"/>
          <w:szCs w:val="20"/>
          <w:lang w:val="fr-CA"/>
        </w:rPr>
        <w:tab/>
      </w:r>
      <w:r w:rsidRPr="004F4118">
        <w:rPr>
          <w:sz w:val="20"/>
          <w:szCs w:val="20"/>
          <w:lang w:val="fr-CA"/>
        </w:rPr>
        <w:t>(Qc) (Criminelle) (Autorisation)</w:t>
      </w:r>
    </w:p>
    <w:p w:rsidR="00A878C5" w:rsidRPr="004F4118" w:rsidRDefault="00A878C5" w:rsidP="00A878C5">
      <w:pPr>
        <w:pStyle w:val="SCCBanSummary0"/>
        <w:rPr>
          <w:i/>
          <w:smallCaps w:val="0"/>
          <w:sz w:val="20"/>
          <w:szCs w:val="20"/>
          <w:lang w:val="fr-CA"/>
        </w:rPr>
      </w:pPr>
    </w:p>
    <w:p w:rsidR="00A878C5" w:rsidRPr="004F4118" w:rsidRDefault="00A878C5" w:rsidP="00A878C5">
      <w:pPr>
        <w:pStyle w:val="SCCBanSummary0"/>
        <w:rPr>
          <w:sz w:val="20"/>
          <w:szCs w:val="20"/>
          <w:lang w:val="fr-CA"/>
        </w:rPr>
      </w:pPr>
      <w:r w:rsidRPr="004F4118">
        <w:rPr>
          <w:i/>
          <w:smallCaps w:val="0"/>
          <w:sz w:val="20"/>
          <w:szCs w:val="20"/>
          <w:lang w:val="fr-CA"/>
        </w:rPr>
        <w:t>Charte des droits</w:t>
      </w:r>
      <w:r w:rsidRPr="004F4118">
        <w:rPr>
          <w:smallCaps w:val="0"/>
          <w:sz w:val="20"/>
          <w:szCs w:val="20"/>
          <w:lang w:val="fr-CA"/>
        </w:rPr>
        <w:t xml:space="preserve"> </w:t>
      </w:r>
      <w:r w:rsidRPr="004F4118">
        <w:rPr>
          <w:smallCaps w:val="0"/>
          <w:sz w:val="20"/>
          <w:szCs w:val="20"/>
          <w:lang w:val="fr-CA"/>
        </w:rPr>
        <w:noBreakHyphen/>
        <w:t xml:space="preserve"> Droit criminel </w:t>
      </w:r>
      <w:r w:rsidRPr="004F4118">
        <w:rPr>
          <w:smallCaps w:val="0"/>
          <w:sz w:val="20"/>
          <w:szCs w:val="20"/>
          <w:lang w:val="fr-CA"/>
        </w:rPr>
        <w:noBreakHyphen/>
        <w:t xml:space="preserve"> Procès dans un délai raisonnable </w:t>
      </w:r>
      <w:r w:rsidRPr="004F4118">
        <w:rPr>
          <w:smallCaps w:val="0"/>
          <w:sz w:val="20"/>
          <w:szCs w:val="20"/>
          <w:lang w:val="fr-CA"/>
        </w:rPr>
        <w:noBreakHyphen/>
        <w:t xml:space="preserve"> Réparation </w:t>
      </w:r>
      <w:r w:rsidRPr="004F4118">
        <w:rPr>
          <w:smallCaps w:val="0"/>
          <w:sz w:val="20"/>
          <w:szCs w:val="20"/>
          <w:lang w:val="fr-CA"/>
        </w:rPr>
        <w:noBreakHyphen/>
        <w:t xml:space="preserve"> La Cour d’appel du Québec a</w:t>
      </w:r>
      <w:r w:rsidRPr="004F4118">
        <w:rPr>
          <w:smallCaps w:val="0"/>
          <w:sz w:val="20"/>
          <w:szCs w:val="20"/>
          <w:lang w:val="fr-CA"/>
        </w:rPr>
        <w:noBreakHyphen/>
        <w:t>t</w:t>
      </w:r>
      <w:r w:rsidRPr="004F4118">
        <w:rPr>
          <w:smallCaps w:val="0"/>
          <w:sz w:val="20"/>
          <w:szCs w:val="20"/>
          <w:lang w:val="fr-CA"/>
        </w:rPr>
        <w:noBreakHyphen/>
        <w:t xml:space="preserve">elle erré en droit en accordant un arrêt définitif des procédures sans se prononcer sur un moyen de droit valablement invoqué par la Couronne, partie intimée en Cour d’appel, à savoir l’attribution correcte des délais portant sur les recours extraordinaires présentés par la défense? </w:t>
      </w:r>
      <w:r w:rsidRPr="004F4118">
        <w:rPr>
          <w:smallCaps w:val="0"/>
          <w:sz w:val="20"/>
          <w:szCs w:val="20"/>
          <w:lang w:val="fr-CA"/>
        </w:rPr>
        <w:noBreakHyphen/>
        <w:t xml:space="preserve"> La Cour d’appel du Québec a</w:t>
      </w:r>
      <w:r w:rsidRPr="004F4118">
        <w:rPr>
          <w:smallCaps w:val="0"/>
          <w:sz w:val="20"/>
          <w:szCs w:val="20"/>
          <w:lang w:val="fr-CA"/>
        </w:rPr>
        <w:noBreakHyphen/>
        <w:t>t</w:t>
      </w:r>
      <w:r w:rsidRPr="004F4118">
        <w:rPr>
          <w:smallCaps w:val="0"/>
          <w:sz w:val="20"/>
          <w:szCs w:val="20"/>
          <w:lang w:val="fr-CA"/>
        </w:rPr>
        <w:noBreakHyphen/>
        <w:t xml:space="preserve">elle erré en droit en ne révisant qu’une partie du cadre juridique de la décision sur la requête en arrêt des procédures sous l’al. 11b) de la </w:t>
      </w:r>
      <w:r w:rsidRPr="004F4118">
        <w:rPr>
          <w:i/>
          <w:smallCaps w:val="0"/>
          <w:sz w:val="20"/>
          <w:szCs w:val="20"/>
          <w:lang w:val="fr-CA"/>
        </w:rPr>
        <w:t>Charte canadienne des droits et libertés</w:t>
      </w:r>
      <w:r w:rsidRPr="004F4118">
        <w:rPr>
          <w:smallCaps w:val="0"/>
          <w:sz w:val="20"/>
          <w:szCs w:val="20"/>
          <w:lang w:val="fr-CA"/>
        </w:rPr>
        <w:t>, alors mal défini par le juge de première instance?</w:t>
      </w:r>
    </w:p>
    <w:p w:rsidR="00A878C5" w:rsidRPr="004F4118" w:rsidRDefault="00A878C5" w:rsidP="00A878C5">
      <w:pPr>
        <w:widowControl w:val="0"/>
        <w:jc w:val="both"/>
        <w:rPr>
          <w:sz w:val="20"/>
          <w:szCs w:val="20"/>
          <w:lang w:val="fr-CA"/>
        </w:rPr>
      </w:pPr>
    </w:p>
    <w:p w:rsidR="00A878C5" w:rsidRPr="004F4118" w:rsidRDefault="00A878C5" w:rsidP="00A878C5">
      <w:pPr>
        <w:jc w:val="both"/>
        <w:rPr>
          <w:sz w:val="20"/>
          <w:lang w:val="fr-CA"/>
        </w:rPr>
      </w:pPr>
      <w:r w:rsidRPr="004F4118">
        <w:rPr>
          <w:sz w:val="20"/>
          <w:szCs w:val="20"/>
          <w:lang w:val="fr-CA"/>
        </w:rPr>
        <w:t>Les intimés, Mélanie Ste</w:t>
      </w:r>
      <w:r w:rsidRPr="004F4118">
        <w:rPr>
          <w:sz w:val="20"/>
          <w:szCs w:val="20"/>
          <w:lang w:val="fr-CA"/>
        </w:rPr>
        <w:noBreakHyphen/>
        <w:t>Marie, Michel Ste</w:t>
      </w:r>
      <w:r w:rsidRPr="004F4118">
        <w:rPr>
          <w:sz w:val="20"/>
          <w:szCs w:val="20"/>
          <w:lang w:val="fr-CA"/>
        </w:rPr>
        <w:noBreakHyphen/>
        <w:t>Marie, Dax Ste</w:t>
      </w:r>
      <w:r w:rsidRPr="004F4118">
        <w:rPr>
          <w:sz w:val="20"/>
          <w:szCs w:val="20"/>
          <w:lang w:val="fr-CA"/>
        </w:rPr>
        <w:noBreakHyphen/>
        <w:t xml:space="preserve">Marie et Richard Felx, font face aux chefs d’accusation de complot en vue de recycler des produits de la criminalité, de recyclage des produits de la criminalité et de commission d’une infraction au profit d’une organisation criminelle. Devant la Cour du Québec, les intimés présentent une requête en arrêt des procédures pour délais déraisonnables. La Cour du Québec conclut à une violation de l’art. 11b) de la </w:t>
      </w:r>
      <w:r w:rsidRPr="004F4118">
        <w:rPr>
          <w:i/>
          <w:sz w:val="20"/>
          <w:szCs w:val="20"/>
          <w:lang w:val="fr-CA"/>
        </w:rPr>
        <w:t>Charte</w:t>
      </w:r>
      <w:r w:rsidRPr="004F4118">
        <w:rPr>
          <w:sz w:val="20"/>
          <w:szCs w:val="20"/>
          <w:lang w:val="fr-CA"/>
        </w:rPr>
        <w:t>, mais elle refuse d’ordonner l’arrêt des procédures. La Cour du Québec déclare les intimés coupables des infractions reprochées. En appel à l’encontre des verdicts de culpabilité, la Cour d’appel du Québec doit déterminer si la Cour du Québec a erré en refusant d’ordonner l’arrêt des procédures, après avoir conclu à des délais déraisonnables. La Cour d’appel accueille les appels des intimés, casse les déclarations de culpabilité et ordonne l’arrêt des procédures.</w:t>
      </w:r>
    </w:p>
    <w:p w:rsidR="00A878C5" w:rsidRPr="004F4118" w:rsidRDefault="00A878C5" w:rsidP="00A878C5">
      <w:pPr>
        <w:widowControl w:val="0"/>
        <w:jc w:val="both"/>
        <w:rPr>
          <w:sz w:val="20"/>
          <w:lang w:val="fr-CA"/>
        </w:rPr>
      </w:pPr>
    </w:p>
    <w:p w:rsidR="00A878C5" w:rsidRPr="004F4118" w:rsidRDefault="00DF0AA3" w:rsidP="00A878C5">
      <w:pPr>
        <w:widowControl w:val="0"/>
        <w:jc w:val="both"/>
        <w:rPr>
          <w:sz w:val="20"/>
          <w:lang w:val="fr-CA"/>
        </w:rPr>
      </w:pPr>
      <w:r>
        <w:rPr>
          <w:sz w:val="20"/>
        </w:rPr>
        <w:pict>
          <v:rect id="_x0000_i1057" style="width:2in;height:1pt" o:hrpct="0" o:hralign="center" o:hrstd="t" o:hrnoshade="t" o:hr="t" fillcolor="black [3213]" stroked="f"/>
        </w:pict>
      </w:r>
    </w:p>
    <w:p w:rsidR="00A878C5" w:rsidRPr="004F4118" w:rsidRDefault="00A878C5" w:rsidP="00A878C5">
      <w:pPr>
        <w:widowControl w:val="0"/>
        <w:jc w:val="both"/>
        <w:rPr>
          <w:sz w:val="20"/>
          <w:lang w:val="fr-CA"/>
        </w:rPr>
      </w:pPr>
    </w:p>
    <w:p w:rsidR="00A878C5" w:rsidRPr="004F4118" w:rsidRDefault="00A878C5" w:rsidP="00A878C5">
      <w:pPr>
        <w:widowControl w:val="0"/>
        <w:ind w:left="720" w:hanging="720"/>
        <w:jc w:val="both"/>
        <w:rPr>
          <w:b/>
          <w:i/>
          <w:sz w:val="20"/>
        </w:rPr>
      </w:pPr>
      <w:r w:rsidRPr="004F4118">
        <w:rPr>
          <w:b/>
          <w:sz w:val="20"/>
        </w:rPr>
        <w:fldChar w:fldCharType="begin"/>
      </w:r>
      <w:r w:rsidRPr="004F4118">
        <w:rPr>
          <w:b/>
          <w:sz w:val="20"/>
        </w:rPr>
        <w:instrText xml:space="preserve"> SEQ CHAPTER \h \r 1</w:instrText>
      </w:r>
      <w:r w:rsidRPr="004F4118">
        <w:rPr>
          <w:b/>
          <w:sz w:val="20"/>
        </w:rPr>
        <w:fldChar w:fldCharType="end"/>
      </w:r>
      <w:r w:rsidRPr="004F4118">
        <w:rPr>
          <w:b/>
          <w:sz w:val="20"/>
        </w:rPr>
        <w:t>39480</w:t>
      </w:r>
      <w:r w:rsidRPr="004F4118">
        <w:rPr>
          <w:b/>
          <w:sz w:val="20"/>
        </w:rPr>
        <w:tab/>
      </w:r>
      <w:r w:rsidRPr="004F4118">
        <w:rPr>
          <w:b/>
          <w:i/>
          <w:sz w:val="20"/>
        </w:rPr>
        <w:t>James Andrew Beaver v. Her Majesty the Queen</w:t>
      </w:r>
    </w:p>
    <w:p w:rsidR="00A878C5" w:rsidRPr="004F4118" w:rsidRDefault="00A878C5" w:rsidP="00A878C5">
      <w:pPr>
        <w:widowControl w:val="0"/>
        <w:ind w:left="1440" w:hanging="731"/>
        <w:jc w:val="both"/>
        <w:rPr>
          <w:sz w:val="20"/>
        </w:rPr>
      </w:pPr>
      <w:r w:rsidRPr="004F4118">
        <w:rPr>
          <w:sz w:val="20"/>
        </w:rPr>
        <w:t>(Alta.) (Criminal) (By leave)</w:t>
      </w:r>
    </w:p>
    <w:p w:rsidR="00A878C5" w:rsidRPr="004F4118" w:rsidRDefault="00A878C5" w:rsidP="00A878C5">
      <w:pPr>
        <w:widowControl w:val="0"/>
        <w:jc w:val="both"/>
        <w:rPr>
          <w:sz w:val="20"/>
        </w:rPr>
      </w:pPr>
    </w:p>
    <w:p w:rsidR="00A878C5" w:rsidRPr="004F4118" w:rsidRDefault="00A878C5" w:rsidP="00A878C5">
      <w:pPr>
        <w:jc w:val="both"/>
        <w:rPr>
          <w:sz w:val="20"/>
        </w:rPr>
      </w:pPr>
      <w:r w:rsidRPr="004F4118">
        <w:rPr>
          <w:sz w:val="20"/>
        </w:rPr>
        <w:t xml:space="preserve">Criminal law - </w:t>
      </w:r>
      <w:r w:rsidRPr="004F4118">
        <w:rPr>
          <w:i/>
          <w:sz w:val="20"/>
        </w:rPr>
        <w:t>Charter of Rights</w:t>
      </w:r>
      <w:r w:rsidRPr="004F4118">
        <w:rPr>
          <w:sz w:val="20"/>
        </w:rPr>
        <w:t xml:space="preserve"> - Evidence - Admissibility - Reasonable and probable grounds for arrest - Under what circumstances can police attempts at a “fresh start” insulate evidence from admissibility consideration pursuant to s. 24(2) of the </w:t>
      </w:r>
      <w:r w:rsidRPr="004F4118">
        <w:rPr>
          <w:i/>
          <w:sz w:val="20"/>
        </w:rPr>
        <w:t>Charter</w:t>
      </w:r>
      <w:r w:rsidRPr="004F4118">
        <w:rPr>
          <w:sz w:val="20"/>
        </w:rPr>
        <w:t xml:space="preserve"> - Should judicial scrutiny of reasonable and probable grounds be more stringent in circumstances where the arrestee was unlawfully detained and police have no notes regarding the grounds for arrest or the information relied upon - What information must be imparted to a detainee to permit them to make a meaningful choice about whether or not to speak with police?</w:t>
      </w:r>
    </w:p>
    <w:p w:rsidR="00A878C5" w:rsidRPr="004F4118" w:rsidRDefault="00A878C5" w:rsidP="00A878C5">
      <w:pPr>
        <w:jc w:val="both"/>
        <w:rPr>
          <w:sz w:val="20"/>
        </w:rPr>
      </w:pPr>
    </w:p>
    <w:p w:rsidR="002333AB" w:rsidRPr="004F4118" w:rsidRDefault="002333AB">
      <w:pPr>
        <w:rPr>
          <w:sz w:val="20"/>
        </w:rPr>
      </w:pPr>
      <w:r w:rsidRPr="004F4118">
        <w:rPr>
          <w:sz w:val="20"/>
        </w:rPr>
        <w:br w:type="page"/>
      </w:r>
    </w:p>
    <w:p w:rsidR="00A878C5" w:rsidRPr="004F4118" w:rsidRDefault="00A878C5" w:rsidP="00A878C5">
      <w:pPr>
        <w:jc w:val="both"/>
        <w:rPr>
          <w:sz w:val="20"/>
        </w:rPr>
      </w:pPr>
      <w:r w:rsidRPr="004F4118">
        <w:rPr>
          <w:sz w:val="20"/>
        </w:rPr>
        <w:lastRenderedPageBreak/>
        <w:t>The appellant and his co-accused were convicted of manslaughter in relation to the death of their roommate. After being initially detained by officers at the scene under a non-existent act, they were arrested by detectives for murder two hours later at the police station. Following a lengthy interview, the co-accused confessed to their involvement in the death of the roommate; when confronted with the confession, the appellant admitted his participation as well. At trial, the appellant sought a stay of proceedings or, alternatively, the exclusion of all evidence which derived from alleged violations of his rights protected by ss. 7, 9, 10(</w:t>
      </w:r>
      <w:r w:rsidRPr="004F4118">
        <w:rPr>
          <w:i/>
          <w:sz w:val="20"/>
        </w:rPr>
        <w:t>a</w:t>
      </w:r>
      <w:r w:rsidRPr="004F4118">
        <w:rPr>
          <w:sz w:val="20"/>
        </w:rPr>
        <w:t>) and 10(</w:t>
      </w:r>
      <w:r w:rsidRPr="004F4118">
        <w:rPr>
          <w:i/>
          <w:sz w:val="20"/>
        </w:rPr>
        <w:t>b</w:t>
      </w:r>
      <w:r w:rsidRPr="004F4118">
        <w:rPr>
          <w:sz w:val="20"/>
        </w:rPr>
        <w:t xml:space="preserve">) of the </w:t>
      </w:r>
      <w:r w:rsidRPr="004F4118">
        <w:rPr>
          <w:i/>
          <w:sz w:val="20"/>
        </w:rPr>
        <w:t>Canadian</w:t>
      </w:r>
      <w:r w:rsidRPr="004F4118">
        <w:rPr>
          <w:sz w:val="20"/>
        </w:rPr>
        <w:t xml:space="preserve"> </w:t>
      </w:r>
      <w:r w:rsidRPr="004F4118">
        <w:rPr>
          <w:i/>
          <w:sz w:val="20"/>
        </w:rPr>
        <w:t>Charter of Rights and Freedoms</w:t>
      </w:r>
      <w:r w:rsidRPr="004F4118">
        <w:rPr>
          <w:sz w:val="20"/>
        </w:rPr>
        <w:t xml:space="preserve">. The appellant also alleged that the detective who arrested him at the station did not have reasonable and probable grounds to do so. The Crown conceded that the appellant’s </w:t>
      </w:r>
      <w:r w:rsidRPr="004F4118">
        <w:rPr>
          <w:i/>
          <w:sz w:val="20"/>
        </w:rPr>
        <w:t>Charter</w:t>
      </w:r>
      <w:r w:rsidRPr="004F4118">
        <w:rPr>
          <w:sz w:val="20"/>
        </w:rPr>
        <w:t xml:space="preserve"> rights had been breached when he was detained under a non-existent law, but argued that the arrest at the station constituted a “fresh start” which insulated his confession from the previous breaches. The trial judge dismissed the</w:t>
      </w:r>
      <w:r w:rsidRPr="004F4118">
        <w:rPr>
          <w:i/>
          <w:sz w:val="20"/>
        </w:rPr>
        <w:t xml:space="preserve"> </w:t>
      </w:r>
      <w:r w:rsidRPr="004F4118">
        <w:rPr>
          <w:sz w:val="20"/>
        </w:rPr>
        <w:t xml:space="preserve">application, finding that the police had reasonable and probable grounds to arrest the appellant for murder at the police station, and that the arrest constituted a “fresh start” which cured the previous breaches. He concluded that the appellant’s subsequent confession had not been tainted by the breaches. Nevertheless, the trial judge conducted a s. 24(2) analysis as set out in </w:t>
      </w:r>
      <w:r w:rsidRPr="004F4118">
        <w:rPr>
          <w:i/>
          <w:sz w:val="20"/>
        </w:rPr>
        <w:t>R. v. Grant</w:t>
      </w:r>
      <w:r w:rsidRPr="004F4118">
        <w:rPr>
          <w:sz w:val="20"/>
        </w:rPr>
        <w:t>, 2009 SCC 32, and concluded that the confession would have been admitted, in any event. The Court of Appeal unanimously dismissed the appellant’s appeal.</w:t>
      </w:r>
    </w:p>
    <w:p w:rsidR="00A878C5" w:rsidRPr="004F4118" w:rsidRDefault="00A878C5" w:rsidP="00A878C5">
      <w:pPr>
        <w:widowControl w:val="0"/>
        <w:jc w:val="both"/>
        <w:rPr>
          <w:sz w:val="20"/>
        </w:rPr>
      </w:pPr>
    </w:p>
    <w:p w:rsidR="00A878C5" w:rsidRPr="004F4118" w:rsidRDefault="00DF0AA3" w:rsidP="00A878C5">
      <w:pPr>
        <w:widowControl w:val="0"/>
        <w:jc w:val="both"/>
        <w:rPr>
          <w:sz w:val="20"/>
        </w:rPr>
      </w:pPr>
      <w:r>
        <w:rPr>
          <w:sz w:val="20"/>
        </w:rPr>
        <w:pict>
          <v:rect id="_x0000_i1058" style="width:2in;height:1pt" o:hrpct="0" o:hralign="center" o:hrstd="t" o:hrnoshade="t" o:hr="t" fillcolor="black [3213]" stroked="f"/>
        </w:pict>
      </w:r>
    </w:p>
    <w:p w:rsidR="00A878C5" w:rsidRPr="004F4118" w:rsidRDefault="00A878C5" w:rsidP="00A878C5">
      <w:pPr>
        <w:widowControl w:val="0"/>
        <w:jc w:val="both"/>
        <w:rPr>
          <w:sz w:val="20"/>
        </w:rPr>
      </w:pPr>
    </w:p>
    <w:p w:rsidR="00A878C5" w:rsidRPr="004F4118" w:rsidRDefault="00A878C5" w:rsidP="00A878C5">
      <w:pPr>
        <w:pStyle w:val="SCCLsocParty"/>
        <w:jc w:val="both"/>
        <w:rPr>
          <w:b/>
          <w:i/>
          <w:sz w:val="20"/>
          <w:szCs w:val="20"/>
        </w:rPr>
      </w:pPr>
      <w:r w:rsidRPr="004F4118">
        <w:rPr>
          <w:rStyle w:val="SCCFileNumberChar"/>
          <w:sz w:val="20"/>
          <w:szCs w:val="20"/>
          <w:lang w:val="fr-CA"/>
        </w:rPr>
        <w:t>39480</w:t>
      </w:r>
      <w:r w:rsidRPr="004F4118">
        <w:rPr>
          <w:rStyle w:val="SCCFileNumberChar"/>
          <w:sz w:val="20"/>
          <w:szCs w:val="20"/>
          <w:lang w:val="fr-CA"/>
        </w:rPr>
        <w:tab/>
      </w:r>
      <w:r w:rsidRPr="004F4118">
        <w:rPr>
          <w:b/>
          <w:i/>
          <w:sz w:val="20"/>
          <w:szCs w:val="20"/>
        </w:rPr>
        <w:t>James Andrew Beaver c. Sa Majesté la Reine</w:t>
      </w:r>
    </w:p>
    <w:p w:rsidR="00A878C5" w:rsidRPr="004F4118" w:rsidRDefault="00A878C5" w:rsidP="00A878C5">
      <w:pPr>
        <w:widowControl w:val="0"/>
        <w:ind w:firstLine="720"/>
        <w:jc w:val="both"/>
        <w:rPr>
          <w:sz w:val="20"/>
          <w:lang w:val="fr-CA"/>
        </w:rPr>
      </w:pPr>
      <w:r w:rsidRPr="004F4118">
        <w:rPr>
          <w:sz w:val="20"/>
          <w:lang w:val="fr-CA"/>
        </w:rPr>
        <w:t>(Alb.) (Criminelle) (Sur autorisation)</w:t>
      </w:r>
    </w:p>
    <w:p w:rsidR="00A878C5" w:rsidRPr="004F4118" w:rsidRDefault="00A878C5" w:rsidP="00A878C5">
      <w:pPr>
        <w:jc w:val="both"/>
        <w:rPr>
          <w:sz w:val="20"/>
          <w:lang w:val="fr-CA"/>
        </w:rPr>
      </w:pPr>
    </w:p>
    <w:p w:rsidR="00A878C5" w:rsidRPr="004F4118" w:rsidRDefault="00A878C5" w:rsidP="00A878C5">
      <w:pPr>
        <w:widowControl w:val="0"/>
        <w:jc w:val="both"/>
        <w:rPr>
          <w:sz w:val="20"/>
          <w:lang w:val="fr-CA"/>
        </w:rPr>
      </w:pPr>
      <w:r w:rsidRPr="004F4118">
        <w:rPr>
          <w:sz w:val="20"/>
          <w:lang w:val="fr-CA"/>
        </w:rPr>
        <w:t>Droit criminel -</w:t>
      </w:r>
      <w:r w:rsidRPr="004F4118">
        <w:rPr>
          <w:i/>
          <w:sz w:val="20"/>
          <w:lang w:val="fr-CA"/>
        </w:rPr>
        <w:t xml:space="preserve"> Charte des droits </w:t>
      </w:r>
      <w:r w:rsidRPr="004F4118">
        <w:rPr>
          <w:sz w:val="20"/>
          <w:lang w:val="fr-CA"/>
        </w:rPr>
        <w:t xml:space="preserve">- Preuve - Admissibilité - Motifs raisonnables et probables de procéder à une arrestation - Dans quelles circonstances les tentatives de la police d’obtenir un « nouveau départ » peuvent-elles mettre la preuve à l’abri d’un examen de son admissibilité en vertu du par. 24(2) de la </w:t>
      </w:r>
      <w:r w:rsidRPr="004F4118">
        <w:rPr>
          <w:i/>
          <w:sz w:val="20"/>
          <w:lang w:val="fr-CA"/>
        </w:rPr>
        <w:t>Charte</w:t>
      </w:r>
      <w:r w:rsidRPr="004F4118">
        <w:rPr>
          <w:sz w:val="20"/>
          <w:lang w:val="fr-CA"/>
        </w:rPr>
        <w:t>? - Le contrôle judiciaire des motifs raisonnables et probables devrait-il être plus rigoureux dans des circonstances où la personne arrêtée a été détenue de manière illicite et où la police ne dispose pas de notes concernant les motifs de l’arrestation ou les renseignements justifiant l’arrestation? - Quelle information doit être transmise à une personne détenue pour lui permettre de faire un choix réel quant à savoir si elle doit parler à la police ou non?</w:t>
      </w:r>
    </w:p>
    <w:p w:rsidR="00A878C5" w:rsidRPr="004F4118" w:rsidRDefault="00A878C5" w:rsidP="00A878C5">
      <w:pPr>
        <w:widowControl w:val="0"/>
        <w:jc w:val="both"/>
        <w:rPr>
          <w:sz w:val="20"/>
          <w:lang w:val="fr-CA"/>
        </w:rPr>
      </w:pPr>
    </w:p>
    <w:p w:rsidR="00A878C5" w:rsidRPr="004F4118" w:rsidRDefault="00A878C5" w:rsidP="00A878C5">
      <w:pPr>
        <w:jc w:val="both"/>
        <w:rPr>
          <w:sz w:val="20"/>
          <w:lang w:val="fr-CA" w:eastAsia="en-CA"/>
        </w:rPr>
      </w:pPr>
      <w:r w:rsidRPr="004F4118">
        <w:rPr>
          <w:sz w:val="20"/>
          <w:lang w:val="fr-CA" w:eastAsia="en-CA"/>
        </w:rPr>
        <w:t>L’appelant et son coaccusé ont été déclarés coupables d’homicide involontaire coupable relativement au décès de leur colocataire. Après avoir initialement été détenus par des policiers sur la scène au titre d’une loi non existante, ils ont été arrêtés par des détectives au poste de police pour le meurtre deux heures plus tard. À la suite d’un long interrogatoire, le coaccusé a avoué son implication dans le décès du colocataire; lorsqu’il a été exposé aux aveux, l’appelant a également avoué son implication. Lors du procès, l’appelant a sollicité l’arrêt des procédures ou, de manière subsidiaire, l’exclusion de tous les éléments de preuve qui provenaient des violations alléguées de ses droits protégés par les art. 7 et 9, et les al. 10</w:t>
      </w:r>
      <w:r w:rsidRPr="004F4118">
        <w:rPr>
          <w:i/>
          <w:sz w:val="20"/>
          <w:lang w:val="fr-CA" w:eastAsia="en-CA"/>
        </w:rPr>
        <w:t>a</w:t>
      </w:r>
      <w:r w:rsidRPr="004F4118">
        <w:rPr>
          <w:sz w:val="20"/>
          <w:lang w:val="fr-CA" w:eastAsia="en-CA"/>
        </w:rPr>
        <w:t>) et 10</w:t>
      </w:r>
      <w:r w:rsidRPr="004F4118">
        <w:rPr>
          <w:i/>
          <w:sz w:val="20"/>
          <w:lang w:val="fr-CA" w:eastAsia="en-CA"/>
        </w:rPr>
        <w:t>b</w:t>
      </w:r>
      <w:r w:rsidRPr="004F4118">
        <w:rPr>
          <w:sz w:val="20"/>
          <w:lang w:val="fr-CA" w:eastAsia="en-CA"/>
        </w:rPr>
        <w:t xml:space="preserve">) de la </w:t>
      </w:r>
      <w:r w:rsidRPr="004F4118">
        <w:rPr>
          <w:i/>
          <w:sz w:val="20"/>
          <w:lang w:val="fr-CA" w:eastAsia="en-CA"/>
        </w:rPr>
        <w:t>Charte canadienne des droits et libertés</w:t>
      </w:r>
      <w:r w:rsidRPr="004F4118">
        <w:rPr>
          <w:sz w:val="20"/>
          <w:lang w:val="fr-CA" w:eastAsia="en-CA"/>
        </w:rPr>
        <w:t xml:space="preserve">. L’appelant a aussi prétendu que le détective qui l’a arrêté au poste de police n’avait pas de motifs raisonnables et probables de procéder à l’arrestation. La Couronne a reconnu que les droits garantis à l’appelant par la </w:t>
      </w:r>
      <w:r w:rsidRPr="004F4118">
        <w:rPr>
          <w:i/>
          <w:sz w:val="20"/>
          <w:lang w:val="fr-CA" w:eastAsia="en-CA"/>
        </w:rPr>
        <w:t>Charte</w:t>
      </w:r>
      <w:r w:rsidRPr="004F4118">
        <w:rPr>
          <w:sz w:val="20"/>
          <w:lang w:val="fr-CA" w:eastAsia="en-CA"/>
        </w:rPr>
        <w:t xml:space="preserve"> avaient été violés lorsqu’il a été détenu au titre d’une loi non existante, mais a plaidé que l’arrestation au poste de police constituait un « nouveau départ » qui permettait d’isoler ses aveux des violations antérieures.</w:t>
      </w:r>
    </w:p>
    <w:p w:rsidR="00A878C5" w:rsidRPr="004F4118" w:rsidRDefault="00A878C5" w:rsidP="00A878C5">
      <w:pPr>
        <w:jc w:val="both"/>
        <w:rPr>
          <w:sz w:val="20"/>
          <w:lang w:val="fr-CA" w:eastAsia="en-CA"/>
        </w:rPr>
      </w:pPr>
    </w:p>
    <w:p w:rsidR="00A878C5" w:rsidRPr="004F4118" w:rsidRDefault="00A878C5" w:rsidP="00A878C5">
      <w:pPr>
        <w:widowControl w:val="0"/>
        <w:jc w:val="both"/>
        <w:rPr>
          <w:sz w:val="20"/>
          <w:lang w:val="fr-CA"/>
        </w:rPr>
      </w:pPr>
      <w:r w:rsidRPr="004F4118">
        <w:rPr>
          <w:sz w:val="20"/>
          <w:lang w:val="fr-CA" w:eastAsia="en-CA"/>
        </w:rPr>
        <w:t>Le juge du procès a rejeté la demande, concluant que la police avait des motifs raisonnables et probables de procéder à l’arrestation de l’appelant au poste de police pour le meurtre, et que l’arrestation constituait un « nouveau départ » qui a permis de remédier aux violations antérieures. Il a conclu que l’aveu subséquent de l’appelant n’avait pas été entaché par les violations. Néanmoins, le juge de première instance a mené l’analyse selon le par. 24(2) telle qu’elle est établie dans l’arrêt</w:t>
      </w:r>
      <w:r w:rsidRPr="004F4118">
        <w:rPr>
          <w:i/>
          <w:sz w:val="20"/>
          <w:lang w:val="fr-CA" w:eastAsia="en-CA"/>
        </w:rPr>
        <w:t xml:space="preserve"> R. c. Grant</w:t>
      </w:r>
      <w:r w:rsidRPr="004F4118">
        <w:rPr>
          <w:sz w:val="20"/>
          <w:lang w:val="fr-CA" w:eastAsia="en-CA"/>
        </w:rPr>
        <w:t>, 2009 CSC 32, et a conclu que l’aveu aurait été admis en preuve quoi qu’il en soit. La Cour d’appel a unanimement rejeté l’appel interjeté par l’appelant.</w:t>
      </w:r>
    </w:p>
    <w:p w:rsidR="00A878C5" w:rsidRPr="004F4118" w:rsidRDefault="00A878C5" w:rsidP="00A878C5">
      <w:pPr>
        <w:jc w:val="both"/>
        <w:rPr>
          <w:sz w:val="20"/>
          <w:lang w:val="fr-CA"/>
        </w:rPr>
      </w:pPr>
    </w:p>
    <w:p w:rsidR="00A878C5" w:rsidRPr="004F4118" w:rsidRDefault="00DF0AA3" w:rsidP="00A878C5">
      <w:pPr>
        <w:widowControl w:val="0"/>
        <w:jc w:val="both"/>
        <w:rPr>
          <w:sz w:val="20"/>
          <w:lang w:val="fr-CA"/>
        </w:rPr>
      </w:pPr>
      <w:r>
        <w:rPr>
          <w:sz w:val="20"/>
        </w:rPr>
        <w:pict>
          <v:rect id="_x0000_i1059" style="width:2in;height:1pt" o:hrpct="0" o:hralign="center" o:hrstd="t" o:hrnoshade="t" o:hr="t" fillcolor="black [3213]" stroked="f"/>
        </w:pict>
      </w:r>
    </w:p>
    <w:p w:rsidR="00A878C5" w:rsidRPr="004F4118" w:rsidRDefault="00A878C5" w:rsidP="00A878C5">
      <w:pPr>
        <w:widowControl w:val="0"/>
        <w:jc w:val="both"/>
        <w:rPr>
          <w:sz w:val="20"/>
          <w:lang w:val="fr-CA"/>
        </w:rPr>
      </w:pPr>
    </w:p>
    <w:p w:rsidR="00A878C5" w:rsidRPr="004F4118" w:rsidRDefault="00A878C5" w:rsidP="00A878C5">
      <w:pPr>
        <w:widowControl w:val="0"/>
        <w:ind w:left="720" w:hanging="720"/>
        <w:jc w:val="both"/>
        <w:rPr>
          <w:b/>
          <w:i/>
          <w:sz w:val="20"/>
        </w:rPr>
      </w:pPr>
      <w:r w:rsidRPr="004F4118">
        <w:rPr>
          <w:b/>
          <w:sz w:val="20"/>
        </w:rPr>
        <w:fldChar w:fldCharType="begin"/>
      </w:r>
      <w:r w:rsidRPr="004F4118">
        <w:rPr>
          <w:b/>
          <w:sz w:val="20"/>
        </w:rPr>
        <w:instrText xml:space="preserve"> SEQ CHAPTER \h \r 1</w:instrText>
      </w:r>
      <w:r w:rsidRPr="004F4118">
        <w:rPr>
          <w:b/>
          <w:sz w:val="20"/>
        </w:rPr>
        <w:fldChar w:fldCharType="end"/>
      </w:r>
      <w:r w:rsidRPr="004F4118">
        <w:rPr>
          <w:b/>
          <w:sz w:val="20"/>
        </w:rPr>
        <w:t>39481</w:t>
      </w:r>
      <w:r w:rsidRPr="004F4118">
        <w:rPr>
          <w:sz w:val="20"/>
        </w:rPr>
        <w:tab/>
      </w:r>
      <w:r w:rsidRPr="004F4118">
        <w:rPr>
          <w:b/>
          <w:i/>
          <w:sz w:val="20"/>
        </w:rPr>
        <w:t>Brian John Lambert v. Her Majesty the Queen</w:t>
      </w:r>
    </w:p>
    <w:p w:rsidR="00A878C5" w:rsidRPr="004F4118" w:rsidRDefault="00A878C5" w:rsidP="00A878C5">
      <w:pPr>
        <w:widowControl w:val="0"/>
        <w:ind w:left="1440" w:hanging="731"/>
        <w:jc w:val="both"/>
        <w:rPr>
          <w:sz w:val="20"/>
        </w:rPr>
      </w:pPr>
      <w:r w:rsidRPr="004F4118">
        <w:rPr>
          <w:sz w:val="20"/>
        </w:rPr>
        <w:t>(Alta.) (Criminal) (By leave)</w:t>
      </w:r>
    </w:p>
    <w:p w:rsidR="00A878C5" w:rsidRPr="004F4118" w:rsidRDefault="00A878C5" w:rsidP="00A878C5">
      <w:pPr>
        <w:widowControl w:val="0"/>
        <w:jc w:val="both"/>
        <w:rPr>
          <w:sz w:val="20"/>
        </w:rPr>
      </w:pPr>
    </w:p>
    <w:p w:rsidR="002333AB" w:rsidRPr="004F4118" w:rsidRDefault="002333AB">
      <w:pPr>
        <w:rPr>
          <w:sz w:val="20"/>
        </w:rPr>
      </w:pPr>
      <w:r w:rsidRPr="004F4118">
        <w:rPr>
          <w:sz w:val="20"/>
        </w:rPr>
        <w:br w:type="page"/>
      </w:r>
    </w:p>
    <w:p w:rsidR="00A878C5" w:rsidRPr="004F4118" w:rsidRDefault="00A878C5" w:rsidP="00A878C5">
      <w:pPr>
        <w:jc w:val="both"/>
        <w:rPr>
          <w:sz w:val="20"/>
        </w:rPr>
      </w:pPr>
      <w:r w:rsidRPr="004F4118">
        <w:rPr>
          <w:sz w:val="20"/>
        </w:rPr>
        <w:lastRenderedPageBreak/>
        <w:t xml:space="preserve">Criminal law - </w:t>
      </w:r>
      <w:r w:rsidRPr="004F4118">
        <w:rPr>
          <w:i/>
          <w:sz w:val="20"/>
        </w:rPr>
        <w:t>Charter of Rights</w:t>
      </w:r>
      <w:r w:rsidRPr="004F4118">
        <w:rPr>
          <w:sz w:val="20"/>
        </w:rPr>
        <w:t xml:space="preserve"> - Evidence - Admissibility - Reasonable and probable grounds for arrest - Under what circumstances can police attempts at a “fresh start” insulate evidence from admissibility consideration pursuant to s. 24(2) of the </w:t>
      </w:r>
      <w:r w:rsidRPr="004F4118">
        <w:rPr>
          <w:i/>
          <w:sz w:val="20"/>
        </w:rPr>
        <w:t>Charter</w:t>
      </w:r>
      <w:r w:rsidRPr="004F4118">
        <w:rPr>
          <w:sz w:val="20"/>
        </w:rPr>
        <w:t xml:space="preserve"> - Should judicial scrutiny of reasonable and probable grounds be more stringent in circumstances where the arrestee was unlawfully detained and police have no notes regarding the grounds for arrest or the information relied upon.</w:t>
      </w:r>
    </w:p>
    <w:p w:rsidR="00A878C5" w:rsidRPr="004F4118" w:rsidRDefault="00A878C5" w:rsidP="00A878C5">
      <w:pPr>
        <w:jc w:val="both"/>
        <w:rPr>
          <w:sz w:val="20"/>
        </w:rPr>
      </w:pPr>
    </w:p>
    <w:p w:rsidR="00A878C5" w:rsidRPr="004F4118" w:rsidRDefault="00A878C5" w:rsidP="00A878C5">
      <w:pPr>
        <w:jc w:val="both"/>
        <w:rPr>
          <w:sz w:val="20"/>
        </w:rPr>
      </w:pPr>
      <w:r w:rsidRPr="004F4118">
        <w:rPr>
          <w:sz w:val="20"/>
        </w:rPr>
        <w:t>The appellant and his co-accused were convicted of manslaughter in relation to the death of their roommate. After being initially detained by officers at the scene under a non-existent act, they were arrested by detectives for murder two hours later at the police station. Following a lengthy interview, the appellant confessed to their involvement in the death of the roommate; when confronted with the confession, the co-accused admitted his participation as well. At trial, the appellant sought the exclusion of all evidence which derived from alleged violations of his rights protected by ss. 7, 8, 9 and 10(</w:t>
      </w:r>
      <w:r w:rsidRPr="004F4118">
        <w:rPr>
          <w:i/>
          <w:sz w:val="20"/>
        </w:rPr>
        <w:t>b</w:t>
      </w:r>
      <w:r w:rsidRPr="004F4118">
        <w:rPr>
          <w:sz w:val="20"/>
        </w:rPr>
        <w:t xml:space="preserve">) of the </w:t>
      </w:r>
      <w:r w:rsidRPr="004F4118">
        <w:rPr>
          <w:i/>
          <w:sz w:val="20"/>
        </w:rPr>
        <w:t>Canadian</w:t>
      </w:r>
      <w:r w:rsidRPr="004F4118">
        <w:rPr>
          <w:sz w:val="20"/>
        </w:rPr>
        <w:t xml:space="preserve"> </w:t>
      </w:r>
      <w:r w:rsidRPr="004F4118">
        <w:rPr>
          <w:i/>
          <w:sz w:val="20"/>
        </w:rPr>
        <w:t>Charter of Rights and Freedoms</w:t>
      </w:r>
      <w:r w:rsidRPr="004F4118">
        <w:rPr>
          <w:sz w:val="20"/>
        </w:rPr>
        <w:t xml:space="preserve">. The appellant also alleged that the detective who arrested him at the station did not have reasonable and probable grounds to do so. The Crown conceded that the appellant’s </w:t>
      </w:r>
      <w:r w:rsidRPr="004F4118">
        <w:rPr>
          <w:i/>
          <w:sz w:val="20"/>
        </w:rPr>
        <w:t>Charter</w:t>
      </w:r>
      <w:r w:rsidRPr="004F4118">
        <w:rPr>
          <w:sz w:val="20"/>
        </w:rPr>
        <w:t xml:space="preserve"> rights had been breached when he was detained under a non-existent law, but argued that the arrest at the station constituted a “fresh start” which insulated his confession from the previous breaches. The trial judge dismissed the</w:t>
      </w:r>
      <w:r w:rsidRPr="004F4118">
        <w:rPr>
          <w:i/>
          <w:sz w:val="20"/>
        </w:rPr>
        <w:t xml:space="preserve"> </w:t>
      </w:r>
      <w:r w:rsidRPr="004F4118">
        <w:rPr>
          <w:sz w:val="20"/>
        </w:rPr>
        <w:t xml:space="preserve">application, finding that the police had reasonable and probable grounds to arrest the appellant for murder at the police station, and that the arrest constituted a “fresh start” which cured the previous breaches. He concluded that the appellant’s subsequent confession had not been tainted by the breaches. Nevertheless, the trial judge conducted a s. 24(2) analysis as set out in </w:t>
      </w:r>
      <w:r w:rsidRPr="004F4118">
        <w:rPr>
          <w:i/>
          <w:sz w:val="20"/>
        </w:rPr>
        <w:t>R. v. Grant</w:t>
      </w:r>
      <w:r w:rsidRPr="004F4118">
        <w:rPr>
          <w:sz w:val="20"/>
        </w:rPr>
        <w:t>, 2009 SCC 32, and concluded that the confession would have been admitted, in any event. The Court of Appeal unanimously dismissed the appellant’s appeal.</w:t>
      </w:r>
    </w:p>
    <w:p w:rsidR="00A878C5" w:rsidRPr="004F4118" w:rsidRDefault="00A878C5" w:rsidP="00A878C5">
      <w:pPr>
        <w:widowControl w:val="0"/>
        <w:jc w:val="both"/>
        <w:rPr>
          <w:sz w:val="20"/>
        </w:rPr>
      </w:pPr>
    </w:p>
    <w:p w:rsidR="00A878C5" w:rsidRPr="004F4118" w:rsidRDefault="00DF0AA3" w:rsidP="00A878C5">
      <w:pPr>
        <w:widowControl w:val="0"/>
        <w:jc w:val="both"/>
        <w:rPr>
          <w:sz w:val="20"/>
        </w:rPr>
      </w:pPr>
      <w:r>
        <w:rPr>
          <w:sz w:val="20"/>
        </w:rPr>
        <w:pict>
          <v:rect id="_x0000_i1060" style="width:2in;height:1pt" o:hrpct="0" o:hralign="center" o:hrstd="t" o:hrnoshade="t" o:hr="t" fillcolor="black [3213]" stroked="f"/>
        </w:pict>
      </w:r>
    </w:p>
    <w:p w:rsidR="00A878C5" w:rsidRPr="004F4118" w:rsidRDefault="00A878C5" w:rsidP="00A878C5">
      <w:pPr>
        <w:widowControl w:val="0"/>
        <w:jc w:val="both"/>
        <w:rPr>
          <w:sz w:val="20"/>
        </w:rPr>
      </w:pPr>
    </w:p>
    <w:p w:rsidR="00A878C5" w:rsidRPr="004F4118" w:rsidRDefault="00A878C5" w:rsidP="00A878C5">
      <w:pPr>
        <w:pStyle w:val="SCCLsocParty"/>
        <w:jc w:val="both"/>
        <w:rPr>
          <w:b/>
          <w:i/>
          <w:sz w:val="20"/>
          <w:szCs w:val="20"/>
        </w:rPr>
      </w:pPr>
      <w:r w:rsidRPr="004F4118">
        <w:rPr>
          <w:rStyle w:val="SCCFileNumberChar"/>
          <w:sz w:val="20"/>
          <w:szCs w:val="20"/>
          <w:lang w:val="fr-CA"/>
        </w:rPr>
        <w:t>39481</w:t>
      </w:r>
      <w:r w:rsidRPr="004F4118">
        <w:rPr>
          <w:rStyle w:val="SCCFileNumberChar"/>
          <w:sz w:val="20"/>
          <w:szCs w:val="20"/>
          <w:lang w:val="fr-CA"/>
        </w:rPr>
        <w:tab/>
      </w:r>
      <w:r w:rsidRPr="004F4118">
        <w:rPr>
          <w:b/>
          <w:i/>
          <w:sz w:val="20"/>
          <w:szCs w:val="20"/>
        </w:rPr>
        <w:t>Brian John Lambert c. Sa Majesté la Reine</w:t>
      </w:r>
    </w:p>
    <w:p w:rsidR="00A878C5" w:rsidRPr="004F4118" w:rsidRDefault="00A878C5" w:rsidP="00A878C5">
      <w:pPr>
        <w:widowControl w:val="0"/>
        <w:ind w:firstLine="720"/>
        <w:jc w:val="both"/>
        <w:rPr>
          <w:sz w:val="20"/>
          <w:lang w:val="fr-CA"/>
        </w:rPr>
      </w:pPr>
      <w:r w:rsidRPr="004F4118">
        <w:rPr>
          <w:sz w:val="20"/>
          <w:lang w:val="fr-CA"/>
        </w:rPr>
        <w:t>(Alb.) (Criminelle) (Sur autorisation)</w:t>
      </w:r>
    </w:p>
    <w:p w:rsidR="00A878C5" w:rsidRPr="004F4118" w:rsidRDefault="00A878C5" w:rsidP="00A878C5">
      <w:pPr>
        <w:jc w:val="both"/>
        <w:rPr>
          <w:sz w:val="20"/>
          <w:lang w:val="fr-CA"/>
        </w:rPr>
      </w:pPr>
    </w:p>
    <w:p w:rsidR="00A878C5" w:rsidRPr="004F4118" w:rsidRDefault="00A878C5" w:rsidP="00A878C5">
      <w:pPr>
        <w:widowControl w:val="0"/>
        <w:jc w:val="both"/>
        <w:rPr>
          <w:sz w:val="20"/>
          <w:lang w:val="fr-CA"/>
        </w:rPr>
      </w:pPr>
      <w:r w:rsidRPr="004F4118">
        <w:rPr>
          <w:sz w:val="20"/>
          <w:lang w:val="fr-CA"/>
        </w:rPr>
        <w:t>Droit criminel -</w:t>
      </w:r>
      <w:r w:rsidRPr="004F4118">
        <w:rPr>
          <w:i/>
          <w:sz w:val="20"/>
          <w:lang w:val="fr-CA"/>
        </w:rPr>
        <w:t xml:space="preserve"> Charte des droits </w:t>
      </w:r>
      <w:r w:rsidRPr="004F4118">
        <w:rPr>
          <w:sz w:val="20"/>
          <w:lang w:val="fr-CA"/>
        </w:rPr>
        <w:t xml:space="preserve">- Preuve - Admissibilité - Motifs raisonnables et probables de procéder à une arrestation - Dans quelles circonstances les tentatives de la police d’obtenir un « nouveau départ » peuvent-elles mettre la preuve à l’abri de l’examen de son admissibilité en vertu du par. 24(2) de la </w:t>
      </w:r>
      <w:r w:rsidRPr="004F4118">
        <w:rPr>
          <w:i/>
          <w:sz w:val="20"/>
          <w:lang w:val="fr-CA"/>
        </w:rPr>
        <w:t>Charte</w:t>
      </w:r>
      <w:r w:rsidRPr="004F4118">
        <w:rPr>
          <w:sz w:val="20"/>
          <w:lang w:val="fr-CA"/>
        </w:rPr>
        <w:t>? - Le contrôle judiciaire de motifs raisonnables et probables devrait-il être plus rigoureux dans des circonstances où la personne arrêtée a été détenue de manière illicite et où la police ne dispose pas de notes concernant les motifs de l’arrestation ou les renseignements justifiant l’arrestation?</w:t>
      </w:r>
    </w:p>
    <w:p w:rsidR="00A878C5" w:rsidRPr="004F4118" w:rsidRDefault="00A878C5" w:rsidP="00A878C5">
      <w:pPr>
        <w:widowControl w:val="0"/>
        <w:jc w:val="both"/>
        <w:rPr>
          <w:sz w:val="20"/>
          <w:lang w:val="fr-CA"/>
        </w:rPr>
      </w:pPr>
    </w:p>
    <w:p w:rsidR="00A878C5" w:rsidRPr="004F4118" w:rsidRDefault="00A878C5" w:rsidP="00A878C5">
      <w:pPr>
        <w:jc w:val="both"/>
        <w:rPr>
          <w:sz w:val="20"/>
          <w:lang w:val="fr-CA" w:eastAsia="en-CA"/>
        </w:rPr>
      </w:pPr>
      <w:r w:rsidRPr="004F4118">
        <w:rPr>
          <w:sz w:val="20"/>
          <w:lang w:val="fr-CA" w:eastAsia="en-CA"/>
        </w:rPr>
        <w:t>L’appelant et son coaccusé ont été déclarés coupables d’homicide involontaire coupable relativement au décès de leur colocataire. Après avoir initialement été détenus par des policiers sur la scène au titre d’une loi non existante, ils ont été arrêtés par des détectives au poste de police pour le meurtre deux heures plus tard. À la suite d’un long interrogatoire, l’appelant a avoué leur implication dans le décès du colocataire; lorsqu’il a été exposé aux aveux, le coaccusé a également avoué son implication. Lors du procès, l’appelant a sollicité l’exclusion de tous les éléments de preuve qui provenait de violations alléguées de ses droits protégés par les art. 7 et 9, et les al. 10</w:t>
      </w:r>
      <w:r w:rsidRPr="004F4118">
        <w:rPr>
          <w:i/>
          <w:sz w:val="20"/>
          <w:lang w:val="fr-CA" w:eastAsia="en-CA"/>
        </w:rPr>
        <w:t>a</w:t>
      </w:r>
      <w:r w:rsidRPr="004F4118">
        <w:rPr>
          <w:sz w:val="20"/>
          <w:lang w:val="fr-CA" w:eastAsia="en-CA"/>
        </w:rPr>
        <w:t>) et 10</w:t>
      </w:r>
      <w:r w:rsidRPr="004F4118">
        <w:rPr>
          <w:i/>
          <w:sz w:val="20"/>
          <w:lang w:val="fr-CA" w:eastAsia="en-CA"/>
        </w:rPr>
        <w:t>b</w:t>
      </w:r>
      <w:r w:rsidRPr="004F4118">
        <w:rPr>
          <w:sz w:val="20"/>
          <w:lang w:val="fr-CA" w:eastAsia="en-CA"/>
        </w:rPr>
        <w:t xml:space="preserve">) de la </w:t>
      </w:r>
      <w:r w:rsidRPr="004F4118">
        <w:rPr>
          <w:i/>
          <w:sz w:val="20"/>
          <w:lang w:val="fr-CA" w:eastAsia="en-CA"/>
        </w:rPr>
        <w:t>Charte canadienne des droits et libertés</w:t>
      </w:r>
      <w:r w:rsidRPr="004F4118">
        <w:rPr>
          <w:sz w:val="20"/>
          <w:lang w:val="fr-CA" w:eastAsia="en-CA"/>
        </w:rPr>
        <w:t xml:space="preserve">. L’appelant a aussi prétendu que le détective qui l’a arrêté au poste de police n’avait pas de motifs raisonnables et probables de procéder à l’arrestation. La Couronne a reconnu que les droits garantis à l’appelant par la </w:t>
      </w:r>
      <w:r w:rsidRPr="004F4118">
        <w:rPr>
          <w:i/>
          <w:sz w:val="20"/>
          <w:lang w:val="fr-CA" w:eastAsia="en-CA"/>
        </w:rPr>
        <w:t>Charte</w:t>
      </w:r>
      <w:r w:rsidRPr="004F4118">
        <w:rPr>
          <w:sz w:val="20"/>
          <w:lang w:val="fr-CA" w:eastAsia="en-CA"/>
        </w:rPr>
        <w:t xml:space="preserve"> avaient été violés lorsqu’il a été détenu au titre d’une loi non existante, mais a plaidé que l’arrestation au poste de police constituait un « nouveau départ » qui permettait d’isoler ses aveux des violations antérieures.</w:t>
      </w:r>
    </w:p>
    <w:p w:rsidR="00A878C5" w:rsidRPr="004F4118" w:rsidRDefault="00A878C5" w:rsidP="00A878C5">
      <w:pPr>
        <w:jc w:val="both"/>
        <w:rPr>
          <w:sz w:val="20"/>
          <w:lang w:val="fr-CA" w:eastAsia="en-CA"/>
        </w:rPr>
      </w:pPr>
    </w:p>
    <w:p w:rsidR="00A878C5" w:rsidRPr="004F4118" w:rsidRDefault="00A878C5" w:rsidP="00A878C5">
      <w:pPr>
        <w:widowControl w:val="0"/>
        <w:jc w:val="both"/>
        <w:rPr>
          <w:sz w:val="20"/>
          <w:lang w:val="fr-CA"/>
        </w:rPr>
      </w:pPr>
      <w:r w:rsidRPr="004F4118">
        <w:rPr>
          <w:sz w:val="20"/>
          <w:lang w:val="fr-CA" w:eastAsia="en-CA"/>
        </w:rPr>
        <w:t>Le juge du procès a rejeté la demande, concluant que la police avait des motifs raisonnables et probables de procéder à l’arrestation de l’appelant au poste de police pour le meurtre, et que l’arrestation constituait un « nouveau départ » qui a permis de remédier aux violations antérieures. Il a conclu que l’aveu subséquent de l’appelant n’avait pas été entaché par les violations. Néanmoins, le juge de première instance a mené l’analyse selon le par. 24(2) telle qu’elle est établie dans l’arrêt</w:t>
      </w:r>
      <w:r w:rsidRPr="004F4118">
        <w:rPr>
          <w:i/>
          <w:sz w:val="20"/>
          <w:lang w:val="fr-CA" w:eastAsia="en-CA"/>
        </w:rPr>
        <w:t xml:space="preserve"> R. c. Grant</w:t>
      </w:r>
      <w:r w:rsidRPr="004F4118">
        <w:rPr>
          <w:sz w:val="20"/>
          <w:lang w:val="fr-CA" w:eastAsia="en-CA"/>
        </w:rPr>
        <w:t>, 2009 CSC 32, et a conclu que l’aveu aurait été admis en preuve quoi qu’il en soit. La Cour d’appel a unanimement rejeté l’appel de l’appelant.</w:t>
      </w:r>
    </w:p>
    <w:p w:rsidR="00A878C5" w:rsidRPr="004F4118" w:rsidRDefault="00A878C5" w:rsidP="00A878C5">
      <w:pPr>
        <w:jc w:val="both"/>
        <w:rPr>
          <w:sz w:val="20"/>
          <w:lang w:val="fr-CA"/>
        </w:rPr>
      </w:pPr>
    </w:p>
    <w:p w:rsidR="00A878C5" w:rsidRPr="004F4118" w:rsidRDefault="00DF0AA3" w:rsidP="00A878C5">
      <w:pPr>
        <w:widowControl w:val="0"/>
        <w:jc w:val="both"/>
        <w:rPr>
          <w:sz w:val="20"/>
          <w:lang w:val="fr-CA"/>
        </w:rPr>
      </w:pPr>
      <w:r>
        <w:rPr>
          <w:sz w:val="20"/>
        </w:rPr>
        <w:pict>
          <v:rect id="_x0000_i1061" style="width:2in;height:1pt" o:hrpct="0" o:hralign="center" o:hrstd="t" o:hrnoshade="t" o:hr="t" fillcolor="black [3213]" stroked="f"/>
        </w:pict>
      </w:r>
    </w:p>
    <w:p w:rsidR="00A878C5" w:rsidRPr="004F4118" w:rsidRDefault="00A878C5" w:rsidP="00A878C5">
      <w:pPr>
        <w:widowControl w:val="0"/>
        <w:jc w:val="both"/>
        <w:rPr>
          <w:sz w:val="20"/>
          <w:lang w:val="fr-CA"/>
        </w:rPr>
      </w:pPr>
    </w:p>
    <w:p w:rsidR="002333AB" w:rsidRPr="004F4118" w:rsidRDefault="002333AB">
      <w:pPr>
        <w:rPr>
          <w:b/>
          <w:sz w:val="20"/>
        </w:rPr>
      </w:pPr>
      <w:r w:rsidRPr="004F4118">
        <w:rPr>
          <w:b/>
          <w:sz w:val="20"/>
        </w:rPr>
        <w:br w:type="page"/>
      </w:r>
    </w:p>
    <w:p w:rsidR="00A878C5" w:rsidRPr="004F4118" w:rsidRDefault="00A878C5" w:rsidP="00A878C5">
      <w:pPr>
        <w:widowControl w:val="0"/>
        <w:ind w:left="709" w:hanging="709"/>
        <w:jc w:val="both"/>
        <w:rPr>
          <w:b/>
          <w:i/>
          <w:sz w:val="20"/>
        </w:rPr>
      </w:pPr>
      <w:r w:rsidRPr="004F4118">
        <w:rPr>
          <w:b/>
          <w:sz w:val="20"/>
        </w:rPr>
        <w:lastRenderedPageBreak/>
        <w:fldChar w:fldCharType="begin"/>
      </w:r>
      <w:r w:rsidRPr="004F4118">
        <w:rPr>
          <w:b/>
          <w:sz w:val="20"/>
        </w:rPr>
        <w:instrText xml:space="preserve"> SEQ CHAPTER \h \r 1</w:instrText>
      </w:r>
      <w:r w:rsidRPr="004F4118">
        <w:rPr>
          <w:b/>
          <w:sz w:val="20"/>
        </w:rPr>
        <w:fldChar w:fldCharType="end"/>
      </w:r>
      <w:r w:rsidRPr="004F4118">
        <w:rPr>
          <w:b/>
          <w:sz w:val="20"/>
        </w:rPr>
        <w:t>39699</w:t>
      </w:r>
      <w:r w:rsidRPr="004F4118">
        <w:rPr>
          <w:b/>
          <w:sz w:val="20"/>
        </w:rPr>
        <w:tab/>
      </w:r>
      <w:r w:rsidRPr="004F4118">
        <w:rPr>
          <w:b/>
          <w:i/>
          <w:sz w:val="20"/>
        </w:rPr>
        <w:t>A.E. v. Her Majesty the Queen</w:t>
      </w:r>
    </w:p>
    <w:p w:rsidR="00A878C5" w:rsidRPr="004F4118" w:rsidRDefault="00A878C5" w:rsidP="00A878C5">
      <w:pPr>
        <w:widowControl w:val="0"/>
        <w:ind w:left="709"/>
        <w:jc w:val="both"/>
        <w:rPr>
          <w:sz w:val="20"/>
        </w:rPr>
      </w:pPr>
      <w:r w:rsidRPr="004F4118">
        <w:rPr>
          <w:sz w:val="20"/>
        </w:rPr>
        <w:t>(Alta.) (Criminal) (As of Right)</w:t>
      </w:r>
    </w:p>
    <w:p w:rsidR="00A878C5" w:rsidRPr="004F4118" w:rsidRDefault="00A878C5" w:rsidP="00A878C5">
      <w:pPr>
        <w:widowControl w:val="0"/>
        <w:jc w:val="both"/>
        <w:rPr>
          <w:sz w:val="20"/>
        </w:rPr>
      </w:pPr>
    </w:p>
    <w:p w:rsidR="00A878C5" w:rsidRPr="004F4118" w:rsidRDefault="00A878C5" w:rsidP="00A878C5">
      <w:pPr>
        <w:widowControl w:val="0"/>
        <w:jc w:val="both"/>
        <w:rPr>
          <w:smallCaps/>
          <w:sz w:val="20"/>
        </w:rPr>
      </w:pPr>
      <w:r w:rsidRPr="004F4118">
        <w:rPr>
          <w:sz w:val="20"/>
        </w:rPr>
        <w:t>(</w:t>
      </w:r>
      <w:r w:rsidRPr="004F4118">
        <w:rPr>
          <w:smallCaps/>
          <w:sz w:val="20"/>
        </w:rPr>
        <w:t>Publication Ban</w:t>
      </w:r>
      <w:r w:rsidRPr="004F4118">
        <w:rPr>
          <w:sz w:val="20"/>
        </w:rPr>
        <w:t>) (</w:t>
      </w:r>
      <w:r w:rsidRPr="004F4118">
        <w:rPr>
          <w:smallCaps/>
          <w:sz w:val="20"/>
        </w:rPr>
        <w:t>Sealing Order) (Certain Information Not Available To The Public)</w:t>
      </w:r>
    </w:p>
    <w:p w:rsidR="00A878C5" w:rsidRPr="004F4118" w:rsidRDefault="00A878C5" w:rsidP="00A878C5">
      <w:pPr>
        <w:widowControl w:val="0"/>
        <w:jc w:val="both"/>
        <w:rPr>
          <w:sz w:val="20"/>
        </w:rPr>
      </w:pPr>
    </w:p>
    <w:p w:rsidR="00A878C5" w:rsidRPr="004F4118" w:rsidRDefault="00A878C5" w:rsidP="00A878C5">
      <w:pPr>
        <w:widowControl w:val="0"/>
        <w:jc w:val="both"/>
        <w:rPr>
          <w:sz w:val="20"/>
        </w:rPr>
      </w:pPr>
      <w:r w:rsidRPr="004F4118">
        <w:rPr>
          <w:sz w:val="20"/>
        </w:rPr>
        <w:t>Criminal law — Offences — Sexual assault — Appeals — Crown appeal from acquittal — Remedy — Reasonable apprehension of bias — Whether the Court of Appeal erred in failing to adhere to its jurisdiction in a Crown appeal of an acquittal — Whether the Court of Appeal erred by imposing a remedy aligned with the panel’s desired outcome without consideration of fairness to the appellant — Whether the Court of Appeal erred by expanding the scope of criminal liability for sexual assault — Whether the reasoning of the Court of Appeal reflects a reasonable apprehension of bias.</w:t>
      </w:r>
    </w:p>
    <w:p w:rsidR="00A878C5" w:rsidRPr="004F4118" w:rsidRDefault="00A878C5" w:rsidP="00A878C5">
      <w:pPr>
        <w:widowControl w:val="0"/>
        <w:jc w:val="both"/>
        <w:rPr>
          <w:sz w:val="20"/>
        </w:rPr>
      </w:pPr>
    </w:p>
    <w:p w:rsidR="00A878C5" w:rsidRPr="004F4118" w:rsidRDefault="00A878C5" w:rsidP="00A878C5">
      <w:pPr>
        <w:jc w:val="both"/>
        <w:rPr>
          <w:sz w:val="20"/>
        </w:rPr>
      </w:pPr>
      <w:r w:rsidRPr="004F4118">
        <w:rPr>
          <w:sz w:val="20"/>
        </w:rPr>
        <w:t>The appellant and a co</w:t>
      </w:r>
      <w:r w:rsidRPr="004F4118">
        <w:rPr>
          <w:sz w:val="20"/>
        </w:rPr>
        <w:noBreakHyphen/>
        <w:t>accused were charged with sexual assault and sexual assault with a weapon. The appellant, his co</w:t>
      </w:r>
      <w:r w:rsidRPr="004F4118">
        <w:rPr>
          <w:sz w:val="20"/>
        </w:rPr>
        <w:noBreakHyphen/>
        <w:t>accused and a third person engaged in sexual activity with the complainant. Part of the sexual activity was recorded on video. The trial judge rejected the complainant’s evidence that she did not consent to the sexual activity, and accepted the two accused’s evidence that she was a willing participant, except for the portion of the activity relating to the sexual assault with a weapon. The appellant was found guilty of sexual assault with a weapon but acquitted of sexual assault, and the Crown appealed. The Court of Appeal allowed the appeal, set aside the acquittal and entered a conviction for sexual assault.</w:t>
      </w:r>
    </w:p>
    <w:p w:rsidR="00A878C5" w:rsidRPr="004F4118" w:rsidRDefault="00A878C5" w:rsidP="00A878C5">
      <w:pPr>
        <w:jc w:val="both"/>
        <w:rPr>
          <w:sz w:val="20"/>
        </w:rPr>
      </w:pPr>
    </w:p>
    <w:p w:rsidR="00A878C5" w:rsidRPr="004F4118" w:rsidRDefault="00DF0AA3" w:rsidP="00A878C5">
      <w:pPr>
        <w:jc w:val="both"/>
        <w:rPr>
          <w:sz w:val="20"/>
        </w:rPr>
      </w:pPr>
      <w:r>
        <w:rPr>
          <w:sz w:val="20"/>
        </w:rPr>
        <w:pict>
          <v:rect id="_x0000_i1062" style="width:2in;height:1pt" o:hrpct="0" o:hralign="center" o:hrstd="t" o:hrnoshade="t" o:hr="t" fillcolor="black [3213]" stroked="f"/>
        </w:pict>
      </w:r>
    </w:p>
    <w:p w:rsidR="00A878C5" w:rsidRPr="004F4118" w:rsidRDefault="00A878C5" w:rsidP="00A878C5">
      <w:pPr>
        <w:jc w:val="both"/>
        <w:rPr>
          <w:sz w:val="20"/>
        </w:rPr>
      </w:pPr>
    </w:p>
    <w:p w:rsidR="00A878C5" w:rsidRPr="004F4118" w:rsidRDefault="00A878C5" w:rsidP="00A878C5">
      <w:pPr>
        <w:pStyle w:val="SCCLsocParty"/>
        <w:jc w:val="both"/>
        <w:rPr>
          <w:b/>
          <w:i/>
          <w:sz w:val="20"/>
          <w:szCs w:val="20"/>
        </w:rPr>
      </w:pPr>
      <w:r w:rsidRPr="004F4118">
        <w:rPr>
          <w:b/>
          <w:sz w:val="20"/>
          <w:szCs w:val="20"/>
        </w:rPr>
        <w:fldChar w:fldCharType="begin"/>
      </w:r>
      <w:r w:rsidRPr="004F4118">
        <w:rPr>
          <w:b/>
          <w:sz w:val="20"/>
          <w:szCs w:val="20"/>
        </w:rPr>
        <w:instrText xml:space="preserve"> SEQ CHAPTER \h \r 1</w:instrText>
      </w:r>
      <w:r w:rsidRPr="004F4118">
        <w:rPr>
          <w:b/>
          <w:sz w:val="20"/>
          <w:szCs w:val="20"/>
        </w:rPr>
        <w:fldChar w:fldCharType="end"/>
      </w:r>
      <w:r w:rsidRPr="004F4118">
        <w:rPr>
          <w:b/>
          <w:sz w:val="20"/>
          <w:szCs w:val="20"/>
        </w:rPr>
        <w:t>39699</w:t>
      </w:r>
      <w:r w:rsidRPr="004F4118">
        <w:rPr>
          <w:b/>
          <w:sz w:val="20"/>
          <w:szCs w:val="20"/>
        </w:rPr>
        <w:tab/>
      </w:r>
      <w:r w:rsidRPr="004F4118">
        <w:rPr>
          <w:b/>
          <w:i/>
          <w:sz w:val="20"/>
          <w:szCs w:val="20"/>
        </w:rPr>
        <w:t>A.E. c. Sa Majesté la Reine</w:t>
      </w:r>
    </w:p>
    <w:p w:rsidR="00A878C5" w:rsidRPr="004F4118" w:rsidRDefault="00A878C5" w:rsidP="00A878C5">
      <w:pPr>
        <w:widowControl w:val="0"/>
        <w:jc w:val="both"/>
        <w:rPr>
          <w:sz w:val="20"/>
          <w:lang w:val="fr-CA"/>
        </w:rPr>
      </w:pPr>
      <w:r w:rsidRPr="004F4118">
        <w:rPr>
          <w:sz w:val="20"/>
          <w:lang w:val="fr-CA"/>
        </w:rPr>
        <w:tab/>
        <w:t>(Alb.) (Criminelle) (De plein droit)</w:t>
      </w:r>
    </w:p>
    <w:p w:rsidR="00A878C5" w:rsidRPr="004F4118" w:rsidRDefault="00A878C5" w:rsidP="00A878C5">
      <w:pPr>
        <w:widowControl w:val="0"/>
        <w:jc w:val="both"/>
        <w:rPr>
          <w:sz w:val="20"/>
          <w:lang w:val="fr-CA"/>
        </w:rPr>
      </w:pPr>
    </w:p>
    <w:p w:rsidR="00A878C5" w:rsidRPr="004F4118" w:rsidRDefault="00A878C5" w:rsidP="00A878C5">
      <w:pPr>
        <w:widowControl w:val="0"/>
        <w:jc w:val="both"/>
        <w:rPr>
          <w:smallCaps/>
          <w:sz w:val="20"/>
          <w:lang w:val="fr-CA"/>
        </w:rPr>
      </w:pPr>
      <w:r w:rsidRPr="004F4118">
        <w:rPr>
          <w:sz w:val="20"/>
          <w:lang w:val="fr-CA"/>
        </w:rPr>
        <w:t>(</w:t>
      </w:r>
      <w:r w:rsidRPr="004F4118">
        <w:rPr>
          <w:smallCaps/>
          <w:sz w:val="20"/>
          <w:lang w:val="fr-CA"/>
        </w:rPr>
        <w:t>Interdiction de publication</w:t>
      </w:r>
      <w:r w:rsidRPr="004F4118">
        <w:rPr>
          <w:sz w:val="20"/>
          <w:lang w:val="fr-CA"/>
        </w:rPr>
        <w:t>) (</w:t>
      </w:r>
      <w:r w:rsidRPr="004F4118">
        <w:rPr>
          <w:smallCaps/>
          <w:sz w:val="20"/>
          <w:lang w:val="fr-CA"/>
        </w:rPr>
        <w:t>Ordonnance de mise sous scellés) (Certaines informations non disponibles pour le public)</w:t>
      </w:r>
    </w:p>
    <w:p w:rsidR="00A878C5" w:rsidRPr="004F4118" w:rsidRDefault="00A878C5" w:rsidP="00A878C5">
      <w:pPr>
        <w:widowControl w:val="0"/>
        <w:jc w:val="both"/>
        <w:rPr>
          <w:sz w:val="20"/>
          <w:lang w:val="fr-CA"/>
        </w:rPr>
      </w:pPr>
    </w:p>
    <w:p w:rsidR="00A878C5" w:rsidRPr="004F4118" w:rsidRDefault="00A878C5" w:rsidP="00A878C5">
      <w:pPr>
        <w:widowControl w:val="0"/>
        <w:jc w:val="both"/>
        <w:rPr>
          <w:sz w:val="20"/>
          <w:lang w:val="fr-CA"/>
        </w:rPr>
      </w:pPr>
      <w:r w:rsidRPr="004F4118">
        <w:rPr>
          <w:sz w:val="20"/>
          <w:lang w:val="fr-CA"/>
        </w:rPr>
        <w:t>Droit criminel — Infractions — Agression sexuelle — Appels — Appel de l’acquittement interjeté par la Couronne — Réparation — Crainte raisonnable de partialité — La Cour d’appel a</w:t>
      </w:r>
      <w:r w:rsidRPr="004F4118">
        <w:rPr>
          <w:sz w:val="20"/>
          <w:lang w:val="fr-CA"/>
        </w:rPr>
        <w:noBreakHyphen/>
        <w:t>t</w:t>
      </w:r>
      <w:r w:rsidRPr="004F4118">
        <w:rPr>
          <w:sz w:val="20"/>
          <w:lang w:val="fr-CA"/>
        </w:rPr>
        <w:noBreakHyphen/>
        <w:t>elle eu tort de ne pas respecter sa compétence dans le cadre d’un appel formé par la Couronne à l’encontre d’un acquittement? — La Cour d’appel a</w:t>
      </w:r>
      <w:r w:rsidRPr="004F4118">
        <w:rPr>
          <w:sz w:val="20"/>
          <w:lang w:val="fr-CA"/>
        </w:rPr>
        <w:noBreakHyphen/>
        <w:t>t</w:t>
      </w:r>
      <w:r w:rsidRPr="004F4118">
        <w:rPr>
          <w:sz w:val="20"/>
          <w:lang w:val="fr-CA"/>
        </w:rPr>
        <w:noBreakHyphen/>
        <w:t>elle commis une erreur en imposant une réparation correspondant au résultat souhaité par la formation de juges sans tenir compte de la question de l’équité envers l’appelant? — La Cour d’appel a</w:t>
      </w:r>
      <w:r w:rsidRPr="004F4118">
        <w:rPr>
          <w:sz w:val="20"/>
          <w:lang w:val="fr-CA"/>
        </w:rPr>
        <w:noBreakHyphen/>
        <w:t>t</w:t>
      </w:r>
      <w:r w:rsidRPr="004F4118">
        <w:rPr>
          <w:sz w:val="20"/>
          <w:lang w:val="fr-CA"/>
        </w:rPr>
        <w:noBreakHyphen/>
        <w:t>elle commis une erreur en élargissant la portée de la responsabilité criminelle en ce qui concerne l’agression sexuelle? — Le raisonnement de la Cour d’appel suscite</w:t>
      </w:r>
      <w:r w:rsidRPr="004F4118">
        <w:rPr>
          <w:sz w:val="20"/>
          <w:lang w:val="fr-CA"/>
        </w:rPr>
        <w:noBreakHyphen/>
        <w:t>t</w:t>
      </w:r>
      <w:r w:rsidRPr="004F4118">
        <w:rPr>
          <w:sz w:val="20"/>
          <w:lang w:val="fr-CA"/>
        </w:rPr>
        <w:noBreakHyphen/>
        <w:t>il une crainte raisonnable de partialité?</w:t>
      </w:r>
    </w:p>
    <w:p w:rsidR="00A878C5" w:rsidRPr="004F4118" w:rsidRDefault="00A878C5" w:rsidP="00A878C5">
      <w:pPr>
        <w:widowControl w:val="0"/>
        <w:jc w:val="both"/>
        <w:rPr>
          <w:sz w:val="20"/>
          <w:lang w:val="fr-CA"/>
        </w:rPr>
      </w:pPr>
    </w:p>
    <w:p w:rsidR="00A878C5" w:rsidRPr="004F4118" w:rsidRDefault="00A878C5" w:rsidP="00A878C5">
      <w:pPr>
        <w:jc w:val="both"/>
        <w:rPr>
          <w:sz w:val="20"/>
          <w:lang w:val="fr-CA"/>
        </w:rPr>
      </w:pPr>
      <w:r w:rsidRPr="004F4118">
        <w:rPr>
          <w:sz w:val="20"/>
          <w:lang w:val="fr-CA"/>
        </w:rPr>
        <w:t>L’appelant et un coaccusé ont été accusés d’agression sexuelle et d’agression sexuelle armée. L’appelant, son coaccusé et une troisième personne se sont livrés à une activité sexuelle avec la plaignante. Une partie de l’activité sexuelle a été enregistrée sur vidéo. Le juge du procès a rejeté le témoignage de la plaignante selon lequel elle n’avait pas consenti à l’activité sexuelle, et a accepté celui des deux accusés à savoir qu’elle y avait participé volontairement, sauf en ce qui a trait à la partie de l’activité relative à l’agression sexuelle armée. L’appelant a été déclaré coupable d’agression sexuelle armée, mais acquitté d’agression sexuelle, et la Couronne a interjeté appel de l’acquittement. La Cour d’appel a accueilli l’appel, annulé l’acquittement et prononcé une déclaration de culpabilité pour agression sexuelle.</w:t>
      </w:r>
    </w:p>
    <w:p w:rsidR="00A878C5" w:rsidRPr="004F4118" w:rsidRDefault="00A878C5" w:rsidP="00A878C5">
      <w:pPr>
        <w:widowControl w:val="0"/>
        <w:jc w:val="both"/>
        <w:rPr>
          <w:sz w:val="20"/>
          <w:lang w:val="fr-CA"/>
        </w:rPr>
      </w:pPr>
    </w:p>
    <w:p w:rsidR="00A878C5" w:rsidRPr="004F4118" w:rsidRDefault="00DF0AA3" w:rsidP="00A878C5">
      <w:pPr>
        <w:widowControl w:val="0"/>
        <w:jc w:val="both"/>
        <w:rPr>
          <w:sz w:val="20"/>
          <w:lang w:val="fr-CA"/>
        </w:rPr>
      </w:pPr>
      <w:r>
        <w:rPr>
          <w:sz w:val="20"/>
        </w:rPr>
        <w:pict>
          <v:rect id="_x0000_i1063" style="width:2in;height:1pt" o:hrpct="0" o:hralign="center" o:hrstd="t" o:hrnoshade="t" o:hr="t" fillcolor="black [3213]" stroked="f"/>
        </w:pict>
      </w:r>
    </w:p>
    <w:p w:rsidR="00A878C5" w:rsidRPr="004F4118" w:rsidRDefault="00A878C5" w:rsidP="00A878C5">
      <w:pPr>
        <w:widowControl w:val="0"/>
        <w:jc w:val="both"/>
        <w:rPr>
          <w:sz w:val="20"/>
          <w:lang w:val="fr-CA"/>
        </w:rPr>
      </w:pPr>
    </w:p>
    <w:p w:rsidR="00A878C5" w:rsidRPr="004F4118" w:rsidRDefault="00A878C5" w:rsidP="00A878C5">
      <w:pPr>
        <w:widowControl w:val="0"/>
        <w:ind w:left="709" w:hanging="709"/>
        <w:jc w:val="both"/>
        <w:rPr>
          <w:b/>
          <w:i/>
          <w:sz w:val="20"/>
        </w:rPr>
      </w:pPr>
      <w:r w:rsidRPr="004F4118">
        <w:rPr>
          <w:b/>
          <w:sz w:val="20"/>
        </w:rPr>
        <w:fldChar w:fldCharType="begin"/>
      </w:r>
      <w:r w:rsidRPr="004F4118">
        <w:rPr>
          <w:b/>
          <w:sz w:val="20"/>
        </w:rPr>
        <w:instrText xml:space="preserve"> SEQ CHAPTER \h \r 1</w:instrText>
      </w:r>
      <w:r w:rsidRPr="004F4118">
        <w:rPr>
          <w:b/>
          <w:sz w:val="20"/>
        </w:rPr>
        <w:fldChar w:fldCharType="end"/>
      </w:r>
      <w:r w:rsidRPr="004F4118">
        <w:rPr>
          <w:b/>
          <w:sz w:val="20"/>
        </w:rPr>
        <w:t>39703</w:t>
      </w:r>
      <w:r w:rsidRPr="004F4118">
        <w:rPr>
          <w:b/>
          <w:sz w:val="20"/>
        </w:rPr>
        <w:tab/>
      </w:r>
      <w:r w:rsidRPr="004F4118">
        <w:rPr>
          <w:b/>
          <w:i/>
          <w:sz w:val="20"/>
        </w:rPr>
        <w:t>T.C.F. v. Her Majesty the Queen</w:t>
      </w:r>
    </w:p>
    <w:p w:rsidR="00A878C5" w:rsidRPr="004F4118" w:rsidRDefault="00A878C5" w:rsidP="00A878C5">
      <w:pPr>
        <w:widowControl w:val="0"/>
        <w:ind w:left="709" w:hanging="709"/>
        <w:jc w:val="both"/>
        <w:rPr>
          <w:sz w:val="20"/>
        </w:rPr>
      </w:pPr>
      <w:r w:rsidRPr="004F4118">
        <w:rPr>
          <w:sz w:val="20"/>
        </w:rPr>
        <w:tab/>
        <w:t>(Alta.) (Criminal) (As of Right)</w:t>
      </w:r>
    </w:p>
    <w:p w:rsidR="00A878C5" w:rsidRPr="004F4118" w:rsidRDefault="00A878C5" w:rsidP="00A878C5">
      <w:pPr>
        <w:widowControl w:val="0"/>
        <w:ind w:left="1440" w:hanging="1440"/>
        <w:jc w:val="both"/>
        <w:rPr>
          <w:sz w:val="20"/>
        </w:rPr>
      </w:pPr>
    </w:p>
    <w:p w:rsidR="00A878C5" w:rsidRPr="004F4118" w:rsidRDefault="00A878C5" w:rsidP="00A878C5">
      <w:pPr>
        <w:widowControl w:val="0"/>
        <w:jc w:val="both"/>
        <w:rPr>
          <w:smallCaps/>
          <w:sz w:val="20"/>
        </w:rPr>
      </w:pPr>
      <w:r w:rsidRPr="004F4118">
        <w:rPr>
          <w:sz w:val="20"/>
        </w:rPr>
        <w:t>(</w:t>
      </w:r>
      <w:r w:rsidRPr="004F4118">
        <w:rPr>
          <w:smallCaps/>
          <w:sz w:val="20"/>
        </w:rPr>
        <w:t>Publication Ban</w:t>
      </w:r>
      <w:r w:rsidRPr="004F4118">
        <w:rPr>
          <w:sz w:val="20"/>
        </w:rPr>
        <w:t>) (</w:t>
      </w:r>
      <w:r w:rsidRPr="004F4118">
        <w:rPr>
          <w:smallCaps/>
          <w:sz w:val="20"/>
        </w:rPr>
        <w:t>Sealing Order) (Certain Information Not Available To The Public)</w:t>
      </w:r>
    </w:p>
    <w:p w:rsidR="00A878C5" w:rsidRPr="004F4118" w:rsidRDefault="00A878C5" w:rsidP="00A878C5">
      <w:pPr>
        <w:widowControl w:val="0"/>
        <w:jc w:val="both"/>
        <w:rPr>
          <w:sz w:val="20"/>
        </w:rPr>
      </w:pPr>
    </w:p>
    <w:p w:rsidR="002333AB" w:rsidRPr="004F4118" w:rsidRDefault="002333AB">
      <w:pPr>
        <w:rPr>
          <w:sz w:val="20"/>
        </w:rPr>
      </w:pPr>
      <w:r w:rsidRPr="004F4118">
        <w:rPr>
          <w:sz w:val="20"/>
        </w:rPr>
        <w:br w:type="page"/>
      </w:r>
    </w:p>
    <w:p w:rsidR="00A878C5" w:rsidRPr="004F4118" w:rsidRDefault="00A878C5" w:rsidP="00A878C5">
      <w:pPr>
        <w:widowControl w:val="0"/>
        <w:jc w:val="both"/>
        <w:rPr>
          <w:sz w:val="20"/>
        </w:rPr>
      </w:pPr>
      <w:r w:rsidRPr="004F4118">
        <w:rPr>
          <w:sz w:val="20"/>
        </w:rPr>
        <w:lastRenderedPageBreak/>
        <w:t xml:space="preserve">Criminal law — Offences — Sexual assault — Consent — Appeals — Crown appeal from acquittal — Remedy — Whether the trial judge decided the case on the basis of “broad advance consent” — Whether Martin and Pentelechuk JJ.A. were correct in finding that the complainant withdrew her consent — Whether O’Ferrall J.A. was correct that the law in </w:t>
      </w:r>
      <w:r w:rsidRPr="004F4118">
        <w:rPr>
          <w:i/>
          <w:sz w:val="20"/>
        </w:rPr>
        <w:t>R. v. Jobidon</w:t>
      </w:r>
      <w:r w:rsidRPr="004F4118">
        <w:rPr>
          <w:sz w:val="20"/>
        </w:rPr>
        <w:t xml:space="preserve">, [1991] 2 S.C.R. 714, as it defines consent does not apply to sexual assault — Whether O’Ferrall J.A. was correct that the appellant had the subjective intent to cause bodily harm and actually caused bodily harm — Whether O’Ferrall J.A. was correct that joint liability under s. 21(1)(a) of the </w:t>
      </w:r>
      <w:r w:rsidRPr="004F4118">
        <w:rPr>
          <w:i/>
          <w:sz w:val="20"/>
        </w:rPr>
        <w:t xml:space="preserve">Criminal Code </w:t>
      </w:r>
      <w:r w:rsidRPr="004F4118">
        <w:rPr>
          <w:sz w:val="20"/>
        </w:rPr>
        <w:t xml:space="preserve">applied to the appellant despite it not having been argued by the Crown — Whether all the facts necessary for a finding of guilt were available to the Court of Appeal in exercising its power under s. 686(4)(b)(ii) of the </w:t>
      </w:r>
      <w:r w:rsidRPr="004F4118">
        <w:rPr>
          <w:i/>
          <w:sz w:val="20"/>
        </w:rPr>
        <w:t>Criminal Code</w:t>
      </w:r>
      <w:r w:rsidRPr="004F4118">
        <w:rPr>
          <w:sz w:val="20"/>
        </w:rPr>
        <w:t>.</w:t>
      </w:r>
    </w:p>
    <w:p w:rsidR="00A878C5" w:rsidRPr="004F4118" w:rsidRDefault="00A878C5" w:rsidP="00A878C5">
      <w:pPr>
        <w:widowControl w:val="0"/>
        <w:jc w:val="both"/>
        <w:rPr>
          <w:sz w:val="20"/>
        </w:rPr>
      </w:pPr>
    </w:p>
    <w:p w:rsidR="00A878C5" w:rsidRPr="004F4118" w:rsidRDefault="00A878C5" w:rsidP="00A878C5">
      <w:pPr>
        <w:jc w:val="both"/>
        <w:rPr>
          <w:sz w:val="20"/>
        </w:rPr>
      </w:pPr>
      <w:r w:rsidRPr="004F4118">
        <w:rPr>
          <w:sz w:val="20"/>
        </w:rPr>
        <w:t>The appellant and a co</w:t>
      </w:r>
      <w:r w:rsidRPr="004F4118">
        <w:rPr>
          <w:sz w:val="20"/>
        </w:rPr>
        <w:noBreakHyphen/>
        <w:t>accused were charged with sexual assault and sexual assault with a weapon. The appellant, his co</w:t>
      </w:r>
      <w:r w:rsidRPr="004F4118">
        <w:rPr>
          <w:sz w:val="20"/>
        </w:rPr>
        <w:noBreakHyphen/>
        <w:t>accused and a third person engaged in sexual activity with the complainant. Part of the sexual activity was recorded on video. The trial judge rejected the complainant’s evidence that she did not consent to the sexual activity, and accepted the two accused’s evidence that she was a willing participant. The appellant was acquitted of both charges, and the Crown appealed. The Court of Appeal allowed the appeal in part, set aside the acquittal for sexual assault, and entered a conviction.</w:t>
      </w:r>
    </w:p>
    <w:p w:rsidR="00A878C5" w:rsidRPr="004F4118" w:rsidRDefault="00A878C5" w:rsidP="00A878C5">
      <w:pPr>
        <w:jc w:val="both"/>
        <w:rPr>
          <w:sz w:val="20"/>
        </w:rPr>
      </w:pPr>
    </w:p>
    <w:p w:rsidR="00A878C5" w:rsidRPr="004F4118" w:rsidRDefault="00DF0AA3" w:rsidP="00A878C5">
      <w:pPr>
        <w:jc w:val="both"/>
        <w:rPr>
          <w:sz w:val="20"/>
        </w:rPr>
      </w:pPr>
      <w:r>
        <w:rPr>
          <w:sz w:val="20"/>
        </w:rPr>
        <w:pict>
          <v:rect id="_x0000_i1064" style="width:2in;height:1pt" o:hrpct="0" o:hralign="center" o:hrstd="t" o:hrnoshade="t" o:hr="t" fillcolor="black [3213]" stroked="f"/>
        </w:pict>
      </w:r>
    </w:p>
    <w:p w:rsidR="00A878C5" w:rsidRPr="004F4118" w:rsidRDefault="00A878C5" w:rsidP="00A878C5">
      <w:pPr>
        <w:jc w:val="both"/>
        <w:rPr>
          <w:sz w:val="20"/>
        </w:rPr>
      </w:pPr>
    </w:p>
    <w:p w:rsidR="00A878C5" w:rsidRPr="004F4118" w:rsidRDefault="00A878C5" w:rsidP="00A878C5">
      <w:pPr>
        <w:pStyle w:val="SCCLsocParty"/>
        <w:jc w:val="both"/>
        <w:rPr>
          <w:b/>
          <w:i/>
          <w:sz w:val="20"/>
          <w:szCs w:val="20"/>
        </w:rPr>
      </w:pPr>
      <w:r w:rsidRPr="004F4118">
        <w:rPr>
          <w:b/>
          <w:sz w:val="20"/>
          <w:szCs w:val="20"/>
        </w:rPr>
        <w:fldChar w:fldCharType="begin"/>
      </w:r>
      <w:r w:rsidRPr="004F4118">
        <w:rPr>
          <w:b/>
          <w:sz w:val="20"/>
          <w:szCs w:val="20"/>
        </w:rPr>
        <w:instrText xml:space="preserve"> SEQ CHAPTER \h \r 1</w:instrText>
      </w:r>
      <w:r w:rsidRPr="004F4118">
        <w:rPr>
          <w:b/>
          <w:sz w:val="20"/>
          <w:szCs w:val="20"/>
        </w:rPr>
        <w:fldChar w:fldCharType="end"/>
      </w:r>
      <w:r w:rsidRPr="004F4118">
        <w:rPr>
          <w:b/>
          <w:sz w:val="20"/>
          <w:szCs w:val="20"/>
        </w:rPr>
        <w:t>39703</w:t>
      </w:r>
      <w:r w:rsidRPr="004F4118">
        <w:rPr>
          <w:b/>
          <w:sz w:val="20"/>
          <w:szCs w:val="20"/>
        </w:rPr>
        <w:tab/>
      </w:r>
      <w:r w:rsidRPr="004F4118">
        <w:rPr>
          <w:b/>
          <w:i/>
          <w:sz w:val="20"/>
          <w:szCs w:val="20"/>
        </w:rPr>
        <w:t>T.C.F. c. Sa Majesté la Reine</w:t>
      </w:r>
    </w:p>
    <w:p w:rsidR="00A878C5" w:rsidRPr="004F4118" w:rsidRDefault="00A878C5" w:rsidP="00A878C5">
      <w:pPr>
        <w:widowControl w:val="0"/>
        <w:jc w:val="both"/>
        <w:rPr>
          <w:sz w:val="20"/>
          <w:lang w:val="fr-CA"/>
        </w:rPr>
      </w:pPr>
      <w:r w:rsidRPr="004F4118">
        <w:rPr>
          <w:sz w:val="20"/>
          <w:lang w:val="fr-CA"/>
        </w:rPr>
        <w:tab/>
        <w:t>(Alb.) (Criminelle) (De plein droit)</w:t>
      </w:r>
    </w:p>
    <w:p w:rsidR="00A878C5" w:rsidRPr="004F4118" w:rsidRDefault="00A878C5" w:rsidP="00A878C5">
      <w:pPr>
        <w:widowControl w:val="0"/>
        <w:ind w:left="1440" w:hanging="1440"/>
        <w:jc w:val="both"/>
        <w:rPr>
          <w:sz w:val="20"/>
          <w:lang w:val="fr-CA"/>
        </w:rPr>
      </w:pPr>
    </w:p>
    <w:p w:rsidR="00A878C5" w:rsidRPr="004F4118" w:rsidRDefault="00A878C5" w:rsidP="00A878C5">
      <w:pPr>
        <w:widowControl w:val="0"/>
        <w:jc w:val="both"/>
        <w:rPr>
          <w:smallCaps/>
          <w:sz w:val="20"/>
          <w:lang w:val="fr-CA"/>
        </w:rPr>
      </w:pPr>
      <w:r w:rsidRPr="004F4118">
        <w:rPr>
          <w:sz w:val="20"/>
          <w:lang w:val="fr-CA"/>
        </w:rPr>
        <w:t>(</w:t>
      </w:r>
      <w:r w:rsidRPr="004F4118">
        <w:rPr>
          <w:smallCaps/>
          <w:sz w:val="20"/>
          <w:lang w:val="fr-CA"/>
        </w:rPr>
        <w:t>Interdiction de publication</w:t>
      </w:r>
      <w:r w:rsidRPr="004F4118">
        <w:rPr>
          <w:sz w:val="20"/>
          <w:lang w:val="fr-CA"/>
        </w:rPr>
        <w:t>) (</w:t>
      </w:r>
      <w:r w:rsidRPr="004F4118">
        <w:rPr>
          <w:smallCaps/>
          <w:sz w:val="20"/>
          <w:lang w:val="fr-CA"/>
        </w:rPr>
        <w:t>Ordonnance de mise sous scellés) (Certaines informations non disponibles pour le public)</w:t>
      </w:r>
    </w:p>
    <w:p w:rsidR="00A878C5" w:rsidRPr="004F4118" w:rsidRDefault="00A878C5" w:rsidP="00A878C5">
      <w:pPr>
        <w:widowControl w:val="0"/>
        <w:jc w:val="both"/>
        <w:rPr>
          <w:sz w:val="20"/>
          <w:lang w:val="fr-CA"/>
        </w:rPr>
      </w:pPr>
    </w:p>
    <w:p w:rsidR="00A878C5" w:rsidRPr="004F4118" w:rsidRDefault="00A878C5" w:rsidP="00A878C5">
      <w:pPr>
        <w:widowControl w:val="0"/>
        <w:jc w:val="both"/>
        <w:rPr>
          <w:sz w:val="20"/>
          <w:lang w:val="fr-CA"/>
        </w:rPr>
      </w:pPr>
      <w:r w:rsidRPr="004F4118">
        <w:rPr>
          <w:sz w:val="20"/>
          <w:lang w:val="fr-CA"/>
        </w:rPr>
        <w:t>Droit criminel — Infractions — Agression sexuelle — Consentement — Appels — Appel de l’acquittement interjeté par la Couronne — Réparation — Le juge du procès a</w:t>
      </w:r>
      <w:r w:rsidRPr="004F4118">
        <w:rPr>
          <w:sz w:val="20"/>
          <w:lang w:val="fr-CA"/>
        </w:rPr>
        <w:noBreakHyphen/>
        <w:t>t</w:t>
      </w:r>
      <w:r w:rsidRPr="004F4118">
        <w:rPr>
          <w:sz w:val="20"/>
          <w:lang w:val="fr-CA"/>
        </w:rPr>
        <w:noBreakHyphen/>
        <w:t>il tranché l’affaire en fonction d’un « consentement préalable général »? — Les juges Martin et Pentelechuk de la Cour d’appel ont</w:t>
      </w:r>
      <w:r w:rsidRPr="004F4118">
        <w:rPr>
          <w:sz w:val="20"/>
          <w:lang w:val="fr-CA"/>
        </w:rPr>
        <w:noBreakHyphen/>
        <w:t>ils eu raison de conclure que la plaignante avait retiré son consentement? — Le juge O’Ferrall de la Cour d’appel a</w:t>
      </w:r>
      <w:r w:rsidRPr="004F4118">
        <w:rPr>
          <w:sz w:val="20"/>
          <w:lang w:val="fr-CA"/>
        </w:rPr>
        <w:noBreakHyphen/>
        <w:t>t</w:t>
      </w:r>
      <w:r w:rsidRPr="004F4118">
        <w:rPr>
          <w:sz w:val="20"/>
          <w:lang w:val="fr-CA"/>
        </w:rPr>
        <w:noBreakHyphen/>
        <w:t xml:space="preserve">il eu raison de conclure que la règle de droit énoncée dans </w:t>
      </w:r>
      <w:r w:rsidRPr="004F4118">
        <w:rPr>
          <w:i/>
          <w:sz w:val="20"/>
          <w:lang w:val="fr-CA"/>
        </w:rPr>
        <w:t>R. c. Jobidon</w:t>
      </w:r>
      <w:r w:rsidRPr="004F4118">
        <w:rPr>
          <w:sz w:val="20"/>
          <w:lang w:val="fr-CA"/>
        </w:rPr>
        <w:t>, [1991] 2 R.C.S. 714, définissant le consentement ne s’applique pas aux agressions sexuelles? — Le juge O’Ferrall de la Cour d’appel a</w:t>
      </w:r>
      <w:r w:rsidRPr="004F4118">
        <w:rPr>
          <w:sz w:val="20"/>
          <w:lang w:val="fr-CA"/>
        </w:rPr>
        <w:noBreakHyphen/>
        <w:t>t</w:t>
      </w:r>
      <w:r w:rsidRPr="004F4118">
        <w:rPr>
          <w:sz w:val="20"/>
          <w:lang w:val="fr-CA"/>
        </w:rPr>
        <w:noBreakHyphen/>
        <w:t>il eu raison de conclure que l’appelant avait l’intention subjective de causer des blessures corporelles et qu’il a effectivement causé des blessures corporelles? — Le juge O’Ferrall de la Cour d’appel a</w:t>
      </w:r>
      <w:r w:rsidRPr="004F4118">
        <w:rPr>
          <w:sz w:val="20"/>
          <w:lang w:val="fr-CA"/>
        </w:rPr>
        <w:noBreakHyphen/>
        <w:t>t</w:t>
      </w:r>
      <w:r w:rsidRPr="004F4118">
        <w:rPr>
          <w:sz w:val="20"/>
          <w:lang w:val="fr-CA"/>
        </w:rPr>
        <w:noBreakHyphen/>
        <w:t xml:space="preserve">il eu raison de conclure que la responsabilité conjointe au titre de l’al. 21(1)a) du </w:t>
      </w:r>
      <w:r w:rsidRPr="004F4118">
        <w:rPr>
          <w:i/>
          <w:sz w:val="20"/>
          <w:lang w:val="fr-CA"/>
        </w:rPr>
        <w:t>Code criminel</w:t>
      </w:r>
      <w:r w:rsidRPr="004F4118">
        <w:rPr>
          <w:sz w:val="20"/>
          <w:lang w:val="fr-CA"/>
        </w:rPr>
        <w:t xml:space="preserve"> s’appliquait à l’appelant même si la Couronne n’avait pas invoqué cet argument? — La Cour d’appel disposait</w:t>
      </w:r>
      <w:r w:rsidRPr="004F4118">
        <w:rPr>
          <w:sz w:val="20"/>
          <w:lang w:val="fr-CA"/>
        </w:rPr>
        <w:noBreakHyphen/>
        <w:t>elle de tous les faits nécessaires pour prononcer une déclaration de culpabilité lors de l’exercice de son pouvoir prévu au sous</w:t>
      </w:r>
      <w:r w:rsidRPr="004F4118">
        <w:rPr>
          <w:sz w:val="20"/>
          <w:lang w:val="fr-CA"/>
        </w:rPr>
        <w:noBreakHyphen/>
        <w:t xml:space="preserve">al. 686(4)b)(ii) du </w:t>
      </w:r>
      <w:r w:rsidRPr="004F4118">
        <w:rPr>
          <w:i/>
          <w:sz w:val="20"/>
          <w:lang w:val="fr-CA"/>
        </w:rPr>
        <w:t>Code criminel</w:t>
      </w:r>
      <w:r w:rsidRPr="004F4118">
        <w:rPr>
          <w:sz w:val="20"/>
          <w:lang w:val="fr-CA"/>
        </w:rPr>
        <w:t>?</w:t>
      </w:r>
    </w:p>
    <w:p w:rsidR="00A878C5" w:rsidRPr="004F4118" w:rsidRDefault="00A878C5" w:rsidP="00A878C5">
      <w:pPr>
        <w:widowControl w:val="0"/>
        <w:jc w:val="both"/>
        <w:rPr>
          <w:sz w:val="20"/>
          <w:lang w:val="fr-CA"/>
        </w:rPr>
      </w:pPr>
    </w:p>
    <w:p w:rsidR="00A878C5" w:rsidRPr="004F4118" w:rsidRDefault="00A878C5" w:rsidP="00A878C5">
      <w:pPr>
        <w:jc w:val="both"/>
        <w:rPr>
          <w:sz w:val="20"/>
          <w:lang w:val="fr-CA"/>
        </w:rPr>
      </w:pPr>
      <w:r w:rsidRPr="004F4118">
        <w:rPr>
          <w:sz w:val="20"/>
          <w:lang w:val="fr-CA"/>
        </w:rPr>
        <w:t>L’appelant et un coaccusé ont été accusés d’agression sexuelle et d’agression sexuelle armée. L’appelant, son coaccusé et une troisième personne se sont livrés à une activité sexuelle avec la plaignante. Une partie de l’activité sexuelle a été enregistrée sur vidéo. Le juge du procès a rejeté le témoignage de la plaignante selon lequel elle n’avait pas consenti à l’activité sexuelle, et a accepté celui des deux accusés à savoir qu’elle y avait participé volontairement. L’appelant a été acquitté des deux accusations, et la Couronne a fait appel des acquittements. La Cour d’appel a accueilli l’appel en partie, annulé l’acquittement relativement à l’accusation d’agression sexuelle, et prononcé une déclaration de culpabilité.</w:t>
      </w:r>
    </w:p>
    <w:p w:rsidR="00A878C5" w:rsidRPr="004F4118" w:rsidRDefault="00A878C5" w:rsidP="00A878C5">
      <w:pPr>
        <w:widowControl w:val="0"/>
        <w:jc w:val="both"/>
        <w:rPr>
          <w:sz w:val="20"/>
          <w:lang w:val="fr-CA"/>
        </w:rPr>
      </w:pPr>
    </w:p>
    <w:p w:rsidR="00A878C5" w:rsidRPr="004F4118" w:rsidRDefault="00DF0AA3" w:rsidP="00A878C5">
      <w:pPr>
        <w:widowControl w:val="0"/>
        <w:jc w:val="both"/>
        <w:rPr>
          <w:sz w:val="20"/>
          <w:lang w:val="fr-CA"/>
        </w:rPr>
      </w:pPr>
      <w:r>
        <w:rPr>
          <w:sz w:val="20"/>
        </w:rPr>
        <w:pict>
          <v:rect id="_x0000_i1065" style="width:2in;height:1pt" o:hrpct="0" o:hralign="center" o:hrstd="t" o:hrnoshade="t" o:hr="t" fillcolor="black [3213]" stroked="f"/>
        </w:pict>
      </w:r>
    </w:p>
    <w:p w:rsidR="00A878C5" w:rsidRPr="004F4118" w:rsidRDefault="00A878C5" w:rsidP="00A878C5">
      <w:pPr>
        <w:widowControl w:val="0"/>
        <w:jc w:val="both"/>
        <w:rPr>
          <w:sz w:val="20"/>
          <w:lang w:val="fr-CA"/>
        </w:rPr>
      </w:pPr>
    </w:p>
    <w:p w:rsidR="00A878C5" w:rsidRPr="004F4118" w:rsidRDefault="00A878C5" w:rsidP="00A878C5">
      <w:pPr>
        <w:widowControl w:val="0"/>
        <w:ind w:left="720" w:hanging="720"/>
        <w:jc w:val="both"/>
        <w:rPr>
          <w:b/>
          <w:i/>
          <w:sz w:val="20"/>
        </w:rPr>
      </w:pPr>
      <w:r w:rsidRPr="004F4118">
        <w:rPr>
          <w:b/>
          <w:sz w:val="20"/>
        </w:rPr>
        <w:fldChar w:fldCharType="begin"/>
      </w:r>
      <w:r w:rsidRPr="004F4118">
        <w:rPr>
          <w:b/>
          <w:sz w:val="20"/>
        </w:rPr>
        <w:instrText xml:space="preserve"> SEQ CHAPTER \h \r 1</w:instrText>
      </w:r>
      <w:r w:rsidRPr="004F4118">
        <w:rPr>
          <w:b/>
          <w:sz w:val="20"/>
        </w:rPr>
        <w:fldChar w:fldCharType="end"/>
      </w:r>
      <w:r w:rsidRPr="004F4118">
        <w:rPr>
          <w:b/>
          <w:sz w:val="20"/>
        </w:rPr>
        <w:t>39594</w:t>
      </w:r>
      <w:r w:rsidRPr="004F4118">
        <w:rPr>
          <w:sz w:val="20"/>
        </w:rPr>
        <w:tab/>
      </w:r>
      <w:r w:rsidRPr="004F4118">
        <w:rPr>
          <w:b/>
          <w:i/>
          <w:sz w:val="20"/>
        </w:rPr>
        <w:t>Annapolis Group Inc. v. Halifax Regional Municipality</w:t>
      </w:r>
    </w:p>
    <w:p w:rsidR="00A878C5" w:rsidRPr="004F4118" w:rsidRDefault="00A878C5" w:rsidP="00A878C5">
      <w:pPr>
        <w:widowControl w:val="0"/>
        <w:ind w:left="1440" w:hanging="731"/>
        <w:jc w:val="both"/>
        <w:rPr>
          <w:sz w:val="20"/>
        </w:rPr>
      </w:pPr>
      <w:r w:rsidRPr="004F4118">
        <w:rPr>
          <w:sz w:val="20"/>
        </w:rPr>
        <w:t>(N.S.) (Civil) (By Leave)</w:t>
      </w:r>
    </w:p>
    <w:p w:rsidR="00A878C5" w:rsidRPr="004F4118" w:rsidRDefault="00A878C5" w:rsidP="00A878C5">
      <w:pPr>
        <w:widowControl w:val="0"/>
        <w:jc w:val="both"/>
        <w:rPr>
          <w:sz w:val="20"/>
        </w:rPr>
      </w:pPr>
    </w:p>
    <w:p w:rsidR="00A878C5" w:rsidRPr="004F4118" w:rsidRDefault="00A878C5" w:rsidP="00A878C5">
      <w:pPr>
        <w:jc w:val="both"/>
        <w:rPr>
          <w:sz w:val="20"/>
        </w:rPr>
      </w:pPr>
      <w:r w:rsidRPr="004F4118">
        <w:rPr>
          <w:sz w:val="20"/>
        </w:rPr>
        <w:t xml:space="preserve">Expropriation - Municipal law - Municipal council declines to initiate planning process required by developer to develop lands - Public uses lands as a park - </w:t>
      </w:r>
      <w:r w:rsidRPr="004F4118">
        <w:rPr>
          <w:color w:val="000000"/>
          <w:sz w:val="20"/>
        </w:rPr>
        <w:t>Whether exercise of a zoning power which deprives a landowner of the reasonable uses of its land in favour of creating a public park carries an implied obligation to pay compensation</w:t>
      </w:r>
      <w:r w:rsidRPr="004F4118">
        <w:rPr>
          <w:sz w:val="20"/>
        </w:rPr>
        <w:t xml:space="preserve"> - Whether test for </w:t>
      </w:r>
      <w:r w:rsidRPr="004F4118">
        <w:rPr>
          <w:i/>
          <w:sz w:val="20"/>
        </w:rPr>
        <w:t>de facto</w:t>
      </w:r>
      <w:r w:rsidRPr="004F4118">
        <w:rPr>
          <w:sz w:val="20"/>
        </w:rPr>
        <w:t xml:space="preserve"> expropriation should be revisited - Whether motive of government authority is a relevant consideration in considering whether a </w:t>
      </w:r>
      <w:r w:rsidRPr="004F4118">
        <w:rPr>
          <w:i/>
          <w:color w:val="000000"/>
          <w:sz w:val="20"/>
        </w:rPr>
        <w:t>de facto</w:t>
      </w:r>
      <w:r w:rsidRPr="004F4118">
        <w:rPr>
          <w:sz w:val="20"/>
        </w:rPr>
        <w:t xml:space="preserve"> taking occurred</w:t>
      </w:r>
      <w:r w:rsidRPr="004F4118">
        <w:rPr>
          <w:color w:val="000000"/>
          <w:sz w:val="20"/>
        </w:rPr>
        <w:t>?</w:t>
      </w:r>
    </w:p>
    <w:p w:rsidR="00A878C5" w:rsidRPr="004F4118" w:rsidRDefault="00A878C5" w:rsidP="00A878C5">
      <w:pPr>
        <w:widowControl w:val="0"/>
        <w:jc w:val="both"/>
        <w:rPr>
          <w:sz w:val="20"/>
        </w:rPr>
      </w:pPr>
    </w:p>
    <w:p w:rsidR="00A878C5" w:rsidRPr="004F4118" w:rsidRDefault="00A878C5" w:rsidP="00A878C5">
      <w:pPr>
        <w:jc w:val="both"/>
        <w:rPr>
          <w:sz w:val="20"/>
        </w:rPr>
      </w:pPr>
      <w:r w:rsidRPr="004F4118">
        <w:rPr>
          <w:sz w:val="20"/>
        </w:rPr>
        <w:lastRenderedPageBreak/>
        <w:t>Annapolis Group Inc. seeks to develop lands</w:t>
      </w:r>
      <w:r w:rsidRPr="004F4118">
        <w:rPr>
          <w:sz w:val="20"/>
          <w:lang w:val="en"/>
        </w:rPr>
        <w:t xml:space="preserve"> that it owns. The lands lie </w:t>
      </w:r>
      <w:r w:rsidRPr="004F4118">
        <w:rPr>
          <w:sz w:val="20"/>
        </w:rPr>
        <w:t>within the boundary of Halifax Regional Municipality.</w:t>
      </w:r>
      <w:r w:rsidRPr="004F4118">
        <w:rPr>
          <w:sz w:val="20"/>
          <w:lang w:val="en"/>
        </w:rPr>
        <w:t xml:space="preserve"> Council of </w:t>
      </w:r>
      <w:r w:rsidRPr="004F4118">
        <w:rPr>
          <w:sz w:val="20"/>
        </w:rPr>
        <w:t xml:space="preserve">Halifax Regional Municipality declined to commence a planning process and to amend a by-law, both of which are required to permit development of the lands. </w:t>
      </w:r>
      <w:r w:rsidRPr="004F4118">
        <w:rPr>
          <w:sz w:val="20"/>
          <w:lang w:val="en"/>
        </w:rPr>
        <w:t xml:space="preserve">Annapolis Group Inc. alleges </w:t>
      </w:r>
      <w:r w:rsidRPr="004F4118">
        <w:rPr>
          <w:sz w:val="20"/>
        </w:rPr>
        <w:t xml:space="preserve">Halifax Regional Municipality </w:t>
      </w:r>
      <w:r w:rsidRPr="004F4118">
        <w:rPr>
          <w:sz w:val="20"/>
          <w:lang w:val="en"/>
        </w:rPr>
        <w:t xml:space="preserve">encourages members of the public to use the lands as a public park. It commenced an action seeking damages for alleged </w:t>
      </w:r>
      <w:r w:rsidRPr="004F4118">
        <w:rPr>
          <w:i/>
          <w:iCs/>
          <w:sz w:val="20"/>
          <w:lang w:val="en"/>
        </w:rPr>
        <w:t>de facto</w:t>
      </w:r>
      <w:r w:rsidRPr="004F4118">
        <w:rPr>
          <w:sz w:val="20"/>
          <w:lang w:val="en"/>
        </w:rPr>
        <w:t xml:space="preserve"> expropriation, abuse of public office and unjust enrichment. Halifax Regional Municipality filed a motion for summary judgment dismissing the claim of </w:t>
      </w:r>
      <w:r w:rsidRPr="004F4118">
        <w:rPr>
          <w:i/>
          <w:sz w:val="20"/>
          <w:lang w:val="en"/>
        </w:rPr>
        <w:t xml:space="preserve">de facto </w:t>
      </w:r>
      <w:r w:rsidRPr="004F4118">
        <w:rPr>
          <w:sz w:val="20"/>
        </w:rPr>
        <w:t xml:space="preserve">expropriation. The motions judge dismissed the motion. The Court of Appeal allowed an appeal and dismissed the claim of </w:t>
      </w:r>
      <w:r w:rsidRPr="004F4118">
        <w:rPr>
          <w:i/>
          <w:sz w:val="20"/>
        </w:rPr>
        <w:t xml:space="preserve">de facto </w:t>
      </w:r>
      <w:r w:rsidRPr="004F4118">
        <w:rPr>
          <w:sz w:val="20"/>
        </w:rPr>
        <w:t>expropriation.</w:t>
      </w:r>
    </w:p>
    <w:p w:rsidR="00A878C5" w:rsidRPr="004F4118" w:rsidRDefault="00A878C5" w:rsidP="00A878C5">
      <w:pPr>
        <w:jc w:val="both"/>
        <w:rPr>
          <w:sz w:val="20"/>
        </w:rPr>
      </w:pPr>
    </w:p>
    <w:p w:rsidR="00A878C5" w:rsidRPr="004F4118" w:rsidRDefault="00DF0AA3" w:rsidP="00A878C5">
      <w:pPr>
        <w:jc w:val="both"/>
        <w:rPr>
          <w:sz w:val="20"/>
        </w:rPr>
      </w:pPr>
      <w:r>
        <w:rPr>
          <w:sz w:val="20"/>
        </w:rPr>
        <w:pict>
          <v:rect id="_x0000_i1066" style="width:2in;height:1pt" o:hrpct="0" o:hralign="center" o:hrstd="t" o:hrnoshade="t" o:hr="t" fillcolor="black [3213]" stroked="f"/>
        </w:pict>
      </w:r>
    </w:p>
    <w:p w:rsidR="00A878C5" w:rsidRPr="004F4118" w:rsidRDefault="00A878C5" w:rsidP="00A878C5">
      <w:pPr>
        <w:jc w:val="both"/>
        <w:rPr>
          <w:sz w:val="20"/>
          <w:lang w:val="en"/>
        </w:rPr>
      </w:pPr>
    </w:p>
    <w:p w:rsidR="00A878C5" w:rsidRPr="004F4118" w:rsidRDefault="00A878C5" w:rsidP="00A878C5">
      <w:pPr>
        <w:pStyle w:val="SCCLsocParty"/>
        <w:jc w:val="both"/>
        <w:rPr>
          <w:b/>
          <w:i/>
          <w:sz w:val="20"/>
          <w:szCs w:val="20"/>
          <w:lang w:val="en-US"/>
        </w:rPr>
      </w:pPr>
      <w:r w:rsidRPr="004F4118">
        <w:rPr>
          <w:rStyle w:val="SCCFileNumberChar"/>
          <w:sz w:val="20"/>
          <w:szCs w:val="20"/>
          <w:lang w:val="en-US"/>
        </w:rPr>
        <w:t>39594</w:t>
      </w:r>
      <w:r w:rsidRPr="004F4118">
        <w:rPr>
          <w:rStyle w:val="SCCFileNumberChar"/>
          <w:sz w:val="20"/>
          <w:szCs w:val="20"/>
          <w:lang w:val="en-US"/>
        </w:rPr>
        <w:tab/>
      </w:r>
      <w:r w:rsidRPr="004F4118">
        <w:rPr>
          <w:b/>
          <w:i/>
          <w:sz w:val="20"/>
          <w:szCs w:val="20"/>
          <w:lang w:val="en-US"/>
        </w:rPr>
        <w:t>Annapolis Group Inc. c. Halifax Regional Municipality</w:t>
      </w:r>
    </w:p>
    <w:p w:rsidR="00A878C5" w:rsidRPr="004F4118" w:rsidRDefault="00A878C5" w:rsidP="00A878C5">
      <w:pPr>
        <w:ind w:firstLine="720"/>
        <w:jc w:val="both"/>
        <w:rPr>
          <w:sz w:val="20"/>
          <w:lang w:val="fr-CA"/>
        </w:rPr>
      </w:pPr>
      <w:r w:rsidRPr="004F4118">
        <w:rPr>
          <w:sz w:val="20"/>
          <w:lang w:val="fr-CA"/>
        </w:rPr>
        <w:t>(N.-É.) (Civile) (Sur autorisation)</w:t>
      </w:r>
    </w:p>
    <w:p w:rsidR="00A878C5" w:rsidRPr="004F4118" w:rsidRDefault="00A878C5" w:rsidP="00A878C5">
      <w:pPr>
        <w:jc w:val="both"/>
        <w:rPr>
          <w:sz w:val="20"/>
          <w:lang w:val="fr-CA"/>
        </w:rPr>
      </w:pPr>
    </w:p>
    <w:p w:rsidR="00A878C5" w:rsidRPr="004F4118" w:rsidRDefault="00A878C5" w:rsidP="00A878C5">
      <w:pPr>
        <w:jc w:val="both"/>
        <w:rPr>
          <w:sz w:val="20"/>
          <w:lang w:val="fr-CA"/>
        </w:rPr>
      </w:pPr>
      <w:r w:rsidRPr="004F4118">
        <w:rPr>
          <w:sz w:val="20"/>
          <w:lang w:val="fr-CA"/>
        </w:rPr>
        <w:t xml:space="preserve">Expropriation - Droit municipal - Refus du conseil municipal d’amorcer la planification dont a besoin le promoteur pour aménager des terres - Terres utilisées par le public comme parc -L’exercice d’un pouvoir de zonage qui a pour effet de priver un propriétaire terrien de l’usage raisonnable de son terrain dans le but de créer un parc public emporte-t-il l’obligation implicite de verser une indemnité? - Le critère relatif à l’expropriation </w:t>
      </w:r>
      <w:r w:rsidRPr="004F4118">
        <w:rPr>
          <w:i/>
          <w:sz w:val="20"/>
          <w:lang w:val="fr-CA"/>
        </w:rPr>
        <w:t>de facto</w:t>
      </w:r>
      <w:r w:rsidRPr="004F4118">
        <w:rPr>
          <w:sz w:val="20"/>
          <w:lang w:val="fr-CA"/>
        </w:rPr>
        <w:t xml:space="preserve"> devrait-il être revu? - Les motifs de l’autorité gouvernementale sont-ils un facteur pertinent lorsqu’il s’agit de décider s’il y a eu dépossession </w:t>
      </w:r>
      <w:r w:rsidRPr="004F4118">
        <w:rPr>
          <w:i/>
          <w:sz w:val="20"/>
          <w:lang w:val="fr-CA"/>
        </w:rPr>
        <w:t>de facto</w:t>
      </w:r>
      <w:r w:rsidRPr="004F4118">
        <w:rPr>
          <w:sz w:val="20"/>
          <w:lang w:val="fr-CA"/>
        </w:rPr>
        <w:t xml:space="preserve">?  </w:t>
      </w:r>
    </w:p>
    <w:p w:rsidR="00A878C5" w:rsidRPr="004F4118" w:rsidRDefault="00A878C5" w:rsidP="00A878C5">
      <w:pPr>
        <w:jc w:val="both"/>
        <w:rPr>
          <w:sz w:val="20"/>
          <w:lang w:val="fr-CA"/>
        </w:rPr>
      </w:pPr>
    </w:p>
    <w:p w:rsidR="00A878C5" w:rsidRPr="004F4118" w:rsidRDefault="00A878C5" w:rsidP="00A878C5">
      <w:pPr>
        <w:jc w:val="both"/>
        <w:rPr>
          <w:sz w:val="20"/>
          <w:lang w:val="fr-CA"/>
        </w:rPr>
      </w:pPr>
      <w:r w:rsidRPr="004F4118">
        <w:rPr>
          <w:sz w:val="20"/>
          <w:lang w:val="fr-CA"/>
        </w:rPr>
        <w:t xml:space="preserve">Annapolis Group Inc. cherche à aménager des terres qu’elle possède. Celles-ci se trouvent sur le territoire de la Municipalité régionale de Halifax. Le conseil de la Municipalité régionale de Halifax a refusé d’amorcer une planification et de modifier un règlement, deux étapes nécessaires pour autoriser l’aménagement des terres. Annapolis Group Inc. allègue que la Municipalité régionale de Halifax encourage le public à utiliser ses terres en tant que parc. Elle a intenté une action en dommages-intérêts pour expropriation </w:t>
      </w:r>
      <w:r w:rsidRPr="004F4118">
        <w:rPr>
          <w:i/>
          <w:sz w:val="20"/>
          <w:lang w:val="fr-CA"/>
        </w:rPr>
        <w:t>de facto</w:t>
      </w:r>
      <w:r w:rsidRPr="004F4118">
        <w:rPr>
          <w:sz w:val="20"/>
          <w:lang w:val="fr-CA"/>
        </w:rPr>
        <w:t xml:space="preserve">, abus dans l’exercice d’une charge publique et enrichissement sans cause. La Municipalité régionale de Halifax a déposé une requête en jugement sommaire rejetant la demande fondée sur l’expropriation </w:t>
      </w:r>
      <w:r w:rsidRPr="004F4118">
        <w:rPr>
          <w:i/>
          <w:sz w:val="20"/>
          <w:lang w:val="fr-CA"/>
        </w:rPr>
        <w:t>de facto</w:t>
      </w:r>
      <w:r w:rsidRPr="004F4118">
        <w:rPr>
          <w:sz w:val="20"/>
          <w:lang w:val="fr-CA"/>
        </w:rPr>
        <w:t xml:space="preserve">. Le juge saisi de la requête a rejeté celle-ci. La Cour d’appel a accueilli l’appel et a rejeté la demande fondée sur l’expropriation </w:t>
      </w:r>
      <w:r w:rsidRPr="004F4118">
        <w:rPr>
          <w:i/>
          <w:sz w:val="20"/>
          <w:lang w:val="fr-CA"/>
        </w:rPr>
        <w:t>de facto</w:t>
      </w:r>
      <w:r w:rsidRPr="004F4118">
        <w:rPr>
          <w:sz w:val="20"/>
          <w:lang w:val="fr-CA"/>
        </w:rPr>
        <w:t>.</w:t>
      </w:r>
    </w:p>
    <w:p w:rsidR="00102792" w:rsidRPr="004F4118" w:rsidRDefault="00102792" w:rsidP="00102792">
      <w:pPr>
        <w:rPr>
          <w:color w:val="000000"/>
          <w:sz w:val="20"/>
          <w:szCs w:val="20"/>
          <w:lang w:val="fr-CA"/>
        </w:rPr>
      </w:pPr>
    </w:p>
    <w:p w:rsidR="00102792" w:rsidRPr="004F4118" w:rsidRDefault="00DF0AA3" w:rsidP="00782AE4">
      <w:pPr>
        <w:jc w:val="both"/>
        <w:rPr>
          <w:sz w:val="20"/>
          <w:szCs w:val="20"/>
          <w:lang w:val="fr-CA"/>
        </w:rPr>
      </w:pPr>
      <w:r>
        <w:rPr>
          <w:sz w:val="20"/>
          <w:szCs w:val="20"/>
        </w:rPr>
        <w:pict>
          <v:rect id="_x0000_i1067" style="width:2in;height:1pt" o:hrpct="0" o:hralign="center" o:hrstd="t" o:hrnoshade="t" o:hr="t" fillcolor="black [3213]" stroked="f"/>
        </w:pict>
      </w:r>
    </w:p>
    <w:p w:rsidR="00102792" w:rsidRPr="004F4118" w:rsidRDefault="00102792" w:rsidP="00782AE4">
      <w:pPr>
        <w:jc w:val="both"/>
        <w:rPr>
          <w:sz w:val="20"/>
          <w:szCs w:val="20"/>
          <w:lang w:val="fr-CA"/>
        </w:rPr>
      </w:pPr>
    </w:p>
    <w:p w:rsidR="00172473" w:rsidRPr="004F4118" w:rsidRDefault="00172473" w:rsidP="00782AE4">
      <w:pPr>
        <w:jc w:val="both"/>
        <w:rPr>
          <w:sz w:val="20"/>
          <w:szCs w:val="20"/>
          <w:lang w:val="fr-CA"/>
        </w:rPr>
      </w:pPr>
    </w:p>
    <w:p w:rsidR="00102792" w:rsidRPr="004F4118" w:rsidRDefault="00102792" w:rsidP="00782AE4">
      <w:pPr>
        <w:jc w:val="both"/>
        <w:rPr>
          <w:sz w:val="20"/>
          <w:szCs w:val="20"/>
          <w:lang w:val="fr-CA"/>
        </w:rPr>
      </w:pPr>
    </w:p>
    <w:p w:rsidR="0022323B" w:rsidRPr="004F4118" w:rsidRDefault="0022323B" w:rsidP="00782AE4">
      <w:pPr>
        <w:jc w:val="both"/>
        <w:rPr>
          <w:sz w:val="20"/>
          <w:szCs w:val="20"/>
          <w:lang w:val="fr-CA"/>
        </w:rPr>
        <w:sectPr w:rsidR="0022323B" w:rsidRPr="004F4118" w:rsidSect="0022323B">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p w:rsidR="003F414B" w:rsidRPr="004F4118" w:rsidRDefault="003F414B" w:rsidP="003F414B">
      <w:pPr>
        <w:tabs>
          <w:tab w:val="center" w:pos="5220"/>
          <w:tab w:val="right" w:pos="10800"/>
        </w:tabs>
        <w:jc w:val="center"/>
        <w:rPr>
          <w:rFonts w:ascii="Arial" w:hAnsi="Arial" w:cs="Arial"/>
          <w:szCs w:val="24"/>
          <w:lang w:val="fr-CA"/>
        </w:rPr>
      </w:pPr>
      <w:bookmarkStart w:id="8" w:name="1"/>
      <w:bookmarkStart w:id="9" w:name="QuickMark"/>
      <w:bookmarkEnd w:id="8"/>
      <w:bookmarkEnd w:id="9"/>
      <w:r w:rsidRPr="004F4118">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4F4118"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lang w:val="fr-FR"/>
              </w:rPr>
            </w:pPr>
            <w:r w:rsidRPr="004F4118">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lang w:val="fr-FR"/>
              </w:rPr>
            </w:pPr>
            <w:r w:rsidRPr="004F4118">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lang w:val="fr-FR"/>
              </w:rPr>
            </w:pPr>
            <w:r w:rsidRPr="004F4118">
              <w:rPr>
                <w:rFonts w:ascii="Arial" w:eastAsia="Arial" w:hAnsi="Arial"/>
                <w:b/>
                <w:color w:val="000000"/>
                <w:sz w:val="13"/>
              </w:rPr>
              <w:t>DECEMBER – DÉCEMBRE</w:t>
            </w:r>
          </w:p>
        </w:tc>
      </w:tr>
      <w:tr w:rsidR="003F414B" w:rsidRPr="004F4118"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b/>
                <w:color w:val="000000"/>
                <w:sz w:val="13"/>
                <w:szCs w:val="13"/>
              </w:rPr>
            </w:pPr>
            <w:r w:rsidRPr="004F4118">
              <w:rPr>
                <w:rFonts w:ascii="Arial" w:eastAsia="Arial" w:hAnsi="Arial"/>
                <w:b/>
                <w:color w:val="000000"/>
                <w:sz w:val="13"/>
                <w:szCs w:val="13"/>
              </w:rPr>
              <w:t>S</w:t>
            </w:r>
          </w:p>
          <w:p w:rsidR="003F414B" w:rsidRPr="004F4118" w:rsidRDefault="003F414B" w:rsidP="00E8642A">
            <w:pPr>
              <w:jc w:val="center"/>
              <w:textAlignment w:val="baseline"/>
              <w:rPr>
                <w:rFonts w:ascii="Arial" w:eastAsia="Arial" w:hAnsi="Arial"/>
                <w:b/>
                <w:color w:val="000000"/>
                <w:sz w:val="13"/>
                <w:szCs w:val="13"/>
              </w:rPr>
            </w:pPr>
            <w:r w:rsidRPr="004F4118">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b/>
                <w:color w:val="000000"/>
                <w:sz w:val="13"/>
                <w:szCs w:val="13"/>
              </w:rPr>
            </w:pPr>
            <w:r w:rsidRPr="004F4118">
              <w:rPr>
                <w:rFonts w:ascii="Arial" w:eastAsia="Arial" w:hAnsi="Arial"/>
                <w:b/>
                <w:color w:val="000000"/>
                <w:sz w:val="13"/>
                <w:szCs w:val="13"/>
              </w:rPr>
              <w:t>M</w:t>
            </w:r>
          </w:p>
          <w:p w:rsidR="003F414B" w:rsidRPr="004F4118" w:rsidRDefault="003F414B" w:rsidP="00E8642A">
            <w:pPr>
              <w:jc w:val="center"/>
              <w:textAlignment w:val="baseline"/>
              <w:rPr>
                <w:rFonts w:ascii="Arial" w:eastAsia="Arial" w:hAnsi="Arial"/>
                <w:b/>
                <w:color w:val="000000"/>
                <w:sz w:val="13"/>
                <w:szCs w:val="13"/>
              </w:rPr>
            </w:pPr>
            <w:r w:rsidRPr="004F4118">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b/>
                <w:color w:val="000000"/>
                <w:sz w:val="13"/>
                <w:szCs w:val="13"/>
              </w:rPr>
            </w:pPr>
            <w:r w:rsidRPr="004F4118">
              <w:rPr>
                <w:rFonts w:ascii="Arial" w:eastAsia="Arial" w:hAnsi="Arial"/>
                <w:b/>
                <w:color w:val="000000"/>
                <w:sz w:val="13"/>
                <w:szCs w:val="13"/>
              </w:rPr>
              <w:t>T</w:t>
            </w:r>
          </w:p>
          <w:p w:rsidR="003F414B" w:rsidRPr="004F4118" w:rsidRDefault="003F414B" w:rsidP="00E8642A">
            <w:pPr>
              <w:jc w:val="center"/>
              <w:textAlignment w:val="baseline"/>
              <w:rPr>
                <w:rFonts w:ascii="Arial" w:eastAsia="Arial" w:hAnsi="Arial"/>
                <w:b/>
                <w:color w:val="000000"/>
                <w:sz w:val="13"/>
                <w:szCs w:val="13"/>
              </w:rPr>
            </w:pPr>
            <w:r w:rsidRPr="004F4118">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b/>
                <w:color w:val="000000"/>
                <w:sz w:val="13"/>
                <w:szCs w:val="13"/>
              </w:rPr>
            </w:pPr>
            <w:r w:rsidRPr="004F4118">
              <w:rPr>
                <w:rFonts w:ascii="Arial" w:eastAsia="Arial" w:hAnsi="Arial"/>
                <w:b/>
                <w:color w:val="000000"/>
                <w:sz w:val="13"/>
                <w:szCs w:val="13"/>
              </w:rPr>
              <w:t>W</w:t>
            </w:r>
          </w:p>
          <w:p w:rsidR="003F414B" w:rsidRPr="004F4118" w:rsidRDefault="003F414B" w:rsidP="00E8642A">
            <w:pPr>
              <w:jc w:val="center"/>
              <w:textAlignment w:val="baseline"/>
              <w:rPr>
                <w:rFonts w:ascii="Arial" w:eastAsia="Arial" w:hAnsi="Arial"/>
                <w:b/>
                <w:color w:val="000000"/>
                <w:sz w:val="13"/>
                <w:szCs w:val="13"/>
              </w:rPr>
            </w:pPr>
            <w:r w:rsidRPr="004F4118">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b/>
                <w:color w:val="000000"/>
                <w:sz w:val="13"/>
                <w:szCs w:val="13"/>
              </w:rPr>
            </w:pPr>
            <w:r w:rsidRPr="004F4118">
              <w:rPr>
                <w:rFonts w:ascii="Arial" w:eastAsia="Arial" w:hAnsi="Arial"/>
                <w:b/>
                <w:color w:val="000000"/>
                <w:sz w:val="13"/>
                <w:szCs w:val="13"/>
              </w:rPr>
              <w:t>T</w:t>
            </w:r>
          </w:p>
          <w:p w:rsidR="003F414B" w:rsidRPr="004F4118" w:rsidRDefault="003F414B" w:rsidP="00E8642A">
            <w:pPr>
              <w:jc w:val="center"/>
              <w:textAlignment w:val="baseline"/>
              <w:rPr>
                <w:rFonts w:ascii="Arial" w:eastAsia="Arial" w:hAnsi="Arial"/>
                <w:b/>
                <w:color w:val="000000"/>
                <w:sz w:val="13"/>
                <w:szCs w:val="13"/>
              </w:rPr>
            </w:pPr>
            <w:r w:rsidRPr="004F4118">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b/>
                <w:color w:val="000000"/>
                <w:sz w:val="13"/>
                <w:szCs w:val="13"/>
              </w:rPr>
            </w:pPr>
            <w:r w:rsidRPr="004F4118">
              <w:rPr>
                <w:rFonts w:ascii="Arial" w:eastAsia="Arial" w:hAnsi="Arial"/>
                <w:b/>
                <w:color w:val="000000"/>
                <w:sz w:val="13"/>
                <w:szCs w:val="13"/>
              </w:rPr>
              <w:t>F</w:t>
            </w:r>
          </w:p>
          <w:p w:rsidR="003F414B" w:rsidRPr="004F4118" w:rsidRDefault="003F414B" w:rsidP="00E8642A">
            <w:pPr>
              <w:jc w:val="center"/>
              <w:textAlignment w:val="baseline"/>
              <w:rPr>
                <w:rFonts w:ascii="Arial" w:eastAsia="Arial" w:hAnsi="Arial"/>
                <w:b/>
                <w:color w:val="000000"/>
                <w:sz w:val="13"/>
                <w:szCs w:val="13"/>
              </w:rPr>
            </w:pPr>
            <w:r w:rsidRPr="004F4118">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b/>
                <w:color w:val="000000"/>
                <w:sz w:val="13"/>
                <w:szCs w:val="13"/>
              </w:rPr>
            </w:pPr>
            <w:r w:rsidRPr="004F4118">
              <w:rPr>
                <w:rFonts w:ascii="Arial" w:eastAsia="Arial" w:hAnsi="Arial"/>
                <w:b/>
                <w:color w:val="000000"/>
                <w:sz w:val="13"/>
                <w:szCs w:val="13"/>
              </w:rPr>
              <w:t>S</w:t>
            </w:r>
          </w:p>
          <w:p w:rsidR="003F414B" w:rsidRPr="004F4118" w:rsidRDefault="003F414B" w:rsidP="00E8642A">
            <w:pPr>
              <w:jc w:val="center"/>
              <w:textAlignment w:val="baseline"/>
              <w:rPr>
                <w:rFonts w:ascii="Arial" w:eastAsia="Arial" w:hAnsi="Arial"/>
                <w:b/>
                <w:color w:val="000000"/>
                <w:sz w:val="13"/>
                <w:szCs w:val="13"/>
              </w:rPr>
            </w:pPr>
            <w:r w:rsidRPr="004F4118">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S</w:t>
            </w:r>
          </w:p>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M</w:t>
            </w:r>
          </w:p>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T</w:t>
            </w:r>
          </w:p>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W</w:t>
            </w:r>
          </w:p>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T</w:t>
            </w:r>
          </w:p>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F</w:t>
            </w:r>
          </w:p>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S</w:t>
            </w:r>
          </w:p>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S</w:t>
            </w:r>
          </w:p>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M</w:t>
            </w:r>
          </w:p>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T</w:t>
            </w:r>
          </w:p>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W</w:t>
            </w:r>
          </w:p>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T</w:t>
            </w:r>
          </w:p>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F</w:t>
            </w:r>
          </w:p>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S</w:t>
            </w:r>
          </w:p>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S</w:t>
            </w:r>
          </w:p>
        </w:tc>
      </w:tr>
      <w:tr w:rsidR="003F414B" w:rsidRPr="004F4118"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CC</w:t>
            </w:r>
          </w:p>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4</w:t>
            </w:r>
          </w:p>
        </w:tc>
      </w:tr>
      <w:tr w:rsidR="003F414B" w:rsidRPr="004F4118"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CC</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H</w:t>
            </w:r>
          </w:p>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11</w:t>
            </w:r>
          </w:p>
        </w:tc>
      </w:tr>
      <w:tr w:rsidR="003F414B" w:rsidRPr="004F4118"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H</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18</w:t>
            </w:r>
          </w:p>
        </w:tc>
      </w:tr>
      <w:tr w:rsidR="003F414B" w:rsidRPr="004F4118"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25</w:t>
            </w:r>
          </w:p>
        </w:tc>
      </w:tr>
      <w:tr w:rsidR="003F414B" w:rsidRPr="004F4118"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 xml:space="preserve">  24 /</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rPr>
            </w:pPr>
            <w:r w:rsidRPr="004F4118">
              <w:rPr>
                <w:rFonts w:ascii="Arial" w:eastAsia="Arial" w:hAnsi="Arial" w:cs="Arial"/>
                <w:b/>
                <w:color w:val="000000"/>
                <w:sz w:val="13"/>
              </w:rPr>
              <w:t>CC</w:t>
            </w:r>
          </w:p>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rPr>
            </w:pPr>
            <w:r w:rsidRPr="004F4118">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rPr>
                <w:rFonts w:ascii="Arial" w:hAnsi="Arial" w:cs="Arial"/>
                <w:b/>
                <w:sz w:val="13"/>
                <w:szCs w:val="13"/>
              </w:rPr>
            </w:pPr>
            <w:r w:rsidRPr="004F4118">
              <w:rPr>
                <w:rFonts w:ascii="Arial" w:hAnsi="Arial" w:cs="Arial"/>
                <w:b/>
                <w:sz w:val="13"/>
                <w:szCs w:val="13"/>
              </w:rPr>
              <w:t>H</w:t>
            </w:r>
          </w:p>
          <w:p w:rsidR="003F414B" w:rsidRPr="004F4118" w:rsidRDefault="003F414B" w:rsidP="00E8642A">
            <w:pPr>
              <w:jc w:val="center"/>
              <w:rPr>
                <w:rFonts w:ascii="Arial" w:hAnsi="Arial" w:cs="Arial"/>
                <w:sz w:val="13"/>
                <w:szCs w:val="13"/>
              </w:rPr>
            </w:pPr>
            <w:r w:rsidRPr="004F4118">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rPr>
                <w:rFonts w:ascii="Arial" w:hAnsi="Arial" w:cs="Arial"/>
                <w:b/>
                <w:sz w:val="13"/>
                <w:szCs w:val="13"/>
              </w:rPr>
            </w:pPr>
            <w:r w:rsidRPr="004F4118">
              <w:rPr>
                <w:rFonts w:ascii="Arial" w:hAnsi="Arial" w:cs="Arial"/>
                <w:b/>
                <w:sz w:val="13"/>
                <w:szCs w:val="13"/>
              </w:rPr>
              <w:t>H</w:t>
            </w:r>
          </w:p>
          <w:p w:rsidR="003F414B" w:rsidRPr="004F4118" w:rsidRDefault="003F414B" w:rsidP="00E8642A">
            <w:pPr>
              <w:jc w:val="center"/>
              <w:rPr>
                <w:rFonts w:ascii="Arial" w:hAnsi="Arial" w:cs="Arial"/>
                <w:sz w:val="13"/>
                <w:szCs w:val="13"/>
              </w:rPr>
            </w:pPr>
            <w:r w:rsidRPr="004F4118">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r w:rsidRPr="004F4118">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rPr>
                <w:rFonts w:ascii="Arial" w:hAnsi="Arial" w:cs="Arial"/>
                <w:sz w:val="13"/>
                <w:szCs w:val="13"/>
              </w:rPr>
            </w:pPr>
          </w:p>
        </w:tc>
      </w:tr>
    </w:tbl>
    <w:p w:rsidR="003F414B" w:rsidRPr="004F4118" w:rsidRDefault="003F414B" w:rsidP="003F414B">
      <w:pPr>
        <w:tabs>
          <w:tab w:val="center" w:pos="5220"/>
          <w:tab w:val="right" w:pos="10440"/>
        </w:tabs>
        <w:spacing w:before="120"/>
        <w:jc w:val="center"/>
        <w:rPr>
          <w:rFonts w:ascii="Arial" w:hAnsi="Arial" w:cs="Arial"/>
          <w:szCs w:val="24"/>
        </w:rPr>
      </w:pPr>
      <w:r w:rsidRPr="004F4118">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4F4118"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MARCH – MARS</w:t>
            </w:r>
          </w:p>
        </w:tc>
      </w:tr>
      <w:tr w:rsidR="003F414B" w:rsidRPr="004F4118"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W</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F</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W</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F</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W</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F</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tc>
      </w:tr>
      <w:tr w:rsidR="003F414B" w:rsidRPr="004F411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5</w:t>
            </w:r>
          </w:p>
        </w:tc>
      </w:tr>
      <w:tr w:rsidR="003F414B" w:rsidRPr="004F411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spacing w:before="241" w:after="34" w:line="147" w:lineRule="exact"/>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4F4118" w:rsidRDefault="003F414B" w:rsidP="00E8642A">
            <w:pPr>
              <w:spacing w:before="91" w:line="148" w:lineRule="exact"/>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H</w:t>
            </w:r>
          </w:p>
          <w:p w:rsidR="003F414B" w:rsidRPr="004F4118" w:rsidRDefault="003F414B" w:rsidP="00E8642A">
            <w:pPr>
              <w:spacing w:before="2" w:after="34" w:line="147" w:lineRule="exact"/>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CC</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12</w:t>
            </w:r>
          </w:p>
        </w:tc>
      </w:tr>
      <w:tr w:rsidR="003F414B" w:rsidRPr="004F411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spacing w:before="240" w:after="30" w:line="147" w:lineRule="exact"/>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4F4118" w:rsidRDefault="003F414B" w:rsidP="00E8642A">
            <w:pPr>
              <w:spacing w:before="91" w:line="148" w:lineRule="exact"/>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CC</w:t>
            </w:r>
          </w:p>
          <w:p w:rsidR="003F414B" w:rsidRPr="004F4118" w:rsidRDefault="003F414B" w:rsidP="00E8642A">
            <w:pPr>
              <w:spacing w:before="1" w:after="30" w:line="147" w:lineRule="exact"/>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CC</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19</w:t>
            </w:r>
          </w:p>
        </w:tc>
      </w:tr>
      <w:tr w:rsidR="003F414B" w:rsidRPr="004F411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spacing w:before="212" w:after="30" w:line="147" w:lineRule="exact"/>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spacing w:before="212" w:after="30" w:line="147" w:lineRule="exact"/>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26</w:t>
            </w:r>
          </w:p>
        </w:tc>
      </w:tr>
      <w:tr w:rsidR="003F414B" w:rsidRPr="004F4118"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4F4118" w:rsidRDefault="003F414B" w:rsidP="00E8642A">
            <w:pPr>
              <w:spacing w:before="77" w:after="35" w:line="147" w:lineRule="exact"/>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 xml:space="preserve">  23 /</w:t>
            </w:r>
          </w:p>
          <w:p w:rsidR="003F414B" w:rsidRPr="004F4118" w:rsidRDefault="003F414B" w:rsidP="00E8642A">
            <w:pPr>
              <w:spacing w:before="39" w:after="30" w:line="147" w:lineRule="exact"/>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4F4118" w:rsidRDefault="003F414B" w:rsidP="00E8642A">
            <w:pPr>
              <w:spacing w:before="77" w:after="35" w:line="147" w:lineRule="exact"/>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 xml:space="preserve">  24 /</w:t>
            </w:r>
          </w:p>
          <w:p w:rsidR="003F414B" w:rsidRPr="004F4118" w:rsidRDefault="003F414B" w:rsidP="00E8642A">
            <w:pPr>
              <w:spacing w:before="39" w:after="30" w:line="147" w:lineRule="exact"/>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r>
      <w:tr w:rsidR="003F414B" w:rsidRPr="004F4118"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JUNE – JUIN</w:t>
            </w:r>
          </w:p>
        </w:tc>
      </w:tr>
      <w:tr w:rsidR="003F414B" w:rsidRPr="004F4118"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W</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F</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W</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F</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W</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F</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tc>
      </w:tr>
      <w:tr w:rsidR="003F414B" w:rsidRPr="004F411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4F4118"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4</w:t>
            </w:r>
          </w:p>
        </w:tc>
      </w:tr>
      <w:tr w:rsidR="003F414B" w:rsidRPr="004F411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CC</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4F4118" w:rsidRDefault="003F414B" w:rsidP="00E8642A">
            <w:pPr>
              <w:jc w:val="center"/>
              <w:textAlignment w:val="baseline"/>
              <w:rPr>
                <w:rFonts w:ascii="Arial" w:eastAsia="Arial" w:hAnsi="Arial"/>
                <w:b/>
                <w:color w:val="000000"/>
                <w:sz w:val="13"/>
              </w:rPr>
            </w:pPr>
            <w:r w:rsidRPr="004F4118">
              <w:rPr>
                <w:rFonts w:ascii="Arial" w:eastAsia="Arial" w:hAnsi="Arial"/>
                <w:b/>
                <w:color w:val="000000"/>
                <w:sz w:val="13"/>
              </w:rPr>
              <w:t>CC</w:t>
            </w:r>
          </w:p>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11</w:t>
            </w:r>
          </w:p>
        </w:tc>
      </w:tr>
      <w:tr w:rsidR="003F414B" w:rsidRPr="004F411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CC</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H</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18</w:t>
            </w:r>
          </w:p>
        </w:tc>
      </w:tr>
      <w:tr w:rsidR="003F414B" w:rsidRPr="004F411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H</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OR</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OR</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H</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25</w:t>
            </w:r>
          </w:p>
        </w:tc>
      </w:tr>
      <w:tr w:rsidR="003F414B" w:rsidRPr="004F4118"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OR</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OR</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olor w:val="000000"/>
                <w:sz w:val="13"/>
              </w:rPr>
            </w:pPr>
            <w:r w:rsidRPr="004F4118">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eastAsia="Times New Roman"/>
                <w:color w:val="000000"/>
              </w:rPr>
            </w:pPr>
          </w:p>
        </w:tc>
      </w:tr>
      <w:tr w:rsidR="003F414B" w:rsidRPr="004F4118"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SEPTEMBER – SEPTEMBRE</w:t>
            </w:r>
          </w:p>
        </w:tc>
      </w:tr>
      <w:tr w:rsidR="003F414B" w:rsidRPr="004F4118"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6"/>
                <w:szCs w:val="16"/>
              </w:rPr>
            </w:pPr>
            <w:r w:rsidRPr="004F4118">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W</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F</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W</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F</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4F4118"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W</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T</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F</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p w:rsidR="003F414B" w:rsidRPr="004F4118" w:rsidRDefault="003F414B" w:rsidP="00E8642A">
            <w:pPr>
              <w:tabs>
                <w:tab w:val="center" w:pos="5220"/>
                <w:tab w:val="right" w:pos="10440"/>
              </w:tabs>
              <w:jc w:val="center"/>
              <w:rPr>
                <w:rFonts w:ascii="Arial" w:hAnsi="Arial" w:cs="Arial"/>
                <w:b/>
                <w:sz w:val="13"/>
                <w:szCs w:val="13"/>
              </w:rPr>
            </w:pPr>
            <w:r w:rsidRPr="004F4118">
              <w:rPr>
                <w:rFonts w:ascii="Arial" w:hAnsi="Arial" w:cs="Arial"/>
                <w:b/>
                <w:sz w:val="13"/>
                <w:szCs w:val="13"/>
              </w:rPr>
              <w:t>S</w:t>
            </w:r>
          </w:p>
        </w:tc>
      </w:tr>
      <w:tr w:rsidR="003F414B" w:rsidRPr="004F411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H</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H</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w:t>
            </w:r>
          </w:p>
        </w:tc>
      </w:tr>
      <w:tr w:rsidR="003F414B" w:rsidRPr="004F411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H</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10</w:t>
            </w:r>
          </w:p>
        </w:tc>
      </w:tr>
      <w:tr w:rsidR="003F414B" w:rsidRPr="004F411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17</w:t>
            </w:r>
          </w:p>
        </w:tc>
      </w:tr>
      <w:tr w:rsidR="003F414B" w:rsidRPr="004F411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24</w:t>
            </w:r>
          </w:p>
        </w:tc>
      </w:tr>
      <w:tr w:rsidR="003F414B" w:rsidRPr="004F4118"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 xml:space="preserve">  24 /</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4F41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RH</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RH</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Arial" w:hAnsi="Arial" w:cs="Arial"/>
                <w:b/>
                <w:color w:val="000000"/>
                <w:sz w:val="13"/>
                <w:szCs w:val="13"/>
              </w:rPr>
            </w:pPr>
            <w:r w:rsidRPr="004F4118">
              <w:rPr>
                <w:rFonts w:ascii="Arial" w:eastAsia="Arial" w:hAnsi="Arial" w:cs="Arial"/>
                <w:b/>
                <w:color w:val="000000"/>
                <w:sz w:val="13"/>
                <w:szCs w:val="13"/>
              </w:rPr>
              <w:t>H</w:t>
            </w:r>
          </w:p>
          <w:p w:rsidR="003F414B" w:rsidRPr="004F4118" w:rsidRDefault="003F414B" w:rsidP="00E8642A">
            <w:pPr>
              <w:jc w:val="center"/>
              <w:textAlignment w:val="baseline"/>
              <w:rPr>
                <w:rFonts w:ascii="Arial" w:eastAsia="Arial" w:hAnsi="Arial" w:cs="Arial"/>
                <w:color w:val="000000"/>
                <w:sz w:val="13"/>
                <w:szCs w:val="13"/>
              </w:rPr>
            </w:pPr>
            <w:r w:rsidRPr="004F4118">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4F4118" w:rsidRDefault="003F414B" w:rsidP="00E8642A">
            <w:pPr>
              <w:jc w:val="center"/>
              <w:textAlignment w:val="baseline"/>
              <w:rPr>
                <w:rFonts w:ascii="Arial" w:eastAsia="Times New Roman" w:hAnsi="Arial" w:cs="Arial"/>
                <w:color w:val="000000"/>
                <w:sz w:val="13"/>
                <w:szCs w:val="13"/>
              </w:rPr>
            </w:pPr>
          </w:p>
        </w:tc>
      </w:tr>
      <w:tr w:rsidR="003F414B" w:rsidRPr="004F4118"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4F4118" w:rsidRDefault="003F414B" w:rsidP="00E8642A">
            <w:pPr>
              <w:spacing w:before="40"/>
              <w:jc w:val="right"/>
              <w:rPr>
                <w:rFonts w:ascii="Arial" w:hAnsi="Arial" w:cs="Arial"/>
                <w:b/>
                <w:sz w:val="13"/>
                <w:szCs w:val="13"/>
              </w:rPr>
            </w:pPr>
            <w:r w:rsidRPr="004F4118">
              <w:rPr>
                <w:rFonts w:ascii="Arial" w:hAnsi="Arial" w:cs="Arial"/>
                <w:b/>
                <w:sz w:val="13"/>
                <w:szCs w:val="13"/>
              </w:rPr>
              <w:t>Sitting of the Court /</w:t>
            </w:r>
          </w:p>
          <w:p w:rsidR="003F414B" w:rsidRPr="004F4118" w:rsidRDefault="003F414B" w:rsidP="00E8642A">
            <w:pPr>
              <w:jc w:val="right"/>
              <w:rPr>
                <w:rFonts w:ascii="Arial" w:hAnsi="Arial" w:cs="Arial"/>
                <w:b/>
                <w:sz w:val="13"/>
                <w:szCs w:val="13"/>
              </w:rPr>
            </w:pPr>
            <w:r w:rsidRPr="004F4118">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4F4118"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4F4118" w:rsidRDefault="003F414B" w:rsidP="00E8642A">
            <w:pPr>
              <w:tabs>
                <w:tab w:val="left" w:pos="203"/>
              </w:tabs>
              <w:spacing w:before="40" w:after="120"/>
              <w:rPr>
                <w:rFonts w:ascii="Arial" w:hAnsi="Arial" w:cs="Arial"/>
                <w:b/>
                <w:sz w:val="13"/>
                <w:szCs w:val="13"/>
                <w:lang w:val="fr-CA"/>
              </w:rPr>
            </w:pPr>
            <w:r w:rsidRPr="004F4118">
              <w:rPr>
                <w:rFonts w:ascii="Arial" w:hAnsi="Arial" w:cs="Arial"/>
                <w:b/>
                <w:sz w:val="13"/>
                <w:szCs w:val="13"/>
                <w:lang w:val="fr-CA"/>
              </w:rPr>
              <w:t>18</w:t>
            </w:r>
            <w:r w:rsidRPr="004F4118">
              <w:rPr>
                <w:rFonts w:ascii="Arial" w:hAnsi="Arial" w:cs="Arial"/>
                <w:b/>
                <w:sz w:val="13"/>
                <w:szCs w:val="13"/>
                <w:lang w:val="fr-CA"/>
              </w:rPr>
              <w:tab/>
              <w:t xml:space="preserve"> sitting weeks / semaines séances de la Cour</w:t>
            </w:r>
          </w:p>
          <w:p w:rsidR="003F414B" w:rsidRPr="004F4118" w:rsidRDefault="003F414B" w:rsidP="00E8642A">
            <w:pPr>
              <w:tabs>
                <w:tab w:val="left" w:pos="203"/>
              </w:tabs>
              <w:rPr>
                <w:rFonts w:ascii="Arial" w:hAnsi="Arial" w:cs="Arial"/>
                <w:b/>
                <w:sz w:val="13"/>
                <w:szCs w:val="13"/>
                <w:lang w:val="fr-CA"/>
              </w:rPr>
            </w:pPr>
            <w:r w:rsidRPr="004F4118">
              <w:rPr>
                <w:rFonts w:ascii="Arial" w:hAnsi="Arial" w:cs="Arial"/>
                <w:b/>
                <w:sz w:val="13"/>
                <w:szCs w:val="13"/>
                <w:lang w:val="fr-CA"/>
              </w:rPr>
              <w:t>88</w:t>
            </w:r>
            <w:r w:rsidRPr="004F4118">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4F4118" w:rsidRDefault="003F414B" w:rsidP="00E8642A">
            <w:pPr>
              <w:spacing w:before="40" w:after="120"/>
              <w:jc w:val="right"/>
              <w:rPr>
                <w:rFonts w:ascii="Arial" w:hAnsi="Arial" w:cs="Arial"/>
                <w:b/>
                <w:sz w:val="13"/>
                <w:szCs w:val="13"/>
                <w:lang w:val="fr-FR"/>
              </w:rPr>
            </w:pPr>
            <w:r w:rsidRPr="004F4118">
              <w:rPr>
                <w:rFonts w:ascii="Arial" w:hAnsi="Arial" w:cs="Arial"/>
                <w:b/>
                <w:sz w:val="13"/>
                <w:szCs w:val="13"/>
                <w:lang w:val="fr-FR"/>
              </w:rPr>
              <w:t>Rosh Hashanah / Nouvel An juif</w:t>
            </w:r>
          </w:p>
          <w:p w:rsidR="003F414B" w:rsidRPr="004F4118" w:rsidRDefault="003F414B" w:rsidP="00E8642A">
            <w:pPr>
              <w:jc w:val="right"/>
              <w:rPr>
                <w:rFonts w:ascii="Arial" w:hAnsi="Arial" w:cs="Arial"/>
                <w:b/>
                <w:sz w:val="13"/>
                <w:szCs w:val="13"/>
                <w:lang w:val="fr-CA"/>
              </w:rPr>
            </w:pPr>
            <w:r w:rsidRPr="004F4118">
              <w:rPr>
                <w:rFonts w:ascii="Arial" w:hAnsi="Arial" w:cs="Arial"/>
                <w:b/>
                <w:sz w:val="13"/>
                <w:szCs w:val="13"/>
                <w:lang w:val="fr-FR"/>
              </w:rPr>
              <w:t>Yom Kippur / Yom Kippour</w:t>
            </w:r>
          </w:p>
        </w:tc>
        <w:tc>
          <w:tcPr>
            <w:tcW w:w="271" w:type="pct"/>
            <w:gridSpan w:val="2"/>
            <w:hideMark/>
          </w:tcPr>
          <w:p w:rsidR="003F414B" w:rsidRPr="004F4118" w:rsidRDefault="003F414B" w:rsidP="00E8642A">
            <w:pPr>
              <w:spacing w:before="40" w:after="120"/>
              <w:jc w:val="center"/>
              <w:rPr>
                <w:rFonts w:ascii="Arial" w:hAnsi="Arial" w:cs="Arial"/>
                <w:b/>
                <w:sz w:val="13"/>
                <w:szCs w:val="13"/>
                <w:lang w:val="fr-CA"/>
              </w:rPr>
            </w:pPr>
            <w:r w:rsidRPr="004F4118">
              <w:rPr>
                <w:rFonts w:ascii="Arial" w:hAnsi="Arial" w:cs="Arial"/>
                <w:b/>
                <w:sz w:val="13"/>
                <w:szCs w:val="13"/>
                <w:lang w:val="fr-CA"/>
              </w:rPr>
              <w:t>RH</w:t>
            </w:r>
          </w:p>
          <w:p w:rsidR="003F414B" w:rsidRPr="004F4118" w:rsidRDefault="003F414B" w:rsidP="00E8642A">
            <w:pPr>
              <w:jc w:val="center"/>
              <w:rPr>
                <w:rFonts w:ascii="Arial" w:hAnsi="Arial" w:cs="Arial"/>
                <w:b/>
                <w:sz w:val="13"/>
                <w:szCs w:val="13"/>
                <w:lang w:val="fr-CA"/>
              </w:rPr>
            </w:pPr>
            <w:r w:rsidRPr="004F4118">
              <w:rPr>
                <w:rFonts w:ascii="Arial" w:hAnsi="Arial" w:cs="Arial"/>
                <w:b/>
                <w:sz w:val="13"/>
                <w:szCs w:val="13"/>
                <w:lang w:val="fr-CA"/>
              </w:rPr>
              <w:t>YK</w:t>
            </w:r>
          </w:p>
        </w:tc>
      </w:tr>
      <w:tr w:rsidR="003F414B" w:rsidRPr="004F4118"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4F4118" w:rsidRDefault="003F414B" w:rsidP="00E8642A">
            <w:pPr>
              <w:jc w:val="right"/>
              <w:rPr>
                <w:rFonts w:ascii="Arial" w:hAnsi="Arial" w:cs="Arial"/>
                <w:b/>
                <w:sz w:val="13"/>
                <w:szCs w:val="13"/>
                <w:lang w:val="fr-CA"/>
              </w:rPr>
            </w:pPr>
            <w:r w:rsidRPr="004F4118">
              <w:rPr>
                <w:rFonts w:ascii="Arial" w:hAnsi="Arial" w:cs="Arial"/>
                <w:b/>
                <w:sz w:val="13"/>
                <w:szCs w:val="13"/>
                <w:lang w:val="fr-CA"/>
              </w:rPr>
              <w:t>Court conference /</w:t>
            </w:r>
          </w:p>
          <w:p w:rsidR="003F414B" w:rsidRPr="004F4118" w:rsidRDefault="003F414B" w:rsidP="00E8642A">
            <w:pPr>
              <w:jc w:val="right"/>
              <w:rPr>
                <w:rFonts w:ascii="Arial" w:hAnsi="Arial" w:cs="Arial"/>
                <w:b/>
                <w:sz w:val="13"/>
                <w:szCs w:val="13"/>
                <w:lang w:val="fr-CA"/>
              </w:rPr>
            </w:pPr>
            <w:r w:rsidRPr="004F4118">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4F4118" w:rsidRDefault="003F414B" w:rsidP="00E8642A">
            <w:pPr>
              <w:jc w:val="center"/>
              <w:rPr>
                <w:rFonts w:ascii="Arial" w:hAnsi="Arial" w:cs="Arial"/>
                <w:b/>
                <w:sz w:val="13"/>
                <w:szCs w:val="13"/>
                <w:lang w:val="fr-FR"/>
              </w:rPr>
            </w:pPr>
            <w:r w:rsidRPr="004F4118">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4F4118" w:rsidRDefault="003F414B" w:rsidP="00E8642A">
            <w:pPr>
              <w:tabs>
                <w:tab w:val="left" w:pos="203"/>
              </w:tabs>
              <w:rPr>
                <w:rFonts w:ascii="Arial" w:hAnsi="Arial" w:cs="Arial"/>
                <w:b/>
                <w:sz w:val="13"/>
                <w:szCs w:val="13"/>
                <w:lang w:val="fr-CA"/>
              </w:rPr>
            </w:pPr>
            <w:r w:rsidRPr="004F4118">
              <w:rPr>
                <w:rFonts w:ascii="Arial" w:hAnsi="Arial" w:cs="Arial"/>
                <w:b/>
                <w:sz w:val="13"/>
                <w:szCs w:val="13"/>
                <w:lang w:val="fr-CA"/>
              </w:rPr>
              <w:t>9</w:t>
            </w:r>
            <w:r w:rsidRPr="004F4118">
              <w:rPr>
                <w:rFonts w:ascii="Arial" w:hAnsi="Arial" w:cs="Arial"/>
                <w:b/>
                <w:sz w:val="13"/>
                <w:szCs w:val="13"/>
                <w:lang w:val="fr-CA"/>
              </w:rPr>
              <w:tab/>
              <w:t>Court conference days /</w:t>
            </w:r>
          </w:p>
          <w:p w:rsidR="003F414B" w:rsidRPr="004F4118" w:rsidRDefault="003F414B" w:rsidP="00E8642A">
            <w:pPr>
              <w:tabs>
                <w:tab w:val="left" w:pos="203"/>
              </w:tabs>
              <w:rPr>
                <w:rFonts w:ascii="Arial" w:hAnsi="Arial" w:cs="Arial"/>
                <w:b/>
                <w:sz w:val="13"/>
                <w:szCs w:val="13"/>
                <w:lang w:val="fr-CA"/>
              </w:rPr>
            </w:pPr>
            <w:r w:rsidRPr="004F4118">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4F4118" w:rsidRDefault="003F414B" w:rsidP="00E8642A">
            <w:pPr>
              <w:rPr>
                <w:rFonts w:ascii="Arial" w:hAnsi="Arial" w:cs="Arial"/>
                <w:b/>
                <w:sz w:val="13"/>
                <w:szCs w:val="13"/>
                <w:lang w:val="fr-CA"/>
              </w:rPr>
            </w:pPr>
          </w:p>
        </w:tc>
        <w:tc>
          <w:tcPr>
            <w:tcW w:w="271" w:type="pct"/>
            <w:gridSpan w:val="2"/>
          </w:tcPr>
          <w:p w:rsidR="003F414B" w:rsidRPr="004F4118" w:rsidRDefault="003F414B" w:rsidP="00E8642A">
            <w:pPr>
              <w:jc w:val="center"/>
              <w:rPr>
                <w:rFonts w:ascii="Arial" w:hAnsi="Arial" w:cs="Arial"/>
                <w:b/>
                <w:sz w:val="13"/>
                <w:szCs w:val="13"/>
                <w:lang w:val="fr-CA"/>
              </w:rPr>
            </w:pPr>
          </w:p>
        </w:tc>
      </w:tr>
      <w:tr w:rsidR="003F414B" w:rsidRPr="004F4118"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4F4118" w:rsidRDefault="003F414B" w:rsidP="00E8642A">
            <w:pPr>
              <w:jc w:val="right"/>
              <w:rPr>
                <w:rFonts w:ascii="Arial" w:hAnsi="Arial" w:cs="Arial"/>
                <w:b/>
                <w:sz w:val="13"/>
                <w:szCs w:val="13"/>
              </w:rPr>
            </w:pPr>
            <w:r w:rsidRPr="004F4118">
              <w:rPr>
                <w:rFonts w:ascii="Arial" w:hAnsi="Arial" w:cs="Arial"/>
                <w:b/>
                <w:sz w:val="13"/>
                <w:szCs w:val="13"/>
              </w:rPr>
              <w:t xml:space="preserve">Holiday / </w:t>
            </w:r>
            <w:r w:rsidRPr="004F4118">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4F4118" w:rsidRDefault="003F414B" w:rsidP="00E8642A">
            <w:pPr>
              <w:jc w:val="center"/>
              <w:rPr>
                <w:rFonts w:ascii="Arial" w:hAnsi="Arial" w:cs="Arial"/>
                <w:b/>
                <w:sz w:val="13"/>
                <w:szCs w:val="13"/>
              </w:rPr>
            </w:pPr>
            <w:r w:rsidRPr="004F4118">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4F4118" w:rsidRDefault="003F414B" w:rsidP="00E8642A">
            <w:pPr>
              <w:tabs>
                <w:tab w:val="left" w:pos="203"/>
              </w:tabs>
              <w:rPr>
                <w:rFonts w:ascii="Arial" w:hAnsi="Arial" w:cs="Arial"/>
                <w:b/>
                <w:sz w:val="13"/>
                <w:szCs w:val="13"/>
              </w:rPr>
            </w:pPr>
            <w:r w:rsidRPr="004F4118">
              <w:rPr>
                <w:rFonts w:ascii="Arial" w:hAnsi="Arial" w:cs="Arial"/>
                <w:b/>
                <w:sz w:val="13"/>
                <w:szCs w:val="13"/>
              </w:rPr>
              <w:t>2</w:t>
            </w:r>
            <w:r w:rsidRPr="004F4118">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4F4118">
              <w:rPr>
                <w:rFonts w:ascii="Arial" w:hAnsi="Arial" w:cs="Arial"/>
                <w:b/>
                <w:sz w:val="13"/>
                <w:szCs w:val="13"/>
              </w:rPr>
              <w:tab/>
            </w:r>
            <w:r w:rsidRPr="004F4118">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56"/>
      <w:footerReference w:type="default" r:id="rId57"/>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082" w:rsidRDefault="00C66082" w:rsidP="00A87207">
      <w:r>
        <w:separator/>
      </w:r>
    </w:p>
  </w:endnote>
  <w:endnote w:type="continuationSeparator" w:id="0">
    <w:p w:rsidR="00C66082" w:rsidRDefault="00C6608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2" w:rsidRDefault="00DF0AA3" w:rsidP="00A87207">
    <w:pPr>
      <w:pStyle w:val="Footer"/>
    </w:pPr>
    <w:r>
      <w:pict>
        <v:rect id="_x0000_i1035" style="width:480.95pt;height:1pt" o:hralign="center" o:hrstd="t" o:hrnoshade="t" o:hr="t" fillcolor="black [3213]" stroked="f"/>
      </w:pict>
    </w:r>
  </w:p>
  <w:p w:rsidR="00C66082" w:rsidRPr="00B7374B" w:rsidRDefault="00C6608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F0AA3">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2" w:rsidRDefault="00DF0AA3" w:rsidP="0022323B">
    <w:r>
      <w:pict>
        <v:rect id="_x0000_i1068" style="width:480.95pt;height:1pt" o:hralign="center" o:hrstd="t" o:hrnoshade="t" o:hr="t" fillcolor="black [3213]" stroked="f"/>
      </w:pict>
    </w:r>
  </w:p>
  <w:p w:rsidR="00C66082" w:rsidRDefault="00C66082">
    <w:pPr>
      <w:tabs>
        <w:tab w:val="center" w:pos="4740"/>
      </w:tabs>
      <w:spacing w:line="0" w:lineRule="atLeast"/>
    </w:pPr>
    <w:r>
      <w:tab/>
      <w:t xml:space="preserve">- </w:t>
    </w:r>
    <w:r>
      <w:fldChar w:fldCharType="begin"/>
    </w:r>
    <w:r>
      <w:instrText xml:space="preserve"> PAGE   \* MERGEFORMAT </w:instrText>
    </w:r>
    <w:r>
      <w:fldChar w:fldCharType="separate"/>
    </w:r>
    <w:r w:rsidR="00DF0AA3">
      <w:rPr>
        <w:noProof/>
      </w:rPr>
      <w:t>21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2" w:rsidRDefault="00DF0AA3" w:rsidP="0022323B">
    <w:r>
      <w:pict>
        <v:rect id="_x0000_i1069" style="width:480.95pt;height:1pt" o:hralign="center" o:hrstd="t" o:hrnoshade="t" o:hr="t" fillcolor="black [3213]" stroked="f"/>
      </w:pict>
    </w:r>
  </w:p>
  <w:p w:rsidR="00C66082" w:rsidRDefault="00C66082" w:rsidP="0022323B">
    <w:pPr>
      <w:tabs>
        <w:tab w:val="center" w:pos="4740"/>
      </w:tabs>
      <w:spacing w:line="0" w:lineRule="atLeast"/>
    </w:pPr>
    <w:r>
      <w:tab/>
      <w:t xml:space="preserve">- </w:t>
    </w:r>
    <w:r>
      <w:fldChar w:fldCharType="begin"/>
    </w:r>
    <w:r>
      <w:instrText xml:space="preserve"> PAGE   \* MERGEFORMAT </w:instrText>
    </w:r>
    <w:r>
      <w:fldChar w:fldCharType="separate"/>
    </w:r>
    <w:r w:rsidR="00DF0AA3">
      <w:rPr>
        <w:noProof/>
      </w:rPr>
      <w:t>13</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2" w:rsidRPr="00924065" w:rsidRDefault="00C6608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2" w:rsidRDefault="00DF0AA3" w:rsidP="00755F22">
    <w:pPr>
      <w:tabs>
        <w:tab w:val="left" w:pos="-1440"/>
        <w:tab w:val="left" w:pos="-720"/>
      </w:tabs>
    </w:pPr>
    <w:r>
      <w:pict>
        <v:rect id="_x0000_i1036" style="width:480.95pt;height:1pt" o:hralign="center" o:hrstd="t" o:hrnoshade="t" o:hr="t" fillcolor="black [3213]" stroked="f"/>
      </w:pict>
    </w:r>
  </w:p>
  <w:p w:rsidR="00C66082" w:rsidRPr="00954D22" w:rsidRDefault="00C6608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F0AA3">
      <w:rPr>
        <w:noProof/>
        <w:szCs w:val="24"/>
      </w:rPr>
      <w:t>1</w:t>
    </w:r>
    <w:r>
      <w:rPr>
        <w:szCs w:val="24"/>
      </w:rPr>
      <w:fldChar w:fldCharType="end"/>
    </w:r>
    <w:r w:rsidRPr="00954D22">
      <w:rPr>
        <w:szCs w:val="24"/>
      </w:rPr>
      <w:t xml:space="preserve"> -</w:t>
    </w:r>
  </w:p>
  <w:p w:rsidR="00C66082" w:rsidRDefault="00C660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2" w:rsidRDefault="00C660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66082" w:rsidRDefault="00C660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6082" w:rsidRDefault="00C66082">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2" w:rsidRDefault="00DF0A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5" style="width:480.95pt;height:1pt" o:hralign="center" o:hrstd="t" o:hrnoshade="t" o:hr="t" fillcolor="black [3213]" stroked="f"/>
      </w:pict>
    </w:r>
  </w:p>
  <w:p w:rsidR="00C66082" w:rsidRPr="0009648D" w:rsidRDefault="00C66082" w:rsidP="00ED7E83">
    <w:pPr>
      <w:tabs>
        <w:tab w:val="center" w:pos="4680"/>
      </w:tabs>
    </w:pPr>
    <w:r>
      <w:tab/>
    </w:r>
    <w:r w:rsidRPr="0009648D">
      <w:t xml:space="preserve">- </w:t>
    </w:r>
    <w:r>
      <w:fldChar w:fldCharType="begin"/>
    </w:r>
    <w:r>
      <w:instrText xml:space="preserve"> PAGE   \* MERGEFORMAT </w:instrText>
    </w:r>
    <w:r>
      <w:fldChar w:fldCharType="separate"/>
    </w:r>
    <w:r w:rsidR="00DF0AA3">
      <w:rPr>
        <w:noProof/>
      </w:rPr>
      <w:t>10</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2" w:rsidRDefault="00DF0AA3">
    <w:pPr>
      <w:pStyle w:val="Footer"/>
      <w:rPr>
        <w:lang w:val="fr-CA"/>
      </w:rPr>
    </w:pPr>
    <w:r>
      <w:rPr>
        <w:lang w:val="fr-CA"/>
      </w:rPr>
      <w:pict>
        <v:rect id="_x0000_i1046" style="width:480.95pt;height:1pt" o:hralign="center" o:hrstd="t" o:hrnoshade="t" o:hr="t" fillcolor="black [3213]" stroked="f"/>
      </w:pict>
    </w:r>
  </w:p>
  <w:p w:rsidR="00C66082" w:rsidRDefault="00C66082" w:rsidP="00245129">
    <w:pPr>
      <w:tabs>
        <w:tab w:val="center" w:pos="4680"/>
      </w:tabs>
    </w:pPr>
    <w:r>
      <w:tab/>
    </w:r>
    <w:r w:rsidRPr="0009648D">
      <w:t xml:space="preserve">- </w:t>
    </w:r>
    <w:r>
      <w:fldChar w:fldCharType="begin"/>
    </w:r>
    <w:r>
      <w:instrText xml:space="preserve"> PAGE   \* MERGEFORMAT </w:instrText>
    </w:r>
    <w:r>
      <w:fldChar w:fldCharType="separate"/>
    </w:r>
    <w:r w:rsidR="00DF0AA3">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2" w:rsidRDefault="00C660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6082" w:rsidRDefault="00C660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6082" w:rsidRDefault="00C66082">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2" w:rsidRDefault="00DF0AA3" w:rsidP="00755F22">
    <w:pPr>
      <w:tabs>
        <w:tab w:val="left" w:pos="-1440"/>
        <w:tab w:val="left" w:pos="-720"/>
      </w:tabs>
    </w:pPr>
    <w:r>
      <w:pict>
        <v:rect id="_x0000_i1049" style="width:480.95pt;height:1pt" o:hralign="center" o:hrstd="t" o:hrnoshade="t" o:hr="t" fillcolor="black [3213]" stroked="f"/>
      </w:pict>
    </w:r>
  </w:p>
  <w:p w:rsidR="00C66082" w:rsidRDefault="00C66082" w:rsidP="00EB2B90">
    <w:pPr>
      <w:tabs>
        <w:tab w:val="center" w:pos="4680"/>
      </w:tabs>
    </w:pPr>
    <w:r>
      <w:tab/>
      <w:t xml:space="preserve">- </w:t>
    </w:r>
    <w:r>
      <w:fldChar w:fldCharType="begin"/>
    </w:r>
    <w:r>
      <w:instrText xml:space="preserve"> PAGE   \* MERGEFORMAT </w:instrText>
    </w:r>
    <w:r>
      <w:fldChar w:fldCharType="separate"/>
    </w:r>
    <w:r w:rsidR="00DF0AA3">
      <w:rPr>
        <w:noProof/>
      </w:rPr>
      <w:t>12</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2" w:rsidRDefault="00DF0AA3" w:rsidP="00EB2B90">
    <w:pPr>
      <w:tabs>
        <w:tab w:val="center" w:pos="4680"/>
      </w:tabs>
    </w:pPr>
    <w:r>
      <w:pict>
        <v:rect id="_x0000_i1050" style="width:480.95pt;height:1pt" o:hralign="center" o:hrstd="t" o:hrnoshade="t" o:hr="t" fillcolor="black [3213]" stroked="f"/>
      </w:pict>
    </w:r>
  </w:p>
  <w:p w:rsidR="00C66082" w:rsidRPr="0031432F" w:rsidRDefault="00C66082" w:rsidP="00EB2B90">
    <w:pPr>
      <w:tabs>
        <w:tab w:val="center" w:pos="4680"/>
      </w:tabs>
    </w:pPr>
    <w:r>
      <w:tab/>
      <w:t xml:space="preserve">- </w:t>
    </w:r>
    <w:r>
      <w:fldChar w:fldCharType="begin"/>
    </w:r>
    <w:r>
      <w:instrText xml:space="preserve"> PAGE   \* MERGEFORMAT </w:instrText>
    </w:r>
    <w:r>
      <w:fldChar w:fldCharType="separate"/>
    </w:r>
    <w:r w:rsidR="00DF0AA3">
      <w:rPr>
        <w:noProof/>
      </w:rPr>
      <w:t>11</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2" w:rsidRDefault="00C6608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C66082" w:rsidRDefault="00C6608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C66082" w:rsidRDefault="00C66082">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082" w:rsidRDefault="00C66082" w:rsidP="00A87207">
      <w:r>
        <w:separator/>
      </w:r>
    </w:p>
  </w:footnote>
  <w:footnote w:type="continuationSeparator" w:id="0">
    <w:p w:rsidR="00C66082" w:rsidRDefault="00C6608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66082" w:rsidRPr="0044776A" w:rsidTr="00245129">
      <w:tc>
        <w:tcPr>
          <w:tcW w:w="4290" w:type="dxa"/>
          <w:tcMar>
            <w:left w:w="0" w:type="dxa"/>
            <w:right w:w="0" w:type="dxa"/>
          </w:tcMar>
        </w:tcPr>
        <w:p w:rsidR="00C66082" w:rsidRPr="00D31809" w:rsidRDefault="00C66082" w:rsidP="00D31809">
          <w:pPr>
            <w:keepNext/>
            <w:keepLines/>
            <w:rPr>
              <w:sz w:val="20"/>
              <w:szCs w:val="20"/>
              <w:lang w:val="en-US"/>
            </w:rPr>
          </w:pPr>
          <w:r w:rsidRPr="00D31809">
            <w:rPr>
              <w:sz w:val="20"/>
              <w:szCs w:val="20"/>
              <w:lang w:val="en-US"/>
            </w:rPr>
            <w:t>Applications for leave to appeal filed</w:t>
          </w:r>
        </w:p>
        <w:p w:rsidR="00C66082" w:rsidRPr="00D31809" w:rsidRDefault="00C66082" w:rsidP="00D31809">
          <w:pPr>
            <w:keepNext/>
            <w:keepLines/>
            <w:rPr>
              <w:sz w:val="20"/>
              <w:szCs w:val="20"/>
            </w:rPr>
          </w:pPr>
        </w:p>
      </w:tc>
      <w:tc>
        <w:tcPr>
          <w:tcW w:w="1200" w:type="dxa"/>
          <w:tcMar>
            <w:left w:w="0" w:type="dxa"/>
            <w:right w:w="0" w:type="dxa"/>
          </w:tcMar>
        </w:tcPr>
        <w:p w:rsidR="00C66082" w:rsidRPr="00D31809" w:rsidRDefault="00C66082" w:rsidP="002E2327">
          <w:pPr>
            <w:keepNext/>
            <w:keepLines/>
            <w:tabs>
              <w:tab w:val="left" w:pos="-1440"/>
              <w:tab w:val="left" w:pos="-720"/>
            </w:tabs>
            <w:jc w:val="center"/>
            <w:rPr>
              <w:sz w:val="20"/>
              <w:szCs w:val="20"/>
            </w:rPr>
          </w:pPr>
        </w:p>
      </w:tc>
      <w:tc>
        <w:tcPr>
          <w:tcW w:w="4320" w:type="dxa"/>
          <w:tcMar>
            <w:left w:w="0" w:type="dxa"/>
            <w:right w:w="0" w:type="dxa"/>
          </w:tcMar>
        </w:tcPr>
        <w:p w:rsidR="00C66082" w:rsidRPr="00D31809" w:rsidRDefault="00C66082" w:rsidP="002E2327">
          <w:pPr>
            <w:keepLines/>
            <w:rPr>
              <w:sz w:val="20"/>
              <w:szCs w:val="20"/>
              <w:lang w:val="fr-CA"/>
            </w:rPr>
          </w:pPr>
          <w:r w:rsidRPr="00D31809">
            <w:rPr>
              <w:sz w:val="20"/>
              <w:szCs w:val="20"/>
              <w:lang w:val="fr-CA"/>
            </w:rPr>
            <w:t>Demandes d’autorisation d’appel déposées</w:t>
          </w:r>
        </w:p>
      </w:tc>
    </w:tr>
  </w:tbl>
  <w:p w:rsidR="00C66082" w:rsidRDefault="00C660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66082" w:rsidRPr="00DF0AA3" w:rsidTr="00245129">
      <w:tc>
        <w:tcPr>
          <w:tcW w:w="4200" w:type="dxa"/>
          <w:tcMar>
            <w:left w:w="0" w:type="dxa"/>
            <w:right w:w="0" w:type="dxa"/>
          </w:tcMar>
        </w:tcPr>
        <w:p w:rsidR="00C66082" w:rsidRPr="00102792" w:rsidRDefault="00C66082" w:rsidP="007E6E2A">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February</w:t>
          </w:r>
          <w:r w:rsidRPr="00102792">
            <w:rPr>
              <w:szCs w:val="24"/>
            </w:rPr>
            <w:t xml:space="preserve"> 20</w:t>
          </w:r>
          <w:r>
            <w:rPr>
              <w:szCs w:val="24"/>
            </w:rPr>
            <w:t>22</w:t>
          </w:r>
        </w:p>
      </w:tc>
      <w:tc>
        <w:tcPr>
          <w:tcW w:w="1200" w:type="dxa"/>
          <w:tcMar>
            <w:left w:w="0" w:type="dxa"/>
            <w:right w:w="0" w:type="dxa"/>
          </w:tcMar>
        </w:tcPr>
        <w:p w:rsidR="00C66082" w:rsidRDefault="00C66082" w:rsidP="00102792">
          <w:pPr>
            <w:keepNext/>
            <w:keepLines/>
            <w:jc w:val="center"/>
            <w:rPr>
              <w:szCs w:val="24"/>
            </w:rPr>
          </w:pPr>
        </w:p>
        <w:p w:rsidR="00C66082" w:rsidRPr="00102792" w:rsidRDefault="00C66082" w:rsidP="00102792">
          <w:pPr>
            <w:keepNext/>
            <w:keepLines/>
            <w:jc w:val="center"/>
            <w:rPr>
              <w:szCs w:val="24"/>
            </w:rPr>
          </w:pPr>
        </w:p>
        <w:p w:rsidR="00C66082" w:rsidRPr="00102792" w:rsidRDefault="00C66082" w:rsidP="00102792">
          <w:pPr>
            <w:keepNext/>
            <w:keepLines/>
            <w:jc w:val="center"/>
            <w:rPr>
              <w:szCs w:val="24"/>
            </w:rPr>
          </w:pPr>
        </w:p>
      </w:tc>
      <w:tc>
        <w:tcPr>
          <w:tcW w:w="4080" w:type="dxa"/>
          <w:tcMar>
            <w:left w:w="0" w:type="dxa"/>
            <w:right w:w="0" w:type="dxa"/>
          </w:tcMar>
        </w:tcPr>
        <w:p w:rsidR="00C66082" w:rsidRPr="00102792" w:rsidRDefault="00C66082" w:rsidP="007E6E2A">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février</w:t>
          </w:r>
          <w:r w:rsidRPr="00102792">
            <w:rPr>
              <w:szCs w:val="24"/>
              <w:lang w:val="fr-CA"/>
            </w:rPr>
            <w:t xml:space="preserve"> 20</w:t>
          </w:r>
          <w:r>
            <w:rPr>
              <w:szCs w:val="24"/>
              <w:lang w:val="fr-CA"/>
            </w:rPr>
            <w:t>22</w:t>
          </w:r>
        </w:p>
      </w:tc>
    </w:tr>
  </w:tbl>
  <w:p w:rsidR="00C66082" w:rsidRPr="00567602" w:rsidRDefault="00C66082"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2" w:rsidRDefault="00C6608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2" w:rsidRDefault="00C66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2" w:rsidRDefault="00C66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66082" w:rsidRPr="00DF0AA3">
      <w:tc>
        <w:tcPr>
          <w:tcW w:w="4200" w:type="dxa"/>
          <w:tcMar>
            <w:left w:w="0" w:type="dxa"/>
            <w:right w:w="0" w:type="dxa"/>
          </w:tcMar>
        </w:tcPr>
        <w:p w:rsidR="00C66082" w:rsidRDefault="00C6608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66082" w:rsidRDefault="00C6608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66082" w:rsidRDefault="00C6608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66082" w:rsidRPr="00FF6BA5" w:rsidRDefault="00C6608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66082" w:rsidRPr="00FF6BA5" w:rsidRDefault="00C660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66082" w:rsidRPr="00FF6BA5" w:rsidRDefault="00C660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66082" w:rsidRPr="00FF6BA5" w:rsidRDefault="00C660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66082" w:rsidRPr="00DF0AA3" w:rsidTr="00245129">
      <w:tc>
        <w:tcPr>
          <w:tcW w:w="4200" w:type="dxa"/>
          <w:tcMar>
            <w:left w:w="0" w:type="dxa"/>
            <w:right w:w="0" w:type="dxa"/>
          </w:tcMar>
        </w:tcPr>
        <w:p w:rsidR="00C66082" w:rsidRPr="00634F42" w:rsidRDefault="00C6608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C66082" w:rsidRPr="00755F22" w:rsidRDefault="00C6608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66082" w:rsidRPr="00755F22" w:rsidRDefault="00C6608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66082" w:rsidRPr="00755F22" w:rsidRDefault="00C6608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C66082" w:rsidRPr="00FF6BA5" w:rsidRDefault="00C66082"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2" w:rsidRDefault="00C660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66082">
      <w:tc>
        <w:tcPr>
          <w:tcW w:w="4230" w:type="dxa"/>
          <w:tcMar>
            <w:left w:w="0" w:type="dxa"/>
            <w:right w:w="0" w:type="dxa"/>
          </w:tcMar>
        </w:tcPr>
        <w:p w:rsidR="00C66082" w:rsidRDefault="00C6608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66082" w:rsidRDefault="00C6608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66082" w:rsidRDefault="00C6608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66082">
      <w:trPr>
        <w:gridAfter w:val="2"/>
        <w:wAfter w:w="5250" w:type="dxa"/>
      </w:trPr>
      <w:tc>
        <w:tcPr>
          <w:tcW w:w="4230" w:type="dxa"/>
          <w:tcMar>
            <w:left w:w="0" w:type="dxa"/>
            <w:right w:w="0" w:type="dxa"/>
          </w:tcMar>
        </w:tcPr>
        <w:p w:rsidR="00C66082" w:rsidRDefault="00C660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66082" w:rsidRDefault="00C660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66082" w:rsidRPr="00755F22" w:rsidTr="00245129">
      <w:tc>
        <w:tcPr>
          <w:tcW w:w="4230" w:type="dxa"/>
          <w:tcMar>
            <w:left w:w="0" w:type="dxa"/>
            <w:right w:w="0" w:type="dxa"/>
          </w:tcMar>
        </w:tcPr>
        <w:p w:rsidR="00C66082" w:rsidRPr="00755F22" w:rsidRDefault="00C66082" w:rsidP="00831CA9">
          <w:pPr>
            <w:keepNext/>
            <w:keepLines/>
            <w:rPr>
              <w:sz w:val="20"/>
              <w:szCs w:val="20"/>
            </w:rPr>
          </w:pPr>
          <w:r w:rsidRPr="00755F22">
            <w:rPr>
              <w:sz w:val="20"/>
              <w:szCs w:val="20"/>
            </w:rPr>
            <w:t>Motions</w:t>
          </w:r>
        </w:p>
      </w:tc>
      <w:tc>
        <w:tcPr>
          <w:tcW w:w="1170" w:type="dxa"/>
          <w:tcMar>
            <w:left w:w="0" w:type="dxa"/>
            <w:right w:w="0" w:type="dxa"/>
          </w:tcMar>
        </w:tcPr>
        <w:p w:rsidR="00C66082" w:rsidRPr="00755F22" w:rsidRDefault="00C66082" w:rsidP="00831CA9">
          <w:pPr>
            <w:keepLines/>
            <w:jc w:val="center"/>
            <w:rPr>
              <w:sz w:val="20"/>
              <w:szCs w:val="20"/>
            </w:rPr>
          </w:pPr>
        </w:p>
        <w:p w:rsidR="00C66082" w:rsidRPr="00755F22" w:rsidRDefault="00C66082" w:rsidP="00831CA9">
          <w:pPr>
            <w:keepLines/>
            <w:tabs>
              <w:tab w:val="left" w:pos="-1440"/>
              <w:tab w:val="left" w:pos="-720"/>
            </w:tabs>
            <w:jc w:val="center"/>
            <w:rPr>
              <w:sz w:val="20"/>
              <w:szCs w:val="20"/>
            </w:rPr>
          </w:pPr>
        </w:p>
      </w:tc>
      <w:tc>
        <w:tcPr>
          <w:tcW w:w="4080" w:type="dxa"/>
          <w:tcMar>
            <w:left w:w="0" w:type="dxa"/>
            <w:right w:w="0" w:type="dxa"/>
          </w:tcMar>
        </w:tcPr>
        <w:p w:rsidR="00C66082" w:rsidRPr="00BA6468" w:rsidRDefault="00C66082" w:rsidP="00BA6468">
          <w:pPr>
            <w:keepLines/>
            <w:rPr>
              <w:sz w:val="20"/>
              <w:szCs w:val="20"/>
              <w:lang w:val="fr-CA"/>
            </w:rPr>
          </w:pPr>
          <w:r w:rsidRPr="00BA6468">
            <w:rPr>
              <w:sz w:val="20"/>
              <w:szCs w:val="20"/>
              <w:lang w:val="fr-CA"/>
            </w:rPr>
            <w:t>Requêtes</w:t>
          </w:r>
        </w:p>
      </w:tc>
    </w:tr>
  </w:tbl>
  <w:p w:rsidR="00C66082" w:rsidRDefault="00C66082"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2" w:rsidRDefault="00C660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66082">
      <w:tc>
        <w:tcPr>
          <w:tcW w:w="4200" w:type="dxa"/>
          <w:tcMar>
            <w:left w:w="0" w:type="dxa"/>
            <w:right w:w="0" w:type="dxa"/>
          </w:tcMar>
        </w:tcPr>
        <w:p w:rsidR="00C66082" w:rsidRDefault="00C6608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C66082" w:rsidRDefault="00C6608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C66082" w:rsidRDefault="00C6608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C66082" w:rsidRDefault="00C66082">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C66082" w:rsidRDefault="00C6608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C66082" w:rsidRDefault="00C6608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8F"/>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2DBC"/>
    <w:rsid w:val="0022323B"/>
    <w:rsid w:val="002333A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01CD"/>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C5562"/>
    <w:rsid w:val="004D1AAA"/>
    <w:rsid w:val="004E1E0A"/>
    <w:rsid w:val="004E44A7"/>
    <w:rsid w:val="004E5524"/>
    <w:rsid w:val="004F090E"/>
    <w:rsid w:val="004F4118"/>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E6E2A"/>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D4F13"/>
    <w:rsid w:val="008E03DC"/>
    <w:rsid w:val="00902E51"/>
    <w:rsid w:val="009058B9"/>
    <w:rsid w:val="00924065"/>
    <w:rsid w:val="00930B8A"/>
    <w:rsid w:val="00930D68"/>
    <w:rsid w:val="00932DB4"/>
    <w:rsid w:val="00941A4B"/>
    <w:rsid w:val="0094308F"/>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1B55"/>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878C5"/>
    <w:rsid w:val="00A935AA"/>
    <w:rsid w:val="00A956D3"/>
    <w:rsid w:val="00AB2201"/>
    <w:rsid w:val="00AC1683"/>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66082"/>
    <w:rsid w:val="00C73D06"/>
    <w:rsid w:val="00C73D76"/>
    <w:rsid w:val="00C73E1B"/>
    <w:rsid w:val="00C73EE8"/>
    <w:rsid w:val="00C7556C"/>
    <w:rsid w:val="00C759B4"/>
    <w:rsid w:val="00C77713"/>
    <w:rsid w:val="00C8528C"/>
    <w:rsid w:val="00C85BB7"/>
    <w:rsid w:val="00C86E0F"/>
    <w:rsid w:val="00CA2DEA"/>
    <w:rsid w:val="00CB3520"/>
    <w:rsid w:val="00CB43D5"/>
    <w:rsid w:val="00CB7BE3"/>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F0AA3"/>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644A"/>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A878C5"/>
    <w:pPr>
      <w:jc w:val="both"/>
    </w:pPr>
    <w:rPr>
      <w:rFonts w:eastAsia="Calibri" w:cs="Times New Roman"/>
      <w:smallCaps/>
    </w:rPr>
  </w:style>
  <w:style w:type="character" w:customStyle="1" w:styleId="SCCBanSummaryChar">
    <w:name w:val="SCC.BanSummary Char"/>
    <w:link w:val="SCCBanSummary0"/>
    <w:rsid w:val="00A878C5"/>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on/onca/doc/2021/2021onca201/2021onca201.html" TargetMode="External"/><Relationship Id="rId26" Type="http://schemas.openxmlformats.org/officeDocument/2006/relationships/hyperlink" Target="https://www.canlii.org/en/on/onca/doc/2021/2021onca383/2021onca383.html" TargetMode="External"/><Relationship Id="rId39" Type="http://schemas.openxmlformats.org/officeDocument/2006/relationships/footer" Target="footer7.xml"/><Relationship Id="rId21" Type="http://schemas.openxmlformats.org/officeDocument/2006/relationships/hyperlink" Target="https://canlii.ca/t/jf23p" TargetMode="External"/><Relationship Id="rId34" Type="http://schemas.openxmlformats.org/officeDocument/2006/relationships/header" Target="header5.xml"/><Relationship Id="rId42" Type="http://schemas.openxmlformats.org/officeDocument/2006/relationships/hyperlink" Target="https://www.scc-csc.ca/case-dossier/info/sum-som-eng.aspx?cas=39360" TargetMode="External"/><Relationship Id="rId47" Type="http://schemas.openxmlformats.org/officeDocument/2006/relationships/hyperlink" Target="https://www.scc-csc.ca/case-dossier/info/sum-som-eng.aspx?cas=39699" TargetMode="External"/><Relationship Id="rId50" Type="http://schemas.openxmlformats.org/officeDocument/2006/relationships/header" Target="header9.xml"/><Relationship Id="rId55"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lii.org/en/on/onsc/doc/2019/2019onsc5322/2019onsc5322.html" TargetMode="External"/><Relationship Id="rId25" Type="http://schemas.openxmlformats.org/officeDocument/2006/relationships/hyperlink" Target="https://www.canlii.org/en/ab/abca/doc/2021/2021abca194/2021abca194.html?autocompleteStr=%201901-%200146-AC&amp;autocompletePos=1" TargetMode="External"/><Relationship Id="rId33" Type="http://schemas.openxmlformats.org/officeDocument/2006/relationships/footer" Target="footer4.xml"/><Relationship Id="rId38" Type="http://schemas.openxmlformats.org/officeDocument/2006/relationships/footer" Target="footer6.xml"/><Relationship Id="rId46" Type="http://schemas.openxmlformats.org/officeDocument/2006/relationships/hyperlink" Target="https://www.scc-csc.ca/case-dossier/info/sum-som-eng.aspx?cas=3948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en/on/onca/doc/2021/2021onca201/2021onca201.html" TargetMode="External"/><Relationship Id="rId20" Type="http://schemas.openxmlformats.org/officeDocument/2006/relationships/hyperlink" Target="https://canlii.ca/t/jf23p" TargetMode="External"/><Relationship Id="rId29" Type="http://schemas.openxmlformats.org/officeDocument/2006/relationships/hyperlink" Target="https://www.canlii.org/en/on/onca/doc/2021/2021onca512/2021onca512.html" TargetMode="External"/><Relationship Id="rId41" Type="http://schemas.openxmlformats.org/officeDocument/2006/relationships/footer" Target="footer8.xml"/><Relationship Id="rId54"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ab/abqb/doc/2019/2019abqb255/2019abqb255.html" TargetMode="External"/><Relationship Id="rId32" Type="http://schemas.openxmlformats.org/officeDocument/2006/relationships/footer" Target="footer3.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hyperlink" Target="https://www.scc-csc.ca/case-dossier/info/sum-som-eng.aspx?cas=39480" TargetMode="External"/><Relationship Id="rId53" Type="http://schemas.openxmlformats.org/officeDocument/2006/relationships/footer" Target="footer10.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lii.org/en/on/onsc/doc/2019/2019onsc5322/2019onsc5322.html" TargetMode="External"/><Relationship Id="rId23" Type="http://schemas.openxmlformats.org/officeDocument/2006/relationships/hyperlink" Target="https://www.canlii.org/en/ab/abca/doc/2021/2021abca194/2021abca194.html?autocompleteStr=%201901-%200146-AC&amp;autocompletePos=1" TargetMode="External"/><Relationship Id="rId28" Type="http://schemas.openxmlformats.org/officeDocument/2006/relationships/hyperlink" Target="https://www.canlii.org/en/on/onca/doc/2021/2021onca383/2021onca383.html" TargetMode="External"/><Relationship Id="rId36" Type="http://schemas.openxmlformats.org/officeDocument/2006/relationships/header" Target="header6.xml"/><Relationship Id="rId49" Type="http://schemas.openxmlformats.org/officeDocument/2006/relationships/hyperlink" Target="https://www.scc-csc.ca/case-dossier/info/sum-som-eng.aspx?cas=39594" TargetMode="External"/><Relationship Id="rId57" Type="http://schemas.openxmlformats.org/officeDocument/2006/relationships/footer" Target="footer12.xml"/><Relationship Id="rId10" Type="http://schemas.openxmlformats.org/officeDocument/2006/relationships/hyperlink" Target="https://www.scc-csc.ca" TargetMode="External"/><Relationship Id="rId19" Type="http://schemas.openxmlformats.org/officeDocument/2006/relationships/hyperlink" Target="https://canlii.ca/t/j21gm" TargetMode="External"/><Relationship Id="rId31" Type="http://schemas.openxmlformats.org/officeDocument/2006/relationships/header" Target="header4.xml"/><Relationship Id="rId44" Type="http://schemas.openxmlformats.org/officeDocument/2006/relationships/hyperlink" Target="https://www.scc-csc.ca/case-dossier/info/sum-som-fra.aspx?cas=39381" TargetMode="Externa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ab/abqb/doc/2019/2019abqb255/2019abqb255.html" TargetMode="External"/><Relationship Id="rId27" Type="http://schemas.openxmlformats.org/officeDocument/2006/relationships/hyperlink" Target="https://www.canlii.org/en/on/onca/doc/2021/2021onca512/2021onca512.html" TargetMode="Externa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hyperlink" Target="https://www.scc-csc.ca/case-dossier/info/sum-som-fra.aspx?cas=39710" TargetMode="External"/><Relationship Id="rId48" Type="http://schemas.openxmlformats.org/officeDocument/2006/relationships/hyperlink" Target="https://www.scc-csc.ca/case-dossier/info/sum-som-eng.aspx?cas=39703" TargetMode="External"/><Relationship Id="rId56"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eader" Target="header10.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9729C-C35C-4301-B9C5-5FC52403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24</Pages>
  <Words>10750</Words>
  <Characters>61276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2022-01-17T18:35:00Z</dcterms:created>
  <dcterms:modified xsi:type="dcterms:W3CDTF">2022-01-28T12:44:00Z</dcterms:modified>
</cp:coreProperties>
</file>