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F59DD" w:rsidTr="00F138C1">
        <w:tc>
          <w:tcPr>
            <w:tcW w:w="9648" w:type="dxa"/>
            <w:gridSpan w:val="3"/>
          </w:tcPr>
          <w:p w:rsidR="008C2D9E" w:rsidRPr="006F59DD" w:rsidRDefault="008C2D9E" w:rsidP="00F138C1">
            <w:pPr>
              <w:tabs>
                <w:tab w:val="left" w:pos="6075"/>
              </w:tabs>
              <w:jc w:val="center"/>
              <w:rPr>
                <w:b/>
                <w:sz w:val="32"/>
                <w:szCs w:val="32"/>
                <w:lang w:val="fr-CA"/>
              </w:rPr>
            </w:pPr>
            <w:r w:rsidRPr="006F59D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F59DD" w:rsidRDefault="008C2D9E" w:rsidP="00F138C1">
            <w:pPr>
              <w:tabs>
                <w:tab w:val="left" w:pos="6075"/>
              </w:tabs>
              <w:jc w:val="center"/>
              <w:rPr>
                <w:b/>
                <w:sz w:val="32"/>
                <w:szCs w:val="32"/>
                <w:lang w:val="fr-CA"/>
              </w:rPr>
            </w:pPr>
          </w:p>
        </w:tc>
      </w:tr>
      <w:tr w:rsidR="00F138C1" w:rsidRPr="006F59DD" w:rsidTr="00F138C1">
        <w:tc>
          <w:tcPr>
            <w:tcW w:w="4599" w:type="dxa"/>
            <w:tcMar>
              <w:top w:w="284" w:type="dxa"/>
            </w:tcMar>
          </w:tcPr>
          <w:p w:rsidR="00F138C1" w:rsidRPr="006F59DD" w:rsidRDefault="00F138C1" w:rsidP="00F138C1">
            <w:pPr>
              <w:tabs>
                <w:tab w:val="left" w:pos="6075"/>
              </w:tabs>
              <w:jc w:val="center"/>
              <w:rPr>
                <w:b/>
                <w:sz w:val="32"/>
                <w:szCs w:val="32"/>
              </w:rPr>
            </w:pPr>
            <w:r w:rsidRPr="006F59DD">
              <w:rPr>
                <w:b/>
                <w:sz w:val="32"/>
                <w:szCs w:val="32"/>
              </w:rPr>
              <w:t>SUPREME COURT OF CANADA</w:t>
            </w:r>
          </w:p>
        </w:tc>
        <w:tc>
          <w:tcPr>
            <w:tcW w:w="483" w:type="dxa"/>
          </w:tcPr>
          <w:p w:rsidR="00F138C1" w:rsidRPr="006F59DD" w:rsidRDefault="00F138C1" w:rsidP="00F138C1">
            <w:pPr>
              <w:tabs>
                <w:tab w:val="left" w:pos="6075"/>
              </w:tabs>
              <w:jc w:val="center"/>
              <w:rPr>
                <w:sz w:val="32"/>
                <w:szCs w:val="32"/>
              </w:rPr>
            </w:pPr>
          </w:p>
        </w:tc>
        <w:tc>
          <w:tcPr>
            <w:tcW w:w="4566" w:type="dxa"/>
            <w:tcMar>
              <w:top w:w="284" w:type="dxa"/>
            </w:tcMar>
          </w:tcPr>
          <w:p w:rsidR="00F138C1" w:rsidRPr="006F59DD" w:rsidRDefault="00F138C1" w:rsidP="00F138C1">
            <w:pPr>
              <w:tabs>
                <w:tab w:val="left" w:pos="6075"/>
              </w:tabs>
              <w:jc w:val="center"/>
              <w:rPr>
                <w:b/>
                <w:sz w:val="32"/>
                <w:szCs w:val="32"/>
                <w:lang w:val="fr-CA"/>
              </w:rPr>
            </w:pPr>
            <w:r w:rsidRPr="006F59DD">
              <w:rPr>
                <w:b/>
                <w:sz w:val="32"/>
                <w:szCs w:val="32"/>
                <w:lang w:val="fr-CA"/>
              </w:rPr>
              <w:t>COUR SUPRÊME DU CANADA</w:t>
            </w:r>
          </w:p>
        </w:tc>
      </w:tr>
      <w:tr w:rsidR="00F138C1" w:rsidRPr="006F59DD" w:rsidTr="00F138C1">
        <w:tc>
          <w:tcPr>
            <w:tcW w:w="4599" w:type="dxa"/>
            <w:tcMar>
              <w:top w:w="567" w:type="dxa"/>
            </w:tcMar>
          </w:tcPr>
          <w:p w:rsidR="00F138C1" w:rsidRPr="006F59DD" w:rsidRDefault="00F138C1" w:rsidP="00F138C1">
            <w:pPr>
              <w:tabs>
                <w:tab w:val="left" w:pos="6075"/>
              </w:tabs>
              <w:jc w:val="center"/>
              <w:rPr>
                <w:sz w:val="28"/>
                <w:szCs w:val="28"/>
              </w:rPr>
            </w:pPr>
            <w:r w:rsidRPr="006F59DD">
              <w:rPr>
                <w:sz w:val="28"/>
                <w:szCs w:val="28"/>
              </w:rPr>
              <w:t>BULLETIN OF</w:t>
            </w:r>
            <w:r w:rsidRPr="006F59DD">
              <w:rPr>
                <w:sz w:val="28"/>
                <w:szCs w:val="28"/>
              </w:rPr>
              <w:br/>
              <w:t xml:space="preserve"> PROCEEDINGS</w:t>
            </w:r>
          </w:p>
        </w:tc>
        <w:tc>
          <w:tcPr>
            <w:tcW w:w="483" w:type="dxa"/>
          </w:tcPr>
          <w:p w:rsidR="00F138C1" w:rsidRPr="006F59DD" w:rsidRDefault="00F138C1" w:rsidP="00F138C1">
            <w:pPr>
              <w:tabs>
                <w:tab w:val="left" w:pos="6075"/>
              </w:tabs>
            </w:pPr>
          </w:p>
        </w:tc>
        <w:tc>
          <w:tcPr>
            <w:tcW w:w="4566" w:type="dxa"/>
            <w:tcMar>
              <w:top w:w="567" w:type="dxa"/>
            </w:tcMar>
          </w:tcPr>
          <w:p w:rsidR="00F138C1" w:rsidRPr="006F59DD" w:rsidRDefault="00F138C1" w:rsidP="00F138C1">
            <w:pPr>
              <w:tabs>
                <w:tab w:val="left" w:pos="6075"/>
              </w:tabs>
              <w:jc w:val="center"/>
              <w:rPr>
                <w:sz w:val="28"/>
                <w:szCs w:val="28"/>
                <w:lang w:val="fr-CA"/>
              </w:rPr>
            </w:pPr>
            <w:r w:rsidRPr="006F59DD">
              <w:rPr>
                <w:sz w:val="28"/>
                <w:szCs w:val="28"/>
                <w:lang w:val="fr-CA"/>
              </w:rPr>
              <w:t>BULLETIN DES</w:t>
            </w:r>
            <w:r w:rsidRPr="006F59DD">
              <w:rPr>
                <w:sz w:val="28"/>
                <w:szCs w:val="28"/>
                <w:lang w:val="fr-CA"/>
              </w:rPr>
              <w:br/>
              <w:t xml:space="preserve"> PROCÉDURES</w:t>
            </w:r>
          </w:p>
        </w:tc>
      </w:tr>
      <w:tr w:rsidR="00F138C1" w:rsidRPr="006F59DD" w:rsidTr="00F138C1">
        <w:tc>
          <w:tcPr>
            <w:tcW w:w="4599" w:type="dxa"/>
            <w:tcMar>
              <w:top w:w="567" w:type="dxa"/>
            </w:tcMar>
          </w:tcPr>
          <w:p w:rsidR="00F138C1" w:rsidRPr="006F59DD" w:rsidRDefault="00F138C1" w:rsidP="00F138C1">
            <w:pPr>
              <w:tabs>
                <w:tab w:val="left" w:pos="6075"/>
              </w:tabs>
              <w:jc w:val="both"/>
              <w:rPr>
                <w:rFonts w:ascii="Arial" w:hAnsi="Arial" w:cs="Arial"/>
                <w:i/>
                <w:sz w:val="20"/>
                <w:szCs w:val="20"/>
              </w:rPr>
            </w:pPr>
            <w:r w:rsidRPr="006F59D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F59D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59DD" w:rsidRDefault="00F138C1" w:rsidP="00F138C1">
            <w:pPr>
              <w:tabs>
                <w:tab w:val="left" w:pos="6075"/>
              </w:tabs>
              <w:jc w:val="both"/>
              <w:rPr>
                <w:rFonts w:ascii="Arial" w:hAnsi="Arial" w:cs="Arial"/>
                <w:i/>
                <w:sz w:val="20"/>
                <w:szCs w:val="20"/>
                <w:lang w:val="fr-CA"/>
              </w:rPr>
            </w:pPr>
            <w:r w:rsidRPr="006F59D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F59DD" w:rsidTr="00F138C1">
        <w:tc>
          <w:tcPr>
            <w:tcW w:w="4599" w:type="dxa"/>
            <w:tcMar>
              <w:top w:w="567" w:type="dxa"/>
            </w:tcMar>
          </w:tcPr>
          <w:p w:rsidR="00F138C1" w:rsidRPr="006F59DD" w:rsidRDefault="00F138C1" w:rsidP="00F138C1">
            <w:pPr>
              <w:tabs>
                <w:tab w:val="left" w:pos="6075"/>
              </w:tabs>
              <w:jc w:val="both"/>
              <w:rPr>
                <w:rFonts w:ascii="Arial" w:hAnsi="Arial" w:cs="Arial"/>
                <w:i/>
                <w:sz w:val="20"/>
                <w:szCs w:val="20"/>
              </w:rPr>
            </w:pPr>
            <w:r w:rsidRPr="006F59DD">
              <w:rPr>
                <w:rFonts w:ascii="Arial" w:hAnsi="Arial" w:cs="Arial"/>
                <w:i/>
                <w:sz w:val="20"/>
                <w:szCs w:val="20"/>
              </w:rPr>
              <w:t>During Court sessions, the Bulletin is usually issued weekly.</w:t>
            </w:r>
          </w:p>
        </w:tc>
        <w:tc>
          <w:tcPr>
            <w:tcW w:w="483" w:type="dxa"/>
          </w:tcPr>
          <w:p w:rsidR="00F138C1" w:rsidRPr="006F59D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59DD" w:rsidRDefault="00F138C1" w:rsidP="00F138C1">
            <w:pPr>
              <w:tabs>
                <w:tab w:val="left" w:pos="6075"/>
              </w:tabs>
              <w:jc w:val="both"/>
              <w:rPr>
                <w:rFonts w:ascii="Arial" w:hAnsi="Arial" w:cs="Arial"/>
                <w:i/>
                <w:sz w:val="20"/>
                <w:szCs w:val="20"/>
                <w:lang w:val="fr-CA"/>
              </w:rPr>
            </w:pPr>
            <w:r w:rsidRPr="006F59DD">
              <w:rPr>
                <w:rFonts w:ascii="Arial" w:hAnsi="Arial" w:cs="Arial"/>
                <w:i/>
                <w:sz w:val="20"/>
                <w:szCs w:val="20"/>
                <w:lang w:val="fr-CA"/>
              </w:rPr>
              <w:t>Le Bulletin paraît en principe toutes les semaines pendant les sessions de la Cour.</w:t>
            </w:r>
          </w:p>
        </w:tc>
      </w:tr>
      <w:tr w:rsidR="00F138C1" w:rsidRPr="006F59DD" w:rsidTr="00F138C1">
        <w:tc>
          <w:tcPr>
            <w:tcW w:w="4599" w:type="dxa"/>
            <w:tcMar>
              <w:top w:w="567" w:type="dxa"/>
            </w:tcMar>
          </w:tcPr>
          <w:p w:rsidR="00F138C1" w:rsidRPr="006F59DD" w:rsidRDefault="00F138C1" w:rsidP="00F138C1">
            <w:pPr>
              <w:tabs>
                <w:tab w:val="left" w:pos="6075"/>
              </w:tabs>
              <w:jc w:val="both"/>
              <w:rPr>
                <w:rFonts w:ascii="Arial" w:hAnsi="Arial" w:cs="Arial"/>
                <w:i/>
                <w:sz w:val="20"/>
                <w:szCs w:val="20"/>
              </w:rPr>
            </w:pPr>
            <w:r w:rsidRPr="006F59DD">
              <w:rPr>
                <w:rFonts w:ascii="Arial" w:hAnsi="Arial" w:cs="Arial"/>
                <w:i/>
                <w:sz w:val="20"/>
                <w:szCs w:val="20"/>
              </w:rPr>
              <w:fldChar w:fldCharType="begin"/>
            </w:r>
            <w:r w:rsidRPr="006F59DD">
              <w:rPr>
                <w:rFonts w:ascii="Arial" w:hAnsi="Arial" w:cs="Arial"/>
                <w:i/>
                <w:sz w:val="20"/>
                <w:szCs w:val="20"/>
              </w:rPr>
              <w:instrText xml:space="preserve"> SEQ CHAPTER \h \r 1</w:instrText>
            </w:r>
            <w:r w:rsidRPr="006F59DD">
              <w:rPr>
                <w:rFonts w:ascii="Arial" w:hAnsi="Arial" w:cs="Arial"/>
                <w:i/>
                <w:sz w:val="20"/>
                <w:szCs w:val="20"/>
              </w:rPr>
              <w:fldChar w:fldCharType="end"/>
            </w:r>
            <w:r w:rsidRPr="006F59D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F59D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59DD" w:rsidRDefault="00F138C1" w:rsidP="00F138C1">
            <w:pPr>
              <w:tabs>
                <w:tab w:val="left" w:pos="6075"/>
              </w:tabs>
              <w:jc w:val="both"/>
              <w:rPr>
                <w:rFonts w:ascii="Arial" w:hAnsi="Arial" w:cs="Arial"/>
                <w:i/>
                <w:sz w:val="20"/>
                <w:szCs w:val="20"/>
                <w:lang w:val="fr-CA"/>
              </w:rPr>
            </w:pPr>
            <w:r w:rsidRPr="006F59DD">
              <w:rPr>
                <w:rFonts w:ascii="Arial" w:hAnsi="Arial" w:cs="Arial"/>
                <w:i/>
                <w:sz w:val="20"/>
                <w:szCs w:val="20"/>
                <w:lang w:val="fr-CA"/>
              </w:rPr>
              <w:fldChar w:fldCharType="begin"/>
            </w:r>
            <w:r w:rsidRPr="006F59DD">
              <w:rPr>
                <w:rFonts w:ascii="Arial" w:hAnsi="Arial" w:cs="Arial"/>
                <w:i/>
                <w:sz w:val="20"/>
                <w:szCs w:val="20"/>
                <w:lang w:val="fr-CA"/>
              </w:rPr>
              <w:instrText xml:space="preserve"> SEQ CHAPTER \h \r 1</w:instrText>
            </w:r>
            <w:r w:rsidRPr="006F59DD">
              <w:rPr>
                <w:rFonts w:ascii="Arial" w:hAnsi="Arial" w:cs="Arial"/>
                <w:i/>
                <w:sz w:val="20"/>
                <w:szCs w:val="20"/>
                <w:lang w:val="fr-CA"/>
              </w:rPr>
              <w:fldChar w:fldCharType="end"/>
            </w:r>
            <w:r w:rsidRPr="006F59D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F59DD" w:rsidTr="00F138C1">
        <w:tc>
          <w:tcPr>
            <w:tcW w:w="4599" w:type="dxa"/>
            <w:tcMar>
              <w:top w:w="567" w:type="dxa"/>
            </w:tcMar>
          </w:tcPr>
          <w:p w:rsidR="00F138C1" w:rsidRPr="006F59DD" w:rsidRDefault="00F138C1" w:rsidP="00F138C1">
            <w:pPr>
              <w:tabs>
                <w:tab w:val="left" w:pos="6075"/>
              </w:tabs>
              <w:jc w:val="both"/>
              <w:rPr>
                <w:rFonts w:ascii="Arial" w:hAnsi="Arial" w:cs="Arial"/>
                <w:i/>
                <w:sz w:val="20"/>
                <w:szCs w:val="20"/>
              </w:rPr>
            </w:pPr>
            <w:r w:rsidRPr="006F59DD">
              <w:rPr>
                <w:rFonts w:ascii="Arial" w:hAnsi="Arial" w:cs="Arial"/>
                <w:i/>
                <w:sz w:val="20"/>
                <w:szCs w:val="20"/>
                <w:lang w:val="en-US"/>
              </w:rPr>
              <w:t>Please c</w:t>
            </w:r>
            <w:r w:rsidRPr="006F59DD">
              <w:rPr>
                <w:rFonts w:ascii="Arial" w:hAnsi="Arial" w:cs="Arial"/>
                <w:i/>
                <w:sz w:val="20"/>
                <w:szCs w:val="20"/>
              </w:rPr>
              <w:t xml:space="preserve">onsult the Supreme Court of Canada website at </w:t>
            </w:r>
            <w:hyperlink r:id="rId9" w:history="1">
              <w:r w:rsidRPr="006F59DD">
                <w:rPr>
                  <w:rStyle w:val="Hyperlink"/>
                  <w:rFonts w:ascii="Arial" w:hAnsi="Arial" w:cs="Arial"/>
                  <w:i/>
                  <w:sz w:val="20"/>
                  <w:szCs w:val="20"/>
                </w:rPr>
                <w:t>www.scc-csc.ca</w:t>
              </w:r>
            </w:hyperlink>
            <w:r w:rsidRPr="006F59DD">
              <w:rPr>
                <w:rFonts w:ascii="Arial" w:hAnsi="Arial" w:cs="Arial"/>
                <w:i/>
                <w:sz w:val="20"/>
                <w:szCs w:val="20"/>
              </w:rPr>
              <w:t xml:space="preserve"> for more information.</w:t>
            </w:r>
          </w:p>
        </w:tc>
        <w:tc>
          <w:tcPr>
            <w:tcW w:w="483" w:type="dxa"/>
          </w:tcPr>
          <w:p w:rsidR="00F138C1" w:rsidRPr="006F59D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59DD" w:rsidRDefault="00F138C1" w:rsidP="00F138C1">
            <w:pPr>
              <w:tabs>
                <w:tab w:val="left" w:pos="6075"/>
              </w:tabs>
              <w:jc w:val="both"/>
              <w:rPr>
                <w:rFonts w:ascii="Arial" w:hAnsi="Arial" w:cs="Arial"/>
                <w:i/>
                <w:sz w:val="20"/>
                <w:szCs w:val="20"/>
                <w:lang w:val="fr-CA"/>
              </w:rPr>
            </w:pPr>
            <w:r w:rsidRPr="006F59DD">
              <w:rPr>
                <w:rFonts w:ascii="Arial" w:hAnsi="Arial" w:cs="Arial"/>
                <w:i/>
                <w:sz w:val="20"/>
                <w:szCs w:val="20"/>
                <w:lang w:val="fr-CA"/>
              </w:rPr>
              <w:t xml:space="preserve">Pour de plus amples informations, veuillez consulter le site Web de la Cour suprême du Canada à l’adresse suivante : </w:t>
            </w:r>
            <w:hyperlink r:id="rId10" w:history="1">
              <w:r w:rsidRPr="006F59DD">
                <w:rPr>
                  <w:rStyle w:val="Hyperlink"/>
                  <w:rFonts w:ascii="Arial" w:hAnsi="Arial" w:cs="Arial"/>
                  <w:i/>
                  <w:sz w:val="20"/>
                  <w:szCs w:val="20"/>
                  <w:lang w:val="fr-CA"/>
                </w:rPr>
                <w:t>www.scc-csc.ca</w:t>
              </w:r>
            </w:hyperlink>
            <w:r w:rsidRPr="006F59DD">
              <w:rPr>
                <w:rFonts w:ascii="Arial" w:hAnsi="Arial" w:cs="Arial"/>
                <w:i/>
                <w:sz w:val="20"/>
                <w:szCs w:val="20"/>
                <w:lang w:val="fr-CA"/>
              </w:rPr>
              <w:t xml:space="preserve"> </w:t>
            </w:r>
          </w:p>
        </w:tc>
      </w:tr>
    </w:tbl>
    <w:p w:rsidR="00F138C1" w:rsidRPr="006F59D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F59DD" w:rsidTr="00F138C1">
        <w:tc>
          <w:tcPr>
            <w:tcW w:w="2250" w:type="pct"/>
            <w:tcBorders>
              <w:top w:val="single" w:sz="4" w:space="0" w:color="auto"/>
            </w:tcBorders>
            <w:tcMar>
              <w:top w:w="284" w:type="dxa"/>
              <w:bottom w:w="284" w:type="dxa"/>
            </w:tcMar>
          </w:tcPr>
          <w:p w:rsidR="00F138C1" w:rsidRPr="006F59DD" w:rsidRDefault="005745D9" w:rsidP="005745D9">
            <w:pPr>
              <w:tabs>
                <w:tab w:val="left" w:pos="6075"/>
              </w:tabs>
              <w:rPr>
                <w:rFonts w:ascii="Arial" w:hAnsi="Arial" w:cs="Arial"/>
                <w:i/>
                <w:sz w:val="20"/>
                <w:szCs w:val="20"/>
              </w:rPr>
            </w:pPr>
            <w:r w:rsidRPr="006F59DD">
              <w:rPr>
                <w:lang w:val="fr-CA"/>
              </w:rPr>
              <w:t>February</w:t>
            </w:r>
            <w:r w:rsidR="00F138C1" w:rsidRPr="006F59DD">
              <w:rPr>
                <w:lang w:val="fr-CA"/>
              </w:rPr>
              <w:t xml:space="preserve"> </w:t>
            </w:r>
            <w:r w:rsidR="00E8642A" w:rsidRPr="006F59DD">
              <w:rPr>
                <w:lang w:val="fr-CA"/>
              </w:rPr>
              <w:t>1</w:t>
            </w:r>
            <w:r w:rsidRPr="006F59DD">
              <w:rPr>
                <w:lang w:val="fr-CA"/>
              </w:rPr>
              <w:t>1</w:t>
            </w:r>
            <w:r w:rsidR="00F138C1" w:rsidRPr="006F59DD">
              <w:rPr>
                <w:lang w:val="fr-CA"/>
              </w:rPr>
              <w:t>, 20</w:t>
            </w:r>
            <w:r w:rsidR="009B36BA" w:rsidRPr="006F59DD">
              <w:rPr>
                <w:lang w:val="fr-CA"/>
              </w:rPr>
              <w:t>2</w:t>
            </w:r>
            <w:r w:rsidR="00E8642A" w:rsidRPr="006F59DD">
              <w:rPr>
                <w:lang w:val="fr-CA"/>
              </w:rPr>
              <w:t>2</w:t>
            </w:r>
          </w:p>
        </w:tc>
        <w:tc>
          <w:tcPr>
            <w:tcW w:w="500" w:type="pct"/>
            <w:tcBorders>
              <w:top w:val="single" w:sz="4" w:space="0" w:color="auto"/>
            </w:tcBorders>
            <w:tcMar>
              <w:top w:w="284" w:type="dxa"/>
              <w:bottom w:w="284" w:type="dxa"/>
            </w:tcMar>
          </w:tcPr>
          <w:p w:rsidR="00F138C1" w:rsidRPr="006F59DD" w:rsidRDefault="00F138C1" w:rsidP="006F59DD">
            <w:pPr>
              <w:tabs>
                <w:tab w:val="left" w:pos="6075"/>
              </w:tabs>
              <w:jc w:val="center"/>
              <w:rPr>
                <w:rFonts w:ascii="Arial" w:hAnsi="Arial" w:cs="Arial"/>
                <w:i/>
                <w:sz w:val="20"/>
                <w:szCs w:val="20"/>
              </w:rPr>
            </w:pPr>
            <w:r w:rsidRPr="006F59DD">
              <w:rPr>
                <w:lang w:val="fr-CA"/>
              </w:rPr>
              <w:t xml:space="preserve">1 - </w:t>
            </w:r>
            <w:r w:rsidR="006F59DD" w:rsidRPr="006F59DD">
              <w:rPr>
                <w:lang w:val="fr-CA"/>
              </w:rPr>
              <w:t>25</w:t>
            </w:r>
          </w:p>
        </w:tc>
        <w:tc>
          <w:tcPr>
            <w:tcW w:w="2250" w:type="pct"/>
            <w:tcBorders>
              <w:top w:val="single" w:sz="4" w:space="0" w:color="auto"/>
            </w:tcBorders>
            <w:tcMar>
              <w:top w:w="284" w:type="dxa"/>
              <w:bottom w:w="284" w:type="dxa"/>
            </w:tcMar>
          </w:tcPr>
          <w:p w:rsidR="00F138C1" w:rsidRPr="006F59DD" w:rsidRDefault="00F138C1" w:rsidP="005745D9">
            <w:pPr>
              <w:tabs>
                <w:tab w:val="left" w:pos="6075"/>
              </w:tabs>
              <w:jc w:val="right"/>
              <w:rPr>
                <w:rFonts w:ascii="Arial" w:hAnsi="Arial" w:cs="Arial"/>
                <w:i/>
                <w:sz w:val="20"/>
                <w:szCs w:val="20"/>
                <w:lang w:val="fr-CA"/>
              </w:rPr>
            </w:pPr>
            <w:r w:rsidRPr="006F59DD">
              <w:rPr>
                <w:lang w:val="fr-CA"/>
              </w:rPr>
              <w:t xml:space="preserve">Le </w:t>
            </w:r>
            <w:r w:rsidR="00E8642A" w:rsidRPr="006F59DD">
              <w:rPr>
                <w:lang w:val="fr-CA"/>
              </w:rPr>
              <w:t>1</w:t>
            </w:r>
            <w:r w:rsidR="005745D9" w:rsidRPr="006F59DD">
              <w:rPr>
                <w:lang w:val="fr-CA"/>
              </w:rPr>
              <w:t>1</w:t>
            </w:r>
            <w:r w:rsidRPr="006F59DD">
              <w:rPr>
                <w:lang w:val="fr-CA"/>
              </w:rPr>
              <w:t xml:space="preserve"> </w:t>
            </w:r>
            <w:r w:rsidR="005745D9" w:rsidRPr="006F59DD">
              <w:rPr>
                <w:lang w:val="fr-CA"/>
              </w:rPr>
              <w:t>fé</w:t>
            </w:r>
            <w:r w:rsidR="00E8642A" w:rsidRPr="006F59DD">
              <w:rPr>
                <w:lang w:val="fr-CA"/>
              </w:rPr>
              <w:t>v</w:t>
            </w:r>
            <w:r w:rsidR="005745D9" w:rsidRPr="006F59DD">
              <w:rPr>
                <w:lang w:val="fr-CA"/>
              </w:rPr>
              <w:t>r</w:t>
            </w:r>
            <w:r w:rsidR="00E8642A" w:rsidRPr="006F59DD">
              <w:rPr>
                <w:lang w:val="fr-CA"/>
              </w:rPr>
              <w:t>ier</w:t>
            </w:r>
            <w:r w:rsidR="00BE5B3E" w:rsidRPr="006F59DD">
              <w:rPr>
                <w:lang w:val="fr-CA"/>
              </w:rPr>
              <w:t xml:space="preserve"> </w:t>
            </w:r>
            <w:r w:rsidRPr="006F59DD">
              <w:rPr>
                <w:lang w:val="fr-CA"/>
              </w:rPr>
              <w:t>202</w:t>
            </w:r>
            <w:r w:rsidR="00E8642A" w:rsidRPr="006F59DD">
              <w:rPr>
                <w:lang w:val="fr-CA"/>
              </w:rPr>
              <w:t>2</w:t>
            </w:r>
          </w:p>
        </w:tc>
      </w:tr>
      <w:tr w:rsidR="00F138C1" w:rsidRPr="006F59DD" w:rsidTr="00F138C1">
        <w:tc>
          <w:tcPr>
            <w:tcW w:w="2250" w:type="pct"/>
            <w:tcBorders>
              <w:bottom w:val="single" w:sz="4" w:space="0" w:color="auto"/>
            </w:tcBorders>
            <w:tcMar>
              <w:top w:w="284" w:type="dxa"/>
              <w:bottom w:w="284" w:type="dxa"/>
            </w:tcMar>
          </w:tcPr>
          <w:p w:rsidR="00F138C1" w:rsidRPr="006F59DD" w:rsidRDefault="00F138C1" w:rsidP="00E8642A">
            <w:pPr>
              <w:tabs>
                <w:tab w:val="left" w:pos="6075"/>
              </w:tabs>
              <w:rPr>
                <w:rFonts w:ascii="Arial" w:hAnsi="Arial" w:cs="Arial"/>
                <w:i/>
                <w:sz w:val="20"/>
                <w:szCs w:val="20"/>
              </w:rPr>
            </w:pPr>
            <w:r w:rsidRPr="006F59DD">
              <w:rPr>
                <w:sz w:val="18"/>
                <w:szCs w:val="18"/>
                <w:lang w:val="en-US"/>
              </w:rPr>
              <w:t>© Supreme Court of Canada (202</w:t>
            </w:r>
            <w:r w:rsidR="00E8642A" w:rsidRPr="006F59DD">
              <w:rPr>
                <w:sz w:val="18"/>
                <w:szCs w:val="18"/>
                <w:lang w:val="en-US"/>
              </w:rPr>
              <w:t>2</w:t>
            </w:r>
            <w:r w:rsidRPr="006F59DD">
              <w:rPr>
                <w:sz w:val="18"/>
                <w:szCs w:val="18"/>
                <w:lang w:val="en-US"/>
              </w:rPr>
              <w:t>)</w:t>
            </w:r>
            <w:r w:rsidRPr="006F59DD">
              <w:rPr>
                <w:sz w:val="18"/>
                <w:szCs w:val="18"/>
                <w:lang w:val="en-US"/>
              </w:rPr>
              <w:br/>
              <w:t>ISSN 1918-8358 (Online)</w:t>
            </w:r>
          </w:p>
        </w:tc>
        <w:tc>
          <w:tcPr>
            <w:tcW w:w="500" w:type="pct"/>
            <w:tcBorders>
              <w:bottom w:val="single" w:sz="4" w:space="0" w:color="auto"/>
            </w:tcBorders>
            <w:tcMar>
              <w:top w:w="284" w:type="dxa"/>
              <w:bottom w:w="284" w:type="dxa"/>
            </w:tcMar>
          </w:tcPr>
          <w:p w:rsidR="00F138C1" w:rsidRPr="006F59D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F59DD" w:rsidRDefault="00F138C1" w:rsidP="00E8642A">
            <w:pPr>
              <w:tabs>
                <w:tab w:val="left" w:pos="6075"/>
              </w:tabs>
              <w:jc w:val="right"/>
              <w:rPr>
                <w:rFonts w:ascii="Arial" w:hAnsi="Arial" w:cs="Arial"/>
                <w:i/>
                <w:sz w:val="20"/>
                <w:szCs w:val="20"/>
                <w:lang w:val="fr-CA"/>
              </w:rPr>
            </w:pPr>
            <w:r w:rsidRPr="006F59DD">
              <w:rPr>
                <w:sz w:val="18"/>
                <w:szCs w:val="18"/>
                <w:lang w:val="fr-CA"/>
              </w:rPr>
              <w:t>© Cour suprême du Canada (202</w:t>
            </w:r>
            <w:r w:rsidR="00E8642A" w:rsidRPr="006F59DD">
              <w:rPr>
                <w:sz w:val="18"/>
                <w:szCs w:val="18"/>
                <w:lang w:val="fr-CA"/>
              </w:rPr>
              <w:t>2</w:t>
            </w:r>
            <w:r w:rsidRPr="006F59DD">
              <w:rPr>
                <w:sz w:val="18"/>
                <w:szCs w:val="18"/>
                <w:lang w:val="fr-CA"/>
              </w:rPr>
              <w:t>)</w:t>
            </w:r>
            <w:r w:rsidRPr="006F59DD">
              <w:rPr>
                <w:sz w:val="18"/>
                <w:szCs w:val="18"/>
                <w:lang w:val="fr-CA"/>
              </w:rPr>
              <w:br/>
              <w:t>ISSN 1918-8358 (En ligne)</w:t>
            </w:r>
          </w:p>
        </w:tc>
      </w:tr>
    </w:tbl>
    <w:p w:rsidR="0030050B" w:rsidRPr="006F59DD" w:rsidRDefault="0030050B" w:rsidP="00F138C1">
      <w:pPr>
        <w:tabs>
          <w:tab w:val="left" w:pos="6075"/>
        </w:tabs>
        <w:rPr>
          <w:lang w:val="fr-CA"/>
        </w:rPr>
      </w:pPr>
    </w:p>
    <w:p w:rsidR="00560DF1" w:rsidRPr="006F59DD" w:rsidRDefault="00560DF1" w:rsidP="0095096B">
      <w:pPr>
        <w:tabs>
          <w:tab w:val="right" w:pos="9360"/>
        </w:tabs>
        <w:rPr>
          <w:lang w:val="fr-CA"/>
        </w:rPr>
      </w:pPr>
    </w:p>
    <w:p w:rsidR="00F138C1" w:rsidRPr="006F59D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F59DD" w:rsidRDefault="00DC6B2E" w:rsidP="00693C38">
          <w:pPr>
            <w:pStyle w:val="Title"/>
            <w:jc w:val="center"/>
            <w:rPr>
              <w:rFonts w:ascii="Times New Roman" w:hAnsi="Times New Roman" w:cs="Times New Roman"/>
              <w:b/>
              <w:sz w:val="24"/>
              <w:szCs w:val="28"/>
              <w:lang w:val="fr-CA"/>
            </w:rPr>
          </w:pPr>
          <w:r w:rsidRPr="006F59DD">
            <w:rPr>
              <w:rFonts w:ascii="Times New Roman" w:hAnsi="Times New Roman" w:cs="Times New Roman"/>
              <w:b/>
              <w:sz w:val="24"/>
              <w:szCs w:val="28"/>
              <w:lang w:val="fr-CA"/>
            </w:rPr>
            <w:t>Contents</w:t>
          </w:r>
        </w:p>
        <w:p w:rsidR="00693C38" w:rsidRPr="006F59DD" w:rsidRDefault="00DC6B2E" w:rsidP="00693C38">
          <w:pPr>
            <w:jc w:val="center"/>
            <w:rPr>
              <w:b/>
              <w:szCs w:val="28"/>
              <w:lang w:val="fr-CA"/>
            </w:rPr>
          </w:pPr>
          <w:r w:rsidRPr="006F59DD">
            <w:rPr>
              <w:b/>
              <w:szCs w:val="28"/>
              <w:lang w:val="fr-CA"/>
            </w:rPr>
            <w:t>Table des matières</w:t>
          </w:r>
        </w:p>
        <w:p w:rsidR="00693C38" w:rsidRPr="006F59DD" w:rsidRDefault="00693C38" w:rsidP="00693C38">
          <w:pPr>
            <w:rPr>
              <w:lang w:val="fr-CA"/>
            </w:rPr>
          </w:pPr>
        </w:p>
        <w:p w:rsidR="00D24F48" w:rsidRPr="006F59DD" w:rsidRDefault="00DC6B2E">
          <w:pPr>
            <w:pStyle w:val="TOC1"/>
            <w:tabs>
              <w:tab w:val="right" w:leader="dot" w:pos="9638"/>
            </w:tabs>
            <w:rPr>
              <w:rFonts w:asciiTheme="minorHAnsi" w:eastAsiaTheme="minorEastAsia" w:hAnsiTheme="minorHAnsi"/>
              <w:noProof/>
              <w:sz w:val="22"/>
              <w:lang w:val="en-US"/>
            </w:rPr>
          </w:pPr>
          <w:r w:rsidRPr="006F59DD">
            <w:rPr>
              <w:b/>
              <w:bCs/>
              <w:noProof/>
            </w:rPr>
            <w:fldChar w:fldCharType="begin"/>
          </w:r>
          <w:r w:rsidRPr="006F59DD">
            <w:rPr>
              <w:b/>
              <w:bCs/>
              <w:noProof/>
            </w:rPr>
            <w:instrText xml:space="preserve"> TOC \o "1-3" \h \z \u </w:instrText>
          </w:r>
          <w:r w:rsidRPr="006F59DD">
            <w:rPr>
              <w:b/>
              <w:bCs/>
              <w:noProof/>
            </w:rPr>
            <w:fldChar w:fldCharType="separate"/>
          </w:r>
          <w:hyperlink w:anchor="_Toc95408307" w:history="1">
            <w:r w:rsidR="00D24F48" w:rsidRPr="006F59DD">
              <w:rPr>
                <w:rStyle w:val="Hyperlink"/>
                <w:noProof/>
                <w:lang w:val="fr-CA"/>
              </w:rPr>
              <w:t>Applications for leave to appeal filed /  Demandes d’autorisation d’appel déposées</w:t>
            </w:r>
            <w:r w:rsidR="00D24F48" w:rsidRPr="006F59DD">
              <w:rPr>
                <w:noProof/>
                <w:webHidden/>
              </w:rPr>
              <w:tab/>
            </w:r>
            <w:r w:rsidR="00D24F48" w:rsidRPr="006F59DD">
              <w:rPr>
                <w:noProof/>
                <w:webHidden/>
              </w:rPr>
              <w:fldChar w:fldCharType="begin"/>
            </w:r>
            <w:r w:rsidR="00D24F48" w:rsidRPr="006F59DD">
              <w:rPr>
                <w:noProof/>
                <w:webHidden/>
              </w:rPr>
              <w:instrText xml:space="preserve"> PAGEREF _Toc95408307 \h </w:instrText>
            </w:r>
            <w:r w:rsidR="00D24F48" w:rsidRPr="006F59DD">
              <w:rPr>
                <w:noProof/>
                <w:webHidden/>
              </w:rPr>
            </w:r>
            <w:r w:rsidR="00D24F48" w:rsidRPr="006F59DD">
              <w:rPr>
                <w:noProof/>
                <w:webHidden/>
              </w:rPr>
              <w:fldChar w:fldCharType="separate"/>
            </w:r>
            <w:r w:rsidR="008D16AB" w:rsidRPr="006F59DD">
              <w:rPr>
                <w:noProof/>
                <w:webHidden/>
              </w:rPr>
              <w:t>1</w:t>
            </w:r>
            <w:r w:rsidR="00D24F48" w:rsidRPr="006F59DD">
              <w:rPr>
                <w:noProof/>
                <w:webHidden/>
              </w:rPr>
              <w:fldChar w:fldCharType="end"/>
            </w:r>
          </w:hyperlink>
        </w:p>
        <w:p w:rsidR="00D24F48" w:rsidRPr="006F59DD" w:rsidRDefault="006F59DD">
          <w:pPr>
            <w:pStyle w:val="TOC1"/>
            <w:tabs>
              <w:tab w:val="right" w:leader="dot" w:pos="9638"/>
            </w:tabs>
            <w:rPr>
              <w:rFonts w:asciiTheme="minorHAnsi" w:eastAsiaTheme="minorEastAsia" w:hAnsiTheme="minorHAnsi"/>
              <w:noProof/>
              <w:sz w:val="22"/>
              <w:lang w:val="en-US"/>
            </w:rPr>
          </w:pPr>
          <w:hyperlink w:anchor="_Toc95408308" w:history="1">
            <w:r w:rsidR="00D24F48" w:rsidRPr="006F59DD">
              <w:rPr>
                <w:rStyle w:val="Hyperlink"/>
                <w:noProof/>
                <w:lang w:val="fr-CA"/>
              </w:rPr>
              <w:t>Judgments on applications for leave /  Jugements rendus sur les demandes d’autorisation</w:t>
            </w:r>
            <w:r w:rsidR="00D24F48" w:rsidRPr="006F59DD">
              <w:rPr>
                <w:noProof/>
                <w:webHidden/>
              </w:rPr>
              <w:tab/>
            </w:r>
            <w:r w:rsidR="00D24F48" w:rsidRPr="006F59DD">
              <w:rPr>
                <w:noProof/>
                <w:webHidden/>
              </w:rPr>
              <w:fldChar w:fldCharType="begin"/>
            </w:r>
            <w:r w:rsidR="00D24F48" w:rsidRPr="006F59DD">
              <w:rPr>
                <w:noProof/>
                <w:webHidden/>
              </w:rPr>
              <w:instrText xml:space="preserve"> PAGEREF _Toc95408308 \h </w:instrText>
            </w:r>
            <w:r w:rsidR="00D24F48" w:rsidRPr="006F59DD">
              <w:rPr>
                <w:noProof/>
                <w:webHidden/>
              </w:rPr>
            </w:r>
            <w:r w:rsidR="00D24F48" w:rsidRPr="006F59DD">
              <w:rPr>
                <w:noProof/>
                <w:webHidden/>
              </w:rPr>
              <w:fldChar w:fldCharType="separate"/>
            </w:r>
            <w:r w:rsidR="008D16AB" w:rsidRPr="006F59DD">
              <w:rPr>
                <w:noProof/>
                <w:webHidden/>
              </w:rPr>
              <w:t>4</w:t>
            </w:r>
            <w:r w:rsidR="00D24F48" w:rsidRPr="006F59DD">
              <w:rPr>
                <w:noProof/>
                <w:webHidden/>
              </w:rPr>
              <w:fldChar w:fldCharType="end"/>
            </w:r>
          </w:hyperlink>
        </w:p>
        <w:p w:rsidR="00D24F48" w:rsidRPr="006F59DD" w:rsidRDefault="006F59DD">
          <w:pPr>
            <w:pStyle w:val="TOC1"/>
            <w:tabs>
              <w:tab w:val="right" w:leader="dot" w:pos="9638"/>
            </w:tabs>
            <w:rPr>
              <w:rFonts w:asciiTheme="minorHAnsi" w:eastAsiaTheme="minorEastAsia" w:hAnsiTheme="minorHAnsi"/>
              <w:noProof/>
              <w:sz w:val="22"/>
              <w:lang w:val="en-US"/>
            </w:rPr>
          </w:pPr>
          <w:hyperlink w:anchor="_Toc95408309" w:history="1">
            <w:r w:rsidR="00D24F48" w:rsidRPr="006F59DD">
              <w:rPr>
                <w:rStyle w:val="Hyperlink"/>
                <w:noProof/>
                <w:lang w:val="fr-CA"/>
              </w:rPr>
              <w:t>Motions /  Requêtes</w:t>
            </w:r>
            <w:r w:rsidR="00D24F48" w:rsidRPr="006F59DD">
              <w:rPr>
                <w:noProof/>
                <w:webHidden/>
              </w:rPr>
              <w:tab/>
            </w:r>
            <w:r w:rsidR="00D24F48" w:rsidRPr="006F59DD">
              <w:rPr>
                <w:noProof/>
                <w:webHidden/>
              </w:rPr>
              <w:fldChar w:fldCharType="begin"/>
            </w:r>
            <w:r w:rsidR="00D24F48" w:rsidRPr="006F59DD">
              <w:rPr>
                <w:noProof/>
                <w:webHidden/>
              </w:rPr>
              <w:instrText xml:space="preserve"> PAGEREF _Toc95408309 \h </w:instrText>
            </w:r>
            <w:r w:rsidR="00D24F48" w:rsidRPr="006F59DD">
              <w:rPr>
                <w:noProof/>
                <w:webHidden/>
              </w:rPr>
            </w:r>
            <w:r w:rsidR="00D24F48" w:rsidRPr="006F59DD">
              <w:rPr>
                <w:noProof/>
                <w:webHidden/>
              </w:rPr>
              <w:fldChar w:fldCharType="separate"/>
            </w:r>
            <w:r w:rsidR="008D16AB" w:rsidRPr="006F59DD">
              <w:rPr>
                <w:noProof/>
                <w:webHidden/>
              </w:rPr>
              <w:t>15</w:t>
            </w:r>
            <w:r w:rsidR="00D24F48" w:rsidRPr="006F59DD">
              <w:rPr>
                <w:noProof/>
                <w:webHidden/>
              </w:rPr>
              <w:fldChar w:fldCharType="end"/>
            </w:r>
          </w:hyperlink>
        </w:p>
        <w:p w:rsidR="00D24F48" w:rsidRPr="006F59DD" w:rsidRDefault="006F59DD">
          <w:pPr>
            <w:pStyle w:val="TOC1"/>
            <w:tabs>
              <w:tab w:val="right" w:leader="dot" w:pos="9638"/>
            </w:tabs>
            <w:rPr>
              <w:rFonts w:asciiTheme="minorHAnsi" w:eastAsiaTheme="minorEastAsia" w:hAnsiTheme="minorHAnsi"/>
              <w:noProof/>
              <w:sz w:val="22"/>
              <w:lang w:val="en-US"/>
            </w:rPr>
          </w:pPr>
          <w:hyperlink w:anchor="_Toc95408310" w:history="1">
            <w:r w:rsidR="00D24F48" w:rsidRPr="006F59DD">
              <w:rPr>
                <w:rStyle w:val="Hyperlink"/>
                <w:noProof/>
              </w:rPr>
              <w:t xml:space="preserve">Notices of appeal filed since the last issue /  </w:t>
            </w:r>
            <w:r w:rsidR="00D24F48" w:rsidRPr="006F59DD">
              <w:rPr>
                <w:rStyle w:val="Hyperlink"/>
                <w:noProof/>
                <w:lang w:val="fr-CA"/>
              </w:rPr>
              <w:t>Avis d’appel déposés depuis la dernière parution</w:t>
            </w:r>
            <w:r w:rsidR="00D24F48" w:rsidRPr="006F59DD">
              <w:rPr>
                <w:noProof/>
                <w:webHidden/>
              </w:rPr>
              <w:tab/>
            </w:r>
            <w:r w:rsidR="00D24F48" w:rsidRPr="006F59DD">
              <w:rPr>
                <w:noProof/>
                <w:webHidden/>
              </w:rPr>
              <w:fldChar w:fldCharType="begin"/>
            </w:r>
            <w:r w:rsidR="00D24F48" w:rsidRPr="006F59DD">
              <w:rPr>
                <w:noProof/>
                <w:webHidden/>
              </w:rPr>
              <w:instrText xml:space="preserve"> PAGEREF _Toc95408310 \h </w:instrText>
            </w:r>
            <w:r w:rsidR="00D24F48" w:rsidRPr="006F59DD">
              <w:rPr>
                <w:noProof/>
                <w:webHidden/>
              </w:rPr>
            </w:r>
            <w:r w:rsidR="00D24F48" w:rsidRPr="006F59DD">
              <w:rPr>
                <w:noProof/>
                <w:webHidden/>
              </w:rPr>
              <w:fldChar w:fldCharType="separate"/>
            </w:r>
            <w:r w:rsidR="008D16AB" w:rsidRPr="006F59DD">
              <w:rPr>
                <w:noProof/>
                <w:webHidden/>
              </w:rPr>
              <w:t>16</w:t>
            </w:r>
            <w:r w:rsidR="00D24F48" w:rsidRPr="006F59DD">
              <w:rPr>
                <w:noProof/>
                <w:webHidden/>
              </w:rPr>
              <w:fldChar w:fldCharType="end"/>
            </w:r>
          </w:hyperlink>
        </w:p>
        <w:p w:rsidR="00D24F48" w:rsidRPr="006F59DD" w:rsidRDefault="006F59DD">
          <w:pPr>
            <w:pStyle w:val="TOC1"/>
            <w:tabs>
              <w:tab w:val="right" w:leader="dot" w:pos="9638"/>
            </w:tabs>
            <w:rPr>
              <w:rFonts w:asciiTheme="minorHAnsi" w:eastAsiaTheme="minorEastAsia" w:hAnsiTheme="minorHAnsi"/>
              <w:noProof/>
              <w:sz w:val="22"/>
              <w:lang w:val="en-US"/>
            </w:rPr>
          </w:pPr>
          <w:hyperlink w:anchor="_Toc95408311" w:history="1">
            <w:r w:rsidR="00D24F48" w:rsidRPr="006F59DD">
              <w:rPr>
                <w:rStyle w:val="Hyperlink"/>
                <w:noProof/>
                <w:lang w:val="fr-CA"/>
              </w:rPr>
              <w:t>Appeals heard since the last issue and disposition /  Appels entendus depuis la dernière parution et résultat</w:t>
            </w:r>
            <w:r w:rsidR="00D24F48" w:rsidRPr="006F59DD">
              <w:rPr>
                <w:noProof/>
                <w:webHidden/>
              </w:rPr>
              <w:tab/>
            </w:r>
            <w:r w:rsidR="00D24F48" w:rsidRPr="006F59DD">
              <w:rPr>
                <w:noProof/>
                <w:webHidden/>
              </w:rPr>
              <w:fldChar w:fldCharType="begin"/>
            </w:r>
            <w:r w:rsidR="00D24F48" w:rsidRPr="006F59DD">
              <w:rPr>
                <w:noProof/>
                <w:webHidden/>
              </w:rPr>
              <w:instrText xml:space="preserve"> PAGEREF _Toc95408311 \h </w:instrText>
            </w:r>
            <w:r w:rsidR="00D24F48" w:rsidRPr="006F59DD">
              <w:rPr>
                <w:noProof/>
                <w:webHidden/>
              </w:rPr>
            </w:r>
            <w:r w:rsidR="00D24F48" w:rsidRPr="006F59DD">
              <w:rPr>
                <w:noProof/>
                <w:webHidden/>
              </w:rPr>
              <w:fldChar w:fldCharType="separate"/>
            </w:r>
            <w:r w:rsidR="008D16AB" w:rsidRPr="006F59DD">
              <w:rPr>
                <w:noProof/>
                <w:webHidden/>
              </w:rPr>
              <w:t>17</w:t>
            </w:r>
            <w:r w:rsidR="00D24F48" w:rsidRPr="006F59DD">
              <w:rPr>
                <w:noProof/>
                <w:webHidden/>
              </w:rPr>
              <w:fldChar w:fldCharType="end"/>
            </w:r>
          </w:hyperlink>
        </w:p>
        <w:p w:rsidR="00D24F48" w:rsidRPr="006F59DD" w:rsidRDefault="006F59DD">
          <w:pPr>
            <w:pStyle w:val="TOC1"/>
            <w:tabs>
              <w:tab w:val="right" w:leader="dot" w:pos="9638"/>
            </w:tabs>
            <w:rPr>
              <w:rFonts w:asciiTheme="minorHAnsi" w:eastAsiaTheme="minorEastAsia" w:hAnsiTheme="minorHAnsi"/>
              <w:noProof/>
              <w:sz w:val="22"/>
              <w:lang w:val="en-US"/>
            </w:rPr>
          </w:pPr>
          <w:hyperlink w:anchor="_Toc95408312" w:history="1">
            <w:r w:rsidR="00D24F48" w:rsidRPr="006F59DD">
              <w:rPr>
                <w:rStyle w:val="Hyperlink"/>
                <w:noProof/>
                <w:lang w:val="fr-CA"/>
              </w:rPr>
              <w:t>Supreme Court Reports /  Recueil des arrêts de la Cour suprême</w:t>
            </w:r>
            <w:r w:rsidR="00D24F48" w:rsidRPr="006F59DD">
              <w:rPr>
                <w:noProof/>
                <w:webHidden/>
              </w:rPr>
              <w:tab/>
            </w:r>
            <w:r w:rsidR="00D24F48" w:rsidRPr="006F59DD">
              <w:rPr>
                <w:noProof/>
                <w:webHidden/>
              </w:rPr>
              <w:fldChar w:fldCharType="begin"/>
            </w:r>
            <w:r w:rsidR="00D24F48" w:rsidRPr="006F59DD">
              <w:rPr>
                <w:noProof/>
                <w:webHidden/>
              </w:rPr>
              <w:instrText xml:space="preserve"> PAGEREF _Toc95408312 \h </w:instrText>
            </w:r>
            <w:r w:rsidR="00D24F48" w:rsidRPr="006F59DD">
              <w:rPr>
                <w:noProof/>
                <w:webHidden/>
              </w:rPr>
            </w:r>
            <w:r w:rsidR="00D24F48" w:rsidRPr="006F59DD">
              <w:rPr>
                <w:noProof/>
                <w:webHidden/>
              </w:rPr>
              <w:fldChar w:fldCharType="separate"/>
            </w:r>
            <w:r w:rsidR="008D16AB" w:rsidRPr="006F59DD">
              <w:rPr>
                <w:noProof/>
                <w:webHidden/>
              </w:rPr>
              <w:t>18</w:t>
            </w:r>
            <w:r w:rsidR="00D24F48" w:rsidRPr="006F59DD">
              <w:rPr>
                <w:noProof/>
                <w:webHidden/>
              </w:rPr>
              <w:fldChar w:fldCharType="end"/>
            </w:r>
          </w:hyperlink>
        </w:p>
        <w:p w:rsidR="00560DF1" w:rsidRPr="006F59DD" w:rsidRDefault="00DC6B2E">
          <w:r w:rsidRPr="006F59DD">
            <w:rPr>
              <w:b/>
              <w:bCs/>
              <w:noProof/>
              <w:sz w:val="20"/>
            </w:rPr>
            <w:fldChar w:fldCharType="end"/>
          </w:r>
        </w:p>
      </w:sdtContent>
    </w:sdt>
    <w:p w:rsidR="00560DF1" w:rsidRPr="006F59D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F59DD" w:rsidTr="00F138C1">
        <w:trPr>
          <w:jc w:val="center"/>
        </w:trPr>
        <w:tc>
          <w:tcPr>
            <w:tcW w:w="9638" w:type="dxa"/>
          </w:tcPr>
          <w:p w:rsidR="00F138C1" w:rsidRPr="006F59DD" w:rsidRDefault="00F138C1" w:rsidP="00F138C1">
            <w:pPr>
              <w:keepNext/>
              <w:tabs>
                <w:tab w:val="right" w:pos="9360"/>
              </w:tabs>
              <w:spacing w:after="120"/>
              <w:jc w:val="center"/>
              <w:rPr>
                <w:szCs w:val="24"/>
              </w:rPr>
            </w:pPr>
            <w:r w:rsidRPr="006F59DD">
              <w:rPr>
                <w:szCs w:val="24"/>
              </w:rPr>
              <w:t>NOTICE</w:t>
            </w:r>
          </w:p>
          <w:p w:rsidR="00F138C1" w:rsidRPr="006F59DD" w:rsidRDefault="00F138C1" w:rsidP="00F138C1">
            <w:pPr>
              <w:keepNext/>
              <w:tabs>
                <w:tab w:val="right" w:pos="9360"/>
              </w:tabs>
              <w:spacing w:after="120"/>
              <w:jc w:val="both"/>
              <w:rPr>
                <w:szCs w:val="24"/>
              </w:rPr>
            </w:pPr>
            <w:r w:rsidRPr="006F59DD">
              <w:rPr>
                <w:szCs w:val="24"/>
              </w:rPr>
              <w:t>Case summaries included in the Bulletin are prepared by the Office of the Registrar of the Supreme Court of Canada (Law Branch) for information purposes only.</w:t>
            </w:r>
          </w:p>
          <w:p w:rsidR="00F138C1" w:rsidRPr="006F59DD" w:rsidRDefault="00F138C1" w:rsidP="00F138C1">
            <w:pPr>
              <w:keepNext/>
              <w:tabs>
                <w:tab w:val="right" w:pos="9360"/>
              </w:tabs>
              <w:spacing w:after="120"/>
              <w:jc w:val="center"/>
              <w:rPr>
                <w:szCs w:val="24"/>
                <w:lang w:val="fr-CA"/>
              </w:rPr>
            </w:pPr>
            <w:r w:rsidRPr="006F59DD">
              <w:rPr>
                <w:szCs w:val="24"/>
                <w:lang w:val="fr-CA"/>
              </w:rPr>
              <w:t>AVIS</w:t>
            </w:r>
          </w:p>
          <w:p w:rsidR="00F138C1" w:rsidRPr="006F59DD" w:rsidRDefault="00F138C1" w:rsidP="00F138C1">
            <w:pPr>
              <w:keepNext/>
              <w:tabs>
                <w:tab w:val="right" w:pos="9360"/>
              </w:tabs>
              <w:spacing w:after="120"/>
              <w:jc w:val="both"/>
              <w:rPr>
                <w:sz w:val="20"/>
                <w:szCs w:val="20"/>
                <w:lang w:val="fr-CA"/>
              </w:rPr>
            </w:pPr>
            <w:r w:rsidRPr="006F59DD">
              <w:rPr>
                <w:szCs w:val="24"/>
                <w:lang w:val="fr-CA"/>
              </w:rPr>
              <w:t>Les résumés des causes publiés dans le bulletin sont préparés par le Bureau du registraire (Direction générale du droit) uniquement à titre d’information.</w:t>
            </w:r>
          </w:p>
        </w:tc>
      </w:tr>
    </w:tbl>
    <w:p w:rsidR="00F138C1" w:rsidRPr="006F59DD" w:rsidRDefault="00F138C1" w:rsidP="00F138C1">
      <w:pPr>
        <w:tabs>
          <w:tab w:val="right" w:pos="9360"/>
        </w:tabs>
        <w:rPr>
          <w:lang w:val="fr-CA"/>
        </w:rPr>
      </w:pPr>
    </w:p>
    <w:p w:rsidR="00F138C1" w:rsidRPr="006F59DD" w:rsidRDefault="00F138C1" w:rsidP="00F138C1">
      <w:pPr>
        <w:tabs>
          <w:tab w:val="right" w:pos="9360"/>
        </w:tabs>
        <w:rPr>
          <w:lang w:val="fr-CA"/>
        </w:rPr>
      </w:pPr>
    </w:p>
    <w:p w:rsidR="00C01FCB" w:rsidRPr="006F59DD" w:rsidRDefault="00C01FCB" w:rsidP="0095096B">
      <w:pPr>
        <w:tabs>
          <w:tab w:val="right" w:pos="9360"/>
        </w:tabs>
        <w:rPr>
          <w:lang w:val="fr-CA"/>
        </w:rPr>
      </w:pPr>
    </w:p>
    <w:p w:rsidR="00A87207" w:rsidRPr="006F59DD" w:rsidRDefault="00A87207" w:rsidP="0095096B">
      <w:pPr>
        <w:tabs>
          <w:tab w:val="right" w:pos="9360"/>
        </w:tabs>
        <w:rPr>
          <w:lang w:val="fr-CA"/>
        </w:rPr>
        <w:sectPr w:rsidR="00A87207" w:rsidRPr="006F59DD" w:rsidSect="0044776A">
          <w:pgSz w:w="12240" w:h="15840"/>
          <w:pgMar w:top="720" w:right="1152" w:bottom="1080" w:left="1440" w:header="706" w:footer="706" w:gutter="0"/>
          <w:cols w:space="708"/>
          <w:titlePg/>
          <w:docGrid w:linePitch="360"/>
        </w:sectPr>
      </w:pPr>
    </w:p>
    <w:p w:rsidR="00560DF1" w:rsidRPr="006F59DD" w:rsidRDefault="00DD0BDC" w:rsidP="00567602">
      <w:pPr>
        <w:pStyle w:val="Header1StyleE"/>
        <w:pBdr>
          <w:bottom w:val="single" w:sz="12" w:space="1" w:color="auto"/>
        </w:pBdr>
        <w:rPr>
          <w:lang w:val="fr-CA"/>
        </w:rPr>
      </w:pPr>
      <w:bookmarkStart w:id="0" w:name="_Toc95408307"/>
      <w:r w:rsidRPr="006F59DD">
        <w:rPr>
          <w:lang w:val="fr-CA"/>
        </w:rPr>
        <w:lastRenderedPageBreak/>
        <w:t>Applications for leave to appeal filed</w:t>
      </w:r>
      <w:r w:rsidR="00271E1E" w:rsidRPr="006F59DD">
        <w:rPr>
          <w:lang w:val="fr-CA"/>
        </w:rPr>
        <w:t xml:space="preserve"> / </w:t>
      </w:r>
      <w:r w:rsidR="00727571" w:rsidRPr="006F59DD">
        <w:rPr>
          <w:lang w:val="fr-CA"/>
        </w:rPr>
        <w:br/>
      </w:r>
      <w:r w:rsidRPr="006F59DD">
        <w:rPr>
          <w:lang w:val="fr-CA"/>
        </w:rPr>
        <w:t>Demandes d’autorisation d’appel déposées</w:t>
      </w:r>
      <w:bookmarkEnd w:id="0"/>
    </w:p>
    <w:p w:rsidR="00F138C1" w:rsidRPr="006F59D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F59DD" w:rsidTr="00F138C1">
        <w:tc>
          <w:tcPr>
            <w:tcW w:w="4239" w:type="dxa"/>
            <w:shd w:val="clear" w:color="auto" w:fill="auto"/>
          </w:tcPr>
          <w:p w:rsidR="00F138C1" w:rsidRPr="006F59DD" w:rsidRDefault="006F52AB" w:rsidP="00F138C1">
            <w:pPr>
              <w:rPr>
                <w:sz w:val="20"/>
                <w:szCs w:val="20"/>
                <w:lang w:val="en-US"/>
              </w:rPr>
            </w:pPr>
            <w:r w:rsidRPr="006F59DD">
              <w:rPr>
                <w:b/>
                <w:sz w:val="20"/>
                <w:szCs w:val="20"/>
                <w:lang w:val="en-US"/>
              </w:rPr>
              <w:t>Elahe Vahed</w:t>
            </w:r>
          </w:p>
          <w:p w:rsidR="00F138C1" w:rsidRPr="006F59DD" w:rsidRDefault="00F138C1" w:rsidP="00F138C1">
            <w:pPr>
              <w:tabs>
                <w:tab w:val="left" w:pos="-1440"/>
                <w:tab w:val="left" w:pos="-720"/>
              </w:tabs>
              <w:rPr>
                <w:sz w:val="20"/>
                <w:szCs w:val="20"/>
                <w:lang w:val="en-US"/>
              </w:rPr>
            </w:pPr>
            <w:r w:rsidRPr="006F59DD">
              <w:rPr>
                <w:sz w:val="20"/>
                <w:szCs w:val="20"/>
                <w:lang w:val="en-US"/>
              </w:rPr>
              <w:tab/>
            </w:r>
            <w:r w:rsidR="006F52AB" w:rsidRPr="006F59DD">
              <w:rPr>
                <w:sz w:val="20"/>
                <w:szCs w:val="20"/>
                <w:lang w:val="en-US"/>
              </w:rPr>
              <w:t>Elahe Vahed</w:t>
            </w:r>
          </w:p>
          <w:p w:rsidR="00EC6816" w:rsidRPr="006F59DD" w:rsidRDefault="00EC6816" w:rsidP="00F138C1">
            <w:pPr>
              <w:tabs>
                <w:tab w:val="left" w:pos="-1440"/>
                <w:tab w:val="left" w:pos="-720"/>
              </w:tabs>
              <w:rPr>
                <w:sz w:val="20"/>
                <w:szCs w:val="20"/>
                <w:lang w:val="en-US"/>
              </w:rPr>
            </w:pPr>
          </w:p>
          <w:p w:rsidR="00F138C1" w:rsidRPr="006F59DD" w:rsidRDefault="00F138C1" w:rsidP="00F138C1">
            <w:pPr>
              <w:tabs>
                <w:tab w:val="left" w:pos="-1440"/>
                <w:tab w:val="left" w:pos="-720"/>
              </w:tabs>
              <w:rPr>
                <w:sz w:val="20"/>
                <w:szCs w:val="20"/>
                <w:lang w:val="en-US"/>
              </w:rPr>
            </w:pPr>
            <w:r w:rsidRPr="006F59DD">
              <w:rPr>
                <w:sz w:val="20"/>
                <w:szCs w:val="20"/>
                <w:lang w:val="en-US"/>
              </w:rPr>
              <w:tab/>
              <w:t>v. (39</w:t>
            </w:r>
            <w:r w:rsidR="006F52AB" w:rsidRPr="006F59DD">
              <w:rPr>
                <w:sz w:val="20"/>
                <w:szCs w:val="20"/>
                <w:lang w:val="en-US"/>
              </w:rPr>
              <w:t>916</w:t>
            </w:r>
            <w:r w:rsidRPr="006F59DD">
              <w:rPr>
                <w:sz w:val="20"/>
                <w:szCs w:val="20"/>
                <w:lang w:val="en-US"/>
              </w:rPr>
              <w:t>)</w:t>
            </w:r>
          </w:p>
          <w:p w:rsidR="00F138C1" w:rsidRPr="006F59DD" w:rsidRDefault="00F138C1" w:rsidP="00F138C1">
            <w:pPr>
              <w:tabs>
                <w:tab w:val="left" w:pos="-1440"/>
                <w:tab w:val="left" w:pos="-720"/>
              </w:tabs>
              <w:rPr>
                <w:sz w:val="20"/>
                <w:szCs w:val="20"/>
                <w:lang w:val="en-US"/>
              </w:rPr>
            </w:pPr>
          </w:p>
          <w:p w:rsidR="00F138C1" w:rsidRPr="006F59DD" w:rsidRDefault="006F52AB" w:rsidP="00F138C1">
            <w:pPr>
              <w:tabs>
                <w:tab w:val="left" w:pos="-1440"/>
                <w:tab w:val="left" w:pos="-720"/>
              </w:tabs>
              <w:rPr>
                <w:b/>
                <w:sz w:val="20"/>
                <w:szCs w:val="20"/>
                <w:lang w:val="en-US"/>
              </w:rPr>
            </w:pPr>
            <w:r w:rsidRPr="006F59DD">
              <w:rPr>
                <w:b/>
                <w:sz w:val="20"/>
                <w:szCs w:val="20"/>
                <w:lang w:val="en-US"/>
              </w:rPr>
              <w:t>Remax Crossroads Realty Inc., et al.</w:t>
            </w:r>
            <w:r w:rsidR="00F138C1" w:rsidRPr="006F59DD">
              <w:rPr>
                <w:b/>
                <w:sz w:val="20"/>
                <w:szCs w:val="20"/>
                <w:lang w:val="en-US"/>
              </w:rPr>
              <w:t xml:space="preserve"> (</w:t>
            </w:r>
            <w:r w:rsidRPr="006F59DD">
              <w:rPr>
                <w:b/>
                <w:sz w:val="20"/>
                <w:szCs w:val="20"/>
                <w:lang w:val="en-US"/>
              </w:rPr>
              <w:t>Ont</w:t>
            </w:r>
            <w:r w:rsidR="00F138C1" w:rsidRPr="006F59DD">
              <w:rPr>
                <w:b/>
                <w:sz w:val="20"/>
                <w:szCs w:val="20"/>
                <w:lang w:val="en-US"/>
              </w:rPr>
              <w:t>.)</w:t>
            </w:r>
          </w:p>
          <w:p w:rsidR="00F138C1" w:rsidRPr="006F59DD" w:rsidRDefault="00F138C1" w:rsidP="00F138C1">
            <w:pPr>
              <w:tabs>
                <w:tab w:val="left" w:pos="-1440"/>
                <w:tab w:val="left" w:pos="-720"/>
              </w:tabs>
              <w:rPr>
                <w:sz w:val="20"/>
                <w:szCs w:val="20"/>
                <w:lang w:val="en-US"/>
              </w:rPr>
            </w:pPr>
            <w:r w:rsidRPr="006F59DD">
              <w:rPr>
                <w:sz w:val="20"/>
                <w:szCs w:val="20"/>
                <w:lang w:val="en-US"/>
              </w:rPr>
              <w:tab/>
            </w:r>
            <w:r w:rsidR="006F52AB" w:rsidRPr="006F59DD">
              <w:rPr>
                <w:sz w:val="20"/>
                <w:szCs w:val="20"/>
                <w:lang w:val="en-US"/>
              </w:rPr>
              <w:t>Kestenberg, Michael</w:t>
            </w:r>
          </w:p>
          <w:p w:rsidR="00F138C1" w:rsidRPr="006F59DD" w:rsidRDefault="00F138C1" w:rsidP="00F138C1">
            <w:pPr>
              <w:tabs>
                <w:tab w:val="left" w:pos="-1440"/>
                <w:tab w:val="left" w:pos="-720"/>
              </w:tabs>
              <w:rPr>
                <w:sz w:val="20"/>
                <w:szCs w:val="20"/>
              </w:rPr>
            </w:pPr>
            <w:r w:rsidRPr="006F59DD">
              <w:rPr>
                <w:sz w:val="20"/>
                <w:szCs w:val="20"/>
                <w:lang w:val="en-US"/>
              </w:rPr>
              <w:tab/>
            </w:r>
            <w:r w:rsidR="006F52AB" w:rsidRPr="006F59DD">
              <w:rPr>
                <w:sz w:val="20"/>
                <w:szCs w:val="20"/>
              </w:rPr>
              <w:t>Kestenberg Siegal Lipkus LLP</w:t>
            </w:r>
          </w:p>
          <w:p w:rsidR="00F138C1" w:rsidRPr="006F59DD" w:rsidRDefault="00F138C1" w:rsidP="00F138C1">
            <w:pPr>
              <w:tabs>
                <w:tab w:val="left" w:pos="-1440"/>
                <w:tab w:val="left" w:pos="-720"/>
              </w:tabs>
              <w:rPr>
                <w:sz w:val="20"/>
                <w:szCs w:val="20"/>
              </w:rPr>
            </w:pPr>
          </w:p>
          <w:p w:rsidR="00F138C1" w:rsidRPr="006F59DD" w:rsidRDefault="00F138C1" w:rsidP="00F138C1">
            <w:pPr>
              <w:rPr>
                <w:sz w:val="20"/>
                <w:szCs w:val="20"/>
              </w:rPr>
            </w:pPr>
            <w:r w:rsidRPr="006F59DD">
              <w:rPr>
                <w:sz w:val="20"/>
                <w:szCs w:val="20"/>
              </w:rPr>
              <w:t xml:space="preserve">FILING DATE: </w:t>
            </w:r>
            <w:r w:rsidR="006F52AB" w:rsidRPr="006F59DD">
              <w:rPr>
                <w:sz w:val="20"/>
                <w:szCs w:val="20"/>
              </w:rPr>
              <w:t>December</w:t>
            </w:r>
            <w:r w:rsidRPr="006F59DD">
              <w:rPr>
                <w:sz w:val="20"/>
                <w:szCs w:val="20"/>
              </w:rPr>
              <w:t xml:space="preserve"> </w:t>
            </w:r>
            <w:r w:rsidR="006F52AB" w:rsidRPr="006F59DD">
              <w:rPr>
                <w:sz w:val="20"/>
                <w:szCs w:val="20"/>
              </w:rPr>
              <w:t>13</w:t>
            </w:r>
            <w:r w:rsidRPr="006F59DD">
              <w:rPr>
                <w:sz w:val="20"/>
                <w:szCs w:val="20"/>
              </w:rPr>
              <w:t>, 20</w:t>
            </w:r>
            <w:r w:rsidR="00DA1D48" w:rsidRPr="006F59DD">
              <w:rPr>
                <w:sz w:val="20"/>
                <w:szCs w:val="20"/>
              </w:rPr>
              <w:t>2</w:t>
            </w:r>
            <w:r w:rsidR="006F52AB" w:rsidRPr="006F59DD">
              <w:rPr>
                <w:sz w:val="20"/>
                <w:szCs w:val="20"/>
              </w:rPr>
              <w:t>1</w:t>
            </w:r>
          </w:p>
          <w:p w:rsidR="004B2E86" w:rsidRPr="006F59DD" w:rsidRDefault="004B2E86" w:rsidP="00F138C1">
            <w:pPr>
              <w:rPr>
                <w:sz w:val="20"/>
                <w:szCs w:val="20"/>
              </w:rPr>
            </w:pPr>
          </w:p>
          <w:p w:rsidR="00F138C1" w:rsidRPr="006F59DD" w:rsidRDefault="006F59DD" w:rsidP="00F138C1">
            <w:pPr>
              <w:rPr>
                <w:sz w:val="20"/>
                <w:szCs w:val="20"/>
              </w:rPr>
            </w:pPr>
            <w:r w:rsidRPr="006F59D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F138C1" w:rsidRPr="006F59DD" w:rsidRDefault="00F138C1" w:rsidP="00F138C1">
            <w:pPr>
              <w:jc w:val="center"/>
              <w:rPr>
                <w:sz w:val="20"/>
                <w:szCs w:val="20"/>
              </w:rPr>
            </w:pPr>
          </w:p>
          <w:p w:rsidR="004B2E86" w:rsidRPr="006F59DD" w:rsidRDefault="004B2E86" w:rsidP="00F138C1">
            <w:pPr>
              <w:jc w:val="center"/>
              <w:rPr>
                <w:sz w:val="20"/>
                <w:szCs w:val="20"/>
              </w:rPr>
            </w:pPr>
          </w:p>
          <w:p w:rsidR="00F138C1" w:rsidRPr="006F59DD" w:rsidRDefault="00F138C1" w:rsidP="00F138C1">
            <w:pPr>
              <w:jc w:val="center"/>
              <w:rPr>
                <w:sz w:val="20"/>
                <w:szCs w:val="20"/>
              </w:rPr>
            </w:pPr>
          </w:p>
        </w:tc>
        <w:tc>
          <w:tcPr>
            <w:tcW w:w="4239" w:type="dxa"/>
            <w:shd w:val="clear" w:color="auto" w:fill="auto"/>
          </w:tcPr>
          <w:p w:rsidR="00F138C1" w:rsidRPr="006F59DD" w:rsidRDefault="006F52AB" w:rsidP="00F138C1">
            <w:pPr>
              <w:rPr>
                <w:b/>
                <w:sz w:val="20"/>
                <w:szCs w:val="20"/>
                <w:lang w:val="en-US"/>
              </w:rPr>
            </w:pPr>
            <w:r w:rsidRPr="006F59DD">
              <w:rPr>
                <w:b/>
                <w:sz w:val="20"/>
                <w:szCs w:val="20"/>
                <w:lang w:val="en-US"/>
              </w:rPr>
              <w:t>Arvind B. Sharma</w:t>
            </w:r>
          </w:p>
          <w:p w:rsidR="00F138C1" w:rsidRPr="006F59DD" w:rsidRDefault="00F138C1" w:rsidP="00F138C1">
            <w:pPr>
              <w:tabs>
                <w:tab w:val="left" w:pos="-1440"/>
                <w:tab w:val="left" w:pos="-720"/>
              </w:tabs>
              <w:rPr>
                <w:sz w:val="20"/>
                <w:szCs w:val="20"/>
                <w:lang w:val="en-US"/>
              </w:rPr>
            </w:pPr>
            <w:r w:rsidRPr="006F59DD">
              <w:rPr>
                <w:sz w:val="20"/>
                <w:szCs w:val="20"/>
                <w:lang w:val="en-US"/>
              </w:rPr>
              <w:tab/>
            </w:r>
            <w:r w:rsidR="006F52AB" w:rsidRPr="006F59DD">
              <w:rPr>
                <w:sz w:val="20"/>
                <w:szCs w:val="20"/>
                <w:lang w:val="en-US"/>
              </w:rPr>
              <w:t>Arvind B. Sharma</w:t>
            </w:r>
          </w:p>
          <w:p w:rsidR="00F138C1" w:rsidRPr="006F59DD" w:rsidRDefault="00F138C1" w:rsidP="00F138C1">
            <w:pPr>
              <w:tabs>
                <w:tab w:val="left" w:pos="-1440"/>
                <w:tab w:val="left" w:pos="-720"/>
              </w:tabs>
              <w:rPr>
                <w:sz w:val="20"/>
                <w:szCs w:val="20"/>
                <w:lang w:val="en-US"/>
              </w:rPr>
            </w:pPr>
          </w:p>
          <w:p w:rsidR="00F138C1" w:rsidRPr="006F59DD" w:rsidRDefault="00F138C1" w:rsidP="00F138C1">
            <w:pPr>
              <w:tabs>
                <w:tab w:val="left" w:pos="-1440"/>
                <w:tab w:val="left" w:pos="-720"/>
              </w:tabs>
              <w:rPr>
                <w:sz w:val="20"/>
                <w:szCs w:val="20"/>
                <w:lang w:val="en-US"/>
              </w:rPr>
            </w:pPr>
            <w:r w:rsidRPr="006F59DD">
              <w:rPr>
                <w:sz w:val="20"/>
                <w:szCs w:val="20"/>
                <w:lang w:val="en-US"/>
              </w:rPr>
              <w:tab/>
            </w:r>
            <w:r w:rsidR="006F52AB" w:rsidRPr="006F59DD">
              <w:rPr>
                <w:sz w:val="20"/>
                <w:szCs w:val="20"/>
                <w:lang w:val="en-US"/>
              </w:rPr>
              <w:t>v</w:t>
            </w:r>
            <w:r w:rsidRPr="006F59DD">
              <w:rPr>
                <w:sz w:val="20"/>
                <w:szCs w:val="20"/>
                <w:lang w:val="en-US"/>
              </w:rPr>
              <w:t>. (39</w:t>
            </w:r>
            <w:r w:rsidR="006F52AB" w:rsidRPr="006F59DD">
              <w:rPr>
                <w:sz w:val="20"/>
                <w:szCs w:val="20"/>
                <w:lang w:val="en-US"/>
              </w:rPr>
              <w:t>94</w:t>
            </w:r>
            <w:r w:rsidRPr="006F59DD">
              <w:rPr>
                <w:sz w:val="20"/>
                <w:szCs w:val="20"/>
                <w:lang w:val="en-US"/>
              </w:rPr>
              <w:t>6)</w:t>
            </w:r>
          </w:p>
          <w:p w:rsidR="00F138C1" w:rsidRPr="006F59DD" w:rsidRDefault="00F138C1" w:rsidP="00F138C1">
            <w:pPr>
              <w:tabs>
                <w:tab w:val="left" w:pos="-1440"/>
                <w:tab w:val="left" w:pos="-720"/>
              </w:tabs>
              <w:rPr>
                <w:sz w:val="20"/>
                <w:szCs w:val="20"/>
                <w:lang w:val="en-US"/>
              </w:rPr>
            </w:pPr>
          </w:p>
          <w:p w:rsidR="00F138C1" w:rsidRPr="006F59DD" w:rsidRDefault="006F52AB" w:rsidP="00F138C1">
            <w:pPr>
              <w:tabs>
                <w:tab w:val="left" w:pos="-1440"/>
                <w:tab w:val="left" w:pos="-720"/>
              </w:tabs>
              <w:rPr>
                <w:b/>
                <w:sz w:val="20"/>
                <w:szCs w:val="20"/>
                <w:lang w:val="en-US"/>
              </w:rPr>
            </w:pPr>
            <w:r w:rsidRPr="006F59DD">
              <w:rPr>
                <w:b/>
                <w:sz w:val="20"/>
                <w:szCs w:val="20"/>
                <w:lang w:val="en-US"/>
              </w:rPr>
              <w:t>Chief of Police of the Edmonton Police Service, et al.</w:t>
            </w:r>
            <w:r w:rsidR="00F138C1" w:rsidRPr="006F59DD">
              <w:rPr>
                <w:sz w:val="20"/>
                <w:szCs w:val="20"/>
                <w:lang w:val="en-US"/>
              </w:rPr>
              <w:t xml:space="preserve"> </w:t>
            </w:r>
            <w:r w:rsidR="00F138C1" w:rsidRPr="006F59DD">
              <w:rPr>
                <w:b/>
                <w:sz w:val="20"/>
                <w:szCs w:val="20"/>
                <w:lang w:val="en-US"/>
              </w:rPr>
              <w:t>(</w:t>
            </w:r>
            <w:r w:rsidRPr="006F59DD">
              <w:rPr>
                <w:b/>
                <w:sz w:val="20"/>
                <w:szCs w:val="20"/>
                <w:lang w:val="en-US"/>
              </w:rPr>
              <w:t>Alta.)</w:t>
            </w:r>
          </w:p>
          <w:p w:rsidR="00F138C1" w:rsidRPr="006F59DD" w:rsidRDefault="00F138C1" w:rsidP="00F138C1">
            <w:pPr>
              <w:tabs>
                <w:tab w:val="left" w:pos="-1440"/>
                <w:tab w:val="left" w:pos="-720"/>
              </w:tabs>
              <w:rPr>
                <w:sz w:val="20"/>
                <w:szCs w:val="20"/>
                <w:lang w:val="en-US"/>
              </w:rPr>
            </w:pPr>
            <w:r w:rsidRPr="006F59DD">
              <w:rPr>
                <w:sz w:val="20"/>
                <w:szCs w:val="20"/>
                <w:lang w:val="en-US"/>
              </w:rPr>
              <w:tab/>
            </w:r>
            <w:r w:rsidR="006F52AB" w:rsidRPr="006F59DD">
              <w:rPr>
                <w:sz w:val="20"/>
                <w:szCs w:val="20"/>
                <w:lang w:val="en-US"/>
              </w:rPr>
              <w:t>Taylor, Jeremy L.</w:t>
            </w:r>
          </w:p>
          <w:p w:rsidR="00F138C1" w:rsidRPr="006F59DD" w:rsidRDefault="00F138C1" w:rsidP="00F138C1">
            <w:pPr>
              <w:tabs>
                <w:tab w:val="left" w:pos="-1440"/>
                <w:tab w:val="left" w:pos="-720"/>
              </w:tabs>
              <w:rPr>
                <w:sz w:val="20"/>
                <w:szCs w:val="20"/>
                <w:lang w:val="en-US"/>
              </w:rPr>
            </w:pPr>
            <w:r w:rsidRPr="006F59DD">
              <w:rPr>
                <w:sz w:val="20"/>
                <w:szCs w:val="20"/>
                <w:lang w:val="en-US"/>
              </w:rPr>
              <w:tab/>
            </w:r>
            <w:r w:rsidR="006F52AB" w:rsidRPr="006F59DD">
              <w:rPr>
                <w:sz w:val="20"/>
                <w:szCs w:val="20"/>
                <w:lang w:val="en-US"/>
              </w:rPr>
              <w:t>Field Law</w:t>
            </w:r>
          </w:p>
          <w:p w:rsidR="00F138C1" w:rsidRPr="006F59DD" w:rsidRDefault="00F138C1" w:rsidP="00F138C1">
            <w:pPr>
              <w:tabs>
                <w:tab w:val="left" w:pos="-1440"/>
                <w:tab w:val="left" w:pos="-720"/>
              </w:tabs>
              <w:rPr>
                <w:sz w:val="20"/>
                <w:szCs w:val="20"/>
                <w:lang w:val="en-US"/>
              </w:rPr>
            </w:pPr>
          </w:p>
          <w:p w:rsidR="006F52AB" w:rsidRPr="006F59DD" w:rsidRDefault="006F52AB" w:rsidP="006F52AB">
            <w:pPr>
              <w:rPr>
                <w:sz w:val="20"/>
                <w:szCs w:val="20"/>
              </w:rPr>
            </w:pPr>
            <w:r w:rsidRPr="006F59DD">
              <w:rPr>
                <w:sz w:val="20"/>
                <w:szCs w:val="20"/>
              </w:rPr>
              <w:t>FILING DATE: December 20, 2021</w:t>
            </w:r>
          </w:p>
          <w:p w:rsidR="004B2E86" w:rsidRPr="006F59DD" w:rsidRDefault="004B2E86" w:rsidP="00F138C1">
            <w:pPr>
              <w:rPr>
                <w:sz w:val="20"/>
                <w:szCs w:val="20"/>
                <w:lang w:val="en-US"/>
              </w:rPr>
            </w:pPr>
          </w:p>
          <w:p w:rsidR="00F138C1" w:rsidRPr="006F59DD" w:rsidRDefault="006F59DD" w:rsidP="00F138C1">
            <w:pPr>
              <w:rPr>
                <w:sz w:val="20"/>
                <w:szCs w:val="20"/>
                <w:lang w:val="fr-CA"/>
              </w:rPr>
            </w:pPr>
            <w:r w:rsidRPr="006F59DD">
              <w:rPr>
                <w:sz w:val="20"/>
                <w:szCs w:val="20"/>
                <w:lang w:val="fr-CA"/>
              </w:rPr>
              <w:pict>
                <v:rect id="_x0000_i1026" style="width:108pt;height:1pt" o:hrpct="0" o:hrstd="t" o:hrnoshade="t" o:hr="t" fillcolor="black [3213]" stroked="f"/>
              </w:pict>
            </w:r>
          </w:p>
        </w:tc>
      </w:tr>
      <w:tr w:rsidR="00131D3A" w:rsidRPr="006F59DD" w:rsidTr="00F138C1">
        <w:tc>
          <w:tcPr>
            <w:tcW w:w="4239" w:type="dxa"/>
            <w:shd w:val="clear" w:color="auto" w:fill="auto"/>
          </w:tcPr>
          <w:p w:rsidR="00131D3A" w:rsidRPr="006F59DD" w:rsidRDefault="00131D3A" w:rsidP="00131D3A">
            <w:pPr>
              <w:rPr>
                <w:sz w:val="20"/>
                <w:szCs w:val="20"/>
                <w:lang w:val="en-US"/>
              </w:rPr>
            </w:pPr>
            <w:r w:rsidRPr="006F59DD">
              <w:rPr>
                <w:b/>
                <w:sz w:val="20"/>
                <w:szCs w:val="20"/>
                <w:lang w:val="en-US"/>
              </w:rPr>
              <w:t>Ravi Raj Walia</w:t>
            </w:r>
          </w:p>
          <w:p w:rsidR="00131D3A" w:rsidRPr="006F59DD" w:rsidRDefault="00131D3A" w:rsidP="00131D3A">
            <w:pPr>
              <w:tabs>
                <w:tab w:val="left" w:pos="-1440"/>
                <w:tab w:val="left" w:pos="-720"/>
              </w:tabs>
              <w:rPr>
                <w:sz w:val="20"/>
                <w:szCs w:val="20"/>
                <w:lang w:val="en-US"/>
              </w:rPr>
            </w:pPr>
            <w:r w:rsidRPr="006F59DD">
              <w:rPr>
                <w:sz w:val="20"/>
                <w:szCs w:val="20"/>
                <w:lang w:val="en-US"/>
              </w:rPr>
              <w:tab/>
              <w:t>Ravi Raj Walia</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(39932)</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b/>
                <w:sz w:val="20"/>
                <w:szCs w:val="20"/>
                <w:lang w:val="en-US"/>
              </w:rPr>
            </w:pPr>
            <w:r w:rsidRPr="006F59DD">
              <w:rPr>
                <w:b/>
                <w:sz w:val="20"/>
                <w:szCs w:val="20"/>
                <w:lang w:val="en-US"/>
              </w:rPr>
              <w:t>College of Veterinarians of Ontario (Ont.)</w:t>
            </w:r>
          </w:p>
          <w:p w:rsidR="00131D3A" w:rsidRPr="006F59DD" w:rsidRDefault="00131D3A" w:rsidP="00131D3A">
            <w:pPr>
              <w:tabs>
                <w:tab w:val="left" w:pos="-1440"/>
                <w:tab w:val="left" w:pos="-720"/>
              </w:tabs>
              <w:rPr>
                <w:sz w:val="20"/>
                <w:szCs w:val="20"/>
                <w:lang w:val="fr-CA"/>
              </w:rPr>
            </w:pPr>
            <w:r w:rsidRPr="006F59DD">
              <w:rPr>
                <w:sz w:val="20"/>
                <w:szCs w:val="20"/>
                <w:lang w:val="en-US"/>
              </w:rPr>
              <w:tab/>
            </w:r>
            <w:r w:rsidRPr="006F59DD">
              <w:rPr>
                <w:sz w:val="20"/>
                <w:szCs w:val="20"/>
                <w:lang w:val="fr-CA"/>
              </w:rPr>
              <w:t>LeBlanc, Bernard C.</w:t>
            </w:r>
          </w:p>
          <w:p w:rsidR="00131D3A" w:rsidRPr="006F59DD" w:rsidRDefault="00131D3A" w:rsidP="00131D3A">
            <w:pPr>
              <w:tabs>
                <w:tab w:val="left" w:pos="-1440"/>
                <w:tab w:val="left" w:pos="-720"/>
              </w:tabs>
              <w:rPr>
                <w:sz w:val="20"/>
                <w:szCs w:val="20"/>
                <w:lang w:val="fr-CA"/>
              </w:rPr>
            </w:pPr>
            <w:r w:rsidRPr="006F59DD">
              <w:rPr>
                <w:sz w:val="20"/>
                <w:szCs w:val="20"/>
                <w:lang w:val="fr-CA"/>
              </w:rPr>
              <w:tab/>
              <w:t>Steinecke Maciura LeBlanc</w:t>
            </w:r>
          </w:p>
          <w:p w:rsidR="00131D3A" w:rsidRPr="006F59DD" w:rsidRDefault="00131D3A" w:rsidP="00131D3A">
            <w:pPr>
              <w:tabs>
                <w:tab w:val="left" w:pos="-1440"/>
                <w:tab w:val="left" w:pos="-720"/>
              </w:tabs>
              <w:rPr>
                <w:sz w:val="20"/>
                <w:szCs w:val="20"/>
                <w:lang w:val="fr-CA"/>
              </w:rPr>
            </w:pPr>
          </w:p>
          <w:p w:rsidR="00131D3A" w:rsidRPr="006F59DD" w:rsidRDefault="00131D3A" w:rsidP="00131D3A">
            <w:pPr>
              <w:rPr>
                <w:sz w:val="20"/>
                <w:szCs w:val="20"/>
              </w:rPr>
            </w:pPr>
            <w:r w:rsidRPr="006F59DD">
              <w:rPr>
                <w:sz w:val="20"/>
                <w:szCs w:val="20"/>
              </w:rPr>
              <w:t>FILING DATE: December 15, 2021</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27" style="width:108pt;height:1pt" o:hrpct="0" o:hrstd="t" o:hrnoshade="t" o:hr="t" fillcolor="black [3213]" stroked="f"/>
              </w:pict>
            </w:r>
          </w:p>
        </w:tc>
        <w:tc>
          <w:tcPr>
            <w:tcW w:w="1141" w:type="dxa"/>
            <w:shd w:val="clear" w:color="auto" w:fill="auto"/>
          </w:tcPr>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tc>
        <w:tc>
          <w:tcPr>
            <w:tcW w:w="4239" w:type="dxa"/>
            <w:shd w:val="clear" w:color="auto" w:fill="auto"/>
          </w:tcPr>
          <w:p w:rsidR="00131D3A" w:rsidRPr="006F59DD" w:rsidRDefault="00131D3A" w:rsidP="00131D3A">
            <w:pPr>
              <w:rPr>
                <w:sz w:val="20"/>
                <w:szCs w:val="20"/>
                <w:lang w:val="en-US"/>
              </w:rPr>
            </w:pPr>
            <w:r w:rsidRPr="006F59DD">
              <w:rPr>
                <w:b/>
                <w:sz w:val="20"/>
                <w:szCs w:val="20"/>
                <w:lang w:val="en-US"/>
              </w:rPr>
              <w:t>Yau Wah Steve Lam</w:t>
            </w:r>
          </w:p>
          <w:p w:rsidR="00131D3A" w:rsidRPr="006F59DD" w:rsidRDefault="00131D3A" w:rsidP="00131D3A">
            <w:pPr>
              <w:tabs>
                <w:tab w:val="left" w:pos="-1440"/>
                <w:tab w:val="left" w:pos="-720"/>
              </w:tabs>
              <w:rPr>
                <w:sz w:val="20"/>
                <w:szCs w:val="20"/>
                <w:lang w:val="en-US"/>
              </w:rPr>
            </w:pPr>
            <w:r w:rsidRPr="006F59DD">
              <w:rPr>
                <w:sz w:val="20"/>
                <w:szCs w:val="20"/>
                <w:lang w:val="en-US"/>
              </w:rPr>
              <w:tab/>
              <w:t>Yau Wah Steve Lam</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(39959)</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b/>
                <w:sz w:val="20"/>
                <w:szCs w:val="20"/>
                <w:lang w:val="en-US"/>
              </w:rPr>
            </w:pPr>
            <w:r w:rsidRPr="006F59DD">
              <w:rPr>
                <w:b/>
                <w:sz w:val="20"/>
                <w:szCs w:val="20"/>
                <w:lang w:val="en-US"/>
              </w:rPr>
              <w:t>Governors of the University of Calgary, et al. (Alta.)</w:t>
            </w:r>
          </w:p>
          <w:p w:rsidR="00131D3A" w:rsidRPr="006F59DD" w:rsidRDefault="00131D3A" w:rsidP="00131D3A">
            <w:pPr>
              <w:tabs>
                <w:tab w:val="left" w:pos="-1440"/>
                <w:tab w:val="left" w:pos="-720"/>
              </w:tabs>
              <w:rPr>
                <w:sz w:val="20"/>
                <w:szCs w:val="20"/>
                <w:lang w:val="en-US"/>
              </w:rPr>
            </w:pPr>
            <w:r w:rsidRPr="006F59DD">
              <w:rPr>
                <w:sz w:val="20"/>
                <w:szCs w:val="20"/>
                <w:lang w:val="en-US"/>
              </w:rPr>
              <w:tab/>
              <w:t>Ross, Thomas W.</w:t>
            </w:r>
          </w:p>
          <w:p w:rsidR="00131D3A" w:rsidRPr="006F59DD" w:rsidRDefault="00131D3A" w:rsidP="00131D3A">
            <w:pPr>
              <w:tabs>
                <w:tab w:val="left" w:pos="-1440"/>
                <w:tab w:val="left" w:pos="-720"/>
              </w:tabs>
              <w:rPr>
                <w:sz w:val="20"/>
                <w:szCs w:val="20"/>
              </w:rPr>
            </w:pPr>
            <w:r w:rsidRPr="006F59DD">
              <w:rPr>
                <w:sz w:val="20"/>
                <w:szCs w:val="20"/>
                <w:lang w:val="en-US"/>
              </w:rPr>
              <w:tab/>
            </w:r>
            <w:r w:rsidRPr="006F59DD">
              <w:rPr>
                <w:sz w:val="20"/>
                <w:szCs w:val="20"/>
              </w:rPr>
              <w:t>McLennan Ross LLP</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FILING DATE: December 22, 2021</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28" style="width:108pt;height:1pt" o:hrpct="0" o:hrstd="t" o:hrnoshade="t" o:hr="t" fillcolor="black [3213]" stroked="f"/>
              </w:pict>
            </w:r>
          </w:p>
        </w:tc>
      </w:tr>
      <w:tr w:rsidR="00131D3A" w:rsidRPr="006F59DD" w:rsidTr="00F138C1">
        <w:tc>
          <w:tcPr>
            <w:tcW w:w="4239" w:type="dxa"/>
            <w:shd w:val="clear" w:color="auto" w:fill="auto"/>
          </w:tcPr>
          <w:p w:rsidR="00131D3A" w:rsidRPr="006F59DD" w:rsidRDefault="00131D3A" w:rsidP="00131D3A">
            <w:pPr>
              <w:rPr>
                <w:sz w:val="20"/>
                <w:szCs w:val="20"/>
              </w:rPr>
            </w:pPr>
            <w:r w:rsidRPr="006F59DD">
              <w:rPr>
                <w:b/>
                <w:sz w:val="20"/>
                <w:szCs w:val="20"/>
              </w:rPr>
              <w:t>Kamalavannan Kumarasamy</w:t>
            </w:r>
          </w:p>
          <w:p w:rsidR="00131D3A" w:rsidRPr="006F59DD" w:rsidRDefault="00131D3A" w:rsidP="00131D3A">
            <w:pPr>
              <w:tabs>
                <w:tab w:val="left" w:pos="-1440"/>
                <w:tab w:val="left" w:pos="-720"/>
              </w:tabs>
              <w:rPr>
                <w:sz w:val="20"/>
                <w:szCs w:val="20"/>
              </w:rPr>
            </w:pPr>
            <w:r w:rsidRPr="006F59DD">
              <w:rPr>
                <w:sz w:val="20"/>
                <w:szCs w:val="20"/>
              </w:rPr>
              <w:tab/>
            </w:r>
            <w:r w:rsidRPr="006F59DD">
              <w:rPr>
                <w:sz w:val="20"/>
                <w:szCs w:val="20"/>
                <w:lang w:val="en-US"/>
              </w:rPr>
              <w:t>Kuciej, Adam B.</w:t>
            </w:r>
          </w:p>
          <w:p w:rsidR="00131D3A" w:rsidRPr="006F59DD" w:rsidRDefault="00131D3A" w:rsidP="00131D3A">
            <w:pPr>
              <w:tabs>
                <w:tab w:val="left" w:pos="-1440"/>
                <w:tab w:val="left" w:pos="-720"/>
              </w:tabs>
              <w:rPr>
                <w:sz w:val="20"/>
                <w:szCs w:val="20"/>
                <w:lang w:val="en-US"/>
              </w:rPr>
            </w:pPr>
            <w:r w:rsidRPr="006F59DD">
              <w:rPr>
                <w:sz w:val="20"/>
                <w:szCs w:val="20"/>
              </w:rPr>
              <w:tab/>
            </w:r>
            <w:r w:rsidRPr="006F59DD">
              <w:rPr>
                <w:sz w:val="20"/>
                <w:szCs w:val="20"/>
                <w:lang w:val="en-US"/>
              </w:rPr>
              <w:t>Levy &amp; Associates</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(40041)</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b/>
                <w:sz w:val="20"/>
                <w:szCs w:val="20"/>
                <w:lang w:val="en-US"/>
              </w:rPr>
            </w:pPr>
            <w:r w:rsidRPr="006F59DD">
              <w:rPr>
                <w:b/>
                <w:sz w:val="20"/>
                <w:szCs w:val="20"/>
                <w:lang w:val="en-US"/>
              </w:rPr>
              <w:t>Western Life Assurance Company (Ont.)</w:t>
            </w:r>
          </w:p>
          <w:p w:rsidR="00131D3A" w:rsidRPr="006F59DD" w:rsidRDefault="00131D3A" w:rsidP="00131D3A">
            <w:pPr>
              <w:tabs>
                <w:tab w:val="left" w:pos="-1440"/>
                <w:tab w:val="left" w:pos="-720"/>
              </w:tabs>
              <w:rPr>
                <w:sz w:val="20"/>
                <w:szCs w:val="20"/>
                <w:lang w:val="en-US"/>
              </w:rPr>
            </w:pPr>
            <w:r w:rsidRPr="006F59DD">
              <w:rPr>
                <w:sz w:val="20"/>
                <w:szCs w:val="20"/>
                <w:lang w:val="en-US"/>
              </w:rPr>
              <w:tab/>
              <w:t>Bennett-Martin, Elizabeth</w:t>
            </w:r>
          </w:p>
          <w:p w:rsidR="00131D3A" w:rsidRPr="006F59DD" w:rsidRDefault="00131D3A" w:rsidP="00131D3A">
            <w:pPr>
              <w:tabs>
                <w:tab w:val="left" w:pos="-1440"/>
                <w:tab w:val="left" w:pos="-720"/>
              </w:tabs>
              <w:rPr>
                <w:sz w:val="20"/>
                <w:szCs w:val="20"/>
              </w:rPr>
            </w:pPr>
            <w:r w:rsidRPr="006F59DD">
              <w:rPr>
                <w:sz w:val="20"/>
                <w:szCs w:val="20"/>
                <w:lang w:val="en-US"/>
              </w:rPr>
              <w:tab/>
            </w:r>
            <w:r w:rsidRPr="006F59DD">
              <w:rPr>
                <w:sz w:val="20"/>
                <w:szCs w:val="20"/>
              </w:rPr>
              <w:t>Bennett Gastle P.C.</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FILING DATE: February 9, 2022</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29" style="width:108pt;height:1pt" o:hrpct="0" o:hrstd="t" o:hrnoshade="t" o:hr="t" fillcolor="black [3213]" stroked="f"/>
              </w:pict>
            </w:r>
          </w:p>
        </w:tc>
        <w:tc>
          <w:tcPr>
            <w:tcW w:w="1141" w:type="dxa"/>
            <w:shd w:val="clear" w:color="auto" w:fill="auto"/>
          </w:tcPr>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tc>
        <w:tc>
          <w:tcPr>
            <w:tcW w:w="4239" w:type="dxa"/>
            <w:shd w:val="clear" w:color="auto" w:fill="auto"/>
          </w:tcPr>
          <w:p w:rsidR="00131D3A" w:rsidRPr="006F59DD" w:rsidRDefault="00131D3A" w:rsidP="00131D3A">
            <w:pPr>
              <w:rPr>
                <w:sz w:val="20"/>
                <w:szCs w:val="20"/>
                <w:lang w:val="fr-CA"/>
              </w:rPr>
            </w:pPr>
            <w:r w:rsidRPr="006F59DD">
              <w:rPr>
                <w:b/>
                <w:sz w:val="20"/>
                <w:szCs w:val="20"/>
                <w:lang w:val="fr-CA"/>
              </w:rPr>
              <w:t>Tarik Biji</w:t>
            </w:r>
          </w:p>
          <w:p w:rsidR="00131D3A" w:rsidRPr="006F59DD" w:rsidRDefault="00131D3A" w:rsidP="00131D3A">
            <w:pPr>
              <w:tabs>
                <w:tab w:val="left" w:pos="-1440"/>
                <w:tab w:val="left" w:pos="-720"/>
              </w:tabs>
              <w:rPr>
                <w:sz w:val="20"/>
                <w:szCs w:val="20"/>
                <w:lang w:val="fr-CA"/>
              </w:rPr>
            </w:pPr>
            <w:r w:rsidRPr="006F59DD">
              <w:rPr>
                <w:sz w:val="20"/>
                <w:szCs w:val="20"/>
                <w:lang w:val="fr-CA"/>
              </w:rPr>
              <w:tab/>
              <w:t>Giroux, Marie-Hélène</w:t>
            </w:r>
          </w:p>
          <w:p w:rsidR="00131D3A" w:rsidRPr="006F59DD" w:rsidRDefault="00131D3A" w:rsidP="00131D3A">
            <w:pPr>
              <w:tabs>
                <w:tab w:val="left" w:pos="-1440"/>
                <w:tab w:val="left" w:pos="-720"/>
              </w:tabs>
              <w:rPr>
                <w:sz w:val="20"/>
                <w:szCs w:val="20"/>
                <w:lang w:val="fr-CA"/>
              </w:rPr>
            </w:pPr>
            <w:r w:rsidRPr="006F59DD">
              <w:rPr>
                <w:sz w:val="20"/>
                <w:szCs w:val="20"/>
                <w:lang w:val="fr-CA"/>
              </w:rPr>
              <w:tab/>
              <w:t>Marie-Hélène Giroux Avocat inc.</w:t>
            </w:r>
          </w:p>
          <w:p w:rsidR="00131D3A" w:rsidRPr="006F59DD" w:rsidRDefault="00131D3A" w:rsidP="00131D3A">
            <w:pPr>
              <w:tabs>
                <w:tab w:val="left" w:pos="-1440"/>
                <w:tab w:val="left" w:pos="-720"/>
              </w:tabs>
              <w:rPr>
                <w:sz w:val="20"/>
                <w:szCs w:val="20"/>
                <w:lang w:val="fr-CA"/>
              </w:rPr>
            </w:pPr>
          </w:p>
          <w:p w:rsidR="00131D3A" w:rsidRPr="006F59DD" w:rsidRDefault="00131D3A" w:rsidP="00131D3A">
            <w:pPr>
              <w:tabs>
                <w:tab w:val="left" w:pos="-1440"/>
                <w:tab w:val="left" w:pos="-720"/>
              </w:tabs>
              <w:rPr>
                <w:sz w:val="20"/>
                <w:szCs w:val="20"/>
                <w:lang w:val="fr-CA"/>
              </w:rPr>
            </w:pPr>
            <w:r w:rsidRPr="006F59DD">
              <w:rPr>
                <w:sz w:val="20"/>
                <w:szCs w:val="20"/>
                <w:lang w:val="fr-CA"/>
              </w:rPr>
              <w:tab/>
              <w:t>c. (39990)</w:t>
            </w:r>
          </w:p>
          <w:p w:rsidR="00131D3A" w:rsidRPr="006F59DD" w:rsidRDefault="00131D3A" w:rsidP="00131D3A">
            <w:pPr>
              <w:tabs>
                <w:tab w:val="left" w:pos="-1440"/>
                <w:tab w:val="left" w:pos="-720"/>
              </w:tabs>
              <w:rPr>
                <w:sz w:val="20"/>
                <w:szCs w:val="20"/>
                <w:lang w:val="fr-CA"/>
              </w:rPr>
            </w:pPr>
          </w:p>
          <w:p w:rsidR="00131D3A" w:rsidRPr="006F59DD" w:rsidRDefault="00131D3A" w:rsidP="00131D3A">
            <w:pPr>
              <w:tabs>
                <w:tab w:val="left" w:pos="-1440"/>
                <w:tab w:val="left" w:pos="-720"/>
              </w:tabs>
              <w:rPr>
                <w:b/>
                <w:sz w:val="20"/>
                <w:szCs w:val="20"/>
                <w:lang w:val="fr-CA"/>
              </w:rPr>
            </w:pPr>
            <w:r w:rsidRPr="006F59DD">
              <w:rPr>
                <w:b/>
                <w:sz w:val="20"/>
                <w:szCs w:val="20"/>
                <w:lang w:val="fr-CA"/>
              </w:rPr>
              <w:t>Sa Majesté la Reine (Qc)</w:t>
            </w:r>
          </w:p>
          <w:p w:rsidR="00131D3A" w:rsidRPr="006F59DD" w:rsidRDefault="00131D3A" w:rsidP="00131D3A">
            <w:pPr>
              <w:tabs>
                <w:tab w:val="left" w:pos="-1440"/>
                <w:tab w:val="left" w:pos="-720"/>
              </w:tabs>
              <w:rPr>
                <w:sz w:val="20"/>
                <w:szCs w:val="20"/>
                <w:lang w:val="fr-CA"/>
              </w:rPr>
            </w:pPr>
            <w:r w:rsidRPr="006F59DD">
              <w:rPr>
                <w:sz w:val="20"/>
                <w:szCs w:val="20"/>
                <w:lang w:val="fr-CA"/>
              </w:rPr>
              <w:tab/>
              <w:t>Duclos-Bélanger, Laurent-Alexandre</w:t>
            </w:r>
          </w:p>
          <w:p w:rsidR="00131D3A" w:rsidRPr="006F59DD" w:rsidRDefault="00131D3A" w:rsidP="00131D3A">
            <w:pPr>
              <w:tabs>
                <w:tab w:val="left" w:pos="-1440"/>
                <w:tab w:val="left" w:pos="-720"/>
              </w:tabs>
              <w:rPr>
                <w:sz w:val="20"/>
                <w:szCs w:val="20"/>
                <w:lang w:val="fr-CA"/>
              </w:rPr>
            </w:pPr>
            <w:r w:rsidRPr="006F59DD">
              <w:rPr>
                <w:sz w:val="20"/>
                <w:szCs w:val="20"/>
                <w:lang w:val="fr-CA"/>
              </w:rPr>
              <w:tab/>
              <w:t xml:space="preserve">Directeur des poursuites criminelles et </w:t>
            </w:r>
          </w:p>
          <w:p w:rsidR="00131D3A" w:rsidRPr="006F59DD" w:rsidRDefault="00131D3A" w:rsidP="00131D3A">
            <w:pPr>
              <w:tabs>
                <w:tab w:val="left" w:pos="-1440"/>
                <w:tab w:val="left" w:pos="-720"/>
              </w:tabs>
              <w:rPr>
                <w:sz w:val="20"/>
                <w:szCs w:val="20"/>
                <w:lang w:val="fr-CA"/>
              </w:rPr>
            </w:pPr>
            <w:r w:rsidRPr="006F59DD">
              <w:rPr>
                <w:sz w:val="20"/>
                <w:szCs w:val="20"/>
                <w:lang w:val="fr-CA"/>
              </w:rPr>
              <w:tab/>
              <w:t>pénales du Québec</w:t>
            </w:r>
          </w:p>
          <w:p w:rsidR="00131D3A" w:rsidRPr="006F59DD" w:rsidRDefault="00131D3A" w:rsidP="00131D3A">
            <w:pPr>
              <w:tabs>
                <w:tab w:val="left" w:pos="-1440"/>
                <w:tab w:val="left" w:pos="-720"/>
              </w:tabs>
              <w:rPr>
                <w:sz w:val="20"/>
                <w:szCs w:val="20"/>
                <w:lang w:val="fr-CA"/>
              </w:rPr>
            </w:pPr>
          </w:p>
          <w:p w:rsidR="00131D3A" w:rsidRPr="006F59DD" w:rsidRDefault="00131D3A" w:rsidP="00131D3A">
            <w:pPr>
              <w:rPr>
                <w:sz w:val="20"/>
                <w:szCs w:val="20"/>
                <w:lang w:val="fr-CA"/>
              </w:rPr>
            </w:pPr>
            <w:r w:rsidRPr="006F59DD">
              <w:rPr>
                <w:sz w:val="20"/>
                <w:szCs w:val="20"/>
                <w:lang w:val="fr-CA"/>
              </w:rPr>
              <w:t>DATE DE PRODUCTION: le 29 décembre 2021</w:t>
            </w:r>
          </w:p>
          <w:p w:rsidR="00131D3A" w:rsidRPr="006F59DD" w:rsidRDefault="00131D3A" w:rsidP="00131D3A">
            <w:pPr>
              <w:rPr>
                <w:sz w:val="20"/>
                <w:szCs w:val="20"/>
                <w:lang w:val="fr-CA"/>
              </w:rPr>
            </w:pPr>
          </w:p>
          <w:p w:rsidR="00131D3A" w:rsidRPr="006F59DD" w:rsidRDefault="006F59DD" w:rsidP="00131D3A">
            <w:pPr>
              <w:rPr>
                <w:b/>
                <w:sz w:val="20"/>
                <w:szCs w:val="20"/>
                <w:lang w:val="en-US"/>
              </w:rPr>
            </w:pPr>
            <w:r w:rsidRPr="006F59DD">
              <w:rPr>
                <w:sz w:val="20"/>
                <w:szCs w:val="20"/>
                <w:lang w:val="fr-CA"/>
              </w:rPr>
              <w:pict>
                <v:rect id="_x0000_i1030" style="width:108pt;height:1pt" o:hrpct="0" o:hrstd="t" o:hrnoshade="t" o:hr="t" fillcolor="black [3213]" stroked="f"/>
              </w:pict>
            </w:r>
          </w:p>
        </w:tc>
      </w:tr>
    </w:tbl>
    <w:p w:rsidR="00131D3A" w:rsidRPr="006F59DD" w:rsidRDefault="00131D3A">
      <w:r w:rsidRPr="006F59D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31D3A" w:rsidRPr="006F59DD" w:rsidTr="00F138C1">
        <w:tc>
          <w:tcPr>
            <w:tcW w:w="4239" w:type="dxa"/>
            <w:shd w:val="clear" w:color="auto" w:fill="auto"/>
          </w:tcPr>
          <w:p w:rsidR="00131D3A" w:rsidRPr="006F59DD" w:rsidRDefault="0065127E" w:rsidP="00131D3A">
            <w:pPr>
              <w:rPr>
                <w:sz w:val="20"/>
                <w:szCs w:val="20"/>
                <w:lang w:val="en-US"/>
              </w:rPr>
            </w:pPr>
            <w:r w:rsidRPr="006F59DD">
              <w:rPr>
                <w:b/>
                <w:sz w:val="20"/>
                <w:szCs w:val="20"/>
                <w:lang w:val="en-US"/>
              </w:rPr>
              <w:lastRenderedPageBreak/>
              <w:t>Katsiaryna Zenava</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Katsiaryna Zenava</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w:t>
            </w:r>
            <w:r w:rsidR="0065127E" w:rsidRPr="006F59DD">
              <w:rPr>
                <w:sz w:val="20"/>
                <w:szCs w:val="20"/>
                <w:lang w:val="en-US"/>
              </w:rPr>
              <w:t>40002</w:t>
            </w:r>
            <w:r w:rsidRPr="006F59DD">
              <w:rPr>
                <w:sz w:val="20"/>
                <w:szCs w:val="20"/>
                <w:lang w:val="en-US"/>
              </w:rPr>
              <w:t>)</w:t>
            </w:r>
          </w:p>
          <w:p w:rsidR="00131D3A" w:rsidRPr="006F59DD" w:rsidRDefault="00131D3A" w:rsidP="00131D3A">
            <w:pPr>
              <w:tabs>
                <w:tab w:val="left" w:pos="-1440"/>
                <w:tab w:val="left" w:pos="-720"/>
              </w:tabs>
              <w:rPr>
                <w:sz w:val="20"/>
                <w:szCs w:val="20"/>
                <w:lang w:val="en-US"/>
              </w:rPr>
            </w:pPr>
          </w:p>
          <w:p w:rsidR="00131D3A" w:rsidRPr="006F59DD" w:rsidRDefault="0065127E" w:rsidP="00131D3A">
            <w:pPr>
              <w:tabs>
                <w:tab w:val="left" w:pos="-1440"/>
                <w:tab w:val="left" w:pos="-720"/>
              </w:tabs>
              <w:rPr>
                <w:b/>
                <w:sz w:val="20"/>
                <w:szCs w:val="20"/>
                <w:lang w:val="en-US"/>
              </w:rPr>
            </w:pPr>
            <w:r w:rsidRPr="006F59DD">
              <w:rPr>
                <w:b/>
                <w:sz w:val="20"/>
                <w:szCs w:val="20"/>
                <w:lang w:val="en-US"/>
              </w:rPr>
              <w:t>Director of Youth Protection, Batshaw Youth and Family Center CIUSSS de l’Ouest-de-l’Île-de-Montréal, et al.</w:t>
            </w:r>
            <w:r w:rsidR="00131D3A" w:rsidRPr="006F59DD">
              <w:rPr>
                <w:b/>
                <w:sz w:val="20"/>
                <w:szCs w:val="20"/>
                <w:lang w:val="en-US"/>
              </w:rPr>
              <w:t xml:space="preserve"> (</w:t>
            </w:r>
            <w:r w:rsidRPr="006F59DD">
              <w:rPr>
                <w:b/>
                <w:sz w:val="20"/>
                <w:szCs w:val="20"/>
                <w:lang w:val="en-US"/>
              </w:rPr>
              <w:t>Que</w:t>
            </w:r>
            <w:r w:rsidR="00131D3A" w:rsidRPr="006F59DD">
              <w:rPr>
                <w:b/>
                <w:sz w:val="20"/>
                <w:szCs w:val="20"/>
                <w:lang w:val="en-US"/>
              </w:rPr>
              <w:t>.)</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Loranger, Isabelle F.</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rPr>
              <w:t>Lamoureux, Archambault &amp; Associés</w:t>
            </w:r>
          </w:p>
          <w:p w:rsidR="00131D3A" w:rsidRPr="006F59DD" w:rsidRDefault="00131D3A" w:rsidP="00131D3A">
            <w:pPr>
              <w:tabs>
                <w:tab w:val="left" w:pos="-1440"/>
                <w:tab w:val="left" w:pos="-720"/>
              </w:tabs>
              <w:rPr>
                <w:sz w:val="20"/>
                <w:szCs w:val="20"/>
                <w:lang w:val="en-US"/>
              </w:rPr>
            </w:pPr>
          </w:p>
          <w:p w:rsidR="00131D3A" w:rsidRPr="006F59DD" w:rsidRDefault="00131D3A" w:rsidP="00131D3A">
            <w:pPr>
              <w:rPr>
                <w:sz w:val="20"/>
                <w:szCs w:val="20"/>
              </w:rPr>
            </w:pPr>
            <w:r w:rsidRPr="006F59DD">
              <w:rPr>
                <w:sz w:val="20"/>
                <w:szCs w:val="20"/>
              </w:rPr>
              <w:t>FILING DATE: December 3</w:t>
            </w:r>
            <w:r w:rsidR="0065127E" w:rsidRPr="006F59DD">
              <w:rPr>
                <w:sz w:val="20"/>
                <w:szCs w:val="20"/>
              </w:rPr>
              <w:t>0</w:t>
            </w:r>
            <w:r w:rsidRPr="006F59DD">
              <w:rPr>
                <w:sz w:val="20"/>
                <w:szCs w:val="20"/>
              </w:rPr>
              <w:t>, 2021</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31" style="width:108pt;height:1pt" o:hrpct="0" o:hrstd="t" o:hrnoshade="t" o:hr="t" fillcolor="black [3213]" stroked="f"/>
              </w:pict>
            </w:r>
          </w:p>
        </w:tc>
        <w:tc>
          <w:tcPr>
            <w:tcW w:w="1141" w:type="dxa"/>
            <w:shd w:val="clear" w:color="auto" w:fill="auto"/>
          </w:tcPr>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tc>
        <w:tc>
          <w:tcPr>
            <w:tcW w:w="4239" w:type="dxa"/>
            <w:shd w:val="clear" w:color="auto" w:fill="auto"/>
          </w:tcPr>
          <w:p w:rsidR="00131D3A" w:rsidRPr="006F59DD" w:rsidRDefault="0065127E" w:rsidP="00131D3A">
            <w:pPr>
              <w:rPr>
                <w:sz w:val="20"/>
                <w:szCs w:val="20"/>
                <w:lang w:val="en-US"/>
              </w:rPr>
            </w:pPr>
            <w:r w:rsidRPr="006F59DD">
              <w:rPr>
                <w:b/>
                <w:sz w:val="20"/>
                <w:szCs w:val="20"/>
                <w:lang w:val="en-US"/>
              </w:rPr>
              <w:t>Attorney General of Ontario, et al.</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Griffin, Peter H.</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Lenczner Slaght LLP</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w:t>
            </w:r>
            <w:r w:rsidR="0065127E" w:rsidRPr="006F59DD">
              <w:rPr>
                <w:sz w:val="20"/>
                <w:szCs w:val="20"/>
                <w:lang w:val="en-US"/>
              </w:rPr>
              <w:t>40024</w:t>
            </w:r>
            <w:r w:rsidRPr="006F59DD">
              <w:rPr>
                <w:sz w:val="20"/>
                <w:szCs w:val="20"/>
                <w:lang w:val="en-US"/>
              </w:rPr>
              <w:t>)</w:t>
            </w:r>
          </w:p>
          <w:p w:rsidR="00131D3A" w:rsidRPr="006F59DD" w:rsidRDefault="00131D3A" w:rsidP="00131D3A">
            <w:pPr>
              <w:tabs>
                <w:tab w:val="left" w:pos="-1440"/>
                <w:tab w:val="left" w:pos="-720"/>
              </w:tabs>
              <w:rPr>
                <w:sz w:val="20"/>
                <w:szCs w:val="20"/>
                <w:lang w:val="en-US"/>
              </w:rPr>
            </w:pPr>
          </w:p>
          <w:p w:rsidR="00131D3A" w:rsidRPr="006F59DD" w:rsidRDefault="0065127E" w:rsidP="00131D3A">
            <w:pPr>
              <w:tabs>
                <w:tab w:val="left" w:pos="-1440"/>
                <w:tab w:val="left" w:pos="-720"/>
              </w:tabs>
              <w:rPr>
                <w:b/>
                <w:sz w:val="20"/>
                <w:szCs w:val="20"/>
                <w:lang w:val="en-US"/>
              </w:rPr>
            </w:pPr>
            <w:r w:rsidRPr="006F59DD">
              <w:rPr>
                <w:b/>
                <w:sz w:val="20"/>
                <w:szCs w:val="20"/>
                <w:lang w:val="en-US"/>
              </w:rPr>
              <w:t>Mike Restoule, Patsy Corbiere, Duke Peltier, Peter Recollet, Dean Sayers And Roger Daybutch, on their own behalf and on behalf of all Members of the Ojibewa (Anishinaabe) Nation who are beneficiaries of the Robinson Huron Treaty of 1850, et al.</w:t>
            </w:r>
            <w:r w:rsidR="00131D3A" w:rsidRPr="006F59DD">
              <w:rPr>
                <w:b/>
                <w:sz w:val="20"/>
                <w:szCs w:val="20"/>
                <w:lang w:val="en-US"/>
              </w:rPr>
              <w:t xml:space="preserve"> (Ont.)</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Nahwegahbow, IPC, LSM, David C.</w:t>
            </w:r>
          </w:p>
          <w:p w:rsidR="00131D3A" w:rsidRPr="006F59DD" w:rsidRDefault="00131D3A" w:rsidP="00131D3A">
            <w:pPr>
              <w:tabs>
                <w:tab w:val="left" w:pos="-1440"/>
                <w:tab w:val="left" w:pos="-720"/>
              </w:tabs>
              <w:rPr>
                <w:sz w:val="20"/>
                <w:szCs w:val="20"/>
              </w:rPr>
            </w:pPr>
            <w:r w:rsidRPr="006F59DD">
              <w:rPr>
                <w:sz w:val="20"/>
                <w:szCs w:val="20"/>
                <w:lang w:val="en-US"/>
              </w:rPr>
              <w:tab/>
            </w:r>
            <w:r w:rsidR="0065127E" w:rsidRPr="006F59DD">
              <w:rPr>
                <w:sz w:val="20"/>
                <w:szCs w:val="20"/>
              </w:rPr>
              <w:t>Nahwegahbow Corbiere Genoodmagejig</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 xml:space="preserve">FILING DATE: </w:t>
            </w:r>
            <w:r w:rsidR="0065127E" w:rsidRPr="006F59DD">
              <w:rPr>
                <w:sz w:val="20"/>
                <w:szCs w:val="20"/>
              </w:rPr>
              <w:t>January</w:t>
            </w:r>
            <w:r w:rsidRPr="006F59DD">
              <w:rPr>
                <w:sz w:val="20"/>
                <w:szCs w:val="20"/>
              </w:rPr>
              <w:t xml:space="preserve"> </w:t>
            </w:r>
            <w:r w:rsidR="0065127E" w:rsidRPr="006F59DD">
              <w:rPr>
                <w:sz w:val="20"/>
                <w:szCs w:val="20"/>
              </w:rPr>
              <w:t>20</w:t>
            </w:r>
            <w:r w:rsidRPr="006F59DD">
              <w:rPr>
                <w:sz w:val="20"/>
                <w:szCs w:val="20"/>
              </w:rPr>
              <w:t>, 202</w:t>
            </w:r>
            <w:r w:rsidR="0065127E" w:rsidRPr="006F59DD">
              <w:rPr>
                <w:sz w:val="20"/>
                <w:szCs w:val="20"/>
              </w:rPr>
              <w:t>2</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32" style="width:108pt;height:1pt" o:hrpct="0" o:hrstd="t" o:hrnoshade="t" o:hr="t" fillcolor="black [3213]" stroked="f"/>
              </w:pict>
            </w:r>
          </w:p>
        </w:tc>
      </w:tr>
      <w:tr w:rsidR="00131D3A" w:rsidRPr="006F59DD" w:rsidTr="00F138C1">
        <w:tc>
          <w:tcPr>
            <w:tcW w:w="4239" w:type="dxa"/>
            <w:shd w:val="clear" w:color="auto" w:fill="auto"/>
          </w:tcPr>
          <w:p w:rsidR="00131D3A" w:rsidRPr="006F59DD" w:rsidRDefault="0065127E" w:rsidP="00131D3A">
            <w:pPr>
              <w:rPr>
                <w:sz w:val="20"/>
                <w:szCs w:val="20"/>
                <w:lang w:val="en-US"/>
              </w:rPr>
            </w:pPr>
            <w:r w:rsidRPr="006F59DD">
              <w:rPr>
                <w:b/>
                <w:sz w:val="20"/>
                <w:szCs w:val="20"/>
                <w:lang w:val="en-US"/>
              </w:rPr>
              <w:t>Rebel News Network Ltd.</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Swanberg, Michael E.</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Reynolds Mirth Richards &amp; Farmer LLP</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w:t>
            </w:r>
            <w:r w:rsidR="0065127E" w:rsidRPr="006F59DD">
              <w:rPr>
                <w:sz w:val="20"/>
                <w:szCs w:val="20"/>
                <w:lang w:val="en-US"/>
              </w:rPr>
              <w:t>40025</w:t>
            </w:r>
            <w:r w:rsidRPr="006F59DD">
              <w:rPr>
                <w:sz w:val="20"/>
                <w:szCs w:val="20"/>
                <w:lang w:val="en-US"/>
              </w:rPr>
              <w:t>)</w:t>
            </w:r>
          </w:p>
          <w:p w:rsidR="00131D3A" w:rsidRPr="006F59DD" w:rsidRDefault="00131D3A" w:rsidP="00131D3A">
            <w:pPr>
              <w:tabs>
                <w:tab w:val="left" w:pos="-1440"/>
                <w:tab w:val="left" w:pos="-720"/>
              </w:tabs>
              <w:rPr>
                <w:sz w:val="20"/>
                <w:szCs w:val="20"/>
                <w:lang w:val="en-US"/>
              </w:rPr>
            </w:pPr>
          </w:p>
          <w:p w:rsidR="00131D3A" w:rsidRPr="006F59DD" w:rsidRDefault="0065127E" w:rsidP="00131D3A">
            <w:pPr>
              <w:tabs>
                <w:tab w:val="left" w:pos="-1440"/>
                <w:tab w:val="left" w:pos="-720"/>
              </w:tabs>
              <w:rPr>
                <w:b/>
                <w:sz w:val="20"/>
                <w:szCs w:val="20"/>
                <w:lang w:val="en-US"/>
              </w:rPr>
            </w:pPr>
            <w:r w:rsidRPr="006F59DD">
              <w:rPr>
                <w:b/>
                <w:sz w:val="20"/>
                <w:szCs w:val="20"/>
                <w:lang w:val="en-US"/>
              </w:rPr>
              <w:t>Election Commissioner of Alberta</w:t>
            </w:r>
            <w:r w:rsidR="00131D3A" w:rsidRPr="006F59DD">
              <w:rPr>
                <w:b/>
                <w:sz w:val="20"/>
                <w:szCs w:val="20"/>
                <w:lang w:val="en-US"/>
              </w:rPr>
              <w:t xml:space="preserve"> (</w:t>
            </w:r>
            <w:r w:rsidRPr="006F59DD">
              <w:rPr>
                <w:b/>
                <w:sz w:val="20"/>
                <w:szCs w:val="20"/>
                <w:lang w:val="en-US"/>
              </w:rPr>
              <w:t>Alta</w:t>
            </w:r>
            <w:r w:rsidR="00131D3A" w:rsidRPr="006F59DD">
              <w:rPr>
                <w:b/>
                <w:sz w:val="20"/>
                <w:szCs w:val="20"/>
                <w:lang w:val="en-US"/>
              </w:rPr>
              <w:t>.)</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Hale, Paula D.</w:t>
            </w:r>
          </w:p>
          <w:p w:rsidR="00131D3A" w:rsidRPr="006F59DD" w:rsidRDefault="00131D3A" w:rsidP="00131D3A">
            <w:pPr>
              <w:tabs>
                <w:tab w:val="left" w:pos="-1440"/>
                <w:tab w:val="left" w:pos="-720"/>
              </w:tabs>
              <w:rPr>
                <w:sz w:val="20"/>
                <w:szCs w:val="20"/>
              </w:rPr>
            </w:pPr>
            <w:r w:rsidRPr="006F59DD">
              <w:rPr>
                <w:sz w:val="20"/>
                <w:szCs w:val="20"/>
                <w:lang w:val="en-US"/>
              </w:rPr>
              <w:tab/>
            </w:r>
            <w:r w:rsidR="0065127E" w:rsidRPr="006F59DD">
              <w:rPr>
                <w:sz w:val="20"/>
                <w:szCs w:val="20"/>
              </w:rPr>
              <w:t>Shores Jardine LLP</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 xml:space="preserve">FILING DATE: </w:t>
            </w:r>
            <w:r w:rsidR="0065127E" w:rsidRPr="006F59DD">
              <w:rPr>
                <w:sz w:val="20"/>
                <w:szCs w:val="20"/>
              </w:rPr>
              <w:t>January</w:t>
            </w:r>
            <w:r w:rsidRPr="006F59DD">
              <w:rPr>
                <w:sz w:val="20"/>
                <w:szCs w:val="20"/>
              </w:rPr>
              <w:t xml:space="preserve"> </w:t>
            </w:r>
            <w:r w:rsidR="0065127E" w:rsidRPr="006F59DD">
              <w:rPr>
                <w:sz w:val="20"/>
                <w:szCs w:val="20"/>
              </w:rPr>
              <w:t>20</w:t>
            </w:r>
            <w:r w:rsidRPr="006F59DD">
              <w:rPr>
                <w:sz w:val="20"/>
                <w:szCs w:val="20"/>
              </w:rPr>
              <w:t>, 202</w:t>
            </w:r>
            <w:r w:rsidR="0065127E" w:rsidRPr="006F59DD">
              <w:rPr>
                <w:sz w:val="20"/>
                <w:szCs w:val="20"/>
              </w:rPr>
              <w:t>2</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33" style="width:108pt;height:1pt" o:hrpct="0" o:hrstd="t" o:hrnoshade="t" o:hr="t" fillcolor="black [3213]" stroked="f"/>
              </w:pict>
            </w:r>
          </w:p>
        </w:tc>
        <w:tc>
          <w:tcPr>
            <w:tcW w:w="1141" w:type="dxa"/>
            <w:shd w:val="clear" w:color="auto" w:fill="auto"/>
          </w:tcPr>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tc>
        <w:tc>
          <w:tcPr>
            <w:tcW w:w="4239" w:type="dxa"/>
            <w:shd w:val="clear" w:color="auto" w:fill="auto"/>
          </w:tcPr>
          <w:p w:rsidR="00131D3A" w:rsidRPr="006F59DD" w:rsidRDefault="0065127E" w:rsidP="00131D3A">
            <w:pPr>
              <w:rPr>
                <w:sz w:val="20"/>
                <w:szCs w:val="20"/>
                <w:lang w:val="en-US"/>
              </w:rPr>
            </w:pPr>
            <w:r w:rsidRPr="006F59DD">
              <w:rPr>
                <w:b/>
                <w:sz w:val="20"/>
                <w:szCs w:val="20"/>
                <w:lang w:val="en-US"/>
              </w:rPr>
              <w:t>Mathew McNeeley, et al.</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Chua, Chia-Yi</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McCarthy Tétrault LLP</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w:t>
            </w:r>
            <w:r w:rsidR="0065127E" w:rsidRPr="006F59DD">
              <w:rPr>
                <w:sz w:val="20"/>
                <w:szCs w:val="20"/>
                <w:lang w:val="en-US"/>
              </w:rPr>
              <w:t>40026</w:t>
            </w:r>
            <w:r w:rsidRPr="006F59DD">
              <w:rPr>
                <w:sz w:val="20"/>
                <w:szCs w:val="20"/>
                <w:lang w:val="en-US"/>
              </w:rPr>
              <w:t>)</w:t>
            </w:r>
          </w:p>
          <w:p w:rsidR="00131D3A" w:rsidRPr="006F59DD" w:rsidRDefault="00131D3A" w:rsidP="00131D3A">
            <w:pPr>
              <w:tabs>
                <w:tab w:val="left" w:pos="-1440"/>
                <w:tab w:val="left" w:pos="-720"/>
              </w:tabs>
              <w:rPr>
                <w:sz w:val="20"/>
                <w:szCs w:val="20"/>
                <w:lang w:val="en-US"/>
              </w:rPr>
            </w:pPr>
          </w:p>
          <w:p w:rsidR="00131D3A" w:rsidRPr="006F59DD" w:rsidRDefault="0065127E" w:rsidP="00131D3A">
            <w:pPr>
              <w:tabs>
                <w:tab w:val="left" w:pos="-1440"/>
                <w:tab w:val="left" w:pos="-720"/>
              </w:tabs>
              <w:rPr>
                <w:b/>
                <w:sz w:val="20"/>
                <w:szCs w:val="20"/>
                <w:lang w:val="en-US"/>
              </w:rPr>
            </w:pPr>
            <w:r w:rsidRPr="006F59DD">
              <w:rPr>
                <w:b/>
                <w:sz w:val="20"/>
                <w:szCs w:val="20"/>
                <w:lang w:val="en-US"/>
              </w:rPr>
              <w:t>Her Majesty the Queen</w:t>
            </w:r>
            <w:r w:rsidR="00131D3A" w:rsidRPr="006F59DD">
              <w:rPr>
                <w:b/>
                <w:sz w:val="20"/>
                <w:szCs w:val="20"/>
                <w:lang w:val="en-US"/>
              </w:rPr>
              <w:t xml:space="preserve"> (</w:t>
            </w:r>
            <w:r w:rsidRPr="006F59DD">
              <w:rPr>
                <w:b/>
                <w:sz w:val="20"/>
                <w:szCs w:val="20"/>
                <w:lang w:val="en-US"/>
              </w:rPr>
              <w:t>F.C</w:t>
            </w:r>
            <w:r w:rsidR="00131D3A" w:rsidRPr="006F59DD">
              <w:rPr>
                <w:b/>
                <w:sz w:val="20"/>
                <w:szCs w:val="20"/>
                <w:lang w:val="en-US"/>
              </w:rPr>
              <w:t>.)</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Tohn, Lindsay</w:t>
            </w:r>
          </w:p>
          <w:p w:rsidR="00131D3A" w:rsidRPr="006F59DD" w:rsidRDefault="00131D3A" w:rsidP="00131D3A">
            <w:pPr>
              <w:tabs>
                <w:tab w:val="left" w:pos="-1440"/>
                <w:tab w:val="left" w:pos="-720"/>
              </w:tabs>
              <w:rPr>
                <w:sz w:val="20"/>
                <w:szCs w:val="20"/>
              </w:rPr>
            </w:pPr>
            <w:r w:rsidRPr="006F59DD">
              <w:rPr>
                <w:sz w:val="20"/>
                <w:szCs w:val="20"/>
                <w:lang w:val="en-US"/>
              </w:rPr>
              <w:tab/>
            </w:r>
            <w:r w:rsidR="0065127E" w:rsidRPr="006F59DD">
              <w:rPr>
                <w:sz w:val="20"/>
                <w:szCs w:val="20"/>
              </w:rPr>
              <w:t>Attorney General of Canada</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 xml:space="preserve">FILING DATE: </w:t>
            </w:r>
            <w:r w:rsidR="0065127E" w:rsidRPr="006F59DD">
              <w:rPr>
                <w:sz w:val="20"/>
                <w:szCs w:val="20"/>
              </w:rPr>
              <w:t>January</w:t>
            </w:r>
            <w:r w:rsidRPr="006F59DD">
              <w:rPr>
                <w:sz w:val="20"/>
                <w:szCs w:val="20"/>
              </w:rPr>
              <w:t xml:space="preserve"> </w:t>
            </w:r>
            <w:r w:rsidR="0065127E" w:rsidRPr="006F59DD">
              <w:rPr>
                <w:sz w:val="20"/>
                <w:szCs w:val="20"/>
              </w:rPr>
              <w:t>24</w:t>
            </w:r>
            <w:r w:rsidRPr="006F59DD">
              <w:rPr>
                <w:sz w:val="20"/>
                <w:szCs w:val="20"/>
              </w:rPr>
              <w:t>, 202</w:t>
            </w:r>
            <w:r w:rsidR="0065127E" w:rsidRPr="006F59DD">
              <w:rPr>
                <w:sz w:val="20"/>
                <w:szCs w:val="20"/>
              </w:rPr>
              <w:t>2</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34" style="width:108pt;height:1pt" o:hrpct="0" o:hrstd="t" o:hrnoshade="t" o:hr="t" fillcolor="black [3213]" stroked="f"/>
              </w:pict>
            </w:r>
          </w:p>
        </w:tc>
      </w:tr>
      <w:tr w:rsidR="00131D3A" w:rsidRPr="006F59DD" w:rsidTr="00F138C1">
        <w:tc>
          <w:tcPr>
            <w:tcW w:w="4239" w:type="dxa"/>
            <w:shd w:val="clear" w:color="auto" w:fill="auto"/>
          </w:tcPr>
          <w:p w:rsidR="00131D3A" w:rsidRPr="006F59DD" w:rsidRDefault="0065127E" w:rsidP="00131D3A">
            <w:pPr>
              <w:rPr>
                <w:sz w:val="20"/>
                <w:szCs w:val="20"/>
                <w:lang w:val="en-US"/>
              </w:rPr>
            </w:pPr>
            <w:r w:rsidRPr="006F59DD">
              <w:rPr>
                <w:b/>
                <w:sz w:val="20"/>
                <w:szCs w:val="20"/>
                <w:lang w:val="en-US"/>
              </w:rPr>
              <w:t>Stephen George Fraser</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Wright, Scott R.</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Pender Litigation</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w:t>
            </w:r>
            <w:r w:rsidR="0065127E" w:rsidRPr="006F59DD">
              <w:rPr>
                <w:sz w:val="20"/>
                <w:szCs w:val="20"/>
                <w:lang w:val="en-US"/>
              </w:rPr>
              <w:t>40027</w:t>
            </w:r>
            <w:r w:rsidRPr="006F59DD">
              <w:rPr>
                <w:sz w:val="20"/>
                <w:szCs w:val="20"/>
                <w:lang w:val="en-US"/>
              </w:rPr>
              <w:t>)</w:t>
            </w:r>
          </w:p>
          <w:p w:rsidR="00131D3A" w:rsidRPr="006F59DD" w:rsidRDefault="00131D3A" w:rsidP="00131D3A">
            <w:pPr>
              <w:tabs>
                <w:tab w:val="left" w:pos="-1440"/>
                <w:tab w:val="left" w:pos="-720"/>
              </w:tabs>
              <w:rPr>
                <w:sz w:val="20"/>
                <w:szCs w:val="20"/>
                <w:lang w:val="en-US"/>
              </w:rPr>
            </w:pPr>
          </w:p>
          <w:p w:rsidR="00131D3A" w:rsidRPr="006F59DD" w:rsidRDefault="0065127E" w:rsidP="00131D3A">
            <w:pPr>
              <w:tabs>
                <w:tab w:val="left" w:pos="-1440"/>
                <w:tab w:val="left" w:pos="-720"/>
              </w:tabs>
              <w:rPr>
                <w:b/>
                <w:sz w:val="20"/>
                <w:szCs w:val="20"/>
                <w:lang w:val="en-US"/>
              </w:rPr>
            </w:pPr>
            <w:r w:rsidRPr="006F59DD">
              <w:rPr>
                <w:b/>
                <w:sz w:val="20"/>
                <w:szCs w:val="20"/>
                <w:lang w:val="en-US"/>
              </w:rPr>
              <w:t>Her Majesty the Queen (B.C</w:t>
            </w:r>
            <w:r w:rsidR="00131D3A" w:rsidRPr="006F59DD">
              <w:rPr>
                <w:b/>
                <w:sz w:val="20"/>
                <w:szCs w:val="20"/>
                <w:lang w:val="en-US"/>
              </w:rPr>
              <w:t>.)</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Elliott, Susanne</w:t>
            </w:r>
          </w:p>
          <w:p w:rsidR="00131D3A" w:rsidRPr="006F59DD" w:rsidRDefault="00131D3A" w:rsidP="00131D3A">
            <w:pPr>
              <w:tabs>
                <w:tab w:val="left" w:pos="-1440"/>
                <w:tab w:val="left" w:pos="-720"/>
              </w:tabs>
              <w:rPr>
                <w:sz w:val="20"/>
                <w:szCs w:val="20"/>
              </w:rPr>
            </w:pPr>
            <w:r w:rsidRPr="006F59DD">
              <w:rPr>
                <w:sz w:val="20"/>
                <w:szCs w:val="20"/>
                <w:lang w:val="en-US"/>
              </w:rPr>
              <w:tab/>
            </w:r>
            <w:r w:rsidR="0065127E" w:rsidRPr="006F59DD">
              <w:rPr>
                <w:sz w:val="20"/>
                <w:szCs w:val="20"/>
              </w:rPr>
              <w:t>Ministry of Attorney General (BC)</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 xml:space="preserve">FILING DATE: </w:t>
            </w:r>
            <w:r w:rsidR="0065127E" w:rsidRPr="006F59DD">
              <w:rPr>
                <w:sz w:val="20"/>
                <w:szCs w:val="20"/>
              </w:rPr>
              <w:t>January</w:t>
            </w:r>
            <w:r w:rsidRPr="006F59DD">
              <w:rPr>
                <w:sz w:val="20"/>
                <w:szCs w:val="20"/>
              </w:rPr>
              <w:t xml:space="preserve"> </w:t>
            </w:r>
            <w:r w:rsidR="0065127E" w:rsidRPr="006F59DD">
              <w:rPr>
                <w:sz w:val="20"/>
                <w:szCs w:val="20"/>
              </w:rPr>
              <w:t>25,</w:t>
            </w:r>
            <w:r w:rsidRPr="006F59DD">
              <w:rPr>
                <w:sz w:val="20"/>
                <w:szCs w:val="20"/>
              </w:rPr>
              <w:t xml:space="preserve"> 202</w:t>
            </w:r>
            <w:r w:rsidR="0065127E" w:rsidRPr="006F59DD">
              <w:rPr>
                <w:sz w:val="20"/>
                <w:szCs w:val="20"/>
              </w:rPr>
              <w:t>2</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35" style="width:108pt;height:1pt" o:hrpct="0" o:hrstd="t" o:hrnoshade="t" o:hr="t" fillcolor="black [3213]" stroked="f"/>
              </w:pict>
            </w:r>
          </w:p>
        </w:tc>
        <w:tc>
          <w:tcPr>
            <w:tcW w:w="1141" w:type="dxa"/>
            <w:shd w:val="clear" w:color="auto" w:fill="auto"/>
          </w:tcPr>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p w:rsidR="00131D3A" w:rsidRPr="006F59DD" w:rsidRDefault="00131D3A" w:rsidP="00F138C1">
            <w:pPr>
              <w:jc w:val="center"/>
              <w:rPr>
                <w:sz w:val="20"/>
                <w:szCs w:val="20"/>
              </w:rPr>
            </w:pPr>
          </w:p>
        </w:tc>
        <w:tc>
          <w:tcPr>
            <w:tcW w:w="4239" w:type="dxa"/>
            <w:shd w:val="clear" w:color="auto" w:fill="auto"/>
          </w:tcPr>
          <w:p w:rsidR="00131D3A" w:rsidRPr="006F59DD" w:rsidRDefault="0065127E" w:rsidP="00131D3A">
            <w:pPr>
              <w:rPr>
                <w:sz w:val="20"/>
                <w:szCs w:val="20"/>
                <w:lang w:val="en-US"/>
              </w:rPr>
            </w:pPr>
            <w:r w:rsidRPr="006F59DD">
              <w:rPr>
                <w:b/>
                <w:sz w:val="20"/>
                <w:szCs w:val="20"/>
                <w:lang w:val="en-US"/>
              </w:rPr>
              <w:t>1388020 Ontario Corp., et al.</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Slade, Thomas</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Supreme Advocacy LLP</w:t>
            </w:r>
          </w:p>
          <w:p w:rsidR="00131D3A" w:rsidRPr="006F59DD" w:rsidRDefault="00131D3A" w:rsidP="00131D3A">
            <w:pPr>
              <w:tabs>
                <w:tab w:val="left" w:pos="-1440"/>
                <w:tab w:val="left" w:pos="-720"/>
              </w:tabs>
              <w:rPr>
                <w:sz w:val="20"/>
                <w:szCs w:val="20"/>
                <w:lang w:val="en-US"/>
              </w:rPr>
            </w:pPr>
          </w:p>
          <w:p w:rsidR="00131D3A" w:rsidRPr="006F59DD" w:rsidRDefault="00131D3A" w:rsidP="00131D3A">
            <w:pPr>
              <w:tabs>
                <w:tab w:val="left" w:pos="-1440"/>
                <w:tab w:val="left" w:pos="-720"/>
              </w:tabs>
              <w:rPr>
                <w:sz w:val="20"/>
                <w:szCs w:val="20"/>
                <w:lang w:val="en-US"/>
              </w:rPr>
            </w:pPr>
            <w:r w:rsidRPr="006F59DD">
              <w:rPr>
                <w:sz w:val="20"/>
                <w:szCs w:val="20"/>
                <w:lang w:val="en-US"/>
              </w:rPr>
              <w:tab/>
              <w:t>v. (</w:t>
            </w:r>
            <w:r w:rsidR="0065127E" w:rsidRPr="006F59DD">
              <w:rPr>
                <w:sz w:val="20"/>
                <w:szCs w:val="20"/>
                <w:lang w:val="en-US"/>
              </w:rPr>
              <w:t>40028</w:t>
            </w:r>
            <w:r w:rsidRPr="006F59DD">
              <w:rPr>
                <w:sz w:val="20"/>
                <w:szCs w:val="20"/>
                <w:lang w:val="en-US"/>
              </w:rPr>
              <w:t>)</w:t>
            </w:r>
          </w:p>
          <w:p w:rsidR="00131D3A" w:rsidRPr="006F59DD" w:rsidRDefault="00131D3A" w:rsidP="00131D3A">
            <w:pPr>
              <w:tabs>
                <w:tab w:val="left" w:pos="-1440"/>
                <w:tab w:val="left" w:pos="-720"/>
              </w:tabs>
              <w:rPr>
                <w:sz w:val="20"/>
                <w:szCs w:val="20"/>
                <w:lang w:val="en-US"/>
              </w:rPr>
            </w:pPr>
          </w:p>
          <w:p w:rsidR="00131D3A" w:rsidRPr="006F59DD" w:rsidRDefault="0065127E" w:rsidP="00131D3A">
            <w:pPr>
              <w:tabs>
                <w:tab w:val="left" w:pos="-1440"/>
                <w:tab w:val="left" w:pos="-720"/>
              </w:tabs>
              <w:rPr>
                <w:b/>
                <w:sz w:val="20"/>
                <w:szCs w:val="20"/>
                <w:lang w:val="en-US"/>
              </w:rPr>
            </w:pPr>
            <w:r w:rsidRPr="006F59DD">
              <w:rPr>
                <w:b/>
                <w:sz w:val="20"/>
                <w:szCs w:val="20"/>
                <w:lang w:val="en-US"/>
              </w:rPr>
              <w:t>Zbigniew Machnowski, et al.</w:t>
            </w:r>
            <w:r w:rsidR="00131D3A" w:rsidRPr="006F59DD">
              <w:rPr>
                <w:b/>
                <w:sz w:val="20"/>
                <w:szCs w:val="20"/>
                <w:lang w:val="en-US"/>
              </w:rPr>
              <w:t xml:space="preserve"> (Ont.)</w:t>
            </w:r>
          </w:p>
          <w:p w:rsidR="00131D3A" w:rsidRPr="006F59DD" w:rsidRDefault="00131D3A" w:rsidP="00131D3A">
            <w:pPr>
              <w:tabs>
                <w:tab w:val="left" w:pos="-1440"/>
                <w:tab w:val="left" w:pos="-720"/>
              </w:tabs>
              <w:rPr>
                <w:sz w:val="20"/>
                <w:szCs w:val="20"/>
                <w:lang w:val="en-US"/>
              </w:rPr>
            </w:pPr>
            <w:r w:rsidRPr="006F59DD">
              <w:rPr>
                <w:sz w:val="20"/>
                <w:szCs w:val="20"/>
                <w:lang w:val="en-US"/>
              </w:rPr>
              <w:tab/>
            </w:r>
            <w:r w:rsidR="0065127E" w:rsidRPr="006F59DD">
              <w:rPr>
                <w:sz w:val="20"/>
                <w:szCs w:val="20"/>
                <w:lang w:val="en-US"/>
              </w:rPr>
              <w:t>Delagran, David</w:t>
            </w:r>
          </w:p>
          <w:p w:rsidR="00131D3A" w:rsidRPr="006F59DD" w:rsidRDefault="00131D3A" w:rsidP="00131D3A">
            <w:pPr>
              <w:tabs>
                <w:tab w:val="left" w:pos="-1440"/>
                <w:tab w:val="left" w:pos="-720"/>
              </w:tabs>
              <w:rPr>
                <w:sz w:val="20"/>
                <w:szCs w:val="20"/>
              </w:rPr>
            </w:pPr>
            <w:r w:rsidRPr="006F59DD">
              <w:rPr>
                <w:sz w:val="20"/>
                <w:szCs w:val="20"/>
                <w:lang w:val="en-US"/>
              </w:rPr>
              <w:tab/>
            </w:r>
            <w:r w:rsidR="0065127E" w:rsidRPr="006F59DD">
              <w:rPr>
                <w:sz w:val="20"/>
                <w:szCs w:val="20"/>
              </w:rPr>
              <w:t>Beard Winter LLP</w:t>
            </w:r>
          </w:p>
          <w:p w:rsidR="00131D3A" w:rsidRPr="006F59DD" w:rsidRDefault="00131D3A" w:rsidP="00131D3A">
            <w:pPr>
              <w:tabs>
                <w:tab w:val="left" w:pos="-1440"/>
                <w:tab w:val="left" w:pos="-720"/>
              </w:tabs>
              <w:rPr>
                <w:sz w:val="20"/>
                <w:szCs w:val="20"/>
              </w:rPr>
            </w:pPr>
          </w:p>
          <w:p w:rsidR="00131D3A" w:rsidRPr="006F59DD" w:rsidRDefault="00131D3A" w:rsidP="00131D3A">
            <w:pPr>
              <w:rPr>
                <w:sz w:val="20"/>
                <w:szCs w:val="20"/>
              </w:rPr>
            </w:pPr>
            <w:r w:rsidRPr="006F59DD">
              <w:rPr>
                <w:sz w:val="20"/>
                <w:szCs w:val="20"/>
              </w:rPr>
              <w:t xml:space="preserve">FILING DATE: </w:t>
            </w:r>
            <w:r w:rsidR="0065127E" w:rsidRPr="006F59DD">
              <w:rPr>
                <w:sz w:val="20"/>
                <w:szCs w:val="20"/>
              </w:rPr>
              <w:t>January</w:t>
            </w:r>
            <w:r w:rsidRPr="006F59DD">
              <w:rPr>
                <w:sz w:val="20"/>
                <w:szCs w:val="20"/>
              </w:rPr>
              <w:t xml:space="preserve"> </w:t>
            </w:r>
            <w:r w:rsidR="0065127E" w:rsidRPr="006F59DD">
              <w:rPr>
                <w:sz w:val="20"/>
                <w:szCs w:val="20"/>
              </w:rPr>
              <w:t>25</w:t>
            </w:r>
            <w:r w:rsidRPr="006F59DD">
              <w:rPr>
                <w:sz w:val="20"/>
                <w:szCs w:val="20"/>
              </w:rPr>
              <w:t>, 202</w:t>
            </w:r>
            <w:r w:rsidR="0065127E" w:rsidRPr="006F59DD">
              <w:rPr>
                <w:sz w:val="20"/>
                <w:szCs w:val="20"/>
              </w:rPr>
              <w:t>2</w:t>
            </w:r>
          </w:p>
          <w:p w:rsidR="00131D3A" w:rsidRPr="006F59DD" w:rsidRDefault="00131D3A" w:rsidP="00131D3A">
            <w:pPr>
              <w:rPr>
                <w:sz w:val="20"/>
                <w:szCs w:val="20"/>
              </w:rPr>
            </w:pPr>
          </w:p>
          <w:p w:rsidR="00131D3A" w:rsidRPr="006F59DD" w:rsidRDefault="006F59DD" w:rsidP="00131D3A">
            <w:pPr>
              <w:rPr>
                <w:b/>
                <w:sz w:val="20"/>
                <w:szCs w:val="20"/>
                <w:lang w:val="en-US"/>
              </w:rPr>
            </w:pPr>
            <w:r w:rsidRPr="006F59DD">
              <w:rPr>
                <w:sz w:val="20"/>
                <w:szCs w:val="20"/>
                <w:lang w:val="fr-CA"/>
              </w:rPr>
              <w:pict>
                <v:rect id="_x0000_i1036" style="width:108pt;height:1pt" o:hrpct="0" o:hrstd="t" o:hrnoshade="t" o:hr="t" fillcolor="black [3213]" stroked="f"/>
              </w:pict>
            </w:r>
          </w:p>
        </w:tc>
      </w:tr>
    </w:tbl>
    <w:p w:rsidR="0065127E" w:rsidRPr="006F59DD" w:rsidRDefault="0065127E">
      <w:r w:rsidRPr="006F59D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5127E" w:rsidRPr="006F59DD" w:rsidTr="00F138C1">
        <w:tc>
          <w:tcPr>
            <w:tcW w:w="4239" w:type="dxa"/>
            <w:shd w:val="clear" w:color="auto" w:fill="auto"/>
          </w:tcPr>
          <w:p w:rsidR="0065127E" w:rsidRPr="006F59DD" w:rsidRDefault="008D16AB" w:rsidP="0065127E">
            <w:pPr>
              <w:rPr>
                <w:sz w:val="20"/>
                <w:szCs w:val="20"/>
                <w:lang w:val="en-US"/>
              </w:rPr>
            </w:pPr>
            <w:r w:rsidRPr="006F59DD">
              <w:rPr>
                <w:b/>
                <w:sz w:val="20"/>
                <w:szCs w:val="20"/>
                <w:lang w:val="en-US"/>
              </w:rPr>
              <w:lastRenderedPageBreak/>
              <w:t>Sonic Holdings Ltd.</w:t>
            </w:r>
          </w:p>
          <w:p w:rsidR="0065127E" w:rsidRPr="006F59DD" w:rsidRDefault="0065127E" w:rsidP="0065127E">
            <w:pPr>
              <w:tabs>
                <w:tab w:val="left" w:pos="-1440"/>
                <w:tab w:val="left" w:pos="-720"/>
              </w:tabs>
              <w:rPr>
                <w:sz w:val="20"/>
                <w:szCs w:val="20"/>
                <w:lang w:val="en-US"/>
              </w:rPr>
            </w:pPr>
            <w:r w:rsidRPr="006F59DD">
              <w:rPr>
                <w:sz w:val="20"/>
                <w:szCs w:val="20"/>
                <w:lang w:val="en-US"/>
              </w:rPr>
              <w:tab/>
            </w:r>
            <w:r w:rsidR="008D16AB" w:rsidRPr="006F59DD">
              <w:rPr>
                <w:sz w:val="20"/>
                <w:szCs w:val="20"/>
                <w:lang w:val="en-US"/>
              </w:rPr>
              <w:t>Cowper, Q.C., D. Geoffrey G.</w:t>
            </w:r>
          </w:p>
          <w:p w:rsidR="0065127E" w:rsidRPr="006F59DD" w:rsidRDefault="0065127E" w:rsidP="0065127E">
            <w:pPr>
              <w:tabs>
                <w:tab w:val="left" w:pos="-1440"/>
                <w:tab w:val="left" w:pos="-720"/>
              </w:tabs>
              <w:rPr>
                <w:sz w:val="20"/>
                <w:szCs w:val="20"/>
                <w:lang w:val="en-US"/>
              </w:rPr>
            </w:pPr>
            <w:r w:rsidRPr="006F59DD">
              <w:rPr>
                <w:sz w:val="20"/>
                <w:szCs w:val="20"/>
                <w:lang w:val="en-US"/>
              </w:rPr>
              <w:tab/>
            </w:r>
            <w:r w:rsidR="008D16AB" w:rsidRPr="006F59DD">
              <w:rPr>
                <w:sz w:val="20"/>
                <w:szCs w:val="20"/>
                <w:lang w:val="en-US"/>
              </w:rPr>
              <w:t>Fasken Martineau DuMoulin LLP</w:t>
            </w:r>
          </w:p>
          <w:p w:rsidR="0065127E" w:rsidRPr="006F59DD" w:rsidRDefault="0065127E" w:rsidP="0065127E">
            <w:pPr>
              <w:tabs>
                <w:tab w:val="left" w:pos="-1440"/>
                <w:tab w:val="left" w:pos="-720"/>
              </w:tabs>
              <w:rPr>
                <w:sz w:val="20"/>
                <w:szCs w:val="20"/>
                <w:lang w:val="en-US"/>
              </w:rPr>
            </w:pPr>
          </w:p>
          <w:p w:rsidR="0065127E" w:rsidRPr="006F59DD" w:rsidRDefault="0065127E" w:rsidP="0065127E">
            <w:pPr>
              <w:tabs>
                <w:tab w:val="left" w:pos="-1440"/>
                <w:tab w:val="left" w:pos="-720"/>
              </w:tabs>
              <w:rPr>
                <w:sz w:val="20"/>
                <w:szCs w:val="20"/>
                <w:lang w:val="en-US"/>
              </w:rPr>
            </w:pPr>
            <w:r w:rsidRPr="006F59DD">
              <w:rPr>
                <w:sz w:val="20"/>
                <w:szCs w:val="20"/>
                <w:lang w:val="en-US"/>
              </w:rPr>
              <w:tab/>
              <w:t>v. (40031)</w:t>
            </w:r>
          </w:p>
          <w:p w:rsidR="0065127E" w:rsidRPr="006F59DD" w:rsidRDefault="0065127E" w:rsidP="0065127E">
            <w:pPr>
              <w:tabs>
                <w:tab w:val="left" w:pos="-1440"/>
                <w:tab w:val="left" w:pos="-720"/>
              </w:tabs>
              <w:rPr>
                <w:sz w:val="20"/>
                <w:szCs w:val="20"/>
                <w:lang w:val="en-US"/>
              </w:rPr>
            </w:pPr>
          </w:p>
          <w:p w:rsidR="0065127E" w:rsidRPr="006F59DD" w:rsidRDefault="008D16AB" w:rsidP="0065127E">
            <w:pPr>
              <w:tabs>
                <w:tab w:val="left" w:pos="-1440"/>
                <w:tab w:val="left" w:pos="-720"/>
              </w:tabs>
              <w:rPr>
                <w:b/>
                <w:sz w:val="20"/>
                <w:szCs w:val="20"/>
                <w:lang w:val="en-US"/>
              </w:rPr>
            </w:pPr>
            <w:r w:rsidRPr="006F59DD">
              <w:rPr>
                <w:b/>
                <w:sz w:val="20"/>
                <w:szCs w:val="20"/>
                <w:lang w:val="en-US"/>
              </w:rPr>
              <w:t>Thomas Charles Savage</w:t>
            </w:r>
            <w:r w:rsidR="0065127E" w:rsidRPr="006F59DD">
              <w:rPr>
                <w:b/>
                <w:sz w:val="20"/>
                <w:szCs w:val="20"/>
                <w:lang w:val="en-US"/>
              </w:rPr>
              <w:t xml:space="preserve"> (</w:t>
            </w:r>
            <w:r w:rsidRPr="006F59DD">
              <w:rPr>
                <w:b/>
                <w:sz w:val="20"/>
                <w:szCs w:val="20"/>
                <w:lang w:val="en-US"/>
              </w:rPr>
              <w:t>B.C</w:t>
            </w:r>
            <w:r w:rsidR="0065127E" w:rsidRPr="006F59DD">
              <w:rPr>
                <w:b/>
                <w:sz w:val="20"/>
                <w:szCs w:val="20"/>
                <w:lang w:val="en-US"/>
              </w:rPr>
              <w:t>.)</w:t>
            </w:r>
          </w:p>
          <w:p w:rsidR="0065127E" w:rsidRPr="006F59DD" w:rsidRDefault="0065127E" w:rsidP="0065127E">
            <w:pPr>
              <w:tabs>
                <w:tab w:val="left" w:pos="-1440"/>
                <w:tab w:val="left" w:pos="-720"/>
              </w:tabs>
              <w:rPr>
                <w:sz w:val="20"/>
                <w:szCs w:val="20"/>
                <w:lang w:val="en-US"/>
              </w:rPr>
            </w:pPr>
            <w:r w:rsidRPr="006F59DD">
              <w:rPr>
                <w:sz w:val="20"/>
                <w:szCs w:val="20"/>
                <w:lang w:val="en-US"/>
              </w:rPr>
              <w:tab/>
            </w:r>
            <w:r w:rsidR="008D16AB" w:rsidRPr="006F59DD">
              <w:rPr>
                <w:sz w:val="20"/>
                <w:szCs w:val="20"/>
                <w:lang w:val="en-US"/>
              </w:rPr>
              <w:t>Dennis, Craig P.</w:t>
            </w:r>
          </w:p>
          <w:p w:rsidR="0065127E" w:rsidRPr="006F59DD" w:rsidRDefault="0065127E" w:rsidP="0065127E">
            <w:pPr>
              <w:tabs>
                <w:tab w:val="left" w:pos="-1440"/>
                <w:tab w:val="left" w:pos="-720"/>
              </w:tabs>
              <w:rPr>
                <w:sz w:val="20"/>
                <w:szCs w:val="20"/>
              </w:rPr>
            </w:pPr>
            <w:r w:rsidRPr="006F59DD">
              <w:rPr>
                <w:sz w:val="20"/>
                <w:szCs w:val="20"/>
                <w:lang w:val="en-US"/>
              </w:rPr>
              <w:tab/>
            </w:r>
            <w:r w:rsidR="008D16AB" w:rsidRPr="006F59DD">
              <w:rPr>
                <w:sz w:val="20"/>
                <w:szCs w:val="20"/>
              </w:rPr>
              <w:t>Dentons Canada LLP</w:t>
            </w:r>
          </w:p>
          <w:p w:rsidR="0065127E" w:rsidRPr="006F59DD" w:rsidRDefault="0065127E" w:rsidP="0065127E">
            <w:pPr>
              <w:tabs>
                <w:tab w:val="left" w:pos="-1440"/>
                <w:tab w:val="left" w:pos="-720"/>
              </w:tabs>
              <w:rPr>
                <w:sz w:val="20"/>
                <w:szCs w:val="20"/>
              </w:rPr>
            </w:pPr>
          </w:p>
          <w:p w:rsidR="0065127E" w:rsidRPr="006F59DD" w:rsidRDefault="0065127E" w:rsidP="0065127E">
            <w:pPr>
              <w:rPr>
                <w:sz w:val="20"/>
                <w:szCs w:val="20"/>
              </w:rPr>
            </w:pPr>
            <w:r w:rsidRPr="006F59DD">
              <w:rPr>
                <w:sz w:val="20"/>
                <w:szCs w:val="20"/>
              </w:rPr>
              <w:t xml:space="preserve">FILING DATE: </w:t>
            </w:r>
            <w:r w:rsidR="008D16AB" w:rsidRPr="006F59DD">
              <w:rPr>
                <w:sz w:val="20"/>
                <w:szCs w:val="20"/>
              </w:rPr>
              <w:t>January</w:t>
            </w:r>
            <w:r w:rsidRPr="006F59DD">
              <w:rPr>
                <w:sz w:val="20"/>
                <w:szCs w:val="20"/>
              </w:rPr>
              <w:t xml:space="preserve"> </w:t>
            </w:r>
            <w:r w:rsidR="008D16AB" w:rsidRPr="006F59DD">
              <w:rPr>
                <w:sz w:val="20"/>
                <w:szCs w:val="20"/>
              </w:rPr>
              <w:t>26</w:t>
            </w:r>
            <w:r w:rsidRPr="006F59DD">
              <w:rPr>
                <w:sz w:val="20"/>
                <w:szCs w:val="20"/>
              </w:rPr>
              <w:t>, 202</w:t>
            </w:r>
            <w:r w:rsidR="008D16AB" w:rsidRPr="006F59DD">
              <w:rPr>
                <w:sz w:val="20"/>
                <w:szCs w:val="20"/>
              </w:rPr>
              <w:t>2</w:t>
            </w:r>
          </w:p>
          <w:p w:rsidR="0065127E" w:rsidRPr="006F59DD" w:rsidRDefault="0065127E" w:rsidP="0065127E">
            <w:pPr>
              <w:rPr>
                <w:sz w:val="20"/>
                <w:szCs w:val="20"/>
              </w:rPr>
            </w:pPr>
          </w:p>
          <w:p w:rsidR="0065127E" w:rsidRPr="006F59DD" w:rsidRDefault="006F59DD" w:rsidP="0065127E">
            <w:pPr>
              <w:rPr>
                <w:b/>
                <w:sz w:val="20"/>
                <w:szCs w:val="20"/>
                <w:lang w:val="en-US"/>
              </w:rPr>
            </w:pPr>
            <w:r w:rsidRPr="006F59DD">
              <w:rPr>
                <w:sz w:val="20"/>
                <w:szCs w:val="20"/>
                <w:lang w:val="fr-CA"/>
              </w:rPr>
              <w:pict>
                <v:rect id="_x0000_i1037" style="width:108pt;height:1pt" o:hrpct="0" o:hrstd="t" o:hrnoshade="t" o:hr="t" fillcolor="black [3213]" stroked="f"/>
              </w:pict>
            </w:r>
          </w:p>
        </w:tc>
        <w:tc>
          <w:tcPr>
            <w:tcW w:w="1141" w:type="dxa"/>
            <w:shd w:val="clear" w:color="auto" w:fill="auto"/>
          </w:tcPr>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p w:rsidR="0065127E" w:rsidRPr="006F59DD" w:rsidRDefault="0065127E" w:rsidP="00F138C1">
            <w:pPr>
              <w:jc w:val="center"/>
              <w:rPr>
                <w:sz w:val="20"/>
                <w:szCs w:val="20"/>
              </w:rPr>
            </w:pPr>
          </w:p>
        </w:tc>
        <w:tc>
          <w:tcPr>
            <w:tcW w:w="4239" w:type="dxa"/>
            <w:shd w:val="clear" w:color="auto" w:fill="auto"/>
          </w:tcPr>
          <w:p w:rsidR="0065127E" w:rsidRPr="006F59DD" w:rsidRDefault="008D16AB" w:rsidP="0065127E">
            <w:pPr>
              <w:rPr>
                <w:sz w:val="20"/>
                <w:szCs w:val="20"/>
                <w:lang w:val="fr-CA"/>
              </w:rPr>
            </w:pPr>
            <w:r w:rsidRPr="006F59DD">
              <w:rPr>
                <w:b/>
                <w:sz w:val="20"/>
                <w:szCs w:val="20"/>
                <w:lang w:val="fr-CA"/>
              </w:rPr>
              <w:t>Placements Péladeau inc.</w:t>
            </w:r>
          </w:p>
          <w:p w:rsidR="0065127E" w:rsidRPr="006F59DD" w:rsidRDefault="0065127E" w:rsidP="0065127E">
            <w:pPr>
              <w:tabs>
                <w:tab w:val="left" w:pos="-1440"/>
                <w:tab w:val="left" w:pos="-720"/>
              </w:tabs>
              <w:rPr>
                <w:sz w:val="20"/>
                <w:szCs w:val="20"/>
                <w:lang w:val="fr-CA"/>
              </w:rPr>
            </w:pPr>
            <w:r w:rsidRPr="006F59DD">
              <w:rPr>
                <w:sz w:val="20"/>
                <w:szCs w:val="20"/>
                <w:lang w:val="fr-CA"/>
              </w:rPr>
              <w:tab/>
            </w:r>
            <w:r w:rsidR="008D16AB" w:rsidRPr="006F59DD">
              <w:rPr>
                <w:sz w:val="20"/>
                <w:szCs w:val="20"/>
                <w:lang w:val="fr-CA"/>
              </w:rPr>
              <w:t>Fontaine, Ad.E., François</w:t>
            </w:r>
          </w:p>
          <w:p w:rsidR="0065127E" w:rsidRPr="006F59DD" w:rsidRDefault="0065127E" w:rsidP="0065127E">
            <w:pPr>
              <w:tabs>
                <w:tab w:val="left" w:pos="-1440"/>
                <w:tab w:val="left" w:pos="-720"/>
              </w:tabs>
              <w:rPr>
                <w:sz w:val="20"/>
                <w:szCs w:val="20"/>
                <w:lang w:val="en-US"/>
              </w:rPr>
            </w:pPr>
            <w:r w:rsidRPr="006F59DD">
              <w:rPr>
                <w:sz w:val="20"/>
                <w:szCs w:val="20"/>
                <w:lang w:val="fr-CA"/>
              </w:rPr>
              <w:tab/>
            </w:r>
            <w:r w:rsidR="008D16AB" w:rsidRPr="006F59DD">
              <w:rPr>
                <w:sz w:val="20"/>
                <w:szCs w:val="20"/>
                <w:lang w:val="en-US"/>
              </w:rPr>
              <w:t>Norton Rose Fulbright Canada LLP</w:t>
            </w:r>
          </w:p>
          <w:p w:rsidR="0065127E" w:rsidRPr="006F59DD" w:rsidRDefault="0065127E" w:rsidP="0065127E">
            <w:pPr>
              <w:tabs>
                <w:tab w:val="left" w:pos="-1440"/>
                <w:tab w:val="left" w:pos="-720"/>
              </w:tabs>
              <w:rPr>
                <w:sz w:val="20"/>
                <w:szCs w:val="20"/>
                <w:lang w:val="en-US"/>
              </w:rPr>
            </w:pPr>
          </w:p>
          <w:p w:rsidR="0065127E" w:rsidRPr="006F59DD" w:rsidRDefault="0065127E" w:rsidP="0065127E">
            <w:pPr>
              <w:tabs>
                <w:tab w:val="left" w:pos="-1440"/>
                <w:tab w:val="left" w:pos="-720"/>
              </w:tabs>
              <w:rPr>
                <w:sz w:val="20"/>
                <w:szCs w:val="20"/>
                <w:lang w:val="en-US"/>
              </w:rPr>
            </w:pPr>
            <w:r w:rsidRPr="006F59DD">
              <w:rPr>
                <w:sz w:val="20"/>
                <w:szCs w:val="20"/>
                <w:lang w:val="en-US"/>
              </w:rPr>
              <w:tab/>
            </w:r>
            <w:r w:rsidR="008D16AB" w:rsidRPr="006F59DD">
              <w:rPr>
                <w:sz w:val="20"/>
                <w:szCs w:val="20"/>
                <w:lang w:val="en-US"/>
              </w:rPr>
              <w:t>c</w:t>
            </w:r>
            <w:r w:rsidRPr="006F59DD">
              <w:rPr>
                <w:sz w:val="20"/>
                <w:szCs w:val="20"/>
                <w:lang w:val="en-US"/>
              </w:rPr>
              <w:t>. (40032)</w:t>
            </w:r>
          </w:p>
          <w:p w:rsidR="0065127E" w:rsidRPr="006F59DD" w:rsidRDefault="0065127E" w:rsidP="0065127E">
            <w:pPr>
              <w:tabs>
                <w:tab w:val="left" w:pos="-1440"/>
                <w:tab w:val="left" w:pos="-720"/>
              </w:tabs>
              <w:rPr>
                <w:sz w:val="20"/>
                <w:szCs w:val="20"/>
                <w:lang w:val="en-US"/>
              </w:rPr>
            </w:pPr>
          </w:p>
          <w:p w:rsidR="0065127E" w:rsidRPr="006F59DD" w:rsidRDefault="008D16AB" w:rsidP="0065127E">
            <w:pPr>
              <w:tabs>
                <w:tab w:val="left" w:pos="-1440"/>
                <w:tab w:val="left" w:pos="-720"/>
              </w:tabs>
              <w:rPr>
                <w:b/>
                <w:sz w:val="20"/>
                <w:szCs w:val="20"/>
                <w:lang w:val="fr-CA"/>
              </w:rPr>
            </w:pPr>
            <w:r w:rsidRPr="006F59DD">
              <w:rPr>
                <w:b/>
                <w:sz w:val="20"/>
                <w:szCs w:val="20"/>
                <w:lang w:val="fr-CA"/>
              </w:rPr>
              <w:t>Anne-Marie Péladeau</w:t>
            </w:r>
            <w:r w:rsidR="0065127E" w:rsidRPr="006F59DD">
              <w:rPr>
                <w:b/>
                <w:sz w:val="20"/>
                <w:szCs w:val="20"/>
                <w:lang w:val="fr-CA"/>
              </w:rPr>
              <w:t xml:space="preserve"> (</w:t>
            </w:r>
            <w:r w:rsidRPr="006F59DD">
              <w:rPr>
                <w:b/>
                <w:sz w:val="20"/>
                <w:szCs w:val="20"/>
                <w:lang w:val="fr-CA"/>
              </w:rPr>
              <w:t>Qc</w:t>
            </w:r>
            <w:r w:rsidR="0065127E" w:rsidRPr="006F59DD">
              <w:rPr>
                <w:b/>
                <w:sz w:val="20"/>
                <w:szCs w:val="20"/>
                <w:lang w:val="fr-CA"/>
              </w:rPr>
              <w:t>)</w:t>
            </w:r>
          </w:p>
          <w:p w:rsidR="0065127E" w:rsidRPr="006F59DD" w:rsidRDefault="0065127E" w:rsidP="0065127E">
            <w:pPr>
              <w:tabs>
                <w:tab w:val="left" w:pos="-1440"/>
                <w:tab w:val="left" w:pos="-720"/>
              </w:tabs>
              <w:rPr>
                <w:sz w:val="20"/>
                <w:szCs w:val="20"/>
                <w:lang w:val="fr-CA"/>
              </w:rPr>
            </w:pPr>
            <w:r w:rsidRPr="006F59DD">
              <w:rPr>
                <w:sz w:val="20"/>
                <w:szCs w:val="20"/>
                <w:lang w:val="fr-CA"/>
              </w:rPr>
              <w:tab/>
            </w:r>
            <w:r w:rsidR="008D16AB" w:rsidRPr="006F59DD">
              <w:rPr>
                <w:sz w:val="20"/>
                <w:szCs w:val="20"/>
                <w:lang w:val="fr-CA"/>
              </w:rPr>
              <w:t>Trudel, Philippe H.</w:t>
            </w:r>
          </w:p>
          <w:p w:rsidR="0065127E" w:rsidRPr="006F59DD" w:rsidRDefault="0065127E" w:rsidP="0065127E">
            <w:pPr>
              <w:tabs>
                <w:tab w:val="left" w:pos="-1440"/>
                <w:tab w:val="left" w:pos="-720"/>
              </w:tabs>
              <w:rPr>
                <w:sz w:val="20"/>
                <w:szCs w:val="20"/>
                <w:lang w:val="fr-CA"/>
              </w:rPr>
            </w:pPr>
            <w:r w:rsidRPr="006F59DD">
              <w:rPr>
                <w:sz w:val="20"/>
                <w:szCs w:val="20"/>
                <w:lang w:val="fr-CA"/>
              </w:rPr>
              <w:tab/>
            </w:r>
            <w:r w:rsidR="008D16AB" w:rsidRPr="006F59DD">
              <w:rPr>
                <w:sz w:val="20"/>
                <w:szCs w:val="20"/>
                <w:lang w:val="fr-CA"/>
              </w:rPr>
              <w:t>Trudel, Johnston &amp; Lespérance</w:t>
            </w:r>
          </w:p>
          <w:p w:rsidR="0065127E" w:rsidRPr="006F59DD" w:rsidRDefault="0065127E" w:rsidP="0065127E">
            <w:pPr>
              <w:tabs>
                <w:tab w:val="left" w:pos="-1440"/>
                <w:tab w:val="left" w:pos="-720"/>
              </w:tabs>
              <w:rPr>
                <w:sz w:val="20"/>
                <w:szCs w:val="20"/>
                <w:lang w:val="fr-CA"/>
              </w:rPr>
            </w:pPr>
          </w:p>
          <w:p w:rsidR="008D16AB" w:rsidRPr="006F59DD" w:rsidRDefault="008D16AB" w:rsidP="008D16AB">
            <w:pPr>
              <w:rPr>
                <w:sz w:val="20"/>
                <w:szCs w:val="20"/>
                <w:lang w:val="fr-CA"/>
              </w:rPr>
            </w:pPr>
            <w:r w:rsidRPr="006F59DD">
              <w:rPr>
                <w:sz w:val="20"/>
                <w:szCs w:val="20"/>
                <w:lang w:val="fr-CA"/>
              </w:rPr>
              <w:t>DATE DE PRODUCTION: le 26 janvier 2022</w:t>
            </w:r>
          </w:p>
          <w:p w:rsidR="0065127E" w:rsidRPr="006F59DD" w:rsidRDefault="0065127E" w:rsidP="0065127E">
            <w:pPr>
              <w:rPr>
                <w:sz w:val="20"/>
                <w:szCs w:val="20"/>
                <w:lang w:val="fr-CA"/>
              </w:rPr>
            </w:pPr>
          </w:p>
          <w:p w:rsidR="0065127E" w:rsidRPr="006F59DD" w:rsidRDefault="006F59DD" w:rsidP="0065127E">
            <w:pPr>
              <w:rPr>
                <w:b/>
                <w:sz w:val="20"/>
                <w:szCs w:val="20"/>
                <w:lang w:val="en-US"/>
              </w:rPr>
            </w:pPr>
            <w:r w:rsidRPr="006F59DD">
              <w:rPr>
                <w:sz w:val="20"/>
                <w:szCs w:val="20"/>
                <w:lang w:val="fr-CA"/>
              </w:rPr>
              <w:pict>
                <v:rect id="_x0000_i1038" style="width:108pt;height:1pt" o:hrpct="0" o:hrstd="t" o:hrnoshade="t" o:hr="t" fillcolor="black [3213]" stroked="f"/>
              </w:pict>
            </w:r>
          </w:p>
        </w:tc>
      </w:tr>
    </w:tbl>
    <w:p w:rsidR="00F138C1" w:rsidRPr="006F59DD" w:rsidRDefault="00F138C1" w:rsidP="00F138C1">
      <w:pPr>
        <w:tabs>
          <w:tab w:val="right" w:pos="9360"/>
        </w:tabs>
        <w:rPr>
          <w:sz w:val="20"/>
          <w:szCs w:val="20"/>
          <w:lang w:val="fr-CA"/>
        </w:rPr>
      </w:pPr>
    </w:p>
    <w:p w:rsidR="00F138C1" w:rsidRPr="006F59DD" w:rsidRDefault="00F138C1" w:rsidP="00F138C1">
      <w:pPr>
        <w:tabs>
          <w:tab w:val="right" w:pos="9360"/>
        </w:tabs>
        <w:rPr>
          <w:sz w:val="20"/>
          <w:szCs w:val="20"/>
          <w:lang w:val="fr-CA"/>
        </w:rPr>
      </w:pPr>
    </w:p>
    <w:p w:rsidR="00C01FCB" w:rsidRPr="006F59DD" w:rsidRDefault="00C01FCB" w:rsidP="0095096B">
      <w:pPr>
        <w:tabs>
          <w:tab w:val="right" w:pos="9360"/>
        </w:tabs>
        <w:rPr>
          <w:sz w:val="20"/>
          <w:szCs w:val="20"/>
          <w:lang w:val="fr-CA"/>
        </w:rPr>
      </w:pPr>
    </w:p>
    <w:p w:rsidR="00242AEE" w:rsidRPr="006F59DD" w:rsidRDefault="00242AEE" w:rsidP="0095096B">
      <w:pPr>
        <w:tabs>
          <w:tab w:val="right" w:pos="9360"/>
        </w:tabs>
        <w:rPr>
          <w:sz w:val="20"/>
          <w:szCs w:val="20"/>
          <w:lang w:val="fr-CA"/>
        </w:rPr>
        <w:sectPr w:rsidR="00242AEE" w:rsidRPr="006F59D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F59DD" w:rsidRDefault="00DD0BDC" w:rsidP="00567602">
      <w:pPr>
        <w:pStyle w:val="Header1StyleE"/>
        <w:pBdr>
          <w:bottom w:val="single" w:sz="12" w:space="1" w:color="auto"/>
        </w:pBdr>
        <w:rPr>
          <w:lang w:val="fr-CA"/>
        </w:rPr>
      </w:pPr>
      <w:bookmarkStart w:id="1" w:name="QuickMark_1"/>
      <w:bookmarkStart w:id="2" w:name="_Toc95408308"/>
      <w:bookmarkEnd w:id="1"/>
      <w:r w:rsidRPr="006F59DD">
        <w:rPr>
          <w:lang w:val="fr-CA"/>
        </w:rPr>
        <w:lastRenderedPageBreak/>
        <w:t>Judgments on applications</w:t>
      </w:r>
      <w:r w:rsidR="000C1D9D" w:rsidRPr="006F59DD">
        <w:rPr>
          <w:lang w:val="fr-CA"/>
        </w:rPr>
        <w:t xml:space="preserve"> </w:t>
      </w:r>
      <w:r w:rsidRPr="006F59DD">
        <w:rPr>
          <w:lang w:val="fr-CA"/>
        </w:rPr>
        <w:t>for leave</w:t>
      </w:r>
      <w:r w:rsidR="00693C38" w:rsidRPr="006F59DD">
        <w:rPr>
          <w:noProof/>
          <w:sz w:val="20"/>
          <w:lang w:val="fr-CA"/>
        </w:rPr>
        <w:t xml:space="preserve"> </w:t>
      </w:r>
      <w:r w:rsidR="00271E1E" w:rsidRPr="006F59DD">
        <w:rPr>
          <w:noProof/>
          <w:sz w:val="20"/>
          <w:lang w:val="fr-CA"/>
        </w:rPr>
        <w:t xml:space="preserve">/ </w:t>
      </w:r>
      <w:r w:rsidR="00693C38" w:rsidRPr="006F59DD">
        <w:rPr>
          <w:noProof/>
          <w:sz w:val="20"/>
          <w:lang w:val="fr-CA"/>
        </w:rPr>
        <w:br/>
      </w:r>
      <w:r w:rsidRPr="006F59DD">
        <w:rPr>
          <w:lang w:val="fr-CA"/>
        </w:rPr>
        <w:t>Jugements rendus sur les demandes d’autorisation</w:t>
      </w:r>
      <w:bookmarkEnd w:id="2"/>
    </w:p>
    <w:p w:rsidR="00FB1DB6" w:rsidRPr="006F59DD" w:rsidRDefault="00FB1DB6" w:rsidP="00693C38">
      <w:pPr>
        <w:rPr>
          <w:sz w:val="20"/>
          <w:szCs w:val="20"/>
          <w:lang w:val="fr-CA"/>
        </w:rPr>
      </w:pPr>
    </w:p>
    <w:p w:rsidR="00F16063" w:rsidRPr="006F59DD" w:rsidRDefault="005745D9" w:rsidP="00F16063">
      <w:pPr>
        <w:rPr>
          <w:b/>
          <w:sz w:val="20"/>
          <w:szCs w:val="20"/>
        </w:rPr>
      </w:pPr>
      <w:r w:rsidRPr="006F59DD">
        <w:rPr>
          <w:b/>
          <w:sz w:val="20"/>
          <w:szCs w:val="20"/>
          <w:lang w:val="fr-CA"/>
        </w:rPr>
        <w:t>FEBRU</w:t>
      </w:r>
      <w:r w:rsidR="00E8642A" w:rsidRPr="006F59DD">
        <w:rPr>
          <w:b/>
          <w:sz w:val="20"/>
          <w:szCs w:val="20"/>
        </w:rPr>
        <w:t>ARY</w:t>
      </w:r>
      <w:r w:rsidR="00F16063" w:rsidRPr="006F59DD">
        <w:rPr>
          <w:b/>
          <w:sz w:val="20"/>
          <w:szCs w:val="20"/>
        </w:rPr>
        <w:t xml:space="preserve"> </w:t>
      </w:r>
      <w:r w:rsidR="00691D1D" w:rsidRPr="006F59DD">
        <w:rPr>
          <w:b/>
          <w:sz w:val="20"/>
          <w:szCs w:val="20"/>
        </w:rPr>
        <w:t>1</w:t>
      </w:r>
      <w:r w:rsidRPr="006F59DD">
        <w:rPr>
          <w:b/>
          <w:sz w:val="20"/>
          <w:szCs w:val="20"/>
        </w:rPr>
        <w:t>0</w:t>
      </w:r>
      <w:r w:rsidR="00F16063" w:rsidRPr="006F59DD">
        <w:rPr>
          <w:b/>
          <w:sz w:val="20"/>
          <w:szCs w:val="20"/>
        </w:rPr>
        <w:t xml:space="preserve">, </w:t>
      </w:r>
      <w:r w:rsidR="0034657E" w:rsidRPr="006F59DD">
        <w:rPr>
          <w:b/>
          <w:sz w:val="20"/>
          <w:szCs w:val="20"/>
        </w:rPr>
        <w:t>20</w:t>
      </w:r>
      <w:r w:rsidR="005967EF" w:rsidRPr="006F59DD">
        <w:rPr>
          <w:b/>
          <w:sz w:val="20"/>
          <w:szCs w:val="20"/>
        </w:rPr>
        <w:t>2</w:t>
      </w:r>
      <w:r w:rsidR="00E8642A" w:rsidRPr="006F59DD">
        <w:rPr>
          <w:b/>
          <w:sz w:val="20"/>
          <w:szCs w:val="20"/>
        </w:rPr>
        <w:t>2</w:t>
      </w:r>
      <w:r w:rsidR="00F16063" w:rsidRPr="006F59DD">
        <w:rPr>
          <w:b/>
          <w:sz w:val="20"/>
          <w:szCs w:val="20"/>
        </w:rPr>
        <w:t xml:space="preserve"> / LE </w:t>
      </w:r>
      <w:r w:rsidR="00691D1D" w:rsidRPr="006F59DD">
        <w:rPr>
          <w:b/>
          <w:sz w:val="20"/>
          <w:szCs w:val="20"/>
        </w:rPr>
        <w:t>1</w:t>
      </w:r>
      <w:r w:rsidRPr="006F59DD">
        <w:rPr>
          <w:b/>
          <w:sz w:val="20"/>
          <w:szCs w:val="20"/>
        </w:rPr>
        <w:t>0</w:t>
      </w:r>
      <w:r w:rsidR="00F16063" w:rsidRPr="006F59DD">
        <w:rPr>
          <w:b/>
          <w:sz w:val="20"/>
          <w:szCs w:val="20"/>
        </w:rPr>
        <w:t xml:space="preserve"> </w:t>
      </w:r>
      <w:r w:rsidRPr="006F59DD">
        <w:rPr>
          <w:b/>
          <w:sz w:val="20"/>
          <w:szCs w:val="20"/>
        </w:rPr>
        <w:t>FÉ</w:t>
      </w:r>
      <w:r w:rsidR="00E8642A" w:rsidRPr="006F59DD">
        <w:rPr>
          <w:b/>
          <w:sz w:val="20"/>
          <w:szCs w:val="20"/>
        </w:rPr>
        <w:t>V</w:t>
      </w:r>
      <w:r w:rsidRPr="006F59DD">
        <w:rPr>
          <w:b/>
          <w:sz w:val="20"/>
          <w:szCs w:val="20"/>
        </w:rPr>
        <w:t>R</w:t>
      </w:r>
      <w:r w:rsidR="00E8642A" w:rsidRPr="006F59DD">
        <w:rPr>
          <w:b/>
          <w:sz w:val="20"/>
          <w:szCs w:val="20"/>
        </w:rPr>
        <w:t>IER</w:t>
      </w:r>
      <w:r w:rsidR="00F16063" w:rsidRPr="006F59DD">
        <w:rPr>
          <w:b/>
          <w:sz w:val="20"/>
          <w:szCs w:val="20"/>
        </w:rPr>
        <w:t xml:space="preserve"> </w:t>
      </w:r>
      <w:r w:rsidR="0034657E" w:rsidRPr="006F59DD">
        <w:rPr>
          <w:b/>
          <w:sz w:val="20"/>
          <w:szCs w:val="20"/>
        </w:rPr>
        <w:t>20</w:t>
      </w:r>
      <w:r w:rsidR="005967EF" w:rsidRPr="006F59DD">
        <w:rPr>
          <w:b/>
          <w:sz w:val="20"/>
          <w:szCs w:val="20"/>
        </w:rPr>
        <w:t>2</w:t>
      </w:r>
      <w:r w:rsidR="00E8642A" w:rsidRPr="006F59DD">
        <w:rPr>
          <w:b/>
          <w:sz w:val="20"/>
          <w:szCs w:val="20"/>
        </w:rPr>
        <w:t>2</w:t>
      </w:r>
    </w:p>
    <w:p w:rsidR="000A65C3" w:rsidRPr="006F59DD" w:rsidRDefault="000A65C3" w:rsidP="000A65C3">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39836</w:t>
            </w:r>
          </w:p>
        </w:tc>
        <w:tc>
          <w:tcPr>
            <w:tcW w:w="4457" w:type="pct"/>
            <w:gridSpan w:val="3"/>
          </w:tcPr>
          <w:p w:rsidR="000A65C3" w:rsidRPr="006F59DD" w:rsidRDefault="000A65C3" w:rsidP="009F46F6">
            <w:pPr>
              <w:pStyle w:val="SCCLsocParty"/>
              <w:jc w:val="both"/>
              <w:rPr>
                <w:b/>
                <w:sz w:val="20"/>
                <w:szCs w:val="20"/>
                <w:lang w:val="en-US"/>
              </w:rPr>
            </w:pPr>
            <w:r w:rsidRPr="006F59DD">
              <w:rPr>
                <w:b/>
                <w:sz w:val="20"/>
                <w:szCs w:val="20"/>
                <w:lang w:val="en-US"/>
              </w:rPr>
              <w:t>Odain Gardner v. Her Majesty the Queen</w:t>
            </w:r>
          </w:p>
          <w:p w:rsidR="000A65C3" w:rsidRPr="006F59DD" w:rsidRDefault="000A65C3" w:rsidP="009F46F6">
            <w:pPr>
              <w:jc w:val="both"/>
              <w:rPr>
                <w:sz w:val="20"/>
              </w:rPr>
            </w:pPr>
            <w:r w:rsidRPr="006F59DD">
              <w:rPr>
                <w:sz w:val="20"/>
              </w:rPr>
              <w:t>(Ont.) (Criminal) (By Leave)</w:t>
            </w:r>
          </w:p>
        </w:tc>
      </w:tr>
      <w:tr w:rsidR="000A65C3" w:rsidRPr="006F59DD" w:rsidTr="009F46F6">
        <w:tc>
          <w:tcPr>
            <w:tcW w:w="5000" w:type="pct"/>
            <w:gridSpan w:val="4"/>
          </w:tcPr>
          <w:p w:rsidR="000A65C3" w:rsidRPr="006F59DD" w:rsidRDefault="009F46F6" w:rsidP="009F46F6">
            <w:pPr>
              <w:jc w:val="both"/>
              <w:rPr>
                <w:sz w:val="20"/>
                <w:szCs w:val="20"/>
              </w:rPr>
            </w:pPr>
            <w:r w:rsidRPr="006F59DD">
              <w:rPr>
                <w:sz w:val="20"/>
                <w:szCs w:val="20"/>
              </w:rPr>
              <w:t>The motion to appoint counsel is dismissed. The application for leave to appeal from the judgment of the</w:t>
            </w:r>
            <w:bookmarkStart w:id="3" w:name="BM_1_"/>
            <w:bookmarkEnd w:id="3"/>
            <w:r w:rsidRPr="006F59DD">
              <w:rPr>
                <w:sz w:val="20"/>
                <w:szCs w:val="20"/>
              </w:rPr>
              <w:t xml:space="preserve"> Court of Appeal for Ontario, Number C67014, 2021 ONCA 539, dated July 27, 2021, is dismissed.</w:t>
            </w:r>
          </w:p>
          <w:p w:rsidR="009F46F6" w:rsidRPr="006F59DD" w:rsidRDefault="009F46F6"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Criminal law — Charge to jury — After the fact conduct — Flight — Circular reasoning — Whether an instruction to the jury allowing a shooter’s flight to be used as evidence to infer the accused was the shooter was improper tautological reasoning?</w:t>
            </w:r>
          </w:p>
        </w:tc>
      </w:tr>
      <w:tr w:rsidR="000A65C3" w:rsidRPr="006F59DD" w:rsidTr="009F46F6">
        <w:tc>
          <w:tcPr>
            <w:tcW w:w="5000" w:type="pct"/>
            <w:gridSpan w:val="4"/>
          </w:tcPr>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Two men were seen fleeing from the scene immediately after a fatal shooting. Mr. Gardner was tried before a jury and the Crown’s theory at trial was that he was the shooter. The jury charge in part directed the jury that they could find that any, all or some of the accused’s flight from the scene was circumstantial evidence that the accused was a participant to the shooting. The jury convicted Mr. Gardner of first degree murder. The Court of Appeal dismissed an appeal.</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May 17, 2018</w:t>
            </w:r>
          </w:p>
          <w:p w:rsidR="000A65C3" w:rsidRPr="006F59DD" w:rsidRDefault="000A65C3" w:rsidP="009F46F6">
            <w:pPr>
              <w:jc w:val="both"/>
              <w:rPr>
                <w:sz w:val="20"/>
              </w:rPr>
            </w:pPr>
            <w:r w:rsidRPr="006F59DD">
              <w:rPr>
                <w:sz w:val="20"/>
              </w:rPr>
              <w:t>Ontario Superior Court of Justice</w:t>
            </w:r>
          </w:p>
          <w:p w:rsidR="000A65C3" w:rsidRPr="006F59DD" w:rsidRDefault="000A65C3" w:rsidP="009F46F6">
            <w:pPr>
              <w:jc w:val="both"/>
              <w:rPr>
                <w:sz w:val="20"/>
              </w:rPr>
            </w:pPr>
            <w:r w:rsidRPr="006F59DD">
              <w:rPr>
                <w:sz w:val="20"/>
              </w:rPr>
              <w:t>(Skarica J.)(Unreported)</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Conviction by jury of first degree murder</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July 27, 2021</w:t>
            </w:r>
          </w:p>
          <w:p w:rsidR="000A65C3" w:rsidRPr="006F59DD" w:rsidRDefault="000A65C3" w:rsidP="009F46F6">
            <w:pPr>
              <w:jc w:val="both"/>
              <w:rPr>
                <w:sz w:val="20"/>
              </w:rPr>
            </w:pPr>
            <w:r w:rsidRPr="006F59DD">
              <w:rPr>
                <w:sz w:val="20"/>
              </w:rPr>
              <w:t>Court of Appeal for Ontario</w:t>
            </w:r>
          </w:p>
          <w:p w:rsidR="000A65C3" w:rsidRPr="006F59DD" w:rsidRDefault="000A65C3" w:rsidP="009F46F6">
            <w:pPr>
              <w:jc w:val="both"/>
              <w:rPr>
                <w:sz w:val="20"/>
              </w:rPr>
            </w:pPr>
            <w:r w:rsidRPr="006F59DD">
              <w:rPr>
                <w:sz w:val="20"/>
              </w:rPr>
              <w:t>(Simmons, Gillese, Huscroft JJ.A.)</w:t>
            </w:r>
          </w:p>
          <w:p w:rsidR="000A65C3" w:rsidRPr="006F59DD" w:rsidRDefault="006F59DD" w:rsidP="009F46F6">
            <w:pPr>
              <w:jc w:val="both"/>
              <w:rPr>
                <w:sz w:val="20"/>
              </w:rPr>
            </w:pPr>
            <w:hyperlink r:id="rId15" w:history="1">
              <w:r w:rsidR="000A65C3" w:rsidRPr="006F59DD">
                <w:rPr>
                  <w:rStyle w:val="Hyperlink"/>
                  <w:sz w:val="20"/>
                </w:rPr>
                <w:t>2021 ONCA 539</w:t>
              </w:r>
            </w:hyperlink>
            <w:r w:rsidR="000A65C3" w:rsidRPr="006F59DD">
              <w:rPr>
                <w:sz w:val="20"/>
              </w:rPr>
              <w:t>; C67014</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Appeal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September 24, 2021</w:t>
            </w:r>
          </w:p>
          <w:p w:rsidR="000A65C3" w:rsidRPr="006F59DD" w:rsidRDefault="000A65C3" w:rsidP="009F46F6">
            <w:pPr>
              <w:jc w:val="both"/>
              <w:rPr>
                <w:sz w:val="20"/>
              </w:rPr>
            </w:pPr>
            <w:r w:rsidRPr="006F59DD">
              <w:rPr>
                <w:sz w:val="20"/>
              </w:rPr>
              <w:t>Supreme Court of Canada</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filed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December 10, 2021</w:t>
            </w:r>
          </w:p>
          <w:p w:rsidR="000A65C3" w:rsidRPr="006F59DD" w:rsidRDefault="000A65C3" w:rsidP="009F46F6">
            <w:pPr>
              <w:jc w:val="both"/>
              <w:rPr>
                <w:sz w:val="20"/>
              </w:rPr>
            </w:pPr>
            <w:r w:rsidRPr="006F59DD">
              <w:rPr>
                <w:sz w:val="20"/>
              </w:rPr>
              <w:t>Supreme Court of Canada</w:t>
            </w: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Motion to appoint counsel</w:t>
            </w: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41" style="width:2in;height:1pt" o:hrpct="0" o:hralign="center" o:hrstd="t" o:hrnoshade="t" o:hr="t" fillcolor="black [3213]" stroked="f"/>
        </w:pict>
      </w:r>
    </w:p>
    <w:p w:rsidR="000A65C3" w:rsidRPr="006F59DD" w:rsidRDefault="000A65C3" w:rsidP="000A65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39836</w:t>
            </w:r>
          </w:p>
        </w:tc>
        <w:tc>
          <w:tcPr>
            <w:tcW w:w="4457" w:type="pct"/>
            <w:gridSpan w:val="3"/>
          </w:tcPr>
          <w:p w:rsidR="000A65C3" w:rsidRPr="006F59DD" w:rsidRDefault="000A65C3" w:rsidP="009F46F6">
            <w:pPr>
              <w:pStyle w:val="SCCLsocParty"/>
              <w:jc w:val="both"/>
              <w:rPr>
                <w:b/>
                <w:sz w:val="20"/>
                <w:szCs w:val="20"/>
              </w:rPr>
            </w:pPr>
            <w:r w:rsidRPr="006F59DD">
              <w:rPr>
                <w:b/>
                <w:sz w:val="20"/>
                <w:szCs w:val="20"/>
              </w:rPr>
              <w:t>Odain Gardner c. Sa Majesté la Reine</w:t>
            </w:r>
          </w:p>
          <w:p w:rsidR="000A65C3" w:rsidRPr="006F59DD" w:rsidRDefault="000A65C3" w:rsidP="009F46F6">
            <w:pPr>
              <w:jc w:val="both"/>
              <w:rPr>
                <w:sz w:val="20"/>
              </w:rPr>
            </w:pPr>
            <w:r w:rsidRPr="006F59DD">
              <w:rPr>
                <w:sz w:val="20"/>
              </w:rPr>
              <w:t>(Ont.) (Criminelle) (Sur autorisation)</w:t>
            </w:r>
          </w:p>
        </w:tc>
      </w:tr>
      <w:tr w:rsidR="000A65C3" w:rsidRPr="006F59DD" w:rsidTr="009F46F6">
        <w:tc>
          <w:tcPr>
            <w:tcW w:w="5000" w:type="pct"/>
            <w:gridSpan w:val="4"/>
          </w:tcPr>
          <w:p w:rsidR="000A65C3" w:rsidRPr="006F59DD" w:rsidRDefault="009F46F6" w:rsidP="009F46F6">
            <w:pPr>
              <w:jc w:val="both"/>
              <w:rPr>
                <w:sz w:val="20"/>
                <w:szCs w:val="20"/>
                <w:lang w:val="fr-CA"/>
              </w:rPr>
            </w:pPr>
            <w:r w:rsidRPr="006F59DD">
              <w:rPr>
                <w:sz w:val="20"/>
                <w:szCs w:val="20"/>
                <w:lang w:val="fr-CA"/>
              </w:rPr>
              <w:t>La requête pour nommer un avocat est rejetée. La demande d’autorisation d’appel de l’arrêt de la Cour d’appel de l’Ontario, numéro C67014, 2021 ONCA 539, daté du 27 juillet 2021, est rejetée.</w:t>
            </w:r>
          </w:p>
          <w:p w:rsidR="009F46F6" w:rsidRPr="006F59DD" w:rsidRDefault="009F46F6" w:rsidP="009F46F6">
            <w:pPr>
              <w:jc w:val="both"/>
              <w:rPr>
                <w:sz w:val="20"/>
                <w:lang w:val="fr-CA"/>
              </w:rPr>
            </w:pPr>
          </w:p>
        </w:tc>
      </w:tr>
      <w:tr w:rsidR="000A65C3" w:rsidRPr="006F59DD" w:rsidTr="009F46F6">
        <w:tc>
          <w:tcPr>
            <w:tcW w:w="5000" w:type="pct"/>
            <w:gridSpan w:val="4"/>
          </w:tcPr>
          <w:p w:rsidR="000A65C3" w:rsidRPr="006F59DD" w:rsidRDefault="000A65C3" w:rsidP="009F46F6">
            <w:pPr>
              <w:jc w:val="both"/>
              <w:rPr>
                <w:sz w:val="20"/>
                <w:lang w:val="fr-CA"/>
              </w:rPr>
            </w:pPr>
            <w:r w:rsidRPr="006F59DD">
              <w:rPr>
                <w:sz w:val="20"/>
                <w:lang w:val="fr-CA"/>
              </w:rPr>
              <w:t>Droit criminel — Exposé au jury — Comportement après le fait — Fuite — Raisonnement circulaire — Une directive au jury autorisant le recours à la fuite d’un tireur comme preuve pour inférer que l’accusé était le tireur constituait</w:t>
            </w:r>
            <w:r w:rsidRPr="006F59DD">
              <w:rPr>
                <w:sz w:val="20"/>
                <w:lang w:val="fr-CA"/>
              </w:rPr>
              <w:noBreakHyphen/>
              <w:t>elle un raisonnement tautologique?</w:t>
            </w:r>
          </w:p>
        </w:tc>
      </w:tr>
      <w:tr w:rsidR="000A65C3" w:rsidRPr="006F59DD" w:rsidTr="009F46F6">
        <w:tc>
          <w:tcPr>
            <w:tcW w:w="5000" w:type="pct"/>
            <w:gridSpan w:val="4"/>
          </w:tcPr>
          <w:p w:rsidR="000A65C3" w:rsidRPr="006F59DD" w:rsidRDefault="000A65C3" w:rsidP="009F46F6">
            <w:pPr>
              <w:jc w:val="both"/>
              <w:rPr>
                <w:sz w:val="20"/>
                <w:lang w:val="fr-CA"/>
              </w:rPr>
            </w:pPr>
          </w:p>
        </w:tc>
      </w:tr>
      <w:tr w:rsidR="000A65C3" w:rsidRPr="006F59DD" w:rsidTr="009F46F6">
        <w:tc>
          <w:tcPr>
            <w:tcW w:w="5000" w:type="pct"/>
            <w:gridSpan w:val="4"/>
          </w:tcPr>
          <w:p w:rsidR="000A65C3" w:rsidRPr="006F59DD" w:rsidRDefault="000A65C3" w:rsidP="009F46F6">
            <w:pPr>
              <w:jc w:val="both"/>
              <w:rPr>
                <w:sz w:val="20"/>
                <w:lang w:val="fr-CA"/>
              </w:rPr>
            </w:pPr>
            <w:r w:rsidRPr="006F59DD">
              <w:rPr>
                <w:sz w:val="20"/>
                <w:lang w:val="fr-CA"/>
              </w:rPr>
              <w:t>Deux hommes ont été vus fuyant la scène immédiatement après une fusillade fatale. M. Gardner a subi un procès devant jury et la poursuite y a plaidé qu’il était le tireur. L’exposé au jury indiquait notamment aux jurés qu’ils pouvaient conclure qu’une partie ou la totalité de la fuite de l’accusé de la scène du crime constituait une preuve circonstancielle de la participation de l’accusé à la fusillade. Le jury a déclaré M. Gardner coupable de meurtre au premier degré. La Cour d’appel a rejeté l’appel.</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lastRenderedPageBreak/>
              <w:t>17 mai 2018</w:t>
            </w:r>
          </w:p>
          <w:p w:rsidR="000A65C3" w:rsidRPr="006F59DD" w:rsidRDefault="000A65C3" w:rsidP="009F46F6">
            <w:pPr>
              <w:jc w:val="both"/>
              <w:rPr>
                <w:sz w:val="20"/>
                <w:lang w:val="fr-CA"/>
              </w:rPr>
            </w:pPr>
            <w:r w:rsidRPr="006F59DD">
              <w:rPr>
                <w:sz w:val="20"/>
                <w:lang w:val="fr-CA"/>
              </w:rPr>
              <w:t xml:space="preserve">Cour supérieure de justice de l’Ontario </w:t>
            </w:r>
          </w:p>
          <w:p w:rsidR="000A65C3" w:rsidRPr="006F59DD" w:rsidRDefault="000A65C3" w:rsidP="009F46F6">
            <w:pPr>
              <w:jc w:val="both"/>
              <w:rPr>
                <w:sz w:val="20"/>
                <w:lang w:val="fr-CA"/>
              </w:rPr>
            </w:pPr>
            <w:r w:rsidRPr="006F59DD">
              <w:rPr>
                <w:sz w:val="20"/>
                <w:lang w:val="fr-CA"/>
              </w:rPr>
              <w:t>(Juge Skarica) (Non publié)</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lang w:val="fr-CA"/>
              </w:rPr>
            </w:pPr>
            <w:r w:rsidRPr="006F59DD">
              <w:rPr>
                <w:sz w:val="20"/>
                <w:lang w:val="fr-CA"/>
              </w:rPr>
              <w:t xml:space="preserve">Déclaration de culpabilité pour meurtre au premier degré prononcée par le jury </w:t>
            </w:r>
          </w:p>
          <w:p w:rsidR="000A65C3" w:rsidRPr="006F59DD" w:rsidRDefault="000A65C3" w:rsidP="009F46F6">
            <w:pPr>
              <w:jc w:val="both"/>
              <w:rPr>
                <w:sz w:val="20"/>
                <w:lang w:val="fr-CA"/>
              </w:rPr>
            </w:pPr>
          </w:p>
          <w:p w:rsidR="000A65C3" w:rsidRPr="006F59DD" w:rsidRDefault="000A65C3" w:rsidP="009F46F6">
            <w:pPr>
              <w:jc w:val="both"/>
              <w:rPr>
                <w:sz w:val="20"/>
                <w:lang w:val="fr-CA"/>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27 juillet 2021</w:t>
            </w:r>
          </w:p>
          <w:p w:rsidR="000A65C3" w:rsidRPr="006F59DD" w:rsidRDefault="000A65C3" w:rsidP="009F46F6">
            <w:pPr>
              <w:jc w:val="both"/>
              <w:rPr>
                <w:sz w:val="20"/>
                <w:lang w:val="fr-CA"/>
              </w:rPr>
            </w:pPr>
            <w:r w:rsidRPr="006F59DD">
              <w:rPr>
                <w:sz w:val="20"/>
                <w:lang w:val="fr-CA"/>
              </w:rPr>
              <w:t>Cour d’appel de l’Ontario</w:t>
            </w:r>
          </w:p>
          <w:p w:rsidR="000A65C3" w:rsidRPr="006F59DD" w:rsidRDefault="000A65C3" w:rsidP="009F46F6">
            <w:pPr>
              <w:jc w:val="both"/>
              <w:rPr>
                <w:sz w:val="20"/>
                <w:lang w:val="fr-CA"/>
              </w:rPr>
            </w:pPr>
            <w:r w:rsidRPr="006F59DD">
              <w:rPr>
                <w:sz w:val="20"/>
                <w:lang w:val="fr-CA"/>
              </w:rPr>
              <w:t>(Juges Simmons, Gillese et Huscroft)</w:t>
            </w:r>
          </w:p>
          <w:p w:rsidR="000A65C3" w:rsidRPr="006F59DD" w:rsidRDefault="006F59DD" w:rsidP="009F46F6">
            <w:pPr>
              <w:jc w:val="both"/>
              <w:rPr>
                <w:sz w:val="20"/>
              </w:rPr>
            </w:pPr>
            <w:hyperlink r:id="rId16" w:history="1">
              <w:r w:rsidR="000A65C3" w:rsidRPr="006F59DD">
                <w:rPr>
                  <w:rStyle w:val="Hyperlink"/>
                  <w:sz w:val="20"/>
                </w:rPr>
                <w:t>2021 ONCA 539</w:t>
              </w:r>
            </w:hyperlink>
            <w:r w:rsidR="000A65C3" w:rsidRPr="006F59DD">
              <w:rPr>
                <w:sz w:val="20"/>
              </w:rPr>
              <w:t>; C67014</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Appel rejeté</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24 septembre 2021</w:t>
            </w:r>
          </w:p>
          <w:p w:rsidR="000A65C3" w:rsidRPr="006F59DD" w:rsidRDefault="000A65C3" w:rsidP="009F46F6">
            <w:pPr>
              <w:jc w:val="both"/>
              <w:rPr>
                <w:sz w:val="20"/>
              </w:rPr>
            </w:pPr>
            <w:r w:rsidRPr="006F59DD">
              <w:rPr>
                <w:sz w:val="20"/>
              </w:rPr>
              <w:t>Cour suprême du Canada</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Demande d’autorisation d’appel déposé</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10 décembre 2021</w:t>
            </w:r>
          </w:p>
          <w:p w:rsidR="000A65C3" w:rsidRPr="006F59DD" w:rsidRDefault="000A65C3" w:rsidP="009F46F6">
            <w:pPr>
              <w:jc w:val="both"/>
              <w:rPr>
                <w:sz w:val="20"/>
                <w:lang w:val="fr-CA"/>
              </w:rPr>
            </w:pPr>
            <w:r w:rsidRPr="006F59DD">
              <w:rPr>
                <w:sz w:val="20"/>
                <w:lang w:val="fr-CA"/>
              </w:rPr>
              <w:t>Cour suprême du Canada</w:t>
            </w: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Requête en vue de la nomination d’un procureur déposée</w:t>
            </w:r>
          </w:p>
        </w:tc>
      </w:tr>
    </w:tbl>
    <w:p w:rsidR="000A65C3" w:rsidRPr="006F59DD" w:rsidRDefault="000A65C3" w:rsidP="000A65C3">
      <w:pPr>
        <w:jc w:val="both"/>
        <w:rPr>
          <w:sz w:val="20"/>
          <w:lang w:val="fr-CA"/>
        </w:rPr>
      </w:pPr>
    </w:p>
    <w:p w:rsidR="000A65C3" w:rsidRPr="006F59DD" w:rsidRDefault="006F59DD" w:rsidP="000A65C3">
      <w:pPr>
        <w:jc w:val="both"/>
        <w:rPr>
          <w:sz w:val="20"/>
          <w:lang w:val="fr-CA"/>
        </w:rPr>
      </w:pPr>
      <w:r w:rsidRPr="006F59DD">
        <w:rPr>
          <w:sz w:val="20"/>
        </w:rPr>
        <w:pict>
          <v:rect id="_x0000_i1042" style="width:2in;height:1pt" o:hrpct="0" o:hralign="center" o:hrstd="t" o:hrnoshade="t" o:hr="t" fillcolor="black [3213]" stroked="f"/>
        </w:pict>
      </w:r>
    </w:p>
    <w:p w:rsidR="000A65C3" w:rsidRPr="006F59DD" w:rsidRDefault="000A65C3" w:rsidP="000A65C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39786</w:t>
            </w:r>
          </w:p>
        </w:tc>
        <w:tc>
          <w:tcPr>
            <w:tcW w:w="4457" w:type="pct"/>
            <w:gridSpan w:val="3"/>
          </w:tcPr>
          <w:p w:rsidR="000A65C3" w:rsidRPr="006F59DD" w:rsidRDefault="000A65C3" w:rsidP="009F46F6">
            <w:pPr>
              <w:pStyle w:val="SCCLsocParty"/>
              <w:jc w:val="both"/>
              <w:rPr>
                <w:b/>
                <w:sz w:val="20"/>
                <w:szCs w:val="20"/>
                <w:lang w:val="en-CA"/>
              </w:rPr>
            </w:pPr>
            <w:r w:rsidRPr="006F59DD">
              <w:rPr>
                <w:b/>
                <w:sz w:val="20"/>
                <w:szCs w:val="20"/>
                <w:lang w:val="en-CA"/>
              </w:rPr>
              <w:t xml:space="preserve">Gestion RNB inc. v. </w:t>
            </w:r>
            <w:r w:rsidR="009F46F6" w:rsidRPr="006F59DD">
              <w:rPr>
                <w:b/>
                <w:sz w:val="20"/>
                <w:szCs w:val="20"/>
                <w:lang w:val="en-CA"/>
              </w:rPr>
              <w:t>URS Corporation, Aecom Global II LLC and Aecom</w:t>
            </w:r>
          </w:p>
          <w:p w:rsidR="000A65C3" w:rsidRPr="006F59DD" w:rsidRDefault="000A65C3" w:rsidP="009F46F6">
            <w:pPr>
              <w:jc w:val="both"/>
              <w:rPr>
                <w:sz w:val="20"/>
              </w:rPr>
            </w:pPr>
            <w:r w:rsidRPr="006F59DD">
              <w:rPr>
                <w:sz w:val="20"/>
              </w:rPr>
              <w:t>(Que.) (Civil) (By Leave)</w:t>
            </w:r>
          </w:p>
        </w:tc>
      </w:tr>
      <w:tr w:rsidR="000A65C3" w:rsidRPr="006F59DD" w:rsidTr="009F46F6">
        <w:tc>
          <w:tcPr>
            <w:tcW w:w="5000" w:type="pct"/>
            <w:gridSpan w:val="4"/>
          </w:tcPr>
          <w:p w:rsidR="000A65C3" w:rsidRPr="006F59DD" w:rsidRDefault="009F46F6" w:rsidP="009F46F6">
            <w:pPr>
              <w:pStyle w:val="SCCBanSummary0"/>
              <w:rPr>
                <w:smallCaps w:val="0"/>
                <w:sz w:val="20"/>
                <w:szCs w:val="20"/>
              </w:rPr>
            </w:pPr>
            <w:r w:rsidRPr="006F59DD">
              <w:rPr>
                <w:smallCaps w:val="0"/>
                <w:sz w:val="20"/>
                <w:szCs w:val="20"/>
              </w:rPr>
              <w:t xml:space="preserve">The motion for an extension of time to serve and file the application for leave to appeal is granted. The application for leave to appeal from the judgment of the </w:t>
            </w:r>
            <w:r w:rsidRPr="006F59DD">
              <w:rPr>
                <w:smallCaps w:val="0"/>
                <w:sz w:val="20"/>
                <w:szCs w:val="20"/>
                <w:lang w:val="en-US"/>
              </w:rPr>
              <w:t>Court of Appeal of Quebec (Montréal)</w:t>
            </w:r>
            <w:r w:rsidRPr="006F59DD">
              <w:rPr>
                <w:smallCaps w:val="0"/>
                <w:sz w:val="20"/>
                <w:szCs w:val="20"/>
              </w:rPr>
              <w:t xml:space="preserve">, Number </w:t>
            </w:r>
            <w:r w:rsidRPr="006F59DD">
              <w:rPr>
                <w:smallCaps w:val="0"/>
                <w:sz w:val="20"/>
                <w:szCs w:val="20"/>
                <w:lang w:val="en-US"/>
              </w:rPr>
              <w:t>500-09-027675-180</w:t>
            </w:r>
            <w:r w:rsidRPr="006F59DD">
              <w:rPr>
                <w:smallCaps w:val="0"/>
                <w:sz w:val="20"/>
                <w:szCs w:val="20"/>
              </w:rPr>
              <w:t xml:space="preserve">, 2021 QCCA 405, dated </w:t>
            </w:r>
            <w:r w:rsidRPr="006F59DD">
              <w:rPr>
                <w:smallCaps w:val="0"/>
                <w:sz w:val="20"/>
                <w:szCs w:val="20"/>
                <w:lang w:val="en-US"/>
              </w:rPr>
              <w:t>March 12, 2021</w:t>
            </w:r>
            <w:r w:rsidRPr="006F59DD">
              <w:rPr>
                <w:smallCaps w:val="0"/>
                <w:sz w:val="20"/>
                <w:szCs w:val="20"/>
              </w:rPr>
              <w:t xml:space="preserve"> is dismissed with costs.</w:t>
            </w:r>
          </w:p>
          <w:p w:rsidR="009F46F6" w:rsidRPr="006F59DD" w:rsidRDefault="009F46F6" w:rsidP="009F46F6"/>
        </w:tc>
      </w:tr>
      <w:tr w:rsidR="000A65C3" w:rsidRPr="006F59DD" w:rsidTr="009F46F6">
        <w:tc>
          <w:tcPr>
            <w:tcW w:w="5000" w:type="pct"/>
            <w:gridSpan w:val="4"/>
          </w:tcPr>
          <w:p w:rsidR="000A65C3" w:rsidRPr="006F59DD" w:rsidRDefault="000A65C3" w:rsidP="009F46F6">
            <w:pPr>
              <w:pStyle w:val="SCCBanSummary0"/>
              <w:rPr>
                <w:sz w:val="20"/>
                <w:szCs w:val="20"/>
              </w:rPr>
            </w:pPr>
            <w:r w:rsidRPr="006F59DD">
              <w:rPr>
                <w:sz w:val="20"/>
                <w:szCs w:val="20"/>
              </w:rPr>
              <w:t>(Sealing Order)</w:t>
            </w:r>
          </w:p>
          <w:p w:rsidR="000A65C3" w:rsidRPr="006F59DD" w:rsidRDefault="000A65C3" w:rsidP="009F46F6">
            <w:pPr>
              <w:pStyle w:val="SCCBanSummary0"/>
              <w:rPr>
                <w:smallCaps w:val="0"/>
                <w:sz w:val="20"/>
                <w:szCs w:val="20"/>
              </w:rPr>
            </w:pPr>
          </w:p>
          <w:p w:rsidR="000A65C3" w:rsidRPr="006F59DD" w:rsidRDefault="000A65C3" w:rsidP="009F46F6">
            <w:pPr>
              <w:pStyle w:val="SCCBanSummary0"/>
              <w:rPr>
                <w:sz w:val="20"/>
                <w:szCs w:val="20"/>
              </w:rPr>
            </w:pPr>
            <w:r w:rsidRPr="006F59DD">
              <w:rPr>
                <w:smallCaps w:val="0"/>
                <w:sz w:val="20"/>
                <w:szCs w:val="20"/>
              </w:rPr>
              <w:t xml:space="preserve">Contract ⸺ Contract of enterprise or for services ⸺ Solicitation ⸺ Abusive resiliation ⸺ Bad faith ⸺ Whether Court of Appeal erred in interpreting and applying arts. 6, 7, 1375 and 1503 of </w:t>
            </w:r>
            <w:r w:rsidRPr="006F59DD">
              <w:rPr>
                <w:i/>
                <w:smallCaps w:val="0"/>
                <w:sz w:val="20"/>
                <w:szCs w:val="20"/>
              </w:rPr>
              <w:t>Civil Code of Québec</w:t>
            </w:r>
            <w:r w:rsidRPr="006F59DD">
              <w:rPr>
                <w:smallCaps w:val="0"/>
                <w:sz w:val="20"/>
                <w:szCs w:val="20"/>
              </w:rPr>
              <w:t xml:space="preserve"> and </w:t>
            </w:r>
            <w:r w:rsidRPr="006F59DD">
              <w:rPr>
                <w:i/>
                <w:smallCaps w:val="0"/>
                <w:sz w:val="20"/>
                <w:szCs w:val="20"/>
              </w:rPr>
              <w:t>Société en commandite Place Mullins v. Services immobiliers Diane Bisson inc.</w:t>
            </w:r>
            <w:r w:rsidRPr="006F59DD">
              <w:rPr>
                <w:smallCaps w:val="0"/>
                <w:sz w:val="20"/>
                <w:szCs w:val="20"/>
              </w:rPr>
              <w:t xml:space="preserve">, 2015 SCC 36, by refusing to regard respondents’ bad faith, existence of which had been recognized by trial judge, as fault that prevented conditional 10 percent partnership obligation from becoming pure and simple obligation ⸺ In alternative, given that respondents’ bad faith had been proved by applicant and recognized by trial judge, whether Court of Appeal perpetuated trial judge’s error by not ordering reversal of burden of proof to determine whether respondents’ withdrawal from projects involving McGill University Health Centre (MUHC), Centre hospitalier de l’Université de Montréal (CHUM) and Centre de recherche du Centre hospitalier de l’Université de Montréal (CRCHUM) was wrongful conduct under art. 1503 of </w:t>
            </w:r>
            <w:r w:rsidRPr="006F59DD">
              <w:rPr>
                <w:i/>
                <w:smallCaps w:val="0"/>
                <w:sz w:val="20"/>
                <w:szCs w:val="20"/>
              </w:rPr>
              <w:t>Civil Code of Québec</w:t>
            </w:r>
            <w:r w:rsidRPr="006F59DD">
              <w:rPr>
                <w:smallCaps w:val="0"/>
                <w:sz w:val="20"/>
                <w:szCs w:val="20"/>
              </w:rPr>
              <w:t xml:space="preserve"> ⸺ With regard to compensation of applicant, whether Court of Appeal erred in law in disregarding application of art. 1507 C.C.Q. in this case despite fact that applicant had fulfilled suspensive condition even before respondents withdrew from MUHC, CRCHUM and CHUM projects ⸺  </w:t>
            </w:r>
            <w:r w:rsidRPr="006F59DD">
              <w:rPr>
                <w:i/>
                <w:smallCaps w:val="0"/>
                <w:sz w:val="20"/>
                <w:szCs w:val="20"/>
              </w:rPr>
              <w:t>Civil Code of Québec</w:t>
            </w:r>
            <w:r w:rsidRPr="006F59DD">
              <w:rPr>
                <w:smallCaps w:val="0"/>
                <w:sz w:val="20"/>
                <w:szCs w:val="20"/>
              </w:rPr>
              <w:t>, arts. 6, 7, 1375, 1503 and 1507.</w:t>
            </w:r>
          </w:p>
        </w:tc>
      </w:tr>
      <w:tr w:rsidR="000A65C3" w:rsidRPr="006F59DD" w:rsidTr="009F46F6">
        <w:tc>
          <w:tcPr>
            <w:tcW w:w="5000" w:type="pct"/>
            <w:gridSpan w:val="4"/>
          </w:tcPr>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The applicant, Gestion RNB inc. (RNB), is a small Quebec company specializing in construction project management. The respondent URS Corporation (URS) is an American company that works all over the world in the field of architecture, engineering and construction project management. In July 2014, URS merged its operations with a second company, thereby creating AECOM Global II LLC, which is controlled by AECOM, both of which are respondents here. In 2005, RNB obtained a solicitation and partnership contract with URS, which was seeking contracts for construction projects. The contract provided for hourly remuneration and a partnership between the parties for 10 percent of the value of any service agreement secured by URS as a result of solicitation by RNB. URS resiliated the contract in 2006. The resiliation was affirmed by the Superior Court, although it determined that the clause concerning the 10 percent partnership between the parties survived the resiliation. RNB brought proceedings against the respondents to recover $9,960,516, which corresponded to 10 percent of the value of the contracts that URS should have obtained as a result of the solicitation it had done for three mega</w:t>
            </w:r>
            <w:r w:rsidRPr="006F59DD">
              <w:rPr>
                <w:sz w:val="20"/>
              </w:rPr>
              <w:noBreakHyphen/>
              <w:t>hospital projects. The Superior Court allowed RNB’s application in part, and the Court of Appeal dismissed its appeal.</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lastRenderedPageBreak/>
              <w:t>June 7, 2018</w:t>
            </w:r>
          </w:p>
          <w:p w:rsidR="000A65C3" w:rsidRPr="006F59DD" w:rsidRDefault="000A65C3" w:rsidP="009F46F6">
            <w:pPr>
              <w:jc w:val="both"/>
              <w:rPr>
                <w:sz w:val="20"/>
              </w:rPr>
            </w:pPr>
            <w:r w:rsidRPr="006F59DD">
              <w:rPr>
                <w:sz w:val="20"/>
              </w:rPr>
              <w:t>Quebec Superior Court</w:t>
            </w:r>
          </w:p>
          <w:p w:rsidR="000A65C3" w:rsidRPr="006F59DD" w:rsidRDefault="000A65C3" w:rsidP="009F46F6">
            <w:pPr>
              <w:jc w:val="both"/>
              <w:rPr>
                <w:sz w:val="20"/>
              </w:rPr>
            </w:pPr>
            <w:r w:rsidRPr="006F59DD">
              <w:rPr>
                <w:sz w:val="20"/>
              </w:rPr>
              <w:t>(Michaud J.)</w:t>
            </w:r>
          </w:p>
          <w:p w:rsidR="000A65C3" w:rsidRPr="006F59DD" w:rsidRDefault="006F59DD" w:rsidP="009F46F6">
            <w:pPr>
              <w:jc w:val="both"/>
              <w:rPr>
                <w:sz w:val="20"/>
              </w:rPr>
            </w:pPr>
            <w:hyperlink r:id="rId17" w:history="1">
              <w:r w:rsidR="000A65C3" w:rsidRPr="006F59DD">
                <w:rPr>
                  <w:rStyle w:val="Hyperlink"/>
                  <w:sz w:val="20"/>
                </w:rPr>
                <w:t>2018 QCCS 2458</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Re</w:t>
            </w:r>
            <w:r w:rsidRPr="006F59DD">
              <w:rPr>
                <w:sz w:val="20"/>
              </w:rPr>
              <w:noBreakHyphen/>
              <w:t>re</w:t>
            </w:r>
            <w:r w:rsidRPr="006F59DD">
              <w:rPr>
                <w:sz w:val="20"/>
              </w:rPr>
              <w:noBreakHyphen/>
              <w:t>amended judicial application dated June 3, 2016 allowed</w:t>
            </w:r>
          </w:p>
          <w:p w:rsidR="000A65C3" w:rsidRPr="006F59DD" w:rsidRDefault="000A65C3" w:rsidP="009F46F6">
            <w:pPr>
              <w:jc w:val="both"/>
              <w:rPr>
                <w:sz w:val="20"/>
              </w:rPr>
            </w:pPr>
            <w:r w:rsidRPr="006F59DD">
              <w:rPr>
                <w:sz w:val="20"/>
              </w:rPr>
              <w:t>Re</w:t>
            </w:r>
            <w:r w:rsidRPr="006F59DD">
              <w:rPr>
                <w:sz w:val="20"/>
              </w:rPr>
              <w:noBreakHyphen/>
              <w:t>re</w:t>
            </w:r>
            <w:r w:rsidRPr="006F59DD">
              <w:rPr>
                <w:sz w:val="20"/>
              </w:rPr>
              <w:noBreakHyphen/>
              <w:t>amended judicial application dated June 3, 2016 concerning AECOM dismissed</w:t>
            </w:r>
          </w:p>
          <w:p w:rsidR="000A65C3" w:rsidRPr="006F59DD" w:rsidRDefault="000A65C3" w:rsidP="009F46F6">
            <w:pPr>
              <w:jc w:val="both"/>
              <w:rPr>
                <w:sz w:val="20"/>
              </w:rPr>
            </w:pPr>
            <w:r w:rsidRPr="006F59DD">
              <w:rPr>
                <w:sz w:val="20"/>
              </w:rPr>
              <w:t>URS Corporation and AECOM Global II LLC ordered to pay $125,545 to Gestion RNB inc.</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March 12, 2021</w:t>
            </w:r>
          </w:p>
          <w:p w:rsidR="000A65C3" w:rsidRPr="006F59DD" w:rsidRDefault="000A65C3" w:rsidP="009F46F6">
            <w:pPr>
              <w:jc w:val="both"/>
              <w:rPr>
                <w:sz w:val="20"/>
              </w:rPr>
            </w:pPr>
            <w:r w:rsidRPr="006F59DD">
              <w:rPr>
                <w:sz w:val="20"/>
              </w:rPr>
              <w:t>Quebec Court of Appeal (Montréal)</w:t>
            </w:r>
          </w:p>
          <w:p w:rsidR="000A65C3" w:rsidRPr="006F59DD" w:rsidRDefault="000A65C3" w:rsidP="009F46F6">
            <w:pPr>
              <w:jc w:val="both"/>
              <w:rPr>
                <w:sz w:val="20"/>
              </w:rPr>
            </w:pPr>
            <w:r w:rsidRPr="006F59DD">
              <w:rPr>
                <w:sz w:val="20"/>
              </w:rPr>
              <w:t>(Morissette, Healy and Hamilton JJ.A.)</w:t>
            </w:r>
          </w:p>
          <w:p w:rsidR="000A65C3" w:rsidRPr="006F59DD" w:rsidRDefault="006F59DD" w:rsidP="009F46F6">
            <w:pPr>
              <w:jc w:val="both"/>
              <w:rPr>
                <w:sz w:val="20"/>
              </w:rPr>
            </w:pPr>
            <w:hyperlink r:id="rId18" w:history="1">
              <w:r w:rsidR="000A65C3" w:rsidRPr="006F59DD">
                <w:rPr>
                  <w:rStyle w:val="Hyperlink"/>
                  <w:sz w:val="20"/>
                </w:rPr>
                <w:t>2021 QCCA 405</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Appeal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August 6, 2021</w:t>
            </w:r>
          </w:p>
          <w:p w:rsidR="000A65C3" w:rsidRPr="006F59DD" w:rsidRDefault="000A65C3" w:rsidP="009F46F6">
            <w:pPr>
              <w:jc w:val="both"/>
              <w:rPr>
                <w:sz w:val="20"/>
              </w:rPr>
            </w:pPr>
            <w:r w:rsidRPr="006F59DD">
              <w:rPr>
                <w:sz w:val="20"/>
              </w:rPr>
              <w:t>Supreme Court of Canada</w:t>
            </w: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filed</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43" style="width:2in;height:1pt" o:hrpct="0" o:hralign="center" o:hrstd="t" o:hrnoshade="t" o:hr="t" fillcolor="black [3213]" stroked="f"/>
        </w:pict>
      </w:r>
    </w:p>
    <w:p w:rsidR="000A65C3" w:rsidRPr="006F59DD" w:rsidRDefault="000A65C3" w:rsidP="000A65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39786</w:t>
            </w:r>
          </w:p>
        </w:tc>
        <w:tc>
          <w:tcPr>
            <w:tcW w:w="4457" w:type="pct"/>
            <w:gridSpan w:val="3"/>
          </w:tcPr>
          <w:p w:rsidR="000A65C3" w:rsidRPr="006F59DD" w:rsidRDefault="000A65C3" w:rsidP="009F46F6">
            <w:pPr>
              <w:pStyle w:val="SCCLsocParty"/>
              <w:jc w:val="both"/>
              <w:rPr>
                <w:b/>
                <w:sz w:val="20"/>
                <w:szCs w:val="20"/>
              </w:rPr>
            </w:pPr>
            <w:r w:rsidRPr="006F59DD">
              <w:rPr>
                <w:b/>
                <w:sz w:val="20"/>
                <w:szCs w:val="20"/>
              </w:rPr>
              <w:t xml:space="preserve">Gestion RNB </w:t>
            </w:r>
            <w:r w:rsidR="009F46F6" w:rsidRPr="006F59DD">
              <w:rPr>
                <w:b/>
                <w:sz w:val="20"/>
                <w:szCs w:val="20"/>
              </w:rPr>
              <w:t>i</w:t>
            </w:r>
            <w:r w:rsidRPr="006F59DD">
              <w:rPr>
                <w:b/>
                <w:sz w:val="20"/>
                <w:szCs w:val="20"/>
              </w:rPr>
              <w:t xml:space="preserve">nc. c. </w:t>
            </w:r>
            <w:r w:rsidR="009F46F6" w:rsidRPr="006F59DD">
              <w:rPr>
                <w:b/>
                <w:sz w:val="20"/>
                <w:szCs w:val="20"/>
              </w:rPr>
              <w:t>URS Corporation, Aecom Global II LLC et Aecom</w:t>
            </w:r>
          </w:p>
          <w:p w:rsidR="000A65C3" w:rsidRPr="006F59DD" w:rsidRDefault="000A65C3" w:rsidP="009F46F6">
            <w:pPr>
              <w:jc w:val="both"/>
              <w:rPr>
                <w:sz w:val="20"/>
                <w:lang w:val="fr-CA"/>
              </w:rPr>
            </w:pPr>
            <w:r w:rsidRPr="006F59DD">
              <w:rPr>
                <w:sz w:val="20"/>
                <w:lang w:val="fr-CA"/>
              </w:rPr>
              <w:t>(Qc) (Civile) (Autorisation)</w:t>
            </w:r>
          </w:p>
        </w:tc>
      </w:tr>
      <w:tr w:rsidR="000A65C3" w:rsidRPr="006F59DD" w:rsidTr="009F46F6">
        <w:tc>
          <w:tcPr>
            <w:tcW w:w="5000" w:type="pct"/>
            <w:gridSpan w:val="4"/>
          </w:tcPr>
          <w:p w:rsidR="009F46F6" w:rsidRPr="006F59DD" w:rsidRDefault="009F46F6" w:rsidP="009F46F6">
            <w:pPr>
              <w:jc w:val="both"/>
              <w:rPr>
                <w:sz w:val="20"/>
                <w:szCs w:val="20"/>
                <w:lang w:val="fr-CA"/>
              </w:rPr>
            </w:pPr>
            <w:r w:rsidRPr="006F59DD">
              <w:rPr>
                <w:sz w:val="20"/>
                <w:szCs w:val="20"/>
                <w:lang w:val="fr-CA"/>
              </w:rPr>
              <w:t>La requête en prorogation du délai de signification et de dépôt de la demande d’autorisation d’appel est accueillie. La demande d’autorisation d’appel de l’arrêt de la Cour d’appel du Québec (Montréal), numéro 500-09-027675-180, 2021 QCCA 405, daté du 12 mars 2021, est rejetée avec dépens.</w:t>
            </w:r>
          </w:p>
          <w:p w:rsidR="000A65C3" w:rsidRPr="006F59DD" w:rsidRDefault="000A65C3" w:rsidP="009F46F6">
            <w:pPr>
              <w:pStyle w:val="SCCBanSummary0"/>
              <w:rPr>
                <w:sz w:val="20"/>
                <w:szCs w:val="20"/>
                <w:lang w:val="fr-CA"/>
              </w:rPr>
            </w:pPr>
          </w:p>
        </w:tc>
      </w:tr>
      <w:tr w:rsidR="000A65C3" w:rsidRPr="006F59DD" w:rsidTr="009F46F6">
        <w:tc>
          <w:tcPr>
            <w:tcW w:w="5000" w:type="pct"/>
            <w:gridSpan w:val="4"/>
          </w:tcPr>
          <w:p w:rsidR="000A65C3" w:rsidRPr="006F59DD" w:rsidRDefault="000A65C3" w:rsidP="009F46F6">
            <w:pPr>
              <w:pStyle w:val="SCCBanSummary0"/>
              <w:rPr>
                <w:sz w:val="20"/>
                <w:szCs w:val="20"/>
                <w:lang w:val="fr-CA"/>
              </w:rPr>
            </w:pPr>
            <w:r w:rsidRPr="006F59DD">
              <w:rPr>
                <w:sz w:val="20"/>
                <w:szCs w:val="20"/>
                <w:lang w:val="fr-CA"/>
              </w:rPr>
              <w:t>(Ordonnance de mise sous scellés)</w:t>
            </w:r>
          </w:p>
          <w:p w:rsidR="000A65C3" w:rsidRPr="006F59DD" w:rsidRDefault="000A65C3" w:rsidP="009F46F6">
            <w:pPr>
              <w:pStyle w:val="SCCBanSummary0"/>
              <w:rPr>
                <w:smallCaps w:val="0"/>
                <w:sz w:val="20"/>
                <w:szCs w:val="20"/>
                <w:lang w:val="fr-CA"/>
              </w:rPr>
            </w:pPr>
          </w:p>
          <w:p w:rsidR="000A65C3" w:rsidRPr="006F59DD" w:rsidRDefault="000A65C3" w:rsidP="009F46F6">
            <w:pPr>
              <w:pStyle w:val="SCCBanSummary0"/>
              <w:rPr>
                <w:sz w:val="20"/>
                <w:szCs w:val="20"/>
              </w:rPr>
            </w:pPr>
            <w:r w:rsidRPr="006F59DD">
              <w:rPr>
                <w:smallCaps w:val="0"/>
                <w:sz w:val="20"/>
                <w:szCs w:val="20"/>
                <w:lang w:val="fr-CA"/>
              </w:rPr>
              <w:t xml:space="preserve">Contrat </w:t>
            </w:r>
            <w:r w:rsidRPr="006F59DD">
              <w:rPr>
                <w:smallCaps w:val="0"/>
                <w:sz w:val="20"/>
                <w:szCs w:val="20"/>
              </w:rPr>
              <w:t>⸺</w:t>
            </w:r>
            <w:r w:rsidRPr="006F59DD">
              <w:rPr>
                <w:smallCaps w:val="0"/>
                <w:sz w:val="20"/>
                <w:szCs w:val="20"/>
                <w:lang w:val="fr-CA"/>
              </w:rPr>
              <w:t xml:space="preserve"> Contrat d’entreprise ou de services </w:t>
            </w:r>
            <w:r w:rsidRPr="006F59DD">
              <w:rPr>
                <w:smallCaps w:val="0"/>
                <w:sz w:val="20"/>
                <w:szCs w:val="20"/>
              </w:rPr>
              <w:t>⸺</w:t>
            </w:r>
            <w:r w:rsidRPr="006F59DD">
              <w:rPr>
                <w:smallCaps w:val="0"/>
                <w:sz w:val="20"/>
                <w:szCs w:val="20"/>
                <w:lang w:val="fr-CA"/>
              </w:rPr>
              <w:t xml:space="preserve"> Démarchage </w:t>
            </w:r>
            <w:r w:rsidRPr="006F59DD">
              <w:rPr>
                <w:smallCaps w:val="0"/>
                <w:sz w:val="20"/>
                <w:szCs w:val="20"/>
              </w:rPr>
              <w:t>⸺</w:t>
            </w:r>
            <w:r w:rsidRPr="006F59DD">
              <w:rPr>
                <w:smallCaps w:val="0"/>
                <w:sz w:val="20"/>
                <w:szCs w:val="20"/>
                <w:lang w:val="fr-CA"/>
              </w:rPr>
              <w:t xml:space="preserve"> Résiliation abusive </w:t>
            </w:r>
            <w:r w:rsidRPr="006F59DD">
              <w:rPr>
                <w:smallCaps w:val="0"/>
                <w:sz w:val="20"/>
                <w:szCs w:val="20"/>
              </w:rPr>
              <w:t>⸺</w:t>
            </w:r>
            <w:r w:rsidRPr="006F59DD">
              <w:rPr>
                <w:smallCaps w:val="0"/>
                <w:sz w:val="20"/>
                <w:szCs w:val="20"/>
                <w:lang w:val="fr-CA"/>
              </w:rPr>
              <w:t xml:space="preserve"> Mauvaise foi </w:t>
            </w:r>
            <w:r w:rsidRPr="006F59DD">
              <w:rPr>
                <w:smallCaps w:val="0"/>
                <w:sz w:val="20"/>
                <w:szCs w:val="20"/>
              </w:rPr>
              <w:t>⸺</w:t>
            </w:r>
            <w:r w:rsidRPr="006F59DD">
              <w:rPr>
                <w:smallCaps w:val="0"/>
                <w:sz w:val="20"/>
                <w:szCs w:val="20"/>
                <w:lang w:val="fr-CA"/>
              </w:rPr>
              <w:t xml:space="preserve"> La Cour d’appel a</w:t>
            </w:r>
            <w:r w:rsidRPr="006F59DD">
              <w:rPr>
                <w:smallCaps w:val="0"/>
                <w:sz w:val="20"/>
                <w:szCs w:val="20"/>
                <w:lang w:val="fr-CA"/>
              </w:rPr>
              <w:noBreakHyphen/>
              <w:t>t</w:t>
            </w:r>
            <w:r w:rsidRPr="006F59DD">
              <w:rPr>
                <w:smallCaps w:val="0"/>
                <w:sz w:val="20"/>
                <w:szCs w:val="20"/>
                <w:lang w:val="fr-CA"/>
              </w:rPr>
              <w:noBreakHyphen/>
              <w:t xml:space="preserve">elle erré dans l’interprétation et l’application des art. 6, 7, 1375 et 1503 du </w:t>
            </w:r>
            <w:r w:rsidRPr="006F59DD">
              <w:rPr>
                <w:i/>
                <w:smallCaps w:val="0"/>
                <w:sz w:val="20"/>
                <w:szCs w:val="20"/>
                <w:lang w:val="fr-CA"/>
              </w:rPr>
              <w:t>Code civil du Québec</w:t>
            </w:r>
            <w:r w:rsidRPr="006F59DD">
              <w:rPr>
                <w:smallCaps w:val="0"/>
                <w:sz w:val="20"/>
                <w:szCs w:val="20"/>
                <w:lang w:val="fr-CA"/>
              </w:rPr>
              <w:t xml:space="preserve"> et de l’arrêt </w:t>
            </w:r>
            <w:r w:rsidRPr="006F59DD">
              <w:rPr>
                <w:i/>
                <w:smallCaps w:val="0"/>
                <w:sz w:val="20"/>
                <w:szCs w:val="20"/>
                <w:lang w:val="fr-CA"/>
              </w:rPr>
              <w:t>Société en commandite Place Mullins c. Services immobiliers Diane Bisson inc.</w:t>
            </w:r>
            <w:r w:rsidRPr="006F59DD">
              <w:rPr>
                <w:smallCaps w:val="0"/>
                <w:sz w:val="20"/>
                <w:szCs w:val="20"/>
                <w:lang w:val="fr-CA"/>
              </w:rPr>
              <w:t xml:space="preserve">, 2015 CSC 36, en refusant de considérer la mauvaise foi des intimées, dont le juge du procès a reconnu l’existence, comme une faute ayant empêché l’obligation conditionnelle de Partenariat de 10% de devenir une obligation pure et simple? </w:t>
            </w:r>
            <w:r w:rsidRPr="006F59DD">
              <w:rPr>
                <w:smallCaps w:val="0"/>
                <w:sz w:val="20"/>
                <w:szCs w:val="20"/>
              </w:rPr>
              <w:t>⸺</w:t>
            </w:r>
            <w:r w:rsidRPr="006F59DD">
              <w:rPr>
                <w:smallCaps w:val="0"/>
                <w:sz w:val="20"/>
                <w:szCs w:val="20"/>
                <w:lang w:val="fr-CA"/>
              </w:rPr>
              <w:t xml:space="preserve"> Subsidiairement, alors que la mauvaise foi des intimées avait été prouvée par la demanderesse et reconnue par le juge du procès, la Cour d’appel a</w:t>
            </w:r>
            <w:r w:rsidRPr="006F59DD">
              <w:rPr>
                <w:smallCaps w:val="0"/>
                <w:sz w:val="20"/>
                <w:szCs w:val="20"/>
                <w:lang w:val="fr-CA"/>
              </w:rPr>
              <w:noBreakHyphen/>
              <w:t>t</w:t>
            </w:r>
            <w:r w:rsidRPr="006F59DD">
              <w:rPr>
                <w:smallCaps w:val="0"/>
                <w:sz w:val="20"/>
                <w:szCs w:val="20"/>
                <w:lang w:val="fr-CA"/>
              </w:rPr>
              <w:noBreakHyphen/>
              <w:t xml:space="preserve">elle perpétué l’erreur de ce dernier en n’ordonnant pas un renversement du fardeau de la preuve pour déterminer si le retrait, par les intimées, des projets du Centre universitaire de santé McGill (CUSM), Centre hospitalier de l’Université de Montréal (CHUM) et Centre de recherche du Centre hospitalier de l’Université de Montréal (CRCHUM) constituait un comportement fautif en vertu de l’art. 1503 du </w:t>
            </w:r>
            <w:r w:rsidRPr="006F59DD">
              <w:rPr>
                <w:i/>
                <w:smallCaps w:val="0"/>
                <w:sz w:val="20"/>
                <w:szCs w:val="20"/>
                <w:lang w:val="fr-CA"/>
              </w:rPr>
              <w:t>Code civil du Québec</w:t>
            </w:r>
            <w:r w:rsidRPr="006F59DD">
              <w:rPr>
                <w:smallCaps w:val="0"/>
                <w:sz w:val="20"/>
                <w:szCs w:val="20"/>
                <w:lang w:val="fr-CA"/>
              </w:rPr>
              <w:t xml:space="preserve">? </w:t>
            </w:r>
            <w:r w:rsidRPr="006F59DD">
              <w:rPr>
                <w:smallCaps w:val="0"/>
                <w:sz w:val="20"/>
                <w:szCs w:val="20"/>
              </w:rPr>
              <w:t>⸺</w:t>
            </w:r>
            <w:r w:rsidRPr="006F59DD">
              <w:rPr>
                <w:smallCaps w:val="0"/>
                <w:sz w:val="20"/>
                <w:szCs w:val="20"/>
                <w:lang w:val="fr-CA"/>
              </w:rPr>
              <w:t xml:space="preserve"> Relativement à la compensation de la demanderesse, la Cour d’appel a</w:t>
            </w:r>
            <w:r w:rsidRPr="006F59DD">
              <w:rPr>
                <w:smallCaps w:val="0"/>
                <w:sz w:val="20"/>
                <w:szCs w:val="20"/>
                <w:lang w:val="fr-CA"/>
              </w:rPr>
              <w:noBreakHyphen/>
              <w:t>t</w:t>
            </w:r>
            <w:r w:rsidRPr="006F59DD">
              <w:rPr>
                <w:smallCaps w:val="0"/>
                <w:sz w:val="20"/>
                <w:szCs w:val="20"/>
                <w:lang w:val="fr-CA"/>
              </w:rPr>
              <w:noBreakHyphen/>
              <w:t xml:space="preserve">elle erré en droit en ignorant l’application de l’art. 1507 CCQ en l’instance alors que la condition suspensive a été rencontrée par la demanderesse avant même que les intimées se désistent des projets du CUSM, CRCHUM et CHUM? </w:t>
            </w:r>
            <w:r w:rsidRPr="006F59DD">
              <w:rPr>
                <w:smallCaps w:val="0"/>
                <w:sz w:val="20"/>
                <w:szCs w:val="20"/>
              </w:rPr>
              <w:t xml:space="preserve">⸺  </w:t>
            </w:r>
            <w:r w:rsidRPr="006F59DD">
              <w:rPr>
                <w:i/>
                <w:smallCaps w:val="0"/>
                <w:sz w:val="20"/>
                <w:szCs w:val="20"/>
              </w:rPr>
              <w:t>Code civil du Québec</w:t>
            </w:r>
            <w:r w:rsidRPr="006F59DD">
              <w:rPr>
                <w:smallCaps w:val="0"/>
                <w:sz w:val="20"/>
                <w:szCs w:val="20"/>
              </w:rPr>
              <w:t>, art. 6, 7, 1375, 1503 et 1507.</w:t>
            </w:r>
          </w:p>
        </w:tc>
      </w:tr>
      <w:tr w:rsidR="000A65C3" w:rsidRPr="006F59DD" w:rsidTr="009F46F6">
        <w:tc>
          <w:tcPr>
            <w:tcW w:w="5000" w:type="pct"/>
            <w:gridSpan w:val="4"/>
          </w:tcPr>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lang w:val="fr-CA"/>
              </w:rPr>
            </w:pPr>
            <w:r w:rsidRPr="006F59DD">
              <w:rPr>
                <w:sz w:val="20"/>
                <w:lang w:val="fr-CA"/>
              </w:rPr>
              <w:t>La demanderesse Gestion RNB Inc. (RNB) est une petite entreprise québécoise spécialisée dans la gestion de projets de construction. L’intimée URS Corporation (URS), quant à elle, est une entreprise américaine qui œuvre mondialement dans le domaine de la gestion de projets d’architecture, de génie et de construction. En juillet 2014, URS fusionne ses activités avec une seconde entreprise créant ainsi la compagnie AECOM Global II LCC qui est contrôlée par l’entité AECOM toutes deux intimées en l’espèce. En 2005, RNB obtient un contrat de démarchage et de partenariat avec URS qui désire obtenir des contrats relatifs à des projets de construction. Le contrat prévoyait une rémunération au taux horaire et un partenariat entre les parties à hauteur de 10 % de la valeur de tout projet de services gagné par URS grâce au démarchage réalisé par RNB. Le contrat a été résilié par URS en 2006. Cette résiliation est confirmée par la Cour supérieure qui détermine toutefois que la clause relative au partenariat de 10% entre les parties suivit à la résiliation. RNB entreprend un recours contre les intimées afin d’obtenir le recouvrement de la somme de 9 960 516 $ correspondant à 10% de la valeur des contrats qu’URS aurait dû obtenir en raison du démarchage qu’elle a réalisé relativement à trois projets de méga</w:t>
            </w:r>
            <w:r w:rsidRPr="006F59DD">
              <w:rPr>
                <w:sz w:val="20"/>
                <w:lang w:val="fr-CA"/>
              </w:rPr>
              <w:noBreakHyphen/>
              <w:t>hôpitaux. La Cour supérieure a accueilli en partie la demande de RNB et la Cour d’appel a rejeté son appel.</w:t>
            </w:r>
          </w:p>
          <w:p w:rsidR="000A65C3" w:rsidRPr="006F59DD" w:rsidRDefault="000A65C3" w:rsidP="009F46F6">
            <w:pPr>
              <w:jc w:val="both"/>
              <w:rPr>
                <w:sz w:val="20"/>
                <w:lang w:val="fr-CA"/>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lastRenderedPageBreak/>
              <w:t>Le 7 juin 2018</w:t>
            </w:r>
          </w:p>
          <w:p w:rsidR="000A65C3" w:rsidRPr="006F59DD" w:rsidRDefault="000A65C3" w:rsidP="009F46F6">
            <w:pPr>
              <w:jc w:val="both"/>
              <w:rPr>
                <w:sz w:val="20"/>
                <w:lang w:val="fr-CA"/>
              </w:rPr>
            </w:pPr>
            <w:r w:rsidRPr="006F59DD">
              <w:rPr>
                <w:sz w:val="20"/>
                <w:lang w:val="fr-CA"/>
              </w:rPr>
              <w:t>Cour supérieure du Québec</w:t>
            </w:r>
          </w:p>
          <w:p w:rsidR="000A65C3" w:rsidRPr="006F59DD" w:rsidRDefault="000A65C3" w:rsidP="009F46F6">
            <w:pPr>
              <w:jc w:val="both"/>
              <w:rPr>
                <w:sz w:val="20"/>
              </w:rPr>
            </w:pPr>
            <w:r w:rsidRPr="006F59DD">
              <w:rPr>
                <w:sz w:val="20"/>
              </w:rPr>
              <w:t>(Le juge Michaud)</w:t>
            </w:r>
          </w:p>
          <w:p w:rsidR="000A65C3" w:rsidRPr="006F59DD" w:rsidRDefault="006F59DD" w:rsidP="009F46F6">
            <w:pPr>
              <w:jc w:val="both"/>
              <w:rPr>
                <w:sz w:val="20"/>
              </w:rPr>
            </w:pPr>
            <w:hyperlink r:id="rId19" w:history="1">
              <w:r w:rsidR="000A65C3" w:rsidRPr="006F59DD">
                <w:rPr>
                  <w:rStyle w:val="Hyperlink"/>
                  <w:sz w:val="20"/>
                </w:rPr>
                <w:t>2018 QCCS 2458</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lang w:val="fr-CA"/>
              </w:rPr>
            </w:pPr>
            <w:r w:rsidRPr="006F59DD">
              <w:rPr>
                <w:sz w:val="20"/>
                <w:lang w:val="fr-CA"/>
              </w:rPr>
              <w:t>Demande en justice ré</w:t>
            </w:r>
            <w:r w:rsidRPr="006F59DD">
              <w:rPr>
                <w:sz w:val="20"/>
                <w:lang w:val="fr-CA"/>
              </w:rPr>
              <w:noBreakHyphen/>
              <w:t>ré</w:t>
            </w:r>
            <w:r w:rsidRPr="006F59DD">
              <w:rPr>
                <w:sz w:val="20"/>
                <w:lang w:val="fr-CA"/>
              </w:rPr>
              <w:noBreakHyphen/>
              <w:t>amendée datée du 3 juin 2016 accueillie.</w:t>
            </w:r>
          </w:p>
          <w:p w:rsidR="000A65C3" w:rsidRPr="006F59DD" w:rsidRDefault="000A65C3" w:rsidP="009F46F6">
            <w:pPr>
              <w:jc w:val="both"/>
              <w:rPr>
                <w:sz w:val="20"/>
                <w:lang w:val="fr-CA"/>
              </w:rPr>
            </w:pPr>
            <w:r w:rsidRPr="006F59DD">
              <w:rPr>
                <w:sz w:val="20"/>
                <w:lang w:val="fr-CA"/>
              </w:rPr>
              <w:t>Demande en justice ré</w:t>
            </w:r>
            <w:r w:rsidRPr="006F59DD">
              <w:rPr>
                <w:sz w:val="20"/>
                <w:lang w:val="fr-CA"/>
              </w:rPr>
              <w:noBreakHyphen/>
              <w:t>ré</w:t>
            </w:r>
            <w:r w:rsidRPr="006F59DD">
              <w:rPr>
                <w:sz w:val="20"/>
                <w:lang w:val="fr-CA"/>
              </w:rPr>
              <w:noBreakHyphen/>
              <w:t>amendée datée du 3 juin 2016 quant à AECOM rejetée.</w:t>
            </w:r>
          </w:p>
          <w:p w:rsidR="000A65C3" w:rsidRPr="006F59DD" w:rsidRDefault="000A65C3" w:rsidP="009F46F6">
            <w:pPr>
              <w:jc w:val="both"/>
              <w:rPr>
                <w:sz w:val="20"/>
                <w:lang w:val="fr-CA"/>
              </w:rPr>
            </w:pPr>
            <w:r w:rsidRPr="006F59DD">
              <w:rPr>
                <w:sz w:val="20"/>
                <w:lang w:val="fr-CA"/>
              </w:rPr>
              <w:t xml:space="preserve">URS Corporation et AECOM Global II, LLC condamnés à payer 125 545 $ à Gestion RNB inc. </w:t>
            </w:r>
          </w:p>
          <w:p w:rsidR="000A65C3" w:rsidRPr="006F59DD" w:rsidRDefault="000A65C3" w:rsidP="009F46F6">
            <w:pPr>
              <w:jc w:val="both"/>
              <w:rPr>
                <w:sz w:val="20"/>
                <w:lang w:val="fr-CA"/>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Le 12 mars 2021</w:t>
            </w:r>
          </w:p>
          <w:p w:rsidR="000A65C3" w:rsidRPr="006F59DD" w:rsidRDefault="000A65C3" w:rsidP="009F46F6">
            <w:pPr>
              <w:jc w:val="both"/>
              <w:rPr>
                <w:sz w:val="20"/>
                <w:lang w:val="fr-CA"/>
              </w:rPr>
            </w:pPr>
            <w:r w:rsidRPr="006F59DD">
              <w:rPr>
                <w:sz w:val="20"/>
                <w:lang w:val="fr-CA"/>
              </w:rPr>
              <w:t>Cour d’appel du Québec (Montréal)</w:t>
            </w:r>
          </w:p>
          <w:p w:rsidR="000A65C3" w:rsidRPr="006F59DD" w:rsidRDefault="000A65C3" w:rsidP="009F46F6">
            <w:pPr>
              <w:jc w:val="both"/>
              <w:rPr>
                <w:sz w:val="20"/>
                <w:lang w:val="fr-CA"/>
              </w:rPr>
            </w:pPr>
            <w:r w:rsidRPr="006F59DD">
              <w:rPr>
                <w:sz w:val="20"/>
                <w:lang w:val="fr-CA"/>
              </w:rPr>
              <w:t>(Les juges Morissette, Healy et Hamilton)</w:t>
            </w:r>
          </w:p>
          <w:p w:rsidR="000A65C3" w:rsidRPr="006F59DD" w:rsidRDefault="006F59DD" w:rsidP="009F46F6">
            <w:pPr>
              <w:jc w:val="both"/>
              <w:rPr>
                <w:sz w:val="20"/>
              </w:rPr>
            </w:pPr>
            <w:hyperlink r:id="rId20" w:history="1">
              <w:r w:rsidR="000A65C3" w:rsidRPr="006F59DD">
                <w:rPr>
                  <w:rStyle w:val="Hyperlink"/>
                  <w:sz w:val="20"/>
                </w:rPr>
                <w:t>2021 QCCA 405</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Appel rejeté.</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Le 6 août 2021</w:t>
            </w:r>
          </w:p>
          <w:p w:rsidR="000A65C3" w:rsidRPr="006F59DD" w:rsidRDefault="000A65C3" w:rsidP="009F46F6">
            <w:pPr>
              <w:jc w:val="both"/>
              <w:rPr>
                <w:sz w:val="20"/>
                <w:lang w:val="fr-CA"/>
              </w:rPr>
            </w:pPr>
            <w:r w:rsidRPr="006F59DD">
              <w:rPr>
                <w:sz w:val="20"/>
                <w:lang w:val="fr-CA"/>
              </w:rPr>
              <w:t>Cour suprême du Canada</w:t>
            </w: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rPr>
            </w:pPr>
            <w:r w:rsidRPr="006F59DD">
              <w:rPr>
                <w:sz w:val="20"/>
              </w:rPr>
              <w:t>Demande d'autorisation d'appel déposée.</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44" style="width:2in;height:1pt" o:hrpct="0" o:hralign="center" o:hrstd="t" o:hrnoshade="t" o:hr="t" fillcolor="black [3213]" stroked="f"/>
        </w:pict>
      </w:r>
    </w:p>
    <w:p w:rsidR="000A65C3" w:rsidRPr="006F59DD" w:rsidRDefault="000A65C3" w:rsidP="000A65C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39814</w:t>
            </w:r>
          </w:p>
        </w:tc>
        <w:tc>
          <w:tcPr>
            <w:tcW w:w="4457" w:type="pct"/>
          </w:tcPr>
          <w:p w:rsidR="000A65C3" w:rsidRPr="006F59DD" w:rsidRDefault="000A65C3" w:rsidP="009F46F6">
            <w:pPr>
              <w:pStyle w:val="SCCLsocParty"/>
              <w:jc w:val="both"/>
              <w:rPr>
                <w:b/>
                <w:sz w:val="20"/>
                <w:szCs w:val="20"/>
                <w:lang w:val="en-US"/>
              </w:rPr>
            </w:pPr>
            <w:r w:rsidRPr="006F59DD">
              <w:rPr>
                <w:b/>
                <w:sz w:val="20"/>
                <w:szCs w:val="20"/>
                <w:lang w:val="en-US"/>
              </w:rPr>
              <w:t>Barry Gerard Hynes v. Sharon Ann Snook</w:t>
            </w:r>
          </w:p>
          <w:p w:rsidR="000A65C3" w:rsidRPr="006F59DD" w:rsidRDefault="000A65C3" w:rsidP="009F46F6">
            <w:pPr>
              <w:jc w:val="both"/>
              <w:rPr>
                <w:sz w:val="20"/>
              </w:rPr>
            </w:pPr>
            <w:r w:rsidRPr="006F59DD">
              <w:rPr>
                <w:sz w:val="20"/>
              </w:rPr>
              <w:t>(N.L.) (Civil) (By Leave)</w:t>
            </w:r>
          </w:p>
        </w:tc>
      </w:tr>
      <w:tr w:rsidR="000A65C3" w:rsidRPr="006F59DD" w:rsidTr="009F46F6">
        <w:tc>
          <w:tcPr>
            <w:tcW w:w="5000" w:type="pct"/>
            <w:gridSpan w:val="2"/>
          </w:tcPr>
          <w:p w:rsidR="009F46F6" w:rsidRPr="006F59DD" w:rsidRDefault="009F46F6" w:rsidP="009F46F6">
            <w:pPr>
              <w:jc w:val="both"/>
              <w:rPr>
                <w:sz w:val="20"/>
                <w:szCs w:val="20"/>
              </w:rPr>
            </w:pPr>
            <w:r w:rsidRPr="006F59DD">
              <w:rPr>
                <w:sz w:val="20"/>
                <w:szCs w:val="20"/>
              </w:rPr>
              <w:t>The application for leave to appeal from the judgment of the Court of Appeal of Newfoundland and Labrador, Numbers 201901H0069 and 201901H0078, 2021 NLCA 29, dated May 25, 2021 is dismissed with costs.</w:t>
            </w:r>
          </w:p>
          <w:p w:rsidR="000A65C3" w:rsidRPr="006F59DD" w:rsidRDefault="000A65C3" w:rsidP="009F46F6">
            <w:pPr>
              <w:pStyle w:val="SCCBanSummary0"/>
              <w:rPr>
                <w:sz w:val="20"/>
                <w:szCs w:val="20"/>
              </w:rPr>
            </w:pPr>
          </w:p>
        </w:tc>
      </w:tr>
      <w:tr w:rsidR="000A65C3" w:rsidRPr="006F59DD" w:rsidTr="009F46F6">
        <w:tc>
          <w:tcPr>
            <w:tcW w:w="5000" w:type="pct"/>
            <w:gridSpan w:val="2"/>
          </w:tcPr>
          <w:p w:rsidR="000A65C3" w:rsidRPr="006F59DD" w:rsidRDefault="000A65C3" w:rsidP="009F46F6">
            <w:pPr>
              <w:pStyle w:val="SCCBanSummary0"/>
              <w:rPr>
                <w:sz w:val="20"/>
                <w:szCs w:val="20"/>
              </w:rPr>
            </w:pPr>
            <w:r w:rsidRPr="006F59DD">
              <w:rPr>
                <w:sz w:val="20"/>
                <w:szCs w:val="20"/>
              </w:rPr>
              <w:t>(Certain information not available to the public)</w:t>
            </w:r>
          </w:p>
          <w:p w:rsidR="000A65C3" w:rsidRPr="006F59DD" w:rsidRDefault="000A65C3" w:rsidP="009F46F6">
            <w:pPr>
              <w:jc w:val="both"/>
              <w:rPr>
                <w:sz w:val="20"/>
              </w:rPr>
            </w:pPr>
          </w:p>
          <w:p w:rsidR="000A65C3" w:rsidRPr="006F59DD" w:rsidRDefault="000A65C3" w:rsidP="009F46F6">
            <w:pPr>
              <w:jc w:val="both"/>
              <w:rPr>
                <w:sz w:val="20"/>
              </w:rPr>
            </w:pPr>
            <w:r w:rsidRPr="006F59DD">
              <w:rPr>
                <w:sz w:val="20"/>
              </w:rPr>
              <w:t>Family law — Common law spouses — Family assets — Support — Parties separating after living together for 18 years — Respondent awarded a share in property owned by applicant, subject to set</w:t>
            </w:r>
            <w:r w:rsidRPr="006F59DD">
              <w:rPr>
                <w:sz w:val="20"/>
              </w:rPr>
              <w:noBreakHyphen/>
              <w:t>off, and retroactive and continuing spousal support — What does it mean to be in a “conjugal” relationship in Canada? — Whether the current definition appropriately recognizes the diversity of family structures and relationships in Canada — Whether a 17</w:t>
            </w:r>
            <w:r w:rsidRPr="006F59DD">
              <w:rPr>
                <w:sz w:val="20"/>
              </w:rPr>
              <w:noBreakHyphen/>
              <w:t>year co</w:t>
            </w:r>
            <w:r w:rsidRPr="006F59DD">
              <w:rPr>
                <w:sz w:val="20"/>
              </w:rPr>
              <w:noBreakHyphen/>
              <w:t xml:space="preserve">residency, with no children, no financial integration, and no “joint family venture” should be considered “conjugal” — How should Canadian courts approach the legal tests, including that in </w:t>
            </w:r>
            <w:r w:rsidRPr="006F59DD">
              <w:rPr>
                <w:i/>
                <w:sz w:val="20"/>
              </w:rPr>
              <w:t>Kerr v. Baranow</w:t>
            </w:r>
            <w:r w:rsidRPr="006F59DD">
              <w:rPr>
                <w:sz w:val="20"/>
              </w:rPr>
              <w:t>, 2011 SCC 10, for property entitlement upon the breakdown of a conjugal relationship? — Whether legal title of joint tenancy equates to equal beneficial ownership.</w:t>
            </w:r>
          </w:p>
        </w:tc>
      </w:tr>
      <w:tr w:rsidR="000A65C3" w:rsidRPr="006F59DD" w:rsidTr="009F46F6">
        <w:tc>
          <w:tcPr>
            <w:tcW w:w="5000" w:type="pct"/>
            <w:gridSpan w:val="2"/>
          </w:tcPr>
          <w:p w:rsidR="000A65C3" w:rsidRPr="006F59DD" w:rsidRDefault="000A65C3" w:rsidP="009F46F6">
            <w:pPr>
              <w:jc w:val="both"/>
              <w:rPr>
                <w:sz w:val="20"/>
              </w:rPr>
            </w:pPr>
          </w:p>
        </w:tc>
      </w:tr>
      <w:tr w:rsidR="000A65C3" w:rsidRPr="006F59DD" w:rsidTr="009F46F6">
        <w:tc>
          <w:tcPr>
            <w:tcW w:w="5000" w:type="pct"/>
            <w:gridSpan w:val="2"/>
          </w:tcPr>
          <w:p w:rsidR="000A65C3" w:rsidRPr="006F59DD" w:rsidRDefault="000A65C3" w:rsidP="009F46F6">
            <w:pPr>
              <w:jc w:val="both"/>
              <w:rPr>
                <w:sz w:val="20"/>
              </w:rPr>
            </w:pPr>
            <w:r w:rsidRPr="006F59DD">
              <w:rPr>
                <w:sz w:val="20"/>
              </w:rPr>
              <w:t>The parties began residing with one another in 1996, in a home formerly owned by the respondent’s parents. At the time, the applicant contributed to the capital improvements and operating costs of the house while the respondent paid the mortgage. In 2006, the parties purchased a new home and title was taken in joint names. They resided there until the respondent left in July 2014. The applicant paid all of the costs associated with that home. When the parties separated, the respondent sought partner support, property division as a common</w:t>
            </w:r>
            <w:r w:rsidRPr="006F59DD">
              <w:rPr>
                <w:sz w:val="20"/>
              </w:rPr>
              <w:noBreakHyphen/>
              <w:t>law spouse and costs. The applicant opposed all claims, arguing that the parties were not common</w:t>
            </w:r>
            <w:r w:rsidRPr="006F59DD">
              <w:rPr>
                <w:sz w:val="20"/>
              </w:rPr>
              <w:noBreakHyphen/>
              <w:t>law partners, but if they were, that she had missed the two</w:t>
            </w:r>
            <w:r w:rsidRPr="006F59DD">
              <w:rPr>
                <w:sz w:val="20"/>
              </w:rPr>
              <w:noBreakHyphen/>
              <w:t>year limitation period for support. He also relied on principles of resulting trust and unjust enrichment to defeat the respondent’s property claims.</w:t>
            </w:r>
          </w:p>
          <w:p w:rsidR="000A65C3" w:rsidRPr="006F59DD" w:rsidRDefault="000A65C3" w:rsidP="009F46F6">
            <w:pPr>
              <w:jc w:val="both"/>
              <w:rPr>
                <w:sz w:val="20"/>
              </w:rPr>
            </w:pPr>
          </w:p>
          <w:p w:rsidR="000A65C3" w:rsidRPr="006F59DD" w:rsidRDefault="000A65C3" w:rsidP="009F46F6">
            <w:pPr>
              <w:jc w:val="both"/>
              <w:rPr>
                <w:sz w:val="20"/>
              </w:rPr>
            </w:pPr>
            <w:r w:rsidRPr="006F59DD">
              <w:rPr>
                <w:sz w:val="20"/>
              </w:rPr>
              <w:t>The trial judge awarded the respondent a share of property in addition to monthly spousal support for a period of 17 years. On the applicant’s appeal, the amount of the respondent’s property award was increased and the amount and duration of spousal support was reduced.</w:t>
            </w:r>
          </w:p>
          <w:p w:rsidR="000A65C3" w:rsidRPr="006F59DD" w:rsidRDefault="000A65C3" w:rsidP="009F46F6">
            <w:pPr>
              <w:jc w:val="both"/>
              <w:rPr>
                <w:sz w:val="20"/>
              </w:rPr>
            </w:pPr>
          </w:p>
        </w:tc>
      </w:tr>
    </w:tbl>
    <w:p w:rsidR="006E013F" w:rsidRPr="006F59DD" w:rsidRDefault="006E013F">
      <w:r w:rsidRPr="006F59D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65C3" w:rsidRPr="006F59DD" w:rsidTr="009F46F6">
        <w:tc>
          <w:tcPr>
            <w:tcW w:w="2427" w:type="pct"/>
          </w:tcPr>
          <w:p w:rsidR="000A65C3" w:rsidRPr="006F59DD" w:rsidRDefault="000A65C3" w:rsidP="009F46F6">
            <w:pPr>
              <w:jc w:val="both"/>
              <w:rPr>
                <w:sz w:val="20"/>
              </w:rPr>
            </w:pPr>
            <w:r w:rsidRPr="006F59DD">
              <w:rPr>
                <w:sz w:val="20"/>
              </w:rPr>
              <w:lastRenderedPageBreak/>
              <w:t>May 24, 2019</w:t>
            </w:r>
          </w:p>
          <w:p w:rsidR="000A65C3" w:rsidRPr="006F59DD" w:rsidRDefault="000A65C3" w:rsidP="009F46F6">
            <w:pPr>
              <w:jc w:val="both"/>
              <w:rPr>
                <w:sz w:val="20"/>
              </w:rPr>
            </w:pPr>
            <w:r w:rsidRPr="006F59DD">
              <w:rPr>
                <w:sz w:val="20"/>
              </w:rPr>
              <w:t xml:space="preserve">Supreme Court of Newfoundland and </w:t>
            </w:r>
          </w:p>
          <w:p w:rsidR="000A65C3" w:rsidRPr="006F59DD" w:rsidRDefault="000A65C3" w:rsidP="009F46F6">
            <w:pPr>
              <w:jc w:val="both"/>
              <w:rPr>
                <w:sz w:val="20"/>
              </w:rPr>
            </w:pPr>
            <w:r w:rsidRPr="006F59DD">
              <w:rPr>
                <w:sz w:val="20"/>
              </w:rPr>
              <w:t>Labrador, Family Division</w:t>
            </w:r>
          </w:p>
          <w:p w:rsidR="000A65C3" w:rsidRPr="006F59DD" w:rsidRDefault="000A65C3" w:rsidP="009F46F6">
            <w:pPr>
              <w:jc w:val="both"/>
              <w:rPr>
                <w:sz w:val="20"/>
              </w:rPr>
            </w:pPr>
            <w:r w:rsidRPr="006F59DD">
              <w:rPr>
                <w:sz w:val="20"/>
              </w:rPr>
              <w:t>(MacDonald J.)</w:t>
            </w:r>
          </w:p>
          <w:p w:rsidR="000A65C3" w:rsidRPr="006F59DD" w:rsidRDefault="006F59DD" w:rsidP="009F46F6">
            <w:pPr>
              <w:jc w:val="both"/>
              <w:rPr>
                <w:sz w:val="20"/>
              </w:rPr>
            </w:pPr>
            <w:hyperlink r:id="rId21" w:anchor="document" w:history="1">
              <w:r w:rsidR="000A65C3" w:rsidRPr="006F59DD">
                <w:rPr>
                  <w:rStyle w:val="Hyperlink"/>
                  <w:sz w:val="20"/>
                </w:rPr>
                <w:t>2019 NLSC 110</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 xml:space="preserve">Respondent’s claim for division of property, partner support and costs granted; applicant’s position that parties did not have a conjugal relationship rejected. </w:t>
            </w:r>
          </w:p>
          <w:p w:rsidR="000A65C3" w:rsidRPr="006F59DD" w:rsidRDefault="000A65C3" w:rsidP="009F46F6">
            <w:pPr>
              <w:jc w:val="both"/>
              <w:rPr>
                <w:sz w:val="20"/>
              </w:rPr>
            </w:pPr>
          </w:p>
          <w:p w:rsidR="000A65C3" w:rsidRPr="006F59DD" w:rsidRDefault="000A65C3" w:rsidP="009F46F6">
            <w:pPr>
              <w:jc w:val="both"/>
              <w:rPr>
                <w:sz w:val="20"/>
              </w:rPr>
            </w:pPr>
          </w:p>
        </w:tc>
      </w:tr>
      <w:tr w:rsidR="000A65C3" w:rsidRPr="006F59DD" w:rsidTr="009F46F6">
        <w:tc>
          <w:tcPr>
            <w:tcW w:w="2427" w:type="pct"/>
          </w:tcPr>
          <w:p w:rsidR="000A65C3" w:rsidRPr="006F59DD" w:rsidRDefault="000A65C3" w:rsidP="009F46F6">
            <w:pPr>
              <w:jc w:val="both"/>
              <w:rPr>
                <w:sz w:val="20"/>
              </w:rPr>
            </w:pPr>
            <w:r w:rsidRPr="006F59DD">
              <w:rPr>
                <w:sz w:val="20"/>
              </w:rPr>
              <w:t>May 25, 2021</w:t>
            </w:r>
          </w:p>
          <w:p w:rsidR="000A65C3" w:rsidRPr="006F59DD" w:rsidRDefault="000A65C3" w:rsidP="009F46F6">
            <w:pPr>
              <w:jc w:val="both"/>
              <w:rPr>
                <w:sz w:val="20"/>
              </w:rPr>
            </w:pPr>
            <w:r w:rsidRPr="006F59DD">
              <w:rPr>
                <w:sz w:val="20"/>
              </w:rPr>
              <w:t xml:space="preserve">Court of Appeal of Newfoundland and </w:t>
            </w:r>
          </w:p>
          <w:p w:rsidR="000A65C3" w:rsidRPr="006F59DD" w:rsidRDefault="000A65C3" w:rsidP="009F46F6">
            <w:pPr>
              <w:jc w:val="both"/>
              <w:rPr>
                <w:sz w:val="20"/>
              </w:rPr>
            </w:pPr>
            <w:r w:rsidRPr="006F59DD">
              <w:rPr>
                <w:sz w:val="20"/>
              </w:rPr>
              <w:t>Labrador</w:t>
            </w:r>
          </w:p>
          <w:p w:rsidR="000A65C3" w:rsidRPr="006F59DD" w:rsidRDefault="000A65C3" w:rsidP="009F46F6">
            <w:pPr>
              <w:jc w:val="both"/>
              <w:rPr>
                <w:sz w:val="20"/>
              </w:rPr>
            </w:pPr>
            <w:r w:rsidRPr="006F59DD">
              <w:rPr>
                <w:sz w:val="20"/>
              </w:rPr>
              <w:t>(Welsh, Goodridge and Butler JJ.A.)</w:t>
            </w:r>
          </w:p>
          <w:p w:rsidR="000A65C3" w:rsidRPr="006F59DD" w:rsidRDefault="006F59DD" w:rsidP="009F46F6">
            <w:pPr>
              <w:jc w:val="both"/>
              <w:rPr>
                <w:sz w:val="20"/>
              </w:rPr>
            </w:pPr>
            <w:hyperlink r:id="rId22" w:history="1">
              <w:r w:rsidR="000A65C3" w:rsidRPr="006F59DD">
                <w:rPr>
                  <w:rStyle w:val="Hyperlink"/>
                  <w:sz w:val="20"/>
                </w:rPr>
                <w:t>2021 NLCA 29</w:t>
              </w:r>
            </w:hyperlink>
            <w:r w:rsidR="000A65C3" w:rsidRPr="006F59DD">
              <w:rPr>
                <w:sz w:val="20"/>
              </w:rPr>
              <w:t xml:space="preserve"> </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Applicant’s appeal allowed in part; spousal support payable by applicant reduced; applicant’s capital contributions to property owned by respondent set off against respondent’s property award.</w:t>
            </w:r>
          </w:p>
          <w:p w:rsidR="000A65C3" w:rsidRPr="006F59DD" w:rsidRDefault="000A65C3" w:rsidP="009F46F6">
            <w:pPr>
              <w:jc w:val="both"/>
              <w:rPr>
                <w:sz w:val="20"/>
              </w:rPr>
            </w:pPr>
          </w:p>
        </w:tc>
      </w:tr>
      <w:tr w:rsidR="000A65C3" w:rsidRPr="006F59DD" w:rsidTr="009F46F6">
        <w:tc>
          <w:tcPr>
            <w:tcW w:w="2427" w:type="pct"/>
          </w:tcPr>
          <w:p w:rsidR="000A65C3" w:rsidRPr="006F59DD" w:rsidRDefault="000A65C3" w:rsidP="009F46F6">
            <w:pPr>
              <w:jc w:val="both"/>
              <w:rPr>
                <w:sz w:val="20"/>
              </w:rPr>
            </w:pPr>
            <w:r w:rsidRPr="006F59DD">
              <w:rPr>
                <w:sz w:val="20"/>
              </w:rPr>
              <w:t>August 24, 2021</w:t>
            </w:r>
          </w:p>
          <w:p w:rsidR="000A65C3" w:rsidRPr="006F59DD" w:rsidRDefault="000A65C3" w:rsidP="009F46F6">
            <w:pPr>
              <w:jc w:val="both"/>
              <w:rPr>
                <w:sz w:val="20"/>
              </w:rPr>
            </w:pPr>
            <w:r w:rsidRPr="006F59DD">
              <w:rPr>
                <w:sz w:val="20"/>
              </w:rPr>
              <w:t>Supreme Court of Canada</w:t>
            </w: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filed</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45" style="width:2in;height:1pt" o:hrpct="0" o:hralign="center" o:hrstd="t" o:hrnoshade="t" o:hr="t" fillcolor="black [3213]" stroked="f"/>
        </w:pict>
      </w:r>
    </w:p>
    <w:p w:rsidR="000A65C3" w:rsidRPr="006F59DD" w:rsidRDefault="000A65C3" w:rsidP="000A65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65C3" w:rsidRPr="006F59DD" w:rsidTr="009F46F6">
        <w:tc>
          <w:tcPr>
            <w:tcW w:w="543" w:type="pct"/>
          </w:tcPr>
          <w:p w:rsidR="000A65C3" w:rsidRPr="006F59DD" w:rsidRDefault="000A65C3" w:rsidP="009F46F6">
            <w:pPr>
              <w:jc w:val="both"/>
              <w:rPr>
                <w:sz w:val="20"/>
                <w:lang w:val="fr-CA"/>
              </w:rPr>
            </w:pPr>
            <w:r w:rsidRPr="006F59DD">
              <w:rPr>
                <w:rStyle w:val="SCCFileNumberChar"/>
                <w:sz w:val="20"/>
                <w:szCs w:val="20"/>
                <w:lang w:val="fr-CA"/>
              </w:rPr>
              <w:t>39814</w:t>
            </w:r>
          </w:p>
        </w:tc>
        <w:tc>
          <w:tcPr>
            <w:tcW w:w="4457" w:type="pct"/>
          </w:tcPr>
          <w:p w:rsidR="000A65C3" w:rsidRPr="006F59DD" w:rsidRDefault="000A65C3" w:rsidP="009F46F6">
            <w:pPr>
              <w:pStyle w:val="SCCLsocParty"/>
              <w:jc w:val="both"/>
              <w:rPr>
                <w:b/>
                <w:sz w:val="20"/>
                <w:szCs w:val="20"/>
                <w:lang w:val="en-US"/>
              </w:rPr>
            </w:pPr>
            <w:r w:rsidRPr="006F59DD">
              <w:rPr>
                <w:b/>
                <w:sz w:val="20"/>
                <w:szCs w:val="20"/>
                <w:lang w:val="en-US"/>
              </w:rPr>
              <w:t>Barry Gerard Hynes c. Sharon Ann Snook</w:t>
            </w:r>
          </w:p>
          <w:p w:rsidR="000A65C3" w:rsidRPr="006F59DD" w:rsidRDefault="000A65C3" w:rsidP="009F46F6">
            <w:pPr>
              <w:jc w:val="both"/>
              <w:rPr>
                <w:sz w:val="20"/>
                <w:lang w:val="fr-CA"/>
              </w:rPr>
            </w:pPr>
            <w:r w:rsidRPr="006F59DD">
              <w:rPr>
                <w:sz w:val="20"/>
                <w:lang w:val="fr-CA"/>
              </w:rPr>
              <w:t>(T.-N.-L.) (Civile) (Sur autorisation)</w:t>
            </w:r>
          </w:p>
        </w:tc>
      </w:tr>
      <w:tr w:rsidR="000A65C3" w:rsidRPr="006F59DD" w:rsidTr="009F46F6">
        <w:tc>
          <w:tcPr>
            <w:tcW w:w="5000" w:type="pct"/>
            <w:gridSpan w:val="2"/>
          </w:tcPr>
          <w:p w:rsidR="000A65C3" w:rsidRPr="006F59DD" w:rsidRDefault="009F46F6" w:rsidP="009F46F6">
            <w:pPr>
              <w:pStyle w:val="SCCBanSummary0"/>
              <w:rPr>
                <w:smallCaps w:val="0"/>
                <w:sz w:val="20"/>
                <w:szCs w:val="20"/>
                <w:lang w:val="fr-CA"/>
              </w:rPr>
            </w:pPr>
            <w:r w:rsidRPr="006F59DD">
              <w:rPr>
                <w:smallCaps w:val="0"/>
                <w:sz w:val="20"/>
                <w:szCs w:val="20"/>
                <w:lang w:val="fr-CA"/>
              </w:rPr>
              <w:t>La demande d’autorisation d’appel de l’arrêt de la Cour d’appel de Terre-Neuve-et-Labrador, numéros 201901H0069 et 201901H0078, 2021 NLCA 29, daté du 25 mai 2021, est rejetée avec dépens.</w:t>
            </w:r>
          </w:p>
          <w:p w:rsidR="009F46F6" w:rsidRPr="006F59DD" w:rsidRDefault="009F46F6" w:rsidP="009F46F6">
            <w:pPr>
              <w:rPr>
                <w:lang w:val="fr-CA"/>
              </w:rPr>
            </w:pPr>
          </w:p>
        </w:tc>
      </w:tr>
      <w:tr w:rsidR="000A65C3" w:rsidRPr="006F59DD" w:rsidTr="009F46F6">
        <w:tc>
          <w:tcPr>
            <w:tcW w:w="5000" w:type="pct"/>
            <w:gridSpan w:val="2"/>
          </w:tcPr>
          <w:p w:rsidR="000A65C3" w:rsidRPr="006F59DD" w:rsidRDefault="000A65C3" w:rsidP="009F46F6">
            <w:pPr>
              <w:pStyle w:val="SCCBanSummary0"/>
              <w:rPr>
                <w:sz w:val="20"/>
                <w:szCs w:val="20"/>
                <w:lang w:val="fr-CA"/>
              </w:rPr>
            </w:pPr>
            <w:r w:rsidRPr="006F59DD">
              <w:rPr>
                <w:sz w:val="20"/>
                <w:szCs w:val="20"/>
                <w:lang w:val="fr-CA"/>
              </w:rPr>
              <w:t>(Certaines informations non disponibles pour le public)</w:t>
            </w:r>
          </w:p>
          <w:p w:rsidR="000A65C3" w:rsidRPr="006F59DD" w:rsidRDefault="000A65C3" w:rsidP="009F46F6">
            <w:pPr>
              <w:jc w:val="both"/>
              <w:rPr>
                <w:sz w:val="20"/>
                <w:lang w:val="fr-CA"/>
              </w:rPr>
            </w:pPr>
          </w:p>
          <w:p w:rsidR="000A65C3" w:rsidRPr="006F59DD" w:rsidRDefault="000A65C3" w:rsidP="009F46F6">
            <w:pPr>
              <w:jc w:val="both"/>
              <w:rPr>
                <w:sz w:val="20"/>
                <w:lang w:val="fr-CA"/>
              </w:rPr>
            </w:pPr>
            <w:r w:rsidRPr="006F59DD">
              <w:rPr>
                <w:sz w:val="20"/>
                <w:lang w:val="fr-CA"/>
              </w:rPr>
              <w:t>Droit de la famille — Conjoints de fait — Biens familiaux — Aliments — Séparation des parties après une vie commune de 18 ans — Pension alimentaire rétroactive et continue pour conjoint et part des biens détenus par le demandeur accordées à l’intimée, sous réserve de compensation — Que signifie être dans une relation « conjugale » au Canada? — La définition actuelle reconnaît</w:t>
            </w:r>
            <w:r w:rsidRPr="006F59DD">
              <w:rPr>
                <w:sz w:val="20"/>
                <w:lang w:val="fr-CA"/>
              </w:rPr>
              <w:noBreakHyphen/>
              <w:t>elle dûment la diversité des structures et des relations familiales au Canada? — Une corésidence de 17 ans, sans enfant, sans intégration financière et sans aucune coentreprise familiale, devrait</w:t>
            </w:r>
            <w:r w:rsidRPr="006F59DD">
              <w:rPr>
                <w:sz w:val="20"/>
                <w:lang w:val="fr-CA"/>
              </w:rPr>
              <w:noBreakHyphen/>
              <w:t>elle être considérée comme une relation « conjugale »? — De quelle façon les tribunaux canadiens devraient</w:t>
            </w:r>
            <w:r w:rsidRPr="006F59DD">
              <w:rPr>
                <w:sz w:val="20"/>
                <w:lang w:val="fr-CA"/>
              </w:rPr>
              <w:noBreakHyphen/>
              <w:t xml:space="preserve">ils aborder les critères juridiques, notamment celui établi dans l’arrêt </w:t>
            </w:r>
            <w:r w:rsidRPr="006F59DD">
              <w:rPr>
                <w:i/>
                <w:sz w:val="20"/>
                <w:lang w:val="fr-CA"/>
              </w:rPr>
              <w:t>Kerr c. Baranow</w:t>
            </w:r>
            <w:r w:rsidRPr="006F59DD">
              <w:rPr>
                <w:sz w:val="20"/>
                <w:lang w:val="fr-CA"/>
              </w:rPr>
              <w:t>, 2011 CSC 10, concernant le droit aux biens lors de la rupture d’une relation conjugale? — Un titre juridique de propriété conjointe équivaut</w:t>
            </w:r>
            <w:r w:rsidRPr="006F59DD">
              <w:rPr>
                <w:sz w:val="20"/>
                <w:lang w:val="fr-CA"/>
              </w:rPr>
              <w:noBreakHyphen/>
              <w:t>il à une propriété bénéficiaire égale?</w:t>
            </w:r>
          </w:p>
        </w:tc>
      </w:tr>
      <w:tr w:rsidR="000A65C3" w:rsidRPr="006F59DD" w:rsidTr="009F46F6">
        <w:tc>
          <w:tcPr>
            <w:tcW w:w="5000" w:type="pct"/>
            <w:gridSpan w:val="2"/>
          </w:tcPr>
          <w:p w:rsidR="000A65C3" w:rsidRPr="006F59DD" w:rsidRDefault="000A65C3" w:rsidP="009F46F6">
            <w:pPr>
              <w:jc w:val="both"/>
              <w:rPr>
                <w:sz w:val="20"/>
                <w:lang w:val="fr-CA"/>
              </w:rPr>
            </w:pPr>
          </w:p>
        </w:tc>
      </w:tr>
      <w:tr w:rsidR="000A65C3" w:rsidRPr="006F59DD" w:rsidTr="009F46F6">
        <w:tc>
          <w:tcPr>
            <w:tcW w:w="5000" w:type="pct"/>
            <w:gridSpan w:val="2"/>
          </w:tcPr>
          <w:p w:rsidR="000A65C3" w:rsidRPr="006F59DD" w:rsidRDefault="000A65C3" w:rsidP="009F46F6">
            <w:pPr>
              <w:jc w:val="both"/>
              <w:rPr>
                <w:sz w:val="20"/>
                <w:lang w:val="fr-CA"/>
              </w:rPr>
            </w:pPr>
            <w:r w:rsidRPr="006F59DD">
              <w:rPr>
                <w:sz w:val="20"/>
                <w:lang w:val="fr-CA"/>
              </w:rPr>
              <w:t>Les parties ont commencé à habiter ensemble en 1996, dans une maison qui appartenait auparavant aux parents de l’intimée. À cette époque, le demandeur contribuait aux améliorations du bien</w:t>
            </w:r>
            <w:r w:rsidRPr="006F59DD">
              <w:rPr>
                <w:sz w:val="20"/>
                <w:lang w:val="fr-CA"/>
              </w:rPr>
              <w:noBreakHyphen/>
              <w:t>fonds et aux coûts de fonctionnement de la maison alors que l’intimée payait l’hypothèque. En 2006, les parties ont acheté une nouvelle maison et le titre a été pris aux deux noms. Ils y ont résidé jusqu’à ce que l’intimée quitte la maison en juillet 2014. Le demandeur a payé tous les coûts associés à cette maison. Lorsque les parties se sont séparées, l’intimée a demandé une pension alimentaire pour conjoint, le partage des biens en tant que conjointe de fait et les coûts. Le demandeur s’est opposé à toutes les demandes, soutenant que les parties n’étaient pas des conjoints de fait, mais s’ils l’étaient, le délai de deux ans pour demander une pension alimentaire était expiré. Il a aussi invoqué les principes de la fiducie résultoire et de l’enrichissement injustifié pour contrecarrer les demandes relatives aux biens présentées par l’intimée.</w:t>
            </w:r>
          </w:p>
          <w:p w:rsidR="000A65C3" w:rsidRPr="006F59DD" w:rsidRDefault="000A65C3" w:rsidP="009F46F6">
            <w:pPr>
              <w:jc w:val="both"/>
              <w:rPr>
                <w:sz w:val="20"/>
                <w:lang w:val="fr-CA"/>
              </w:rPr>
            </w:pPr>
          </w:p>
          <w:p w:rsidR="000A65C3" w:rsidRPr="006F59DD" w:rsidRDefault="000A65C3" w:rsidP="009F46F6">
            <w:pPr>
              <w:jc w:val="both"/>
              <w:rPr>
                <w:sz w:val="20"/>
                <w:lang w:val="fr-CA"/>
              </w:rPr>
            </w:pPr>
            <w:r w:rsidRPr="006F59DD">
              <w:rPr>
                <w:sz w:val="20"/>
                <w:lang w:val="fr-CA"/>
              </w:rPr>
              <w:t>Le juge du procès a accordé à l’intimée une part des biens en plus d’une pension alimentaire mensuelle pour une période de 17 ans. Lors de l’appel interjeté par le demandeur, la part de biens octroyée à l’intimée a été augmentée et le montant et la durée de la pension alimentaire pour conjoint ont été réduits.</w:t>
            </w:r>
          </w:p>
          <w:p w:rsidR="000A65C3" w:rsidRPr="006F59DD" w:rsidRDefault="000A65C3" w:rsidP="009F46F6">
            <w:pPr>
              <w:jc w:val="both"/>
              <w:rPr>
                <w:sz w:val="20"/>
                <w:lang w:val="fr-CA"/>
              </w:rPr>
            </w:pPr>
          </w:p>
        </w:tc>
      </w:tr>
    </w:tbl>
    <w:p w:rsidR="006E013F" w:rsidRPr="006F59DD" w:rsidRDefault="006E013F">
      <w:pPr>
        <w:rPr>
          <w:lang w:val="fr-CA"/>
        </w:rPr>
      </w:pPr>
      <w:r w:rsidRPr="006F59D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65C3" w:rsidRPr="006F59DD" w:rsidTr="009F46F6">
        <w:tc>
          <w:tcPr>
            <w:tcW w:w="2427" w:type="pct"/>
          </w:tcPr>
          <w:p w:rsidR="000A65C3" w:rsidRPr="006F59DD" w:rsidRDefault="000A65C3" w:rsidP="009F46F6">
            <w:pPr>
              <w:jc w:val="both"/>
              <w:rPr>
                <w:sz w:val="20"/>
                <w:lang w:val="fr-CA"/>
              </w:rPr>
            </w:pPr>
            <w:r w:rsidRPr="006F59DD">
              <w:rPr>
                <w:sz w:val="20"/>
                <w:lang w:val="fr-CA"/>
              </w:rPr>
              <w:lastRenderedPageBreak/>
              <w:t>24 mai 2019</w:t>
            </w:r>
          </w:p>
          <w:p w:rsidR="000A65C3" w:rsidRPr="006F59DD" w:rsidRDefault="000A65C3" w:rsidP="009F46F6">
            <w:pPr>
              <w:jc w:val="both"/>
              <w:rPr>
                <w:sz w:val="20"/>
                <w:lang w:val="fr-CA"/>
              </w:rPr>
            </w:pPr>
            <w:r w:rsidRPr="006F59DD">
              <w:rPr>
                <w:sz w:val="20"/>
                <w:lang w:val="fr-CA"/>
              </w:rPr>
              <w:t>Cour suprême de Terre</w:t>
            </w:r>
            <w:r w:rsidRPr="006F59DD">
              <w:rPr>
                <w:sz w:val="20"/>
                <w:lang w:val="fr-CA"/>
              </w:rPr>
              <w:noBreakHyphen/>
              <w:t>Neuve</w:t>
            </w:r>
            <w:r w:rsidRPr="006F59DD">
              <w:rPr>
                <w:sz w:val="20"/>
                <w:lang w:val="fr-CA"/>
              </w:rPr>
              <w:noBreakHyphen/>
              <w:t>et</w:t>
            </w:r>
            <w:r w:rsidRPr="006F59DD">
              <w:rPr>
                <w:sz w:val="20"/>
                <w:lang w:val="fr-CA"/>
              </w:rPr>
              <w:noBreakHyphen/>
              <w:t>Labrador, Division de la famille</w:t>
            </w:r>
          </w:p>
          <w:p w:rsidR="000A65C3" w:rsidRPr="006F59DD" w:rsidRDefault="000A65C3" w:rsidP="009F46F6">
            <w:pPr>
              <w:jc w:val="both"/>
              <w:rPr>
                <w:sz w:val="20"/>
                <w:lang w:val="fr-CA"/>
              </w:rPr>
            </w:pPr>
            <w:r w:rsidRPr="006F59DD">
              <w:rPr>
                <w:sz w:val="20"/>
                <w:lang w:val="fr-CA"/>
              </w:rPr>
              <w:t>(Juge MacDonald)</w:t>
            </w:r>
          </w:p>
          <w:p w:rsidR="000A65C3" w:rsidRPr="006F59DD" w:rsidRDefault="006F59DD" w:rsidP="009F46F6">
            <w:pPr>
              <w:jc w:val="both"/>
              <w:rPr>
                <w:sz w:val="20"/>
                <w:lang w:val="fr-CA"/>
              </w:rPr>
            </w:pPr>
            <w:hyperlink r:id="rId23" w:anchor="document" w:history="1">
              <w:r w:rsidR="000A65C3" w:rsidRPr="006F59DD">
                <w:rPr>
                  <w:rStyle w:val="Hyperlink"/>
                  <w:sz w:val="20"/>
                  <w:lang w:val="fr-CA"/>
                </w:rPr>
                <w:t>2019 NLSC 110</w:t>
              </w:r>
            </w:hyperlink>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 xml:space="preserve">Demande de l’intimée concernant le partage des biens, la pension alimentaire pour conjoint et les coûts accordée; argument du demandeur portant que les parties n’avaient pas une relation conjugale rejetée. </w:t>
            </w:r>
          </w:p>
          <w:p w:rsidR="000A65C3" w:rsidRPr="006F59DD" w:rsidRDefault="000A65C3" w:rsidP="009F46F6">
            <w:pPr>
              <w:jc w:val="both"/>
              <w:rPr>
                <w:sz w:val="20"/>
                <w:lang w:val="fr-CA"/>
              </w:rPr>
            </w:pP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25 mai 2021</w:t>
            </w:r>
          </w:p>
          <w:p w:rsidR="000A65C3" w:rsidRPr="006F59DD" w:rsidRDefault="000A65C3" w:rsidP="009F46F6">
            <w:pPr>
              <w:jc w:val="both"/>
              <w:rPr>
                <w:sz w:val="20"/>
                <w:lang w:val="fr-CA"/>
              </w:rPr>
            </w:pPr>
            <w:r w:rsidRPr="006F59DD">
              <w:rPr>
                <w:sz w:val="20"/>
                <w:lang w:val="fr-CA"/>
              </w:rPr>
              <w:t>Cour d’appel de Terre</w:t>
            </w:r>
            <w:r w:rsidRPr="006F59DD">
              <w:rPr>
                <w:sz w:val="20"/>
                <w:lang w:val="fr-CA"/>
              </w:rPr>
              <w:noBreakHyphen/>
              <w:t>Neuve</w:t>
            </w:r>
            <w:r w:rsidRPr="006F59DD">
              <w:rPr>
                <w:sz w:val="20"/>
                <w:lang w:val="fr-CA"/>
              </w:rPr>
              <w:noBreakHyphen/>
              <w:t>et</w:t>
            </w:r>
            <w:r w:rsidRPr="006F59DD">
              <w:rPr>
                <w:sz w:val="20"/>
                <w:lang w:val="fr-CA"/>
              </w:rPr>
              <w:noBreakHyphen/>
              <w:t>Labrador</w:t>
            </w:r>
          </w:p>
          <w:p w:rsidR="000A65C3" w:rsidRPr="006F59DD" w:rsidRDefault="000A65C3" w:rsidP="009F46F6">
            <w:pPr>
              <w:jc w:val="both"/>
              <w:rPr>
                <w:sz w:val="20"/>
              </w:rPr>
            </w:pPr>
            <w:r w:rsidRPr="006F59DD">
              <w:rPr>
                <w:sz w:val="20"/>
              </w:rPr>
              <w:t>(Juges Welsh, Goodridge et Butler)</w:t>
            </w:r>
          </w:p>
          <w:p w:rsidR="000A65C3" w:rsidRPr="006F59DD" w:rsidRDefault="006F59DD" w:rsidP="009F46F6">
            <w:pPr>
              <w:jc w:val="both"/>
              <w:rPr>
                <w:sz w:val="20"/>
                <w:lang w:val="fr-CA"/>
              </w:rPr>
            </w:pPr>
            <w:hyperlink r:id="rId24" w:history="1">
              <w:r w:rsidR="000A65C3" w:rsidRPr="006F59DD">
                <w:rPr>
                  <w:rStyle w:val="Hyperlink"/>
                  <w:sz w:val="20"/>
                  <w:lang w:val="fr-CA"/>
                </w:rPr>
                <w:t>2021 NLCA 29</w:t>
              </w:r>
            </w:hyperlink>
            <w:r w:rsidR="000A65C3" w:rsidRPr="006F59DD">
              <w:rPr>
                <w:sz w:val="20"/>
                <w:lang w:val="fr-CA"/>
              </w:rPr>
              <w:t xml:space="preserve"> </w:t>
            </w:r>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Appel du demandeur accueilli en partie; pension alimentaire pour conjoint payable par le demandeur réduite; déduction des apports au capital faits par le demandeur sur les biens de l’intimée de la part des biens octroyée à l’intimée.</w:t>
            </w: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24 août 2021</w:t>
            </w:r>
          </w:p>
          <w:p w:rsidR="000A65C3" w:rsidRPr="006F59DD" w:rsidRDefault="000A65C3" w:rsidP="009F46F6">
            <w:pPr>
              <w:jc w:val="both"/>
              <w:rPr>
                <w:sz w:val="20"/>
                <w:lang w:val="fr-CA"/>
              </w:rPr>
            </w:pPr>
            <w:r w:rsidRPr="006F59DD">
              <w:rPr>
                <w:sz w:val="20"/>
                <w:lang w:val="fr-CA"/>
              </w:rPr>
              <w:t>Cour suprême du Canada</w:t>
            </w: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Demande d’autorisation d’appel déposée.</w:t>
            </w:r>
          </w:p>
          <w:p w:rsidR="000A65C3" w:rsidRPr="006F59DD" w:rsidRDefault="000A65C3" w:rsidP="009F46F6">
            <w:pPr>
              <w:jc w:val="both"/>
              <w:rPr>
                <w:sz w:val="20"/>
                <w:lang w:val="fr-CA"/>
              </w:rPr>
            </w:pPr>
          </w:p>
        </w:tc>
      </w:tr>
    </w:tbl>
    <w:p w:rsidR="000A65C3" w:rsidRPr="006F59DD" w:rsidRDefault="000A65C3" w:rsidP="000A65C3">
      <w:pPr>
        <w:jc w:val="both"/>
        <w:rPr>
          <w:sz w:val="20"/>
          <w:lang w:val="fr-CA"/>
        </w:rPr>
      </w:pPr>
    </w:p>
    <w:p w:rsidR="000A65C3" w:rsidRPr="006F59DD" w:rsidRDefault="006F59DD" w:rsidP="000A65C3">
      <w:pPr>
        <w:jc w:val="both"/>
        <w:rPr>
          <w:sz w:val="20"/>
          <w:lang w:val="fr-CA"/>
        </w:rPr>
      </w:pPr>
      <w:r w:rsidRPr="006F59DD">
        <w:rPr>
          <w:sz w:val="20"/>
        </w:rPr>
        <w:pict>
          <v:rect id="_x0000_i1046" style="width:2in;height:1pt" o:hrpct="0" o:hralign="center" o:hrstd="t" o:hrnoshade="t" o:hr="t" fillcolor="black [3213]" stroked="f"/>
        </w:pict>
      </w:r>
    </w:p>
    <w:p w:rsidR="000A65C3" w:rsidRPr="006F59DD" w:rsidRDefault="000A65C3" w:rsidP="000A65C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39853</w:t>
            </w:r>
          </w:p>
        </w:tc>
        <w:tc>
          <w:tcPr>
            <w:tcW w:w="4457" w:type="pct"/>
            <w:gridSpan w:val="3"/>
          </w:tcPr>
          <w:p w:rsidR="000A65C3" w:rsidRPr="006F59DD" w:rsidRDefault="00023F15" w:rsidP="009F46F6">
            <w:pPr>
              <w:pStyle w:val="SCCLsocParty"/>
              <w:jc w:val="both"/>
              <w:rPr>
                <w:b/>
                <w:sz w:val="20"/>
                <w:szCs w:val="20"/>
                <w:lang w:val="en-US"/>
              </w:rPr>
            </w:pPr>
            <w:r w:rsidRPr="006F59DD">
              <w:rPr>
                <w:b/>
                <w:sz w:val="20"/>
                <w:szCs w:val="20"/>
                <w:lang w:val="en-US"/>
              </w:rPr>
              <w:t>2312810 Ontario Inc., Daniel Leo Lino Favero, Linda Favero and Leo Joseph Favero</w:t>
            </w:r>
            <w:r w:rsidR="000A65C3" w:rsidRPr="006F59DD">
              <w:rPr>
                <w:b/>
                <w:sz w:val="20"/>
                <w:szCs w:val="20"/>
                <w:lang w:val="en-US"/>
              </w:rPr>
              <w:t xml:space="preserve"> v. Corporation of the Town of Fort Erie</w:t>
            </w:r>
          </w:p>
          <w:p w:rsidR="000A65C3" w:rsidRPr="006F59DD" w:rsidRDefault="000A65C3" w:rsidP="009F46F6">
            <w:pPr>
              <w:jc w:val="both"/>
              <w:rPr>
                <w:sz w:val="20"/>
              </w:rPr>
            </w:pPr>
            <w:r w:rsidRPr="006F59DD">
              <w:rPr>
                <w:sz w:val="20"/>
              </w:rPr>
              <w:t>(Ont.) (Civil) (By Leave)</w:t>
            </w:r>
          </w:p>
        </w:tc>
      </w:tr>
      <w:tr w:rsidR="000A65C3" w:rsidRPr="006F59DD" w:rsidTr="009F46F6">
        <w:tc>
          <w:tcPr>
            <w:tcW w:w="5000" w:type="pct"/>
            <w:gridSpan w:val="4"/>
          </w:tcPr>
          <w:p w:rsidR="00023F15" w:rsidRPr="006F59DD" w:rsidRDefault="00023F15" w:rsidP="00023F15">
            <w:pPr>
              <w:jc w:val="both"/>
              <w:rPr>
                <w:sz w:val="20"/>
                <w:szCs w:val="20"/>
              </w:rPr>
            </w:pPr>
            <w:r w:rsidRPr="006F59DD">
              <w:rPr>
                <w:sz w:val="20"/>
                <w:szCs w:val="20"/>
              </w:rPr>
              <w:t>The application for leave to appeal from the judgment of the Court of Appeal for Ontario, Number M51952 (M51357), 2021 ONCA 500, dated July 2, 2021, with reasons dated July 7, 2021, is dismissed with costs.</w:t>
            </w:r>
          </w:p>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 xml:space="preserve">Municipal law — By-laws — Zoning — Land use — Town alleging applicants’ storage business violates zoning restrictions — Applicants convicted of unlawful operation of public storage facility — Court of Appeal denying leave to appeal convictions — Whether the Supreme Court of Canada has jurisdiction pursuant to s. 40(1) of the </w:t>
            </w:r>
            <w:r w:rsidRPr="006F59DD">
              <w:rPr>
                <w:i/>
                <w:sz w:val="20"/>
              </w:rPr>
              <w:t>Supreme Court Act</w:t>
            </w:r>
            <w:r w:rsidRPr="006F59DD">
              <w:rPr>
                <w:sz w:val="20"/>
              </w:rPr>
              <w:t>, R.S.C., 1985, c. S</w:t>
            </w:r>
            <w:r w:rsidRPr="006F59DD">
              <w:rPr>
                <w:sz w:val="20"/>
              </w:rPr>
              <w:noBreakHyphen/>
              <w:t xml:space="preserve">26, to hear an appeal of a decision declining leave made pursuant to s. 131 of the </w:t>
            </w:r>
            <w:r w:rsidRPr="006F59DD">
              <w:rPr>
                <w:i/>
                <w:sz w:val="20"/>
              </w:rPr>
              <w:t>Provincial Offences Act</w:t>
            </w:r>
            <w:r w:rsidRPr="006F59DD">
              <w:rPr>
                <w:sz w:val="20"/>
              </w:rPr>
              <w:t xml:space="preserve"> where that appeal raises an issue of public importance and is premised on an issue concerning jurisdictional error — Whether the “</w:t>
            </w:r>
            <w:r w:rsidRPr="006F59DD">
              <w:rPr>
                <w:i/>
                <w:sz w:val="20"/>
              </w:rPr>
              <w:t>Hillmond</w:t>
            </w:r>
            <w:r w:rsidRPr="006F59DD">
              <w:rPr>
                <w:sz w:val="20"/>
              </w:rPr>
              <w:t xml:space="preserve"> Exception” applies to s. 131 of the </w:t>
            </w:r>
            <w:r w:rsidRPr="006F59DD">
              <w:rPr>
                <w:i/>
                <w:sz w:val="20"/>
              </w:rPr>
              <w:t>Provincial Offences Act</w:t>
            </w:r>
            <w:r w:rsidRPr="006F59DD">
              <w:rPr>
                <w:sz w:val="20"/>
              </w:rPr>
              <w:t xml:space="preserve"> — Whether a failure to grant special leave to appeal pursuant to s. 131 of the </w:t>
            </w:r>
            <w:r w:rsidRPr="006F59DD">
              <w:rPr>
                <w:i/>
                <w:sz w:val="20"/>
              </w:rPr>
              <w:t>Provincial Offences Act</w:t>
            </w:r>
            <w:r w:rsidRPr="006F59DD">
              <w:rPr>
                <w:sz w:val="20"/>
              </w:rPr>
              <w:t xml:space="preserve">, where the applicant was denied the right to be heard on a central issue at trial, constitute a jurisdictional error — </w:t>
            </w:r>
            <w:r w:rsidRPr="006F59DD">
              <w:rPr>
                <w:i/>
                <w:sz w:val="20"/>
              </w:rPr>
              <w:t>Provincial Offences Act</w:t>
            </w:r>
            <w:r w:rsidRPr="006F59DD">
              <w:rPr>
                <w:sz w:val="20"/>
              </w:rPr>
              <w:t>, R.S.O. 1990, c. P.33, s. 131.</w:t>
            </w:r>
          </w:p>
        </w:tc>
      </w:tr>
      <w:tr w:rsidR="000A65C3" w:rsidRPr="006F59DD" w:rsidTr="009F46F6">
        <w:tc>
          <w:tcPr>
            <w:tcW w:w="5000" w:type="pct"/>
            <w:gridSpan w:val="4"/>
          </w:tcPr>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The applicants, the Faveros, operated a family</w:t>
            </w:r>
            <w:r w:rsidRPr="006F59DD">
              <w:rPr>
                <w:sz w:val="20"/>
              </w:rPr>
              <w:noBreakHyphen/>
              <w:t>owned storage business in Fort Erie. The respondent, the Town of Fort Erie, alleged that this land use violated applicable zoning by</w:t>
            </w:r>
            <w:r w:rsidRPr="006F59DD">
              <w:rPr>
                <w:sz w:val="20"/>
              </w:rPr>
              <w:noBreakHyphen/>
              <w:t>laws; the Faveros were charged with using land for purposes not permitted by law (i.e., unlawfully operating a public storage facility) and six counts of unlawful storage of cargo containers. The Faveros were acquitted at first instance before a Justice of the Peace, having demonstrated a continuous and legal non-conforming use of land. The Town appealed this decision.</w:t>
            </w:r>
          </w:p>
          <w:p w:rsidR="000A65C3" w:rsidRPr="006F59DD" w:rsidRDefault="000A65C3" w:rsidP="009F46F6">
            <w:pPr>
              <w:jc w:val="both"/>
              <w:rPr>
                <w:sz w:val="20"/>
              </w:rPr>
            </w:pPr>
          </w:p>
          <w:p w:rsidR="000A65C3" w:rsidRPr="006F59DD" w:rsidRDefault="000A65C3" w:rsidP="009F46F6">
            <w:pPr>
              <w:jc w:val="both"/>
              <w:rPr>
                <w:sz w:val="20"/>
              </w:rPr>
            </w:pPr>
            <w:r w:rsidRPr="006F59DD">
              <w:rPr>
                <w:sz w:val="20"/>
              </w:rPr>
              <w:t>An appeal judge at the Ontario Court of Justice allowed the Town’s appeal and registered convictions against the Faveros, concluding that the Justice of the Peace had erred in finding that a “legal” non</w:t>
            </w:r>
            <w:r w:rsidRPr="006F59DD">
              <w:rPr>
                <w:sz w:val="20"/>
              </w:rPr>
              <w:noBreakHyphen/>
              <w:t xml:space="preserve">confirming land use had been demonstrated. A motion judge at the Court of Appeal dismissed the Faveros’ motion for leave to appeal, finding that s. 131(2) of the </w:t>
            </w:r>
            <w:r w:rsidRPr="006F59DD">
              <w:rPr>
                <w:i/>
                <w:sz w:val="20"/>
              </w:rPr>
              <w:t>Provincial Offences Act</w:t>
            </w:r>
            <w:r w:rsidRPr="006F59DD">
              <w:rPr>
                <w:sz w:val="20"/>
              </w:rPr>
              <w:t xml:space="preserve"> prohibited granting leave unless it was “essential in the public interest or for the due administration of justice”, which was not the case here. A panel of the Court of Appeal dismissed the Faveros’ subsequent application seeking an order to set aside the motion judge’s decision, finding that s. 131(3) of the Act constitutes a prohibition against appeals from decisions on leave.</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July 26, 2019</w:t>
            </w:r>
          </w:p>
          <w:p w:rsidR="000A65C3" w:rsidRPr="006F59DD" w:rsidRDefault="000A65C3" w:rsidP="009F46F6">
            <w:pPr>
              <w:jc w:val="both"/>
              <w:rPr>
                <w:sz w:val="20"/>
              </w:rPr>
            </w:pPr>
            <w:r w:rsidRPr="006F59DD">
              <w:rPr>
                <w:sz w:val="20"/>
              </w:rPr>
              <w:t>Ontario Court of Justice</w:t>
            </w:r>
          </w:p>
          <w:p w:rsidR="000A65C3" w:rsidRPr="006F59DD" w:rsidRDefault="000A65C3" w:rsidP="009F46F6">
            <w:pPr>
              <w:jc w:val="both"/>
              <w:rPr>
                <w:sz w:val="20"/>
              </w:rPr>
            </w:pPr>
            <w:r w:rsidRPr="006F59DD">
              <w:rPr>
                <w:sz w:val="20"/>
              </w:rPr>
              <w:t>(Lancaster J.P.)</w:t>
            </w:r>
          </w:p>
          <w:p w:rsidR="000A65C3" w:rsidRPr="006F59DD" w:rsidRDefault="006F59DD" w:rsidP="009F46F6">
            <w:pPr>
              <w:jc w:val="both"/>
              <w:rPr>
                <w:sz w:val="20"/>
              </w:rPr>
            </w:pPr>
            <w:hyperlink r:id="rId25" w:history="1">
              <w:r w:rsidR="000A65C3" w:rsidRPr="006F59DD">
                <w:rPr>
                  <w:rStyle w:val="Hyperlink"/>
                  <w:sz w:val="20"/>
                </w:rPr>
                <w:t>2019 ONCJ 543</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All charges against applicants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January 17, 2020</w:t>
            </w:r>
          </w:p>
          <w:p w:rsidR="000A65C3" w:rsidRPr="006F59DD" w:rsidRDefault="000A65C3" w:rsidP="009F46F6">
            <w:pPr>
              <w:jc w:val="both"/>
              <w:rPr>
                <w:sz w:val="20"/>
              </w:rPr>
            </w:pPr>
            <w:r w:rsidRPr="006F59DD">
              <w:rPr>
                <w:sz w:val="20"/>
              </w:rPr>
              <w:t>Ontario Court of Justice</w:t>
            </w:r>
          </w:p>
          <w:p w:rsidR="000A65C3" w:rsidRPr="006F59DD" w:rsidRDefault="000A65C3" w:rsidP="009F46F6">
            <w:pPr>
              <w:jc w:val="both"/>
              <w:rPr>
                <w:sz w:val="20"/>
              </w:rPr>
            </w:pPr>
            <w:r w:rsidRPr="006F59DD">
              <w:rPr>
                <w:sz w:val="20"/>
              </w:rPr>
              <w:t>(Hilliard J.)</w:t>
            </w:r>
          </w:p>
          <w:p w:rsidR="000A65C3" w:rsidRPr="006F59DD" w:rsidRDefault="006F59DD" w:rsidP="009F46F6">
            <w:pPr>
              <w:jc w:val="both"/>
              <w:rPr>
                <w:sz w:val="20"/>
              </w:rPr>
            </w:pPr>
            <w:hyperlink r:id="rId26" w:history="1">
              <w:r w:rsidR="000A65C3" w:rsidRPr="006F59DD">
                <w:rPr>
                  <w:rStyle w:val="Hyperlink"/>
                  <w:sz w:val="20"/>
                </w:rPr>
                <w:t>2020 ONCJ 34</w:t>
              </w:r>
            </w:hyperlink>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Respondent Town’s appeal — allowed; convictions entered against applicants</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October 7, 2020</w:t>
            </w:r>
          </w:p>
          <w:p w:rsidR="000A65C3" w:rsidRPr="006F59DD" w:rsidRDefault="000A65C3" w:rsidP="009F46F6">
            <w:pPr>
              <w:jc w:val="both"/>
              <w:rPr>
                <w:sz w:val="20"/>
              </w:rPr>
            </w:pPr>
            <w:r w:rsidRPr="006F59DD">
              <w:rPr>
                <w:sz w:val="20"/>
              </w:rPr>
              <w:t>Court of Appeal for Ontario</w:t>
            </w:r>
          </w:p>
          <w:p w:rsidR="000A65C3" w:rsidRPr="006F59DD" w:rsidRDefault="000A65C3" w:rsidP="009F46F6">
            <w:pPr>
              <w:jc w:val="both"/>
              <w:rPr>
                <w:sz w:val="20"/>
              </w:rPr>
            </w:pPr>
            <w:r w:rsidRPr="006F59DD">
              <w:rPr>
                <w:sz w:val="20"/>
              </w:rPr>
              <w:t>(MacPherson J.)</w:t>
            </w:r>
          </w:p>
          <w:p w:rsidR="000A65C3" w:rsidRPr="006F59DD" w:rsidRDefault="000A65C3" w:rsidP="009F46F6">
            <w:pPr>
              <w:jc w:val="both"/>
              <w:rPr>
                <w:sz w:val="20"/>
              </w:rPr>
            </w:pPr>
            <w:r w:rsidRPr="006F59DD">
              <w:rPr>
                <w:sz w:val="20"/>
              </w:rPr>
              <w:t>Docket no. M51357</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Applicants’ motion for leave to appeal —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July 7, 2021</w:t>
            </w:r>
          </w:p>
          <w:p w:rsidR="000A65C3" w:rsidRPr="006F59DD" w:rsidRDefault="000A65C3" w:rsidP="009F46F6">
            <w:pPr>
              <w:jc w:val="both"/>
              <w:rPr>
                <w:sz w:val="20"/>
              </w:rPr>
            </w:pPr>
            <w:r w:rsidRPr="006F59DD">
              <w:rPr>
                <w:sz w:val="20"/>
              </w:rPr>
              <w:t>Court of Appeal for Ontario</w:t>
            </w:r>
          </w:p>
          <w:p w:rsidR="000A65C3" w:rsidRPr="006F59DD" w:rsidRDefault="000A65C3" w:rsidP="009F46F6">
            <w:pPr>
              <w:jc w:val="both"/>
              <w:rPr>
                <w:sz w:val="20"/>
              </w:rPr>
            </w:pPr>
            <w:r w:rsidRPr="006F59DD">
              <w:rPr>
                <w:sz w:val="20"/>
              </w:rPr>
              <w:t>(Watt, Pardu and Trotter JJ.A.)</w:t>
            </w:r>
          </w:p>
          <w:p w:rsidR="000A65C3" w:rsidRPr="006F59DD" w:rsidRDefault="006F59DD" w:rsidP="009F46F6">
            <w:pPr>
              <w:jc w:val="both"/>
              <w:rPr>
                <w:sz w:val="20"/>
              </w:rPr>
            </w:pPr>
            <w:hyperlink r:id="rId27" w:history="1">
              <w:r w:rsidR="000A65C3" w:rsidRPr="006F59DD">
                <w:rPr>
                  <w:rStyle w:val="Hyperlink"/>
                  <w:sz w:val="20"/>
                </w:rPr>
                <w:t>2021 ONCA 500</w:t>
              </w:r>
            </w:hyperlink>
            <w:r w:rsidR="000A65C3" w:rsidRPr="006F59DD">
              <w:rPr>
                <w:sz w:val="20"/>
              </w:rPr>
              <w:t xml:space="preserve"> </w:t>
            </w:r>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rPr>
            </w:pPr>
            <w:r w:rsidRPr="006F59DD">
              <w:rPr>
                <w:sz w:val="20"/>
              </w:rPr>
              <w:t>Application to set aside order of motion judge dismissing application for leave to appeal —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September 28, 2021</w:t>
            </w:r>
          </w:p>
          <w:p w:rsidR="000A65C3" w:rsidRPr="006F59DD" w:rsidRDefault="000A65C3" w:rsidP="009F46F6">
            <w:pPr>
              <w:jc w:val="both"/>
              <w:rPr>
                <w:sz w:val="20"/>
              </w:rPr>
            </w:pPr>
            <w:r w:rsidRPr="006F59DD">
              <w:rPr>
                <w:sz w:val="20"/>
              </w:rPr>
              <w:t>Supreme Court of Canada</w:t>
            </w: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filed</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47" style="width:2in;height:1pt" o:hrpct="0" o:hralign="center" o:hrstd="t" o:hrnoshade="t" o:hr="t" fillcolor="black [3213]" stroked="f"/>
        </w:pict>
      </w:r>
    </w:p>
    <w:p w:rsidR="000A65C3" w:rsidRPr="006F59DD" w:rsidRDefault="000A65C3" w:rsidP="000A65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A65C3" w:rsidRPr="006F59DD" w:rsidTr="009F46F6">
        <w:tc>
          <w:tcPr>
            <w:tcW w:w="543" w:type="pct"/>
          </w:tcPr>
          <w:p w:rsidR="000A65C3" w:rsidRPr="006F59DD" w:rsidRDefault="000A65C3" w:rsidP="009F46F6">
            <w:pPr>
              <w:jc w:val="both"/>
              <w:rPr>
                <w:sz w:val="20"/>
                <w:lang w:val="fr-CA"/>
              </w:rPr>
            </w:pPr>
            <w:r w:rsidRPr="006F59DD">
              <w:rPr>
                <w:rStyle w:val="SCCFileNumberChar"/>
                <w:sz w:val="20"/>
                <w:szCs w:val="20"/>
                <w:lang w:val="fr-CA"/>
              </w:rPr>
              <w:t>39853</w:t>
            </w:r>
          </w:p>
        </w:tc>
        <w:tc>
          <w:tcPr>
            <w:tcW w:w="4457" w:type="pct"/>
          </w:tcPr>
          <w:p w:rsidR="000A65C3" w:rsidRPr="006F59DD" w:rsidRDefault="00023F15" w:rsidP="009F46F6">
            <w:pPr>
              <w:pStyle w:val="SCCLsocParty"/>
              <w:jc w:val="both"/>
              <w:rPr>
                <w:b/>
                <w:sz w:val="20"/>
                <w:szCs w:val="20"/>
                <w:lang w:val="en-US"/>
              </w:rPr>
            </w:pPr>
            <w:r w:rsidRPr="006F59DD">
              <w:rPr>
                <w:b/>
                <w:sz w:val="20"/>
                <w:szCs w:val="20"/>
                <w:lang w:val="en-US"/>
              </w:rPr>
              <w:t>2312810 Ontario Inc., Daniel Leo Lino Favero, Linda Favero et Leo Joseph Favero</w:t>
            </w:r>
            <w:r w:rsidR="000A65C3" w:rsidRPr="006F59DD">
              <w:rPr>
                <w:b/>
                <w:sz w:val="20"/>
                <w:szCs w:val="20"/>
                <w:lang w:val="en-US"/>
              </w:rPr>
              <w:t xml:space="preserve"> c. </w:t>
            </w:r>
            <w:r w:rsidRPr="006F59DD">
              <w:rPr>
                <w:b/>
                <w:sz w:val="20"/>
                <w:szCs w:val="20"/>
                <w:lang w:val="en-US"/>
              </w:rPr>
              <w:t>Corporation of the Town of Fort Erie</w:t>
            </w:r>
          </w:p>
          <w:p w:rsidR="000A65C3" w:rsidRPr="006F59DD" w:rsidRDefault="000A65C3" w:rsidP="009F46F6">
            <w:pPr>
              <w:jc w:val="both"/>
              <w:rPr>
                <w:sz w:val="20"/>
                <w:lang w:val="fr-CA"/>
              </w:rPr>
            </w:pPr>
            <w:r w:rsidRPr="006F59DD">
              <w:rPr>
                <w:sz w:val="20"/>
                <w:lang w:val="fr-CA"/>
              </w:rPr>
              <w:t>(Ont.) (Civile) (Sur autorisation)</w:t>
            </w:r>
          </w:p>
        </w:tc>
      </w:tr>
      <w:tr w:rsidR="000A65C3" w:rsidRPr="006F59DD" w:rsidTr="009F46F6">
        <w:tc>
          <w:tcPr>
            <w:tcW w:w="5000" w:type="pct"/>
            <w:gridSpan w:val="2"/>
          </w:tcPr>
          <w:p w:rsidR="000A65C3" w:rsidRPr="006F59DD" w:rsidRDefault="00023F15" w:rsidP="009F46F6">
            <w:pPr>
              <w:jc w:val="both"/>
              <w:rPr>
                <w:sz w:val="20"/>
                <w:szCs w:val="20"/>
                <w:lang w:val="fr-CA"/>
              </w:rPr>
            </w:pPr>
            <w:r w:rsidRPr="006F59DD">
              <w:rPr>
                <w:sz w:val="20"/>
                <w:szCs w:val="20"/>
                <w:lang w:val="fr-CA"/>
              </w:rPr>
              <w:t>La demande d’autorisation d’appel de l’arrêt de la Cour d’appel de l’Ontario, numéro M51952 (M51357), 2021 ONCA 500, daté du 2 juillet 2021, avec des motifs en date du 7 juillet 2021, est rejetée avec dépens.</w:t>
            </w:r>
          </w:p>
          <w:p w:rsidR="00023F15" w:rsidRPr="006F59DD" w:rsidRDefault="00023F15" w:rsidP="009F46F6">
            <w:pPr>
              <w:jc w:val="both"/>
              <w:rPr>
                <w:sz w:val="20"/>
                <w:lang w:val="fr-CA"/>
              </w:rPr>
            </w:pPr>
          </w:p>
        </w:tc>
      </w:tr>
      <w:tr w:rsidR="000A65C3" w:rsidRPr="006F59DD" w:rsidTr="009F46F6">
        <w:tc>
          <w:tcPr>
            <w:tcW w:w="5000" w:type="pct"/>
            <w:gridSpan w:val="2"/>
          </w:tcPr>
          <w:p w:rsidR="000A65C3" w:rsidRPr="006F59DD" w:rsidRDefault="000A65C3" w:rsidP="009F46F6">
            <w:pPr>
              <w:jc w:val="both"/>
              <w:rPr>
                <w:sz w:val="20"/>
                <w:lang w:val="fr-CA"/>
              </w:rPr>
            </w:pPr>
            <w:r w:rsidRPr="006F59DD">
              <w:rPr>
                <w:sz w:val="20"/>
                <w:lang w:val="fr-CA"/>
              </w:rPr>
              <w:t>Droit municipal — Règlements — Zonage — Utilisation du sol — La Ville allègue que l’entreprise d’entreposage des demandeurs viole les règlements de zonage — Les demandeurs sont déclarés coupables d’exploitation illégale d’une installation d’entreposage publique — La Cour d’appel rejette la demande d’autorisation d’appel des déclarations de culpabilité — La Cour suprême du Canada a</w:t>
            </w:r>
            <w:r w:rsidRPr="006F59DD">
              <w:rPr>
                <w:sz w:val="20"/>
                <w:lang w:val="fr-CA"/>
              </w:rPr>
              <w:noBreakHyphen/>
              <w:t>t</w:t>
            </w:r>
            <w:r w:rsidRPr="006F59DD">
              <w:rPr>
                <w:sz w:val="20"/>
                <w:lang w:val="fr-CA"/>
              </w:rPr>
              <w:noBreakHyphen/>
              <w:t xml:space="preserve">elle compétence, en vertu de du par. 40(1) de la </w:t>
            </w:r>
            <w:r w:rsidRPr="006F59DD">
              <w:rPr>
                <w:i/>
                <w:sz w:val="20"/>
                <w:lang w:val="fr-CA"/>
              </w:rPr>
              <w:t>Loi sur la Cour suprême</w:t>
            </w:r>
            <w:r w:rsidRPr="006F59DD">
              <w:rPr>
                <w:sz w:val="20"/>
                <w:lang w:val="fr-CA"/>
              </w:rPr>
              <w:t xml:space="preserve"> L.R.C. (1985), ch. S</w:t>
            </w:r>
            <w:r w:rsidRPr="006F59DD">
              <w:rPr>
                <w:sz w:val="20"/>
                <w:lang w:val="fr-CA"/>
              </w:rPr>
              <w:noBreakHyphen/>
              <w:t xml:space="preserve">26, pour entendre l’appel d’une décision rejetant une demande d’autorisation d’appel rendue en vertu de l’art. 131 de la </w:t>
            </w:r>
            <w:r w:rsidRPr="006F59DD">
              <w:rPr>
                <w:i/>
                <w:sz w:val="20"/>
                <w:lang w:val="fr-CA"/>
              </w:rPr>
              <w:t>Loi sur les infractions provinciales</w:t>
            </w:r>
            <w:r w:rsidRPr="006F59DD">
              <w:rPr>
                <w:sz w:val="20"/>
                <w:lang w:val="fr-CA"/>
              </w:rPr>
              <w:t xml:space="preserve"> lorsque cet appel soulève une question d’importance pour le public et est basé sur une question relative à une erreur de compétence? — L’« exception de l’arrêt </w:t>
            </w:r>
            <w:r w:rsidRPr="006F59DD">
              <w:rPr>
                <w:i/>
                <w:sz w:val="20"/>
                <w:lang w:val="fr-CA"/>
              </w:rPr>
              <w:t>Hillmond</w:t>
            </w:r>
            <w:r w:rsidRPr="006F59DD">
              <w:rPr>
                <w:sz w:val="20"/>
                <w:lang w:val="fr-CA"/>
              </w:rPr>
              <w:t> » s’applique</w:t>
            </w:r>
            <w:r w:rsidRPr="006F59DD">
              <w:rPr>
                <w:sz w:val="20"/>
                <w:lang w:val="fr-CA"/>
              </w:rPr>
              <w:noBreakHyphen/>
              <w:t>t</w:t>
            </w:r>
            <w:r w:rsidRPr="006F59DD">
              <w:rPr>
                <w:sz w:val="20"/>
                <w:lang w:val="fr-CA"/>
              </w:rPr>
              <w:noBreakHyphen/>
              <w:t xml:space="preserve">elle à l’art. 131 de la </w:t>
            </w:r>
            <w:r w:rsidRPr="006F59DD">
              <w:rPr>
                <w:i/>
                <w:sz w:val="20"/>
                <w:lang w:val="fr-CA"/>
              </w:rPr>
              <w:t>Loi sur les infractions provinciales</w:t>
            </w:r>
            <w:r w:rsidRPr="006F59DD">
              <w:rPr>
                <w:sz w:val="20"/>
                <w:lang w:val="fr-CA"/>
              </w:rPr>
              <w:t xml:space="preserve">? — Le défaut d’accorder une autorisation spéciale d’appel en vertu de l’art. 131 de la </w:t>
            </w:r>
            <w:r w:rsidRPr="006F59DD">
              <w:rPr>
                <w:i/>
                <w:sz w:val="20"/>
                <w:lang w:val="fr-CA"/>
              </w:rPr>
              <w:t>Loi sur les infractions provinciales</w:t>
            </w:r>
            <w:r w:rsidRPr="006F59DD">
              <w:rPr>
                <w:sz w:val="20"/>
                <w:lang w:val="fr-CA"/>
              </w:rPr>
              <w:t>, lorsque le demandeur s’est vu refuser le droit de se faire entendre quant à une question centrale au procès, constitue</w:t>
            </w:r>
            <w:r w:rsidRPr="006F59DD">
              <w:rPr>
                <w:sz w:val="20"/>
                <w:lang w:val="fr-CA"/>
              </w:rPr>
              <w:noBreakHyphen/>
              <w:t>t</w:t>
            </w:r>
            <w:r w:rsidRPr="006F59DD">
              <w:rPr>
                <w:sz w:val="20"/>
                <w:lang w:val="fr-CA"/>
              </w:rPr>
              <w:noBreakHyphen/>
              <w:t xml:space="preserve">il une erreur de compétence? — </w:t>
            </w:r>
            <w:r w:rsidRPr="006F59DD">
              <w:rPr>
                <w:i/>
                <w:sz w:val="20"/>
                <w:lang w:val="fr-CA"/>
              </w:rPr>
              <w:t>Loi sur les infractions provinciales</w:t>
            </w:r>
            <w:r w:rsidRPr="006F59DD">
              <w:rPr>
                <w:sz w:val="20"/>
                <w:lang w:val="fr-CA"/>
              </w:rPr>
              <w:t>, L.R.O. 1990, c P.33, art. 131.</w:t>
            </w:r>
          </w:p>
        </w:tc>
      </w:tr>
      <w:tr w:rsidR="000A65C3" w:rsidRPr="006F59DD" w:rsidTr="009F46F6">
        <w:tc>
          <w:tcPr>
            <w:tcW w:w="5000" w:type="pct"/>
            <w:gridSpan w:val="2"/>
          </w:tcPr>
          <w:p w:rsidR="000A65C3" w:rsidRPr="006F59DD" w:rsidRDefault="000A65C3" w:rsidP="009F46F6">
            <w:pPr>
              <w:jc w:val="both"/>
              <w:rPr>
                <w:sz w:val="20"/>
                <w:lang w:val="fr-CA"/>
              </w:rPr>
            </w:pPr>
          </w:p>
        </w:tc>
      </w:tr>
      <w:tr w:rsidR="006E013F" w:rsidRPr="006F59DD" w:rsidTr="009F46F6">
        <w:tc>
          <w:tcPr>
            <w:tcW w:w="5000" w:type="pct"/>
            <w:gridSpan w:val="2"/>
          </w:tcPr>
          <w:p w:rsidR="006E013F" w:rsidRPr="006F59DD" w:rsidRDefault="006E013F" w:rsidP="006E013F">
            <w:pPr>
              <w:jc w:val="both"/>
              <w:rPr>
                <w:sz w:val="20"/>
                <w:lang w:val="fr-CA"/>
              </w:rPr>
            </w:pPr>
            <w:r w:rsidRPr="006F59DD">
              <w:rPr>
                <w:sz w:val="20"/>
                <w:lang w:val="fr-CA"/>
              </w:rPr>
              <w:t>Les demandeurs, les Favero, exploitaient une entreprise familiale d’entreposage à Fort Erie. L’intimée, la Ville de Fort Erie, a allégué que cette utilisation du sol violait le règlement de zonage applicable; les Favero ont été accusés d’utilisation du sol à des fins non permises par la loi (c.</w:t>
            </w:r>
            <w:r w:rsidRPr="006F59DD">
              <w:rPr>
                <w:sz w:val="20"/>
                <w:lang w:val="fr-CA"/>
              </w:rPr>
              <w:noBreakHyphen/>
              <w:t>à</w:t>
            </w:r>
            <w:r w:rsidRPr="006F59DD">
              <w:rPr>
                <w:sz w:val="20"/>
                <w:lang w:val="fr-CA"/>
              </w:rPr>
              <w:noBreakHyphen/>
              <w:t>d., l’exploitation illégale d’une installation d’entreposage publique) et de six chefs d’entreposage illégal de conteneurs. Les Favero ont été acquittés en première instance devant un juge de paix, ayant démontré qu’il y avait eu utilisation dérogatoire continue et légale du sol. La Ville a fait appel de cette décision.</w:t>
            </w:r>
          </w:p>
          <w:p w:rsidR="006E013F" w:rsidRPr="006F59DD" w:rsidRDefault="006E013F" w:rsidP="009F46F6">
            <w:pPr>
              <w:jc w:val="both"/>
              <w:rPr>
                <w:sz w:val="20"/>
                <w:lang w:val="fr-CA"/>
              </w:rPr>
            </w:pPr>
          </w:p>
        </w:tc>
      </w:tr>
    </w:tbl>
    <w:p w:rsidR="006E013F" w:rsidRPr="006F59DD" w:rsidRDefault="006E013F">
      <w:r w:rsidRPr="006F59D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65C3" w:rsidRPr="006F59DD" w:rsidTr="009F46F6">
        <w:tc>
          <w:tcPr>
            <w:tcW w:w="5000" w:type="pct"/>
            <w:gridSpan w:val="3"/>
          </w:tcPr>
          <w:p w:rsidR="000A65C3" w:rsidRPr="006F59DD" w:rsidRDefault="000A65C3" w:rsidP="009F46F6">
            <w:pPr>
              <w:jc w:val="both"/>
              <w:rPr>
                <w:sz w:val="20"/>
                <w:lang w:val="fr-CA"/>
              </w:rPr>
            </w:pPr>
            <w:r w:rsidRPr="006F59DD">
              <w:rPr>
                <w:sz w:val="20"/>
                <w:lang w:val="fr-CA"/>
              </w:rPr>
              <w:lastRenderedPageBreak/>
              <w:t xml:space="preserve">La juge d’appel de la Cour de justice de l’Ontario a accueilli l’appel de la Ville et a déclaré les Favero coupables, statuant que le juge de paix avait erré en concluant qu’une utilisation dérogatoire « légale » du sol avait été démontrée. La juge des motions de la Cour d’appel a rejeté la motion en autorisation d’appel présentée par les Favero, concluant que le par. 131(2) de la </w:t>
            </w:r>
            <w:r w:rsidRPr="006F59DD">
              <w:rPr>
                <w:i/>
                <w:sz w:val="20"/>
                <w:lang w:val="fr-CA"/>
              </w:rPr>
              <w:t>Loi sur les infractions provinciales</w:t>
            </w:r>
            <w:r w:rsidRPr="006F59DD">
              <w:rPr>
                <w:sz w:val="20"/>
                <w:lang w:val="fr-CA"/>
              </w:rPr>
              <w:t xml:space="preserve"> interdisait une telle autorisation d’appel à moins qu’il soit « essentiel qu’elle soit accordée dans l’intérêt public ou pour la bonne administration de la justice », ce qui n’était pas le cas en l'espèce. Une formation de juges de la Cour d’appel a rejeté la demande subséquente des Favero visant à obtenir une ordonnance portant annulation de la décision de la juge des motions, concluant que le par. 131(3) de la Loi constitue une interdiction d’interjeter appel des décisions portant sur l’autorisation d’appel.</w:t>
            </w: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26 juillet 2019</w:t>
            </w:r>
          </w:p>
          <w:p w:rsidR="000A65C3" w:rsidRPr="006F59DD" w:rsidRDefault="000A65C3" w:rsidP="009F46F6">
            <w:pPr>
              <w:jc w:val="both"/>
              <w:rPr>
                <w:sz w:val="20"/>
                <w:lang w:val="fr-CA"/>
              </w:rPr>
            </w:pPr>
            <w:r w:rsidRPr="006F59DD">
              <w:rPr>
                <w:sz w:val="20"/>
                <w:lang w:val="fr-CA"/>
              </w:rPr>
              <w:t>Cour de justice de l’Ontario</w:t>
            </w:r>
          </w:p>
          <w:p w:rsidR="000A65C3" w:rsidRPr="006F59DD" w:rsidRDefault="000A65C3" w:rsidP="009F46F6">
            <w:pPr>
              <w:jc w:val="both"/>
              <w:rPr>
                <w:sz w:val="20"/>
                <w:lang w:val="fr-CA"/>
              </w:rPr>
            </w:pPr>
            <w:r w:rsidRPr="006F59DD">
              <w:rPr>
                <w:sz w:val="20"/>
                <w:lang w:val="fr-CA"/>
              </w:rPr>
              <w:t>(juge de paix Lancaster)</w:t>
            </w:r>
          </w:p>
          <w:p w:rsidR="000A65C3" w:rsidRPr="006F59DD" w:rsidRDefault="006F59DD" w:rsidP="009F46F6">
            <w:pPr>
              <w:jc w:val="both"/>
              <w:rPr>
                <w:sz w:val="20"/>
                <w:lang w:val="fr-CA"/>
              </w:rPr>
            </w:pPr>
            <w:hyperlink r:id="rId28" w:history="1">
              <w:r w:rsidR="000A65C3" w:rsidRPr="006F59DD">
                <w:rPr>
                  <w:rStyle w:val="Hyperlink"/>
                  <w:sz w:val="20"/>
                  <w:lang w:val="fr-CA"/>
                </w:rPr>
                <w:t>2019 ONCJ 543</w:t>
              </w:r>
            </w:hyperlink>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Toutes les accusations portées contre les demandeurs sont rejetées.</w:t>
            </w: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17 janvier 2020</w:t>
            </w:r>
          </w:p>
          <w:p w:rsidR="000A65C3" w:rsidRPr="006F59DD" w:rsidRDefault="000A65C3" w:rsidP="009F46F6">
            <w:pPr>
              <w:jc w:val="both"/>
              <w:rPr>
                <w:sz w:val="20"/>
                <w:lang w:val="fr-CA"/>
              </w:rPr>
            </w:pPr>
            <w:r w:rsidRPr="006F59DD">
              <w:rPr>
                <w:sz w:val="20"/>
                <w:lang w:val="fr-CA"/>
              </w:rPr>
              <w:t>Cour de justice de l’Ontario</w:t>
            </w:r>
          </w:p>
          <w:p w:rsidR="000A65C3" w:rsidRPr="006F59DD" w:rsidRDefault="000A65C3" w:rsidP="009F46F6">
            <w:pPr>
              <w:jc w:val="both"/>
              <w:rPr>
                <w:sz w:val="20"/>
                <w:lang w:val="fr-CA"/>
              </w:rPr>
            </w:pPr>
            <w:r w:rsidRPr="006F59DD">
              <w:rPr>
                <w:sz w:val="20"/>
                <w:lang w:val="fr-CA"/>
              </w:rPr>
              <w:t>(juge Hilliard)</w:t>
            </w:r>
          </w:p>
          <w:p w:rsidR="000A65C3" w:rsidRPr="006F59DD" w:rsidRDefault="006F59DD" w:rsidP="009F46F6">
            <w:pPr>
              <w:jc w:val="both"/>
              <w:rPr>
                <w:sz w:val="20"/>
                <w:lang w:val="fr-CA"/>
              </w:rPr>
            </w:pPr>
            <w:hyperlink r:id="rId29" w:history="1">
              <w:r w:rsidR="000A65C3" w:rsidRPr="006F59DD">
                <w:rPr>
                  <w:rStyle w:val="Hyperlink"/>
                  <w:sz w:val="20"/>
                  <w:lang w:val="fr-CA"/>
                </w:rPr>
                <w:t>2020 ONCJ 34</w:t>
              </w:r>
            </w:hyperlink>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L’appel de la Ville intimée est accueilli; des déclarations de culpabilité sont prononcées contre les demandeurs.</w:t>
            </w: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7 octobre 2020</w:t>
            </w:r>
          </w:p>
          <w:p w:rsidR="000A65C3" w:rsidRPr="006F59DD" w:rsidRDefault="000A65C3" w:rsidP="009F46F6">
            <w:pPr>
              <w:jc w:val="both"/>
              <w:rPr>
                <w:sz w:val="20"/>
                <w:lang w:val="fr-CA"/>
              </w:rPr>
            </w:pPr>
            <w:r w:rsidRPr="006F59DD">
              <w:rPr>
                <w:sz w:val="20"/>
                <w:lang w:val="fr-CA"/>
              </w:rPr>
              <w:t>Cour d’appel de l’Ontario</w:t>
            </w:r>
          </w:p>
          <w:p w:rsidR="000A65C3" w:rsidRPr="006F59DD" w:rsidRDefault="000A65C3" w:rsidP="009F46F6">
            <w:pPr>
              <w:jc w:val="both"/>
              <w:rPr>
                <w:sz w:val="20"/>
                <w:lang w:val="fr-CA"/>
              </w:rPr>
            </w:pPr>
            <w:r w:rsidRPr="006F59DD">
              <w:rPr>
                <w:sz w:val="20"/>
                <w:lang w:val="fr-CA"/>
              </w:rPr>
              <w:t>(juge MacPherson)</w:t>
            </w:r>
          </w:p>
          <w:p w:rsidR="000A65C3" w:rsidRPr="006F59DD" w:rsidRDefault="000A65C3" w:rsidP="009F46F6">
            <w:pPr>
              <w:jc w:val="both"/>
              <w:rPr>
                <w:sz w:val="20"/>
                <w:lang w:val="fr-CA"/>
              </w:rPr>
            </w:pPr>
            <w:r w:rsidRPr="006F59DD">
              <w:rPr>
                <w:sz w:val="20"/>
                <w:lang w:val="fr-CA"/>
              </w:rPr>
              <w:t>N</w:t>
            </w:r>
            <w:r w:rsidRPr="006F59DD">
              <w:rPr>
                <w:sz w:val="20"/>
                <w:vertAlign w:val="superscript"/>
                <w:lang w:val="fr-CA"/>
              </w:rPr>
              <w:t>o</w:t>
            </w:r>
            <w:r w:rsidRPr="006F59DD">
              <w:rPr>
                <w:sz w:val="20"/>
                <w:lang w:val="fr-CA"/>
              </w:rPr>
              <w:t xml:space="preserve"> de dossier : M51357</w:t>
            </w:r>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La motion des demandeurs en autorisation d’appel est rejetée.</w:t>
            </w: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7 juillet 2021</w:t>
            </w:r>
          </w:p>
          <w:p w:rsidR="000A65C3" w:rsidRPr="006F59DD" w:rsidRDefault="000A65C3" w:rsidP="009F46F6">
            <w:pPr>
              <w:jc w:val="both"/>
              <w:rPr>
                <w:sz w:val="20"/>
                <w:lang w:val="fr-CA"/>
              </w:rPr>
            </w:pPr>
            <w:r w:rsidRPr="006F59DD">
              <w:rPr>
                <w:sz w:val="20"/>
                <w:lang w:val="fr-CA"/>
              </w:rPr>
              <w:t>Cour d’appel de l’Ontario</w:t>
            </w:r>
          </w:p>
          <w:p w:rsidR="000A65C3" w:rsidRPr="006F59DD" w:rsidRDefault="000A65C3" w:rsidP="009F46F6">
            <w:pPr>
              <w:jc w:val="both"/>
              <w:rPr>
                <w:sz w:val="20"/>
                <w:lang w:val="fr-CA"/>
              </w:rPr>
            </w:pPr>
            <w:r w:rsidRPr="006F59DD">
              <w:rPr>
                <w:sz w:val="20"/>
                <w:lang w:val="fr-CA"/>
              </w:rPr>
              <w:t>(juges Watt, Pardu et Trotter)</w:t>
            </w:r>
          </w:p>
          <w:p w:rsidR="000A65C3" w:rsidRPr="006F59DD" w:rsidRDefault="006F59DD" w:rsidP="009F46F6">
            <w:pPr>
              <w:jc w:val="both"/>
              <w:rPr>
                <w:sz w:val="20"/>
                <w:lang w:val="fr-CA"/>
              </w:rPr>
            </w:pPr>
            <w:hyperlink r:id="rId30" w:history="1">
              <w:r w:rsidR="000A65C3" w:rsidRPr="006F59DD">
                <w:rPr>
                  <w:rStyle w:val="Hyperlink"/>
                  <w:sz w:val="20"/>
                  <w:lang w:val="fr-CA"/>
                </w:rPr>
                <w:t>2021 ONCA 500</w:t>
              </w:r>
            </w:hyperlink>
            <w:r w:rsidR="000A65C3" w:rsidRPr="006F59DD">
              <w:rPr>
                <w:sz w:val="20"/>
                <w:lang w:val="fr-CA"/>
              </w:rPr>
              <w:t xml:space="preserve"> </w:t>
            </w:r>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La demande d’annuler l’ordonnance de la juge des motions rejetant la demande d’autorisation d’appel est rejetée.</w:t>
            </w:r>
          </w:p>
          <w:p w:rsidR="000A65C3" w:rsidRPr="006F59DD" w:rsidRDefault="000A65C3" w:rsidP="009F46F6">
            <w:pPr>
              <w:jc w:val="both"/>
              <w:rPr>
                <w:sz w:val="20"/>
                <w:lang w:val="fr-CA"/>
              </w:rPr>
            </w:pPr>
          </w:p>
        </w:tc>
      </w:tr>
      <w:tr w:rsidR="000A65C3" w:rsidRPr="006F59DD" w:rsidTr="009F46F6">
        <w:tc>
          <w:tcPr>
            <w:tcW w:w="2427" w:type="pct"/>
          </w:tcPr>
          <w:p w:rsidR="000A65C3" w:rsidRPr="006F59DD" w:rsidRDefault="000A65C3" w:rsidP="009F46F6">
            <w:pPr>
              <w:jc w:val="both"/>
              <w:rPr>
                <w:sz w:val="20"/>
                <w:lang w:val="fr-CA"/>
              </w:rPr>
            </w:pPr>
            <w:r w:rsidRPr="006F59DD">
              <w:rPr>
                <w:sz w:val="20"/>
                <w:lang w:val="fr-CA"/>
              </w:rPr>
              <w:t>28 septembre 2021</w:t>
            </w:r>
          </w:p>
          <w:p w:rsidR="000A65C3" w:rsidRPr="006F59DD" w:rsidRDefault="000A65C3" w:rsidP="009F46F6">
            <w:pPr>
              <w:jc w:val="both"/>
              <w:rPr>
                <w:sz w:val="20"/>
                <w:lang w:val="fr-CA"/>
              </w:rPr>
            </w:pPr>
            <w:r w:rsidRPr="006F59DD">
              <w:rPr>
                <w:sz w:val="20"/>
                <w:lang w:val="fr-CA"/>
              </w:rPr>
              <w:t>Cour suprême du Canada</w:t>
            </w: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lang w:val="fr-CA"/>
              </w:rPr>
            </w:pPr>
            <w:r w:rsidRPr="006F59DD">
              <w:rPr>
                <w:sz w:val="20"/>
                <w:lang w:val="fr-CA"/>
              </w:rPr>
              <w:t>La demande d’autorisation d’appel est présentée.</w:t>
            </w:r>
          </w:p>
          <w:p w:rsidR="000A65C3" w:rsidRPr="006F59DD" w:rsidRDefault="000A65C3" w:rsidP="009F46F6">
            <w:pPr>
              <w:jc w:val="both"/>
              <w:rPr>
                <w:sz w:val="20"/>
                <w:lang w:val="fr-CA"/>
              </w:rPr>
            </w:pPr>
          </w:p>
        </w:tc>
      </w:tr>
    </w:tbl>
    <w:p w:rsidR="000A65C3" w:rsidRPr="006F59DD" w:rsidRDefault="000A65C3" w:rsidP="000A65C3">
      <w:pPr>
        <w:jc w:val="both"/>
        <w:rPr>
          <w:sz w:val="20"/>
          <w:lang w:val="fr-CA"/>
        </w:rPr>
      </w:pPr>
    </w:p>
    <w:p w:rsidR="000A65C3" w:rsidRPr="006F59DD" w:rsidRDefault="006F59DD" w:rsidP="000A65C3">
      <w:pPr>
        <w:widowControl w:val="0"/>
        <w:tabs>
          <w:tab w:val="left" w:pos="3840"/>
        </w:tabs>
        <w:jc w:val="both"/>
        <w:rPr>
          <w:sz w:val="20"/>
          <w:lang w:val="fr-CA"/>
        </w:rPr>
      </w:pPr>
      <w:r w:rsidRPr="006F59DD">
        <w:rPr>
          <w:sz w:val="20"/>
        </w:rPr>
        <w:pict>
          <v:rect id="_x0000_i1048" style="width:2in;height:1pt" o:hrpct="0" o:hralign="center" o:hrstd="t" o:hrnoshade="t" o:hr="t" fillcolor="black [3213]" stroked="f"/>
        </w:pict>
      </w:r>
    </w:p>
    <w:p w:rsidR="000A65C3" w:rsidRPr="006F59DD" w:rsidRDefault="000A65C3" w:rsidP="000A65C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39835</w:t>
            </w:r>
          </w:p>
        </w:tc>
        <w:tc>
          <w:tcPr>
            <w:tcW w:w="4457" w:type="pct"/>
            <w:gridSpan w:val="3"/>
          </w:tcPr>
          <w:p w:rsidR="000A65C3" w:rsidRPr="006F59DD" w:rsidRDefault="00BD7D26" w:rsidP="009F46F6">
            <w:pPr>
              <w:pStyle w:val="SCCLsocParty"/>
              <w:jc w:val="both"/>
              <w:rPr>
                <w:b/>
                <w:sz w:val="20"/>
                <w:szCs w:val="20"/>
                <w:lang w:val="en-US"/>
              </w:rPr>
            </w:pPr>
            <w:r w:rsidRPr="006F59DD">
              <w:rPr>
                <w:b/>
                <w:sz w:val="20"/>
                <w:szCs w:val="20"/>
                <w:lang w:val="en-US"/>
              </w:rPr>
              <w:t>David Bullen (Estate of)</w:t>
            </w:r>
            <w:r w:rsidR="000A65C3" w:rsidRPr="006F59DD">
              <w:rPr>
                <w:b/>
                <w:sz w:val="20"/>
                <w:szCs w:val="20"/>
                <w:lang w:val="en-US"/>
              </w:rPr>
              <w:t xml:space="preserve"> v. Her Majesty the Queen</w:t>
            </w:r>
          </w:p>
          <w:p w:rsidR="000A65C3" w:rsidRPr="006F59DD" w:rsidRDefault="000A65C3" w:rsidP="009F46F6">
            <w:pPr>
              <w:jc w:val="both"/>
              <w:rPr>
                <w:sz w:val="20"/>
              </w:rPr>
            </w:pPr>
            <w:r w:rsidRPr="006F59DD">
              <w:rPr>
                <w:sz w:val="20"/>
              </w:rPr>
              <w:t>(Ont.) (Criminal) (By Leave)</w:t>
            </w:r>
          </w:p>
        </w:tc>
      </w:tr>
      <w:tr w:rsidR="000A65C3" w:rsidRPr="006F59DD" w:rsidTr="009F46F6">
        <w:tc>
          <w:tcPr>
            <w:tcW w:w="5000" w:type="pct"/>
            <w:gridSpan w:val="4"/>
          </w:tcPr>
          <w:p w:rsidR="00BD7D26" w:rsidRPr="006F59DD" w:rsidRDefault="00BD7D26" w:rsidP="00BD7D26">
            <w:pPr>
              <w:jc w:val="both"/>
              <w:rPr>
                <w:sz w:val="20"/>
                <w:szCs w:val="20"/>
              </w:rPr>
            </w:pPr>
            <w:r w:rsidRPr="006F59DD">
              <w:rPr>
                <w:sz w:val="20"/>
                <w:szCs w:val="20"/>
              </w:rPr>
              <w:t>The application for leave to appeal from the judgment of the Ontario Superior Court of Justice, Number 13-30424, 2021 ONSC 3890, dated May 28, 2021, is dismissed.</w:t>
            </w:r>
          </w:p>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Criminal law — Recognizances — Default — Forfeiture of bail deposit and pledges by sureties — Whether forfeiture proceedings were stayed by death of accused — Whether jurisdiction to conduct a forfeiture hearing was lost by non</w:t>
            </w:r>
            <w:r w:rsidRPr="006F59DD">
              <w:rPr>
                <w:sz w:val="20"/>
              </w:rPr>
              <w:noBreakHyphen/>
              <w:t xml:space="preserve">compliance with requirements of </w:t>
            </w:r>
            <w:r w:rsidRPr="006F59DD">
              <w:rPr>
                <w:i/>
                <w:sz w:val="20"/>
              </w:rPr>
              <w:t>Criminal Code</w:t>
            </w:r>
            <w:r w:rsidRPr="006F59DD">
              <w:rPr>
                <w:sz w:val="20"/>
              </w:rPr>
              <w:t xml:space="preserve"> for completing and issuing a Form 33 certificate of default?</w:t>
            </w:r>
          </w:p>
        </w:tc>
      </w:tr>
      <w:tr w:rsidR="000A65C3" w:rsidRPr="006F59DD" w:rsidTr="009F46F6">
        <w:tc>
          <w:tcPr>
            <w:tcW w:w="5000" w:type="pct"/>
            <w:gridSpan w:val="4"/>
          </w:tcPr>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widowControl w:val="0"/>
              <w:kinsoku w:val="0"/>
              <w:overflowPunct w:val="0"/>
              <w:jc w:val="both"/>
              <w:textAlignment w:val="baseline"/>
              <w:rPr>
                <w:sz w:val="20"/>
              </w:rPr>
            </w:pPr>
            <w:r w:rsidRPr="006F59DD">
              <w:rPr>
                <w:sz w:val="20"/>
              </w:rPr>
              <w:t>David Bullen was charged with offences and released on bail and a recognizance with sureties. He was arrested and charged with new offences including breaches of the recognizance. T</w:t>
            </w:r>
            <w:r w:rsidRPr="006F59DD">
              <w:rPr>
                <w:spacing w:val="-2"/>
                <w:sz w:val="20"/>
              </w:rPr>
              <w:t>he recognizance was revoked and a certificate of default was endorsed</w:t>
            </w:r>
            <w:r w:rsidRPr="006F59DD">
              <w:rPr>
                <w:sz w:val="20"/>
              </w:rPr>
              <w:t xml:space="preserve"> on a Form 33. David Bullen pled guilty to the offences and died in prison before sentencing. Crown counsel directed a stay of charges and applied for forfeiture of the bail deposit and the sureties’ debts.</w:t>
            </w:r>
            <w:r w:rsidRPr="006F59DD">
              <w:rPr>
                <w:spacing w:val="-2"/>
                <w:sz w:val="20"/>
              </w:rPr>
              <w:t xml:space="preserve"> A chambers judge dismissed a challenge to </w:t>
            </w:r>
            <w:r w:rsidRPr="006F59DD">
              <w:rPr>
                <w:sz w:val="20"/>
              </w:rPr>
              <w:t>the court’s jurisdiction to hold a forfeiture hearing</w:t>
            </w:r>
            <w:r w:rsidRPr="006F59DD">
              <w:rPr>
                <w:spacing w:val="-2"/>
                <w:sz w:val="20"/>
              </w:rPr>
              <w:t xml:space="preserve"> and ordered </w:t>
            </w:r>
            <w:r w:rsidRPr="006F59DD">
              <w:rPr>
                <w:sz w:val="20"/>
              </w:rPr>
              <w:t>forfeiture of the bail deposit</w:t>
            </w:r>
            <w:r w:rsidRPr="006F59DD">
              <w:rPr>
                <w:spacing w:val="-2"/>
                <w:sz w:val="20"/>
              </w:rPr>
              <w:t xml:space="preserve"> and the sureties’ debts</w:t>
            </w:r>
            <w:r w:rsidRPr="006F59DD">
              <w:rPr>
                <w:sz w:val="20"/>
              </w:rPr>
              <w:t>. There was no right to appeal to the Court of Appeal.</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lastRenderedPageBreak/>
              <w:t>March 4, 2021</w:t>
            </w:r>
          </w:p>
          <w:p w:rsidR="000A65C3" w:rsidRPr="006F59DD" w:rsidRDefault="000A65C3" w:rsidP="009F46F6">
            <w:pPr>
              <w:jc w:val="both"/>
              <w:rPr>
                <w:sz w:val="20"/>
              </w:rPr>
            </w:pPr>
            <w:r w:rsidRPr="006F59DD">
              <w:rPr>
                <w:sz w:val="20"/>
              </w:rPr>
              <w:t>Ontario Superior Court of Justice</w:t>
            </w:r>
          </w:p>
          <w:p w:rsidR="000A65C3" w:rsidRPr="006F59DD" w:rsidRDefault="000A65C3" w:rsidP="009F46F6">
            <w:pPr>
              <w:jc w:val="both"/>
              <w:rPr>
                <w:sz w:val="20"/>
              </w:rPr>
            </w:pPr>
            <w:r w:rsidRPr="006F59DD">
              <w:rPr>
                <w:sz w:val="20"/>
              </w:rPr>
              <w:t xml:space="preserve">(Aitken J.) </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Motion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May 28, 2021</w:t>
            </w:r>
          </w:p>
          <w:p w:rsidR="000A65C3" w:rsidRPr="006F59DD" w:rsidRDefault="000A65C3" w:rsidP="009F46F6">
            <w:pPr>
              <w:jc w:val="both"/>
              <w:rPr>
                <w:sz w:val="20"/>
              </w:rPr>
            </w:pPr>
            <w:r w:rsidRPr="006F59DD">
              <w:rPr>
                <w:sz w:val="20"/>
              </w:rPr>
              <w:t>Ontario Superior Court of Justice</w:t>
            </w:r>
          </w:p>
          <w:p w:rsidR="000A65C3" w:rsidRPr="006F59DD" w:rsidRDefault="000A65C3" w:rsidP="009F46F6">
            <w:pPr>
              <w:jc w:val="both"/>
              <w:rPr>
                <w:sz w:val="20"/>
              </w:rPr>
            </w:pPr>
            <w:r w:rsidRPr="006F59DD">
              <w:rPr>
                <w:sz w:val="20"/>
              </w:rPr>
              <w:t xml:space="preserve">(Aitken J.) </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Forfeitures ordered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July 28, 2021</w:t>
            </w:r>
          </w:p>
          <w:p w:rsidR="000A65C3" w:rsidRPr="006F59DD" w:rsidRDefault="000A65C3" w:rsidP="009F46F6">
            <w:pPr>
              <w:jc w:val="both"/>
              <w:rPr>
                <w:sz w:val="20"/>
              </w:rPr>
            </w:pPr>
            <w:r w:rsidRPr="006F59DD">
              <w:rPr>
                <w:sz w:val="20"/>
              </w:rPr>
              <w:t>Supreme Court of Canada</w:t>
            </w: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filed</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49" style="width:2in;height:1pt" o:hrpct="0" o:hralign="center" o:hrstd="t" o:hrnoshade="t" o:hr="t" fillcolor="black [3213]" stroked="f"/>
        </w:pict>
      </w:r>
    </w:p>
    <w:p w:rsidR="000A65C3" w:rsidRPr="006F59DD" w:rsidRDefault="000A65C3" w:rsidP="000A65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rStyle w:val="SCCFileNumberChar"/>
                <w:sz w:val="20"/>
                <w:szCs w:val="20"/>
              </w:rPr>
              <w:t>39835</w:t>
            </w:r>
          </w:p>
        </w:tc>
        <w:tc>
          <w:tcPr>
            <w:tcW w:w="4457" w:type="pct"/>
            <w:gridSpan w:val="3"/>
          </w:tcPr>
          <w:p w:rsidR="000A65C3" w:rsidRPr="006F59DD" w:rsidRDefault="00BD7D26" w:rsidP="009F46F6">
            <w:pPr>
              <w:pStyle w:val="SCCLsocParty"/>
              <w:jc w:val="both"/>
              <w:rPr>
                <w:b/>
                <w:sz w:val="20"/>
                <w:szCs w:val="20"/>
              </w:rPr>
            </w:pPr>
            <w:r w:rsidRPr="006F59DD">
              <w:rPr>
                <w:b/>
                <w:sz w:val="20"/>
                <w:szCs w:val="20"/>
              </w:rPr>
              <w:t>David Bullen (Succession de)</w:t>
            </w:r>
            <w:r w:rsidR="000A65C3" w:rsidRPr="006F59DD">
              <w:rPr>
                <w:b/>
                <w:sz w:val="20"/>
                <w:szCs w:val="20"/>
              </w:rPr>
              <w:t xml:space="preserve"> c. Sa Majesté la Reine</w:t>
            </w:r>
          </w:p>
          <w:p w:rsidR="000A65C3" w:rsidRPr="006F59DD" w:rsidRDefault="000A65C3" w:rsidP="009F46F6">
            <w:pPr>
              <w:jc w:val="both"/>
              <w:rPr>
                <w:sz w:val="20"/>
              </w:rPr>
            </w:pPr>
            <w:r w:rsidRPr="006F59DD">
              <w:rPr>
                <w:sz w:val="20"/>
              </w:rPr>
              <w:t>(Ont.) (Criminelle) (Autorisation)</w:t>
            </w:r>
          </w:p>
        </w:tc>
      </w:tr>
      <w:tr w:rsidR="000A65C3" w:rsidRPr="006F59DD" w:rsidTr="009F46F6">
        <w:tc>
          <w:tcPr>
            <w:tcW w:w="5000" w:type="pct"/>
            <w:gridSpan w:val="4"/>
          </w:tcPr>
          <w:p w:rsidR="000A65C3" w:rsidRPr="006F59DD" w:rsidRDefault="00BD7D26" w:rsidP="009F46F6">
            <w:pPr>
              <w:jc w:val="both"/>
              <w:rPr>
                <w:sz w:val="20"/>
                <w:szCs w:val="20"/>
                <w:lang w:val="fr-CA"/>
              </w:rPr>
            </w:pPr>
            <w:r w:rsidRPr="006F59DD">
              <w:rPr>
                <w:sz w:val="20"/>
                <w:szCs w:val="20"/>
                <w:lang w:val="fr-CA"/>
              </w:rPr>
              <w:t>La demande d’autorisation d’appel de l’arrêt de la Cour supérieure de justice de l’Ontario, numéro 13-30424, 2021 ONSC 3890, daté du 28 mai 2021, est rejetée.</w:t>
            </w:r>
          </w:p>
          <w:p w:rsidR="00BD7D26" w:rsidRPr="006F59DD" w:rsidRDefault="00BD7D26" w:rsidP="009F46F6">
            <w:pPr>
              <w:jc w:val="both"/>
              <w:rPr>
                <w:sz w:val="20"/>
                <w:lang w:val="fr-CA"/>
              </w:rPr>
            </w:pPr>
          </w:p>
        </w:tc>
      </w:tr>
      <w:tr w:rsidR="000A65C3" w:rsidRPr="006F59DD" w:rsidTr="009F46F6">
        <w:tc>
          <w:tcPr>
            <w:tcW w:w="5000" w:type="pct"/>
            <w:gridSpan w:val="4"/>
          </w:tcPr>
          <w:p w:rsidR="000A65C3" w:rsidRPr="006F59DD" w:rsidRDefault="000A65C3" w:rsidP="009F46F6">
            <w:pPr>
              <w:jc w:val="both"/>
              <w:rPr>
                <w:sz w:val="20"/>
                <w:lang w:val="fr-CA"/>
              </w:rPr>
            </w:pPr>
            <w:r w:rsidRPr="006F59DD">
              <w:rPr>
                <w:sz w:val="20"/>
                <w:lang w:val="fr-CA"/>
              </w:rPr>
              <w:t>Droit criminel — Engagements — Défaut — Confiscation de la caution déposée et des promesses assorties de cautions — Les procédures de confiscation ont</w:t>
            </w:r>
            <w:r w:rsidRPr="006F59DD">
              <w:rPr>
                <w:sz w:val="20"/>
                <w:lang w:val="fr-CA"/>
              </w:rPr>
              <w:noBreakHyphen/>
              <w:t>elles été suspendues par le décès de l’accusé? — La compétence requise pour mener une audience de confiscation est</w:t>
            </w:r>
            <w:r w:rsidRPr="006F59DD">
              <w:rPr>
                <w:sz w:val="20"/>
                <w:lang w:val="fr-CA"/>
              </w:rPr>
              <w:noBreakHyphen/>
              <w:t>elle minée en raison du non</w:t>
            </w:r>
            <w:r w:rsidRPr="006F59DD">
              <w:rPr>
                <w:sz w:val="20"/>
                <w:lang w:val="fr-CA"/>
              </w:rPr>
              <w:noBreakHyphen/>
              <w:t xml:space="preserve">respect des conditions établies dans le </w:t>
            </w:r>
            <w:r w:rsidRPr="006F59DD">
              <w:rPr>
                <w:i/>
                <w:sz w:val="20"/>
                <w:lang w:val="fr-CA"/>
              </w:rPr>
              <w:t>Code criminel</w:t>
            </w:r>
            <w:r w:rsidRPr="006F59DD">
              <w:rPr>
                <w:sz w:val="20"/>
                <w:lang w:val="fr-CA"/>
              </w:rPr>
              <w:t xml:space="preserve"> pour remplir et rédiger un certificat de défaut selon la formule 33?</w:t>
            </w:r>
          </w:p>
        </w:tc>
      </w:tr>
      <w:tr w:rsidR="000A65C3" w:rsidRPr="006F59DD" w:rsidTr="009F46F6">
        <w:tc>
          <w:tcPr>
            <w:tcW w:w="5000" w:type="pct"/>
            <w:gridSpan w:val="4"/>
          </w:tcPr>
          <w:p w:rsidR="000A65C3" w:rsidRPr="006F59DD" w:rsidRDefault="000A65C3" w:rsidP="009F46F6">
            <w:pPr>
              <w:jc w:val="both"/>
              <w:rPr>
                <w:sz w:val="20"/>
                <w:lang w:val="fr-CA"/>
              </w:rPr>
            </w:pPr>
          </w:p>
        </w:tc>
      </w:tr>
      <w:tr w:rsidR="000A65C3" w:rsidRPr="006F59DD" w:rsidTr="009F46F6">
        <w:tc>
          <w:tcPr>
            <w:tcW w:w="5000" w:type="pct"/>
            <w:gridSpan w:val="4"/>
          </w:tcPr>
          <w:p w:rsidR="000A65C3" w:rsidRPr="006F59DD" w:rsidRDefault="000A65C3" w:rsidP="009F46F6">
            <w:pPr>
              <w:widowControl w:val="0"/>
              <w:kinsoku w:val="0"/>
              <w:overflowPunct w:val="0"/>
              <w:jc w:val="both"/>
              <w:textAlignment w:val="baseline"/>
              <w:rPr>
                <w:sz w:val="20"/>
                <w:lang w:val="fr-CA"/>
              </w:rPr>
            </w:pPr>
            <w:r w:rsidRPr="006F59DD">
              <w:rPr>
                <w:sz w:val="20"/>
                <w:lang w:val="fr-CA"/>
              </w:rPr>
              <w:t>David Bullen a été inculpé d’infractions et a été libéré sous caution et un engagement assorti de cautions. Il a été arrêté et inculpé de nouvelles infractions, y compris des violations de l’engagement. L’engagement a été révoqué et un certificat de défaut a été inscrit selon la formule 33. David Bullen a plaidé coupable aux infractions et est décédé en prison avant la détermination de la peine. L’avocat de la Couronne a présenté une demande en vue de l’arrêt des poursuites et de la confiscation de la caution déposée ainsi que des dettes assorties de cautions. Un juge en cabinet a rejeté une contestation visant la compétence de la cour de tenir une audience relative à la confiscation et ordonné la confiscation de la caution déposée ainsi que des dettes assorties de cautions. Il n’y avait pas de droit d’appel à la Cour d’appel.</w:t>
            </w:r>
          </w:p>
          <w:p w:rsidR="000A65C3" w:rsidRPr="006F59DD" w:rsidRDefault="000A65C3" w:rsidP="009F46F6">
            <w:pPr>
              <w:jc w:val="both"/>
              <w:rPr>
                <w:sz w:val="20"/>
                <w:lang w:val="fr-CA"/>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4 mars 2021</w:t>
            </w:r>
          </w:p>
          <w:p w:rsidR="000A65C3" w:rsidRPr="006F59DD" w:rsidRDefault="000A65C3" w:rsidP="009F46F6">
            <w:pPr>
              <w:jc w:val="both"/>
              <w:rPr>
                <w:sz w:val="20"/>
                <w:lang w:val="fr-CA"/>
              </w:rPr>
            </w:pPr>
            <w:r w:rsidRPr="006F59DD">
              <w:rPr>
                <w:sz w:val="20"/>
                <w:lang w:val="fr-CA"/>
              </w:rPr>
              <w:t>Cour supérieure de justice de l’Ontario</w:t>
            </w:r>
          </w:p>
          <w:p w:rsidR="000A65C3" w:rsidRPr="006F59DD" w:rsidRDefault="000A65C3" w:rsidP="009F46F6">
            <w:pPr>
              <w:jc w:val="both"/>
              <w:rPr>
                <w:sz w:val="20"/>
              </w:rPr>
            </w:pPr>
            <w:r w:rsidRPr="006F59DD">
              <w:rPr>
                <w:sz w:val="20"/>
              </w:rPr>
              <w:t xml:space="preserve">(juge Aitken) </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Requête rejetée</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28 mai 2021</w:t>
            </w:r>
          </w:p>
          <w:p w:rsidR="000A65C3" w:rsidRPr="006F59DD" w:rsidRDefault="000A65C3" w:rsidP="009F46F6">
            <w:pPr>
              <w:jc w:val="both"/>
              <w:rPr>
                <w:sz w:val="20"/>
                <w:lang w:val="fr-CA"/>
              </w:rPr>
            </w:pPr>
            <w:r w:rsidRPr="006F59DD">
              <w:rPr>
                <w:sz w:val="20"/>
                <w:lang w:val="fr-CA"/>
              </w:rPr>
              <w:t>Cour supérieure de justice de l’Ontario</w:t>
            </w:r>
          </w:p>
          <w:p w:rsidR="000A65C3" w:rsidRPr="006F59DD" w:rsidRDefault="000A65C3" w:rsidP="009F46F6">
            <w:pPr>
              <w:jc w:val="both"/>
              <w:rPr>
                <w:sz w:val="20"/>
                <w:lang w:val="fr-CA"/>
              </w:rPr>
            </w:pPr>
            <w:r w:rsidRPr="006F59DD">
              <w:rPr>
                <w:sz w:val="20"/>
                <w:lang w:val="fr-CA"/>
              </w:rPr>
              <w:t xml:space="preserve">(juge Aitken) </w:t>
            </w:r>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rPr>
            </w:pPr>
            <w:r w:rsidRPr="006F59DD">
              <w:rPr>
                <w:sz w:val="20"/>
              </w:rPr>
              <w:t>Confiscations ordonnées</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28 juillet 2021</w:t>
            </w:r>
          </w:p>
          <w:p w:rsidR="000A65C3" w:rsidRPr="006F59DD" w:rsidRDefault="000A65C3" w:rsidP="009F46F6">
            <w:pPr>
              <w:jc w:val="both"/>
              <w:rPr>
                <w:sz w:val="20"/>
                <w:lang w:val="fr-CA"/>
              </w:rPr>
            </w:pPr>
            <w:r w:rsidRPr="006F59DD">
              <w:rPr>
                <w:sz w:val="20"/>
                <w:lang w:val="fr-CA"/>
              </w:rPr>
              <w:t>Cour suprême du Canada</w:t>
            </w: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rPr>
            </w:pPr>
            <w:r w:rsidRPr="006F59DD">
              <w:rPr>
                <w:sz w:val="20"/>
              </w:rPr>
              <w:t>Demande d’autorisation d’appel déposée</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50" style="width:2in;height:1pt" o:hrpct="0" o:hralign="center" o:hrstd="t" o:hrnoshade="t" o:hr="t" fillcolor="black [3213]" stroked="f"/>
        </w:pict>
      </w:r>
    </w:p>
    <w:p w:rsidR="000A65C3" w:rsidRPr="006F59DD" w:rsidRDefault="000A65C3" w:rsidP="000A65C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b/>
                <w:sz w:val="20"/>
              </w:rPr>
              <w:t>39842</w:t>
            </w:r>
          </w:p>
        </w:tc>
        <w:tc>
          <w:tcPr>
            <w:tcW w:w="4457" w:type="pct"/>
            <w:gridSpan w:val="3"/>
          </w:tcPr>
          <w:p w:rsidR="000A65C3" w:rsidRPr="006F59DD" w:rsidRDefault="000A65C3" w:rsidP="009F46F6">
            <w:pPr>
              <w:jc w:val="both"/>
              <w:rPr>
                <w:b/>
                <w:sz w:val="20"/>
              </w:rPr>
            </w:pPr>
            <w:r w:rsidRPr="006F59DD">
              <w:rPr>
                <w:b/>
                <w:sz w:val="20"/>
              </w:rPr>
              <w:t>Helen Rebeyka v. Saskatchewan Government Insurance</w:t>
            </w:r>
          </w:p>
          <w:p w:rsidR="000A65C3" w:rsidRPr="006F59DD" w:rsidRDefault="000A65C3" w:rsidP="009F46F6">
            <w:pPr>
              <w:jc w:val="both"/>
              <w:rPr>
                <w:sz w:val="20"/>
              </w:rPr>
            </w:pPr>
            <w:r w:rsidRPr="006F59DD">
              <w:rPr>
                <w:sz w:val="20"/>
              </w:rPr>
              <w:t>(Sask.) (Civil) (By Leave)</w:t>
            </w:r>
          </w:p>
        </w:tc>
      </w:tr>
      <w:tr w:rsidR="000A65C3" w:rsidRPr="006F59DD" w:rsidTr="009F46F6">
        <w:tc>
          <w:tcPr>
            <w:tcW w:w="5000" w:type="pct"/>
            <w:gridSpan w:val="4"/>
          </w:tcPr>
          <w:p w:rsidR="00BD7D26" w:rsidRPr="006F59DD" w:rsidRDefault="00BD7D26" w:rsidP="00BD7D26">
            <w:pPr>
              <w:jc w:val="both"/>
              <w:rPr>
                <w:sz w:val="20"/>
                <w:szCs w:val="20"/>
              </w:rPr>
            </w:pPr>
            <w:r w:rsidRPr="006F59DD">
              <w:rPr>
                <w:sz w:val="20"/>
                <w:szCs w:val="20"/>
              </w:rPr>
              <w:t>The application for leave to appeal from the judgment of the Court of Appeal for Saskatchewan, Number CACV 3800, dated July 19, 2021, is dismissed.</w:t>
            </w:r>
          </w:p>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lastRenderedPageBreak/>
              <w:t xml:space="preserve">Constitutional law — Courts — Powers granted to courts — Right of appeal — Whether a provincial legislature can vest a statutory </w:t>
            </w:r>
            <w:r w:rsidRPr="006F59DD">
              <w:rPr>
                <w:i/>
                <w:sz w:val="20"/>
              </w:rPr>
              <w:t>de novo</w:t>
            </w:r>
            <w:r w:rsidRPr="006F59DD">
              <w:rPr>
                <w:sz w:val="20"/>
              </w:rPr>
              <w:t xml:space="preserve"> hearing body with the judicial functions of a s. 96 of the </w:t>
            </w:r>
            <w:r w:rsidRPr="006F59DD">
              <w:rPr>
                <w:i/>
                <w:sz w:val="20"/>
              </w:rPr>
              <w:t>Constitution Act, 1867</w:t>
            </w:r>
            <w:r w:rsidRPr="006F59DD">
              <w:rPr>
                <w:sz w:val="20"/>
              </w:rPr>
              <w:t xml:space="preserve"> superior court, and, if so, whether it can do so without concurrently providing a right of appeal to a s. 96 superior court — When a statute such as s. 194(1) of the </w:t>
            </w:r>
            <w:r w:rsidRPr="006F59DD">
              <w:rPr>
                <w:i/>
                <w:sz w:val="20"/>
              </w:rPr>
              <w:t>Automobile Accident Insurance Act</w:t>
            </w:r>
            <w:r w:rsidRPr="006F59DD">
              <w:rPr>
                <w:sz w:val="20"/>
              </w:rPr>
              <w:t>, R.S.S. 1978, c. A</w:t>
            </w:r>
            <w:r w:rsidRPr="006F59DD">
              <w:rPr>
                <w:sz w:val="20"/>
              </w:rPr>
              <w:noBreakHyphen/>
              <w:t>35, gives a right to appeal at law to a Court of Appeal with leave, and where no access to a superior court has been had, whether ss. 96</w:t>
            </w:r>
            <w:r w:rsidRPr="006F59DD">
              <w:rPr>
                <w:sz w:val="20"/>
              </w:rPr>
              <w:noBreakHyphen/>
              <w:t xml:space="preserve">100 of the </w:t>
            </w:r>
            <w:r w:rsidRPr="006F59DD">
              <w:rPr>
                <w:i/>
                <w:sz w:val="20"/>
              </w:rPr>
              <w:t>Constitution Act, 1867</w:t>
            </w:r>
            <w:r w:rsidRPr="006F59DD">
              <w:rPr>
                <w:sz w:val="20"/>
              </w:rPr>
              <w:t>, have an effect on the standard for granting leave to appeal where the prospective appellant has never had access to a superior court?</w:t>
            </w:r>
          </w:p>
        </w:tc>
      </w:tr>
      <w:tr w:rsidR="000A65C3" w:rsidRPr="006F59DD" w:rsidTr="009F46F6">
        <w:tc>
          <w:tcPr>
            <w:tcW w:w="5000" w:type="pct"/>
            <w:gridSpan w:val="4"/>
          </w:tcPr>
          <w:p w:rsidR="000A65C3" w:rsidRPr="006F59DD" w:rsidRDefault="000A65C3" w:rsidP="009F46F6">
            <w:pPr>
              <w:jc w:val="both"/>
              <w:rPr>
                <w:sz w:val="20"/>
              </w:rPr>
            </w:pPr>
          </w:p>
        </w:tc>
      </w:tr>
      <w:tr w:rsidR="000A65C3" w:rsidRPr="006F59DD" w:rsidTr="009F46F6">
        <w:tc>
          <w:tcPr>
            <w:tcW w:w="5000" w:type="pct"/>
            <w:gridSpan w:val="4"/>
          </w:tcPr>
          <w:p w:rsidR="000A65C3" w:rsidRPr="006F59DD" w:rsidRDefault="000A65C3" w:rsidP="009F46F6">
            <w:pPr>
              <w:jc w:val="both"/>
              <w:rPr>
                <w:sz w:val="20"/>
              </w:rPr>
            </w:pPr>
            <w:r w:rsidRPr="006F59DD">
              <w:rPr>
                <w:sz w:val="20"/>
              </w:rPr>
              <w:t xml:space="preserve">Ms. Rebeyka was involved in motor vehicle accidents on December 19, 2006, February 26, 2007, and December 15, 2007. She applied for benefits under the </w:t>
            </w:r>
            <w:r w:rsidRPr="006F59DD">
              <w:rPr>
                <w:i/>
                <w:sz w:val="20"/>
              </w:rPr>
              <w:t>Automobile Accident Insurance Act</w:t>
            </w:r>
            <w:r w:rsidRPr="006F59DD">
              <w:rPr>
                <w:sz w:val="20"/>
              </w:rPr>
              <w:t>, R.S.S. 1978, c. A</w:t>
            </w:r>
            <w:r w:rsidRPr="006F59DD">
              <w:rPr>
                <w:sz w:val="20"/>
              </w:rPr>
              <w:noBreakHyphen/>
              <w:t>35, in relation to the first and third accidents. Saskatchewan Government Insurance (“SGI”) opened a file concerning the second accident and referred to that file in its correspondence. SGI paid Ms. Rebeyka benefits for a period of time.</w:t>
            </w:r>
          </w:p>
          <w:p w:rsidR="000A65C3" w:rsidRPr="006F59DD" w:rsidRDefault="000A65C3" w:rsidP="009F46F6">
            <w:pPr>
              <w:jc w:val="both"/>
              <w:rPr>
                <w:sz w:val="20"/>
              </w:rPr>
            </w:pPr>
          </w:p>
          <w:p w:rsidR="000A65C3" w:rsidRPr="006F59DD" w:rsidRDefault="000A65C3" w:rsidP="009F46F6">
            <w:pPr>
              <w:jc w:val="both"/>
              <w:rPr>
                <w:sz w:val="20"/>
              </w:rPr>
            </w:pPr>
            <w:r w:rsidRPr="006F59DD">
              <w:rPr>
                <w:sz w:val="20"/>
              </w:rPr>
              <w:t>On February 19, 2010, the Commission sent Ms. Rebeyka a decision letter in which it reported its finding that her low back pain was not caused by the accidents. Then, on October 19, 2016, it send a second decision letter in which it reported its finding that her post-traumatic stress disorder and depression were not caused by the accidents.</w:t>
            </w:r>
          </w:p>
          <w:p w:rsidR="000A65C3" w:rsidRPr="006F59DD" w:rsidRDefault="000A65C3" w:rsidP="009F46F6">
            <w:pPr>
              <w:jc w:val="both"/>
              <w:rPr>
                <w:sz w:val="20"/>
              </w:rPr>
            </w:pPr>
          </w:p>
          <w:p w:rsidR="000A65C3" w:rsidRPr="006F59DD" w:rsidRDefault="000A65C3" w:rsidP="009F46F6">
            <w:pPr>
              <w:jc w:val="both"/>
              <w:rPr>
                <w:sz w:val="20"/>
              </w:rPr>
            </w:pPr>
            <w:r w:rsidRPr="006F59DD">
              <w:rPr>
                <w:sz w:val="20"/>
              </w:rPr>
              <w:t>The Commission concluded that Ms. Rebeyka had not sustained a lower back injury in any of the accidents. It further found that Ms. Rebeyka had recovered from the mental health injuries or conditions that were linked to the motor vehicle accidents. Her present mental health injuries or conditions were not caused by or linked to the accidents.</w:t>
            </w:r>
          </w:p>
          <w:p w:rsidR="000A65C3" w:rsidRPr="006F59DD" w:rsidRDefault="000A65C3" w:rsidP="009F46F6">
            <w:pPr>
              <w:jc w:val="both"/>
              <w:rPr>
                <w:sz w:val="20"/>
              </w:rPr>
            </w:pPr>
          </w:p>
          <w:p w:rsidR="000A65C3" w:rsidRPr="006F59DD" w:rsidRDefault="000A65C3" w:rsidP="009F46F6">
            <w:pPr>
              <w:jc w:val="both"/>
              <w:rPr>
                <w:sz w:val="20"/>
              </w:rPr>
            </w:pPr>
            <w:r w:rsidRPr="006F59DD">
              <w:rPr>
                <w:sz w:val="20"/>
              </w:rPr>
              <w:t>Leave to appeal the decision was denied by a single judge of the Court of Appeal.</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February 26, 2021</w:t>
            </w:r>
          </w:p>
          <w:p w:rsidR="000A65C3" w:rsidRPr="006F59DD" w:rsidRDefault="000A65C3" w:rsidP="009F46F6">
            <w:pPr>
              <w:jc w:val="both"/>
              <w:rPr>
                <w:sz w:val="20"/>
              </w:rPr>
            </w:pPr>
            <w:r w:rsidRPr="006F59DD">
              <w:rPr>
                <w:sz w:val="20"/>
              </w:rPr>
              <w:t>Automobile Injury Appeal Commission</w:t>
            </w:r>
          </w:p>
          <w:p w:rsidR="000A65C3" w:rsidRPr="006F59DD" w:rsidRDefault="000A65C3" w:rsidP="009F46F6">
            <w:pPr>
              <w:jc w:val="both"/>
              <w:rPr>
                <w:sz w:val="20"/>
              </w:rPr>
            </w:pPr>
            <w:r w:rsidRPr="006F59DD">
              <w:rPr>
                <w:sz w:val="20"/>
              </w:rPr>
              <w:t>2021 SKAIA 6</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 xml:space="preserve">Appeals </w:t>
            </w:r>
            <w:r w:rsidRPr="006F59DD">
              <w:rPr>
                <w:i/>
                <w:sz w:val="20"/>
              </w:rPr>
              <w:t>de novo</w:t>
            </w:r>
            <w:r w:rsidRPr="006F59DD">
              <w:rPr>
                <w:sz w:val="20"/>
              </w:rPr>
              <w:t xml:space="preserve"> of two decision letters from Automobile Injury Commission dismissed; decision letters upheld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July 19, 2021</w:t>
            </w:r>
          </w:p>
          <w:p w:rsidR="000A65C3" w:rsidRPr="006F59DD" w:rsidRDefault="000A65C3" w:rsidP="009F46F6">
            <w:pPr>
              <w:jc w:val="both"/>
              <w:rPr>
                <w:sz w:val="20"/>
              </w:rPr>
            </w:pPr>
            <w:r w:rsidRPr="006F59DD">
              <w:rPr>
                <w:sz w:val="20"/>
              </w:rPr>
              <w:t>Court of Appeal for Saskatchewan</w:t>
            </w:r>
          </w:p>
          <w:p w:rsidR="000A65C3" w:rsidRPr="006F59DD" w:rsidRDefault="000A65C3" w:rsidP="009F46F6">
            <w:pPr>
              <w:jc w:val="both"/>
              <w:rPr>
                <w:sz w:val="20"/>
              </w:rPr>
            </w:pPr>
            <w:r w:rsidRPr="006F59DD">
              <w:rPr>
                <w:sz w:val="20"/>
              </w:rPr>
              <w:t xml:space="preserve">(Tholl J.) </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dismissed</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September 17, 2021</w:t>
            </w:r>
          </w:p>
          <w:p w:rsidR="000A65C3" w:rsidRPr="006F59DD" w:rsidRDefault="000A65C3" w:rsidP="009F46F6">
            <w:pPr>
              <w:jc w:val="both"/>
              <w:rPr>
                <w:sz w:val="20"/>
              </w:rPr>
            </w:pPr>
            <w:r w:rsidRPr="006F59DD">
              <w:rPr>
                <w:sz w:val="20"/>
              </w:rPr>
              <w:t>Supreme Court of Canada</w:t>
            </w: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rPr>
            </w:pPr>
            <w:r w:rsidRPr="006F59DD">
              <w:rPr>
                <w:sz w:val="20"/>
              </w:rPr>
              <w:t>Application for leave to appeal filed</w:t>
            </w:r>
          </w:p>
          <w:p w:rsidR="000A65C3" w:rsidRPr="006F59DD" w:rsidRDefault="000A65C3" w:rsidP="009F46F6">
            <w:pPr>
              <w:jc w:val="both"/>
              <w:rPr>
                <w:sz w:val="20"/>
              </w:rPr>
            </w:pPr>
          </w:p>
        </w:tc>
      </w:tr>
    </w:tbl>
    <w:p w:rsidR="000A65C3" w:rsidRPr="006F59DD" w:rsidRDefault="000A65C3" w:rsidP="000A65C3">
      <w:pPr>
        <w:jc w:val="both"/>
        <w:rPr>
          <w:sz w:val="20"/>
        </w:rPr>
      </w:pPr>
    </w:p>
    <w:p w:rsidR="000A65C3" w:rsidRPr="006F59DD" w:rsidRDefault="006F59DD" w:rsidP="000A65C3">
      <w:pPr>
        <w:jc w:val="both"/>
        <w:rPr>
          <w:sz w:val="20"/>
        </w:rPr>
      </w:pPr>
      <w:r w:rsidRPr="006F59DD">
        <w:rPr>
          <w:sz w:val="20"/>
        </w:rPr>
        <w:pict>
          <v:rect id="_x0000_i1051" style="width:2in;height:1pt" o:hrpct="0" o:hralign="center" o:hrstd="t" o:hrnoshade="t" o:hr="t" fillcolor="black [3213]" stroked="f"/>
        </w:pict>
      </w:r>
    </w:p>
    <w:p w:rsidR="000A65C3" w:rsidRPr="006F59DD" w:rsidRDefault="000A65C3" w:rsidP="000A65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A65C3" w:rsidRPr="006F59DD" w:rsidTr="009F46F6">
        <w:tc>
          <w:tcPr>
            <w:tcW w:w="543" w:type="pct"/>
          </w:tcPr>
          <w:p w:rsidR="000A65C3" w:rsidRPr="006F59DD" w:rsidRDefault="000A65C3" w:rsidP="009F46F6">
            <w:pPr>
              <w:jc w:val="both"/>
              <w:rPr>
                <w:sz w:val="20"/>
              </w:rPr>
            </w:pPr>
            <w:r w:rsidRPr="006F59DD">
              <w:rPr>
                <w:b/>
                <w:sz w:val="20"/>
              </w:rPr>
              <w:t>39842</w:t>
            </w:r>
          </w:p>
        </w:tc>
        <w:tc>
          <w:tcPr>
            <w:tcW w:w="4457" w:type="pct"/>
            <w:gridSpan w:val="3"/>
          </w:tcPr>
          <w:p w:rsidR="000A65C3" w:rsidRPr="006F59DD" w:rsidRDefault="000A65C3" w:rsidP="009F46F6">
            <w:pPr>
              <w:jc w:val="both"/>
              <w:rPr>
                <w:b/>
                <w:sz w:val="20"/>
              </w:rPr>
            </w:pPr>
            <w:r w:rsidRPr="006F59DD">
              <w:rPr>
                <w:b/>
                <w:sz w:val="20"/>
              </w:rPr>
              <w:t>Helen Rebeyka c. Saskatchewan Government Insurance</w:t>
            </w:r>
          </w:p>
          <w:p w:rsidR="000A65C3" w:rsidRPr="006F59DD" w:rsidRDefault="000A65C3" w:rsidP="009F46F6">
            <w:pPr>
              <w:jc w:val="both"/>
              <w:rPr>
                <w:sz w:val="20"/>
              </w:rPr>
            </w:pPr>
            <w:r w:rsidRPr="006F59DD">
              <w:rPr>
                <w:sz w:val="20"/>
              </w:rPr>
              <w:t>(Sask.) (Civile) (Autorisation)</w:t>
            </w:r>
          </w:p>
        </w:tc>
      </w:tr>
      <w:tr w:rsidR="000A65C3" w:rsidRPr="006F59DD" w:rsidTr="009F46F6">
        <w:tc>
          <w:tcPr>
            <w:tcW w:w="5000" w:type="pct"/>
            <w:gridSpan w:val="4"/>
          </w:tcPr>
          <w:p w:rsidR="000A65C3" w:rsidRPr="006F59DD" w:rsidRDefault="00BD7D26" w:rsidP="00BD7D26">
            <w:pPr>
              <w:tabs>
                <w:tab w:val="left" w:pos="1726"/>
              </w:tabs>
              <w:jc w:val="both"/>
              <w:rPr>
                <w:sz w:val="20"/>
                <w:szCs w:val="20"/>
                <w:lang w:val="fr-CA"/>
              </w:rPr>
            </w:pPr>
            <w:r w:rsidRPr="006F59DD">
              <w:rPr>
                <w:sz w:val="20"/>
                <w:szCs w:val="20"/>
                <w:lang w:val="fr-CA"/>
              </w:rPr>
              <w:t>La demande d’autorisation d’appel de l’arrêt de la Cour d’appel de la Saskatchewan, numéro CACV 3800, daté du 19 juillet 2021, est rejetée.</w:t>
            </w:r>
          </w:p>
          <w:p w:rsidR="00BD7D26" w:rsidRPr="006F59DD" w:rsidRDefault="00BD7D26" w:rsidP="00BD7D26">
            <w:pPr>
              <w:tabs>
                <w:tab w:val="left" w:pos="1726"/>
              </w:tabs>
              <w:jc w:val="both"/>
              <w:rPr>
                <w:sz w:val="20"/>
                <w:lang w:val="fr-CA"/>
              </w:rPr>
            </w:pPr>
          </w:p>
        </w:tc>
      </w:tr>
      <w:tr w:rsidR="000A65C3" w:rsidRPr="006F59DD" w:rsidTr="009F46F6">
        <w:tc>
          <w:tcPr>
            <w:tcW w:w="5000" w:type="pct"/>
            <w:gridSpan w:val="4"/>
          </w:tcPr>
          <w:p w:rsidR="000A65C3" w:rsidRPr="006F59DD" w:rsidRDefault="000A65C3" w:rsidP="009F46F6">
            <w:pPr>
              <w:jc w:val="both"/>
              <w:rPr>
                <w:sz w:val="20"/>
                <w:lang w:val="fr-CA"/>
              </w:rPr>
            </w:pPr>
            <w:r w:rsidRPr="006F59DD">
              <w:rPr>
                <w:sz w:val="20"/>
                <w:lang w:val="fr-CA"/>
              </w:rPr>
              <w:t>Droit constitutionnel — Tribunaux — Pouvoirs conférés aux tribunaux — Droit d’appel — Une assemblée législative provinciale peut</w:t>
            </w:r>
            <w:r w:rsidRPr="006F59DD">
              <w:rPr>
                <w:sz w:val="20"/>
                <w:lang w:val="fr-CA"/>
              </w:rPr>
              <w:noBreakHyphen/>
              <w:t xml:space="preserve">elle conférer à un organisme établi par la loi chargé des audiences </w:t>
            </w:r>
            <w:r w:rsidRPr="006F59DD">
              <w:rPr>
                <w:i/>
                <w:sz w:val="20"/>
                <w:lang w:val="fr-CA"/>
              </w:rPr>
              <w:t>de novo</w:t>
            </w:r>
            <w:r w:rsidRPr="006F59DD">
              <w:rPr>
                <w:sz w:val="20"/>
                <w:lang w:val="fr-CA"/>
              </w:rPr>
              <w:t xml:space="preserve"> les fonctions judiciaires d’une cour supérieure visée à l’art. 96 de la </w:t>
            </w:r>
            <w:r w:rsidRPr="006F59DD">
              <w:rPr>
                <w:i/>
                <w:sz w:val="20"/>
                <w:lang w:val="fr-CA"/>
              </w:rPr>
              <w:t>Loi constitutionnelle de 1867</w:t>
            </w:r>
            <w:r w:rsidRPr="006F59DD">
              <w:rPr>
                <w:sz w:val="20"/>
                <w:lang w:val="fr-CA"/>
              </w:rPr>
              <w:t>, et, le cas échéant, peut</w:t>
            </w:r>
            <w:r w:rsidRPr="006F59DD">
              <w:rPr>
                <w:sz w:val="20"/>
                <w:lang w:val="fr-CA"/>
              </w:rPr>
              <w:noBreakHyphen/>
              <w:t xml:space="preserve">elle le faire sans prévoir concurremment un droit d’appel à une cour supérieure visée à l’art. 96 ? — Lorsqu’une disposition législative comme le par. 194(1) de la loi intitulée </w:t>
            </w:r>
            <w:r w:rsidRPr="006F59DD">
              <w:rPr>
                <w:i/>
                <w:sz w:val="20"/>
                <w:lang w:val="fr-CA"/>
              </w:rPr>
              <w:t>Automobile Accident Insurance Act</w:t>
            </w:r>
            <w:r w:rsidRPr="006F59DD">
              <w:rPr>
                <w:sz w:val="20"/>
                <w:lang w:val="fr-CA"/>
              </w:rPr>
              <w:t xml:space="preserve">, R.S.S. 1978, c. A 35, confère un droit légal d’appel à la cour d’appel, assujetti à une autorisation, et lorsqu’il n’y a pas eu d’accès à une cour supérieure, les art. 96 à 100 de la </w:t>
            </w:r>
            <w:r w:rsidRPr="006F59DD">
              <w:rPr>
                <w:i/>
                <w:sz w:val="20"/>
                <w:lang w:val="fr-CA"/>
              </w:rPr>
              <w:t>Loi constitutionnelle de 1867</w:t>
            </w:r>
            <w:r w:rsidRPr="006F59DD">
              <w:rPr>
                <w:sz w:val="20"/>
                <w:lang w:val="fr-CA"/>
              </w:rPr>
              <w:t xml:space="preserve"> ont</w:t>
            </w:r>
            <w:r w:rsidRPr="006F59DD">
              <w:rPr>
                <w:sz w:val="20"/>
                <w:lang w:val="fr-CA"/>
              </w:rPr>
              <w:noBreakHyphen/>
              <w:t>ils une incidence sur la norme pour l’octroi de l’autorisation d’interjeter appel alors que l’appelant éventuel n’a jamais eu accès à une cour supérieure?</w:t>
            </w:r>
          </w:p>
        </w:tc>
      </w:tr>
      <w:tr w:rsidR="000A65C3" w:rsidRPr="006F59DD" w:rsidTr="009F46F6">
        <w:tc>
          <w:tcPr>
            <w:tcW w:w="5000" w:type="pct"/>
            <w:gridSpan w:val="4"/>
          </w:tcPr>
          <w:p w:rsidR="000A65C3" w:rsidRPr="006F59DD" w:rsidRDefault="000A65C3" w:rsidP="009F46F6">
            <w:pPr>
              <w:jc w:val="both"/>
              <w:rPr>
                <w:sz w:val="20"/>
                <w:lang w:val="fr-CA"/>
              </w:rPr>
            </w:pPr>
          </w:p>
        </w:tc>
      </w:tr>
      <w:tr w:rsidR="000A65C3" w:rsidRPr="006F59DD" w:rsidTr="009F46F6">
        <w:tc>
          <w:tcPr>
            <w:tcW w:w="5000" w:type="pct"/>
            <w:gridSpan w:val="4"/>
          </w:tcPr>
          <w:p w:rsidR="000A65C3" w:rsidRPr="006F59DD" w:rsidRDefault="000A65C3" w:rsidP="009F46F6">
            <w:pPr>
              <w:jc w:val="both"/>
              <w:rPr>
                <w:sz w:val="20"/>
                <w:lang w:val="fr-CA"/>
              </w:rPr>
            </w:pPr>
            <w:r w:rsidRPr="006F59DD">
              <w:rPr>
                <w:sz w:val="20"/>
                <w:lang w:val="fr-CA"/>
              </w:rPr>
              <w:lastRenderedPageBreak/>
              <w:t>M</w:t>
            </w:r>
            <w:r w:rsidRPr="006F59DD">
              <w:rPr>
                <w:sz w:val="20"/>
                <w:vertAlign w:val="superscript"/>
                <w:lang w:val="fr-CA"/>
              </w:rPr>
              <w:t>me</w:t>
            </w:r>
            <w:r w:rsidRPr="006F59DD">
              <w:rPr>
                <w:sz w:val="20"/>
                <w:lang w:val="fr-CA"/>
              </w:rPr>
              <w:t xml:space="preserve"> Rebeyka a subi des accidents automobiles les 19 décembre 2006, 26 février 2007 et 15 décembre 2007. Elle a présenté une demande de prestations au titre de la loi intitulée </w:t>
            </w:r>
            <w:r w:rsidRPr="006F59DD">
              <w:rPr>
                <w:i/>
                <w:sz w:val="20"/>
                <w:lang w:val="fr-CA"/>
              </w:rPr>
              <w:t>Automobile Accident Insurance Act</w:t>
            </w:r>
            <w:r w:rsidRPr="006F59DD">
              <w:rPr>
                <w:sz w:val="20"/>
                <w:lang w:val="fr-CA"/>
              </w:rPr>
              <w:t>, R.S.S. 1978, c. A 35, relativement aux premier et troisième accidents. La Saskatchewan Government Insurance (« SGI ») a créé un dossier concernant le deuxième accident et y a fait référence dans sa lettre. La SGI a versé à M</w:t>
            </w:r>
            <w:r w:rsidRPr="006F59DD">
              <w:rPr>
                <w:sz w:val="20"/>
                <w:vertAlign w:val="superscript"/>
                <w:lang w:val="fr-CA"/>
              </w:rPr>
              <w:t>me</w:t>
            </w:r>
            <w:r w:rsidRPr="006F59DD">
              <w:rPr>
                <w:sz w:val="20"/>
                <w:lang w:val="fr-CA"/>
              </w:rPr>
              <w:t> Rebeyka des prestations pendant un certain temps.</w:t>
            </w:r>
          </w:p>
          <w:p w:rsidR="000A65C3" w:rsidRPr="006F59DD" w:rsidRDefault="000A65C3" w:rsidP="009F46F6">
            <w:pPr>
              <w:jc w:val="both"/>
              <w:rPr>
                <w:sz w:val="20"/>
                <w:lang w:val="fr-CA"/>
              </w:rPr>
            </w:pPr>
          </w:p>
          <w:p w:rsidR="000A65C3" w:rsidRPr="006F59DD" w:rsidRDefault="000A65C3" w:rsidP="009F46F6">
            <w:pPr>
              <w:jc w:val="both"/>
              <w:rPr>
                <w:sz w:val="20"/>
                <w:lang w:val="fr-CA"/>
              </w:rPr>
            </w:pPr>
            <w:r w:rsidRPr="006F59DD">
              <w:rPr>
                <w:sz w:val="20"/>
                <w:lang w:val="fr-CA"/>
              </w:rPr>
              <w:t>Le 19 février 2010, la Commission a envoyé une lettre faisant état de décision à M</w:t>
            </w:r>
            <w:r w:rsidRPr="006F59DD">
              <w:rPr>
                <w:sz w:val="20"/>
                <w:vertAlign w:val="superscript"/>
                <w:lang w:val="fr-CA"/>
              </w:rPr>
              <w:t>me</w:t>
            </w:r>
            <w:r w:rsidRPr="006F59DD">
              <w:rPr>
                <w:sz w:val="20"/>
                <w:lang w:val="fr-CA"/>
              </w:rPr>
              <w:t> Rebeyka, énonçant sa conclusion selon laquelle ses douleurs au bas du dos n’ont pas été causées par les accidents. Ensuite, le 19 octobre 2016, la Commission a envoyé une deuxième lettre faisant état de décision, énonçant sa conclusion selon laquelle le trouble de stress post</w:t>
            </w:r>
            <w:r w:rsidRPr="006F59DD">
              <w:rPr>
                <w:sz w:val="20"/>
                <w:lang w:val="fr-CA"/>
              </w:rPr>
              <w:noBreakHyphen/>
              <w:t>traumatique et la dépression n’ont pas été causés par les accidents.</w:t>
            </w:r>
          </w:p>
          <w:p w:rsidR="000A65C3" w:rsidRPr="006F59DD" w:rsidRDefault="000A65C3" w:rsidP="009F46F6">
            <w:pPr>
              <w:jc w:val="both"/>
              <w:rPr>
                <w:sz w:val="20"/>
                <w:lang w:val="fr-CA"/>
              </w:rPr>
            </w:pPr>
          </w:p>
          <w:p w:rsidR="000A65C3" w:rsidRPr="006F59DD" w:rsidRDefault="000A65C3" w:rsidP="009F46F6">
            <w:pPr>
              <w:tabs>
                <w:tab w:val="left" w:pos="3132"/>
              </w:tabs>
              <w:jc w:val="both"/>
              <w:rPr>
                <w:sz w:val="20"/>
                <w:lang w:val="fr-CA"/>
              </w:rPr>
            </w:pPr>
            <w:r w:rsidRPr="006F59DD">
              <w:rPr>
                <w:sz w:val="20"/>
                <w:lang w:val="fr-CA"/>
              </w:rPr>
              <w:t>La Commission a conclu que M</w:t>
            </w:r>
            <w:r w:rsidRPr="006F59DD">
              <w:rPr>
                <w:sz w:val="20"/>
                <w:vertAlign w:val="superscript"/>
                <w:lang w:val="fr-CA"/>
              </w:rPr>
              <w:t>me</w:t>
            </w:r>
            <w:r w:rsidRPr="006F59DD">
              <w:rPr>
                <w:sz w:val="20"/>
                <w:lang w:val="fr-CA"/>
              </w:rPr>
              <w:t> Rebeyka n’avait subi aucune blessure au bas du dos dans l’un quelconque des accidents. Elle a aussi conclu que l’état de santé de M</w:t>
            </w:r>
            <w:r w:rsidRPr="006F59DD">
              <w:rPr>
                <w:sz w:val="20"/>
                <w:vertAlign w:val="superscript"/>
                <w:lang w:val="fr-CA"/>
              </w:rPr>
              <w:t>me</w:t>
            </w:r>
            <w:r w:rsidRPr="006F59DD">
              <w:rPr>
                <w:sz w:val="20"/>
                <w:lang w:val="fr-CA"/>
              </w:rPr>
              <w:t> Rebeyka s’était amélioré ou qu’elle s’était rétablie de ses blessures psychologiques liées aux accidents automobiles. Son état de santé actuel n’a pas été causé par les accidents et n’est pas lié à ceux</w:t>
            </w:r>
            <w:r w:rsidRPr="006F59DD">
              <w:rPr>
                <w:sz w:val="20"/>
                <w:lang w:val="fr-CA"/>
              </w:rPr>
              <w:noBreakHyphen/>
              <w:t>ci, il en va de même de ses blessures psychologiques actuelles.</w:t>
            </w:r>
          </w:p>
          <w:p w:rsidR="000A65C3" w:rsidRPr="006F59DD" w:rsidRDefault="000A65C3" w:rsidP="009F46F6">
            <w:pPr>
              <w:jc w:val="both"/>
              <w:rPr>
                <w:sz w:val="20"/>
                <w:lang w:val="fr-CA"/>
              </w:rPr>
            </w:pPr>
          </w:p>
          <w:p w:rsidR="000A65C3" w:rsidRPr="006F59DD" w:rsidRDefault="000A65C3" w:rsidP="009F46F6">
            <w:pPr>
              <w:jc w:val="both"/>
              <w:rPr>
                <w:sz w:val="20"/>
                <w:lang w:val="fr-CA"/>
              </w:rPr>
            </w:pPr>
            <w:r w:rsidRPr="006F59DD">
              <w:rPr>
                <w:sz w:val="20"/>
                <w:lang w:val="fr-CA"/>
              </w:rPr>
              <w:t>L’autorisation d’interjeter appel de la décision a été rejetée par un juge de la Cour d’appel siégeant seul.</w:t>
            </w:r>
          </w:p>
          <w:p w:rsidR="000A65C3" w:rsidRPr="006F59DD" w:rsidRDefault="000A65C3" w:rsidP="009F46F6">
            <w:pPr>
              <w:jc w:val="both"/>
              <w:rPr>
                <w:sz w:val="20"/>
                <w:lang w:val="fr-CA"/>
              </w:rPr>
            </w:pPr>
          </w:p>
        </w:tc>
      </w:tr>
      <w:tr w:rsidR="000A65C3" w:rsidRPr="006F59DD" w:rsidTr="009F46F6">
        <w:tc>
          <w:tcPr>
            <w:tcW w:w="2427" w:type="pct"/>
            <w:gridSpan w:val="2"/>
          </w:tcPr>
          <w:p w:rsidR="000A65C3" w:rsidRPr="006F59DD" w:rsidRDefault="000A65C3" w:rsidP="009F46F6">
            <w:pPr>
              <w:jc w:val="both"/>
              <w:rPr>
                <w:sz w:val="20"/>
              </w:rPr>
            </w:pPr>
            <w:r w:rsidRPr="006F59DD">
              <w:rPr>
                <w:sz w:val="20"/>
              </w:rPr>
              <w:t>26 février 2021</w:t>
            </w:r>
          </w:p>
          <w:p w:rsidR="000A65C3" w:rsidRPr="006F59DD" w:rsidRDefault="000A65C3" w:rsidP="009F46F6">
            <w:pPr>
              <w:jc w:val="both"/>
              <w:rPr>
                <w:sz w:val="20"/>
              </w:rPr>
            </w:pPr>
            <w:r w:rsidRPr="006F59DD">
              <w:rPr>
                <w:sz w:val="20"/>
              </w:rPr>
              <w:t>Automobile Injury Appeal Commission</w:t>
            </w:r>
          </w:p>
          <w:p w:rsidR="000A65C3" w:rsidRPr="006F59DD" w:rsidRDefault="000A65C3" w:rsidP="009F46F6">
            <w:pPr>
              <w:jc w:val="both"/>
              <w:rPr>
                <w:sz w:val="20"/>
              </w:rPr>
            </w:pPr>
            <w:r w:rsidRPr="006F59DD">
              <w:rPr>
                <w:sz w:val="20"/>
              </w:rPr>
              <w:t>2021 SKAIA 6</w:t>
            </w:r>
          </w:p>
          <w:p w:rsidR="000A65C3" w:rsidRPr="006F59DD" w:rsidRDefault="000A65C3" w:rsidP="009F46F6">
            <w:pPr>
              <w:jc w:val="both"/>
              <w:rPr>
                <w:sz w:val="20"/>
              </w:rPr>
            </w:pPr>
          </w:p>
        </w:tc>
        <w:tc>
          <w:tcPr>
            <w:tcW w:w="243" w:type="pct"/>
          </w:tcPr>
          <w:p w:rsidR="000A65C3" w:rsidRPr="006F59DD" w:rsidRDefault="000A65C3" w:rsidP="009F46F6">
            <w:pPr>
              <w:jc w:val="both"/>
              <w:rPr>
                <w:sz w:val="20"/>
              </w:rPr>
            </w:pPr>
          </w:p>
        </w:tc>
        <w:tc>
          <w:tcPr>
            <w:tcW w:w="2330" w:type="pct"/>
          </w:tcPr>
          <w:p w:rsidR="000A65C3" w:rsidRPr="006F59DD" w:rsidRDefault="000A65C3" w:rsidP="009F46F6">
            <w:pPr>
              <w:jc w:val="both"/>
              <w:rPr>
                <w:sz w:val="20"/>
                <w:lang w:val="fr-CA"/>
              </w:rPr>
            </w:pPr>
            <w:r w:rsidRPr="006F59DD">
              <w:rPr>
                <w:sz w:val="20"/>
                <w:lang w:val="fr-CA"/>
              </w:rPr>
              <w:t xml:space="preserve">Rejet des appels </w:t>
            </w:r>
            <w:r w:rsidRPr="006F59DD">
              <w:rPr>
                <w:i/>
                <w:sz w:val="20"/>
                <w:lang w:val="fr-CA"/>
              </w:rPr>
              <w:t>de novo</w:t>
            </w:r>
            <w:r w:rsidRPr="006F59DD">
              <w:rPr>
                <w:sz w:val="20"/>
                <w:lang w:val="fr-CA"/>
              </w:rPr>
              <w:t xml:space="preserve"> à l’encontre de deux lettres faisant état de décisions de l’Automobile Injury Commission; lettres faisant état de décisions confirmées</w:t>
            </w:r>
          </w:p>
          <w:p w:rsidR="000A65C3" w:rsidRPr="006F59DD" w:rsidRDefault="000A65C3" w:rsidP="009F46F6">
            <w:pPr>
              <w:jc w:val="both"/>
              <w:rPr>
                <w:sz w:val="20"/>
                <w:lang w:val="fr-CA"/>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19 juillet 2021</w:t>
            </w:r>
          </w:p>
          <w:p w:rsidR="000A65C3" w:rsidRPr="006F59DD" w:rsidRDefault="000A65C3" w:rsidP="009F46F6">
            <w:pPr>
              <w:jc w:val="both"/>
              <w:rPr>
                <w:sz w:val="20"/>
                <w:lang w:val="fr-CA"/>
              </w:rPr>
            </w:pPr>
            <w:r w:rsidRPr="006F59DD">
              <w:rPr>
                <w:sz w:val="20"/>
                <w:lang w:val="fr-CA"/>
              </w:rPr>
              <w:t>Cour d’appel de la Saskatchewan</w:t>
            </w:r>
          </w:p>
          <w:p w:rsidR="000A65C3" w:rsidRPr="006F59DD" w:rsidRDefault="000A65C3" w:rsidP="009F46F6">
            <w:pPr>
              <w:jc w:val="both"/>
              <w:rPr>
                <w:sz w:val="20"/>
                <w:lang w:val="fr-CA"/>
              </w:rPr>
            </w:pPr>
            <w:r w:rsidRPr="006F59DD">
              <w:rPr>
                <w:sz w:val="20"/>
                <w:lang w:val="fr-CA"/>
              </w:rPr>
              <w:t xml:space="preserve">(juge Tholl) </w:t>
            </w:r>
          </w:p>
          <w:p w:rsidR="000A65C3" w:rsidRPr="006F59DD" w:rsidRDefault="000A65C3" w:rsidP="009F46F6">
            <w:pPr>
              <w:jc w:val="both"/>
              <w:rPr>
                <w:sz w:val="20"/>
                <w:lang w:val="fr-CA"/>
              </w:rPr>
            </w:pP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rPr>
            </w:pPr>
            <w:r w:rsidRPr="006F59DD">
              <w:rPr>
                <w:sz w:val="20"/>
              </w:rPr>
              <w:t>Demande d’autorisation d’appel rejetée</w:t>
            </w:r>
          </w:p>
          <w:p w:rsidR="000A65C3" w:rsidRPr="006F59DD" w:rsidRDefault="000A65C3" w:rsidP="009F46F6">
            <w:pPr>
              <w:jc w:val="both"/>
              <w:rPr>
                <w:sz w:val="20"/>
              </w:rPr>
            </w:pPr>
          </w:p>
        </w:tc>
      </w:tr>
      <w:tr w:rsidR="000A65C3" w:rsidRPr="006F59DD" w:rsidTr="009F46F6">
        <w:tc>
          <w:tcPr>
            <w:tcW w:w="2427" w:type="pct"/>
            <w:gridSpan w:val="2"/>
          </w:tcPr>
          <w:p w:rsidR="000A65C3" w:rsidRPr="006F59DD" w:rsidRDefault="000A65C3" w:rsidP="009F46F6">
            <w:pPr>
              <w:jc w:val="both"/>
              <w:rPr>
                <w:sz w:val="20"/>
                <w:lang w:val="fr-CA"/>
              </w:rPr>
            </w:pPr>
            <w:r w:rsidRPr="006F59DD">
              <w:rPr>
                <w:sz w:val="20"/>
                <w:lang w:val="fr-CA"/>
              </w:rPr>
              <w:t>17 septembre 2021</w:t>
            </w:r>
          </w:p>
          <w:p w:rsidR="000A65C3" w:rsidRPr="006F59DD" w:rsidRDefault="000A65C3" w:rsidP="009F46F6">
            <w:pPr>
              <w:jc w:val="both"/>
              <w:rPr>
                <w:sz w:val="20"/>
                <w:lang w:val="fr-CA"/>
              </w:rPr>
            </w:pPr>
            <w:r w:rsidRPr="006F59DD">
              <w:rPr>
                <w:sz w:val="20"/>
                <w:lang w:val="fr-CA"/>
              </w:rPr>
              <w:t>Cour suprême du Canada</w:t>
            </w:r>
          </w:p>
        </w:tc>
        <w:tc>
          <w:tcPr>
            <w:tcW w:w="243" w:type="pct"/>
          </w:tcPr>
          <w:p w:rsidR="000A65C3" w:rsidRPr="006F59DD" w:rsidRDefault="000A65C3" w:rsidP="009F46F6">
            <w:pPr>
              <w:jc w:val="both"/>
              <w:rPr>
                <w:sz w:val="20"/>
                <w:lang w:val="fr-CA"/>
              </w:rPr>
            </w:pPr>
          </w:p>
        </w:tc>
        <w:tc>
          <w:tcPr>
            <w:tcW w:w="2330" w:type="pct"/>
          </w:tcPr>
          <w:p w:rsidR="000A65C3" w:rsidRPr="006F59DD" w:rsidRDefault="000A65C3" w:rsidP="009F46F6">
            <w:pPr>
              <w:jc w:val="both"/>
              <w:rPr>
                <w:sz w:val="20"/>
              </w:rPr>
            </w:pPr>
            <w:r w:rsidRPr="006F59DD">
              <w:rPr>
                <w:sz w:val="20"/>
              </w:rPr>
              <w:t>Demande d’autorisation d’appel déposée</w:t>
            </w:r>
          </w:p>
          <w:p w:rsidR="000A65C3" w:rsidRPr="006F59DD" w:rsidRDefault="000A65C3" w:rsidP="009F46F6">
            <w:pPr>
              <w:jc w:val="both"/>
              <w:rPr>
                <w:sz w:val="20"/>
              </w:rPr>
            </w:pPr>
          </w:p>
        </w:tc>
      </w:tr>
    </w:tbl>
    <w:p w:rsidR="004B2E86" w:rsidRPr="006F59DD" w:rsidRDefault="004B2E86" w:rsidP="004B2E86">
      <w:pPr>
        <w:jc w:val="both"/>
        <w:rPr>
          <w:sz w:val="20"/>
          <w:szCs w:val="20"/>
          <w:lang w:val="fr-CA"/>
        </w:rPr>
      </w:pPr>
    </w:p>
    <w:p w:rsidR="00102792" w:rsidRPr="006F59DD" w:rsidRDefault="006F59DD" w:rsidP="004B2E86">
      <w:pPr>
        <w:jc w:val="both"/>
        <w:rPr>
          <w:sz w:val="20"/>
          <w:szCs w:val="20"/>
          <w:lang w:val="fr-CA"/>
        </w:rPr>
      </w:pPr>
      <w:r w:rsidRPr="006F59DD">
        <w:rPr>
          <w:sz w:val="20"/>
          <w:szCs w:val="20"/>
        </w:rPr>
        <w:pict>
          <v:rect id="_x0000_i1052" style="width:2in;height:1pt" o:hrpct="0" o:hralign="center" o:hrstd="t" o:hrnoshade="t" o:hr="t" fillcolor="black" stroked="f"/>
        </w:pict>
      </w:r>
    </w:p>
    <w:p w:rsidR="00E06F20" w:rsidRPr="006F59DD" w:rsidRDefault="00E06F20" w:rsidP="00102792">
      <w:pPr>
        <w:jc w:val="both"/>
        <w:rPr>
          <w:sz w:val="20"/>
          <w:lang w:val="fr-CA"/>
        </w:rPr>
      </w:pPr>
    </w:p>
    <w:p w:rsidR="00D24F48" w:rsidRPr="006F59DD" w:rsidRDefault="00D24F48" w:rsidP="00D24F48">
      <w:pPr>
        <w:jc w:val="both"/>
        <w:rPr>
          <w:sz w:val="20"/>
          <w:szCs w:val="20"/>
        </w:rPr>
      </w:pPr>
    </w:p>
    <w:p w:rsidR="00D24F48" w:rsidRPr="006F59DD" w:rsidRDefault="00D24F48" w:rsidP="00D24F48">
      <w:pPr>
        <w:spacing w:line="0" w:lineRule="atLeast"/>
        <w:rPr>
          <w:sz w:val="20"/>
          <w:szCs w:val="20"/>
          <w:lang w:val="fr-CA"/>
        </w:rPr>
      </w:pPr>
    </w:p>
    <w:p w:rsidR="00D24F48" w:rsidRPr="006F59DD" w:rsidRDefault="00D24F48" w:rsidP="00D24F48">
      <w:pPr>
        <w:spacing w:line="0" w:lineRule="atLeast"/>
        <w:rPr>
          <w:sz w:val="20"/>
          <w:szCs w:val="20"/>
          <w:lang w:val="fr-CA"/>
        </w:rPr>
        <w:sectPr w:rsidR="00D24F48" w:rsidRPr="006F59DD" w:rsidSect="00890FEB">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D24F48" w:rsidRPr="006F59DD" w:rsidRDefault="00D24F48" w:rsidP="00D24F48">
      <w:pPr>
        <w:pStyle w:val="Header1StyleE"/>
        <w:pBdr>
          <w:bottom w:val="single" w:sz="12" w:space="1" w:color="auto"/>
        </w:pBdr>
        <w:rPr>
          <w:lang w:val="fr-CA"/>
        </w:rPr>
      </w:pPr>
      <w:bookmarkStart w:id="4" w:name="_Toc95308274"/>
      <w:bookmarkStart w:id="5" w:name="_Toc95408309"/>
      <w:r w:rsidRPr="006F59DD">
        <w:rPr>
          <w:lang w:val="fr-CA"/>
        </w:rPr>
        <w:lastRenderedPageBreak/>
        <w:t xml:space="preserve">Motions / </w:t>
      </w:r>
      <w:r w:rsidRPr="006F59DD">
        <w:rPr>
          <w:lang w:val="fr-CA"/>
        </w:rPr>
        <w:br/>
        <w:t>Requêtes</w:t>
      </w:r>
      <w:bookmarkEnd w:id="4"/>
      <w:bookmarkEnd w:id="5"/>
    </w:p>
    <w:p w:rsidR="00D24F48" w:rsidRPr="006F59DD" w:rsidRDefault="00D24F48" w:rsidP="00D24F48">
      <w:pPr>
        <w:rPr>
          <w:sz w:val="20"/>
          <w:szCs w:val="20"/>
          <w:lang w:val="fr-CA"/>
        </w:rPr>
      </w:pPr>
    </w:p>
    <w:p w:rsidR="00D24F48" w:rsidRPr="006F59DD" w:rsidRDefault="00D24F48" w:rsidP="00D24F48">
      <w:pPr>
        <w:rPr>
          <w:b/>
          <w:sz w:val="20"/>
          <w:szCs w:val="20"/>
          <w:lang w:val="fr-CA"/>
        </w:rPr>
      </w:pPr>
      <w:r w:rsidRPr="006F59DD">
        <w:rPr>
          <w:b/>
          <w:sz w:val="20"/>
          <w:szCs w:val="20"/>
          <w:lang w:val="fr-CA"/>
        </w:rPr>
        <w:t>FEBRUARY 10, 2022 / LE 10 FÉVRIER 2022</w:t>
      </w:r>
    </w:p>
    <w:p w:rsidR="00D24F48" w:rsidRPr="006F59DD" w:rsidRDefault="00D24F48" w:rsidP="00D24F4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24F48" w:rsidRPr="006F59DD" w:rsidTr="00131D3A">
        <w:tc>
          <w:tcPr>
            <w:tcW w:w="4410" w:type="dxa"/>
            <w:tcBorders>
              <w:top w:val="nil"/>
              <w:left w:val="nil"/>
              <w:bottom w:val="nil"/>
              <w:right w:val="nil"/>
            </w:tcBorders>
          </w:tcPr>
          <w:p w:rsidR="00D24F48" w:rsidRPr="006F59DD" w:rsidRDefault="00D24F48" w:rsidP="00D24F48">
            <w:pPr>
              <w:jc w:val="both"/>
              <w:rPr>
                <w:rFonts w:cs="Times New Roman"/>
                <w:b/>
                <w:bCs/>
                <w:sz w:val="20"/>
                <w:szCs w:val="20"/>
                <w:lang w:val="en-US"/>
              </w:rPr>
            </w:pPr>
            <w:r w:rsidRPr="006F59DD">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D24F48" w:rsidRPr="006F59DD" w:rsidRDefault="00D24F48" w:rsidP="00131D3A">
            <w:pPr>
              <w:jc w:val="both"/>
              <w:rPr>
                <w:rFonts w:cs="Times New Roman"/>
                <w:b/>
                <w:bCs/>
                <w:sz w:val="20"/>
                <w:szCs w:val="20"/>
                <w:lang w:val="en-US"/>
              </w:rPr>
            </w:pPr>
          </w:p>
        </w:tc>
        <w:tc>
          <w:tcPr>
            <w:tcW w:w="4399" w:type="dxa"/>
            <w:tcBorders>
              <w:top w:val="nil"/>
              <w:left w:val="nil"/>
              <w:bottom w:val="nil"/>
              <w:right w:val="nil"/>
            </w:tcBorders>
          </w:tcPr>
          <w:p w:rsidR="00D24F48" w:rsidRPr="006F59DD" w:rsidRDefault="00D24F48" w:rsidP="00131D3A">
            <w:pPr>
              <w:jc w:val="both"/>
              <w:rPr>
                <w:rFonts w:cs="Times New Roman"/>
                <w:b/>
                <w:bCs/>
                <w:sz w:val="20"/>
                <w:szCs w:val="20"/>
                <w:lang w:val="fr-CA"/>
              </w:rPr>
            </w:pPr>
            <w:r w:rsidRPr="006F59DD">
              <w:rPr>
                <w:rFonts w:eastAsia="Times New Roman" w:cs="Times New Roman"/>
                <w:b/>
                <w:sz w:val="20"/>
                <w:szCs w:val="20"/>
                <w:lang w:val="fr-CA" w:eastAsia="en-CA"/>
              </w:rPr>
              <w:t>Requête en prorogation de délai</w:t>
            </w:r>
          </w:p>
        </w:tc>
      </w:tr>
    </w:tbl>
    <w:p w:rsidR="00D24F48" w:rsidRPr="006F59DD" w:rsidRDefault="00D24F48" w:rsidP="00D24F48">
      <w:pPr>
        <w:tabs>
          <w:tab w:val="left" w:pos="-1440"/>
          <w:tab w:val="left" w:pos="-720"/>
        </w:tabs>
        <w:jc w:val="both"/>
        <w:rPr>
          <w:rFonts w:eastAsia="Times New Roman" w:cs="Times New Roman"/>
          <w:sz w:val="20"/>
          <w:szCs w:val="20"/>
          <w:lang w:val="fr-CA" w:eastAsia="en-CA"/>
        </w:rPr>
      </w:pPr>
    </w:p>
    <w:p w:rsidR="00D24F48" w:rsidRPr="006F59DD" w:rsidRDefault="00D24F48" w:rsidP="00D24F48">
      <w:pPr>
        <w:tabs>
          <w:tab w:val="left" w:pos="-1440"/>
          <w:tab w:val="left" w:pos="-720"/>
        </w:tabs>
        <w:jc w:val="both"/>
        <w:rPr>
          <w:rFonts w:eastAsia="Times New Roman" w:cs="Times New Roman"/>
          <w:sz w:val="20"/>
          <w:szCs w:val="20"/>
          <w:lang w:val="fr-CA" w:eastAsia="en-CA"/>
        </w:rPr>
      </w:pPr>
    </w:p>
    <w:p w:rsidR="00D24F48" w:rsidRPr="006F59DD" w:rsidRDefault="00D24F48" w:rsidP="00D24F48">
      <w:pPr>
        <w:rPr>
          <w:rFonts w:cs="Times New Roman"/>
          <w:b/>
          <w:bCs/>
          <w:sz w:val="20"/>
          <w:szCs w:val="20"/>
        </w:rPr>
      </w:pPr>
      <w:r w:rsidRPr="006F59DD">
        <w:rPr>
          <w:rFonts w:cs="Times New Roman"/>
          <w:b/>
          <w:bCs/>
          <w:caps/>
          <w:sz w:val="20"/>
          <w:szCs w:val="20"/>
        </w:rPr>
        <w:t>HER MAJESTY THE QUEEN</w:t>
      </w:r>
      <w:r w:rsidRPr="006F59DD">
        <w:rPr>
          <w:rFonts w:cs="Times New Roman"/>
          <w:b/>
          <w:bCs/>
          <w:sz w:val="20"/>
          <w:szCs w:val="20"/>
        </w:rPr>
        <w:t xml:space="preserve"> v. </w:t>
      </w:r>
      <w:r w:rsidRPr="006F59DD">
        <w:rPr>
          <w:rFonts w:cs="Times New Roman"/>
          <w:b/>
          <w:bCs/>
          <w:caps/>
          <w:sz w:val="20"/>
          <w:szCs w:val="20"/>
        </w:rPr>
        <w:t>DAVID EDWARD FUREY</w:t>
      </w:r>
    </w:p>
    <w:p w:rsidR="00D24F48" w:rsidRPr="006F59DD" w:rsidRDefault="00D24F48" w:rsidP="00D24F48">
      <w:pPr>
        <w:rPr>
          <w:rFonts w:cs="Times New Roman"/>
          <w:bCs/>
          <w:sz w:val="20"/>
          <w:szCs w:val="20"/>
        </w:rPr>
      </w:pPr>
      <w:r w:rsidRPr="006F59DD">
        <w:rPr>
          <w:rFonts w:cs="Times New Roman"/>
          <w:bCs/>
          <w:sz w:val="20"/>
          <w:szCs w:val="20"/>
        </w:rPr>
        <w:t xml:space="preserve">(N.L.) (40038) </w:t>
      </w:r>
    </w:p>
    <w:p w:rsidR="00D24F48" w:rsidRPr="006F59DD" w:rsidRDefault="00D24F48" w:rsidP="00D24F48">
      <w:pPr>
        <w:rPr>
          <w:rFonts w:cs="Times New Roman"/>
          <w:bCs/>
          <w:sz w:val="20"/>
          <w:szCs w:val="20"/>
        </w:rPr>
      </w:pPr>
    </w:p>
    <w:p w:rsidR="00D24F48" w:rsidRPr="006F59DD" w:rsidRDefault="00D24F48" w:rsidP="00D24F48">
      <w:pPr>
        <w:rPr>
          <w:rFonts w:cs="Times New Roman"/>
          <w:sz w:val="20"/>
          <w:szCs w:val="20"/>
        </w:rPr>
      </w:pPr>
      <w:r w:rsidRPr="006F59DD">
        <w:rPr>
          <w:rFonts w:cs="Times New Roman"/>
          <w:b/>
          <w:bCs/>
          <w:sz w:val="20"/>
          <w:szCs w:val="20"/>
          <w:u w:val="single"/>
        </w:rPr>
        <w:t>MARTIN J.</w:t>
      </w:r>
      <w:r w:rsidRPr="006F59DD">
        <w:rPr>
          <w:rFonts w:cs="Times New Roman"/>
          <w:b/>
          <w:bCs/>
          <w:sz w:val="20"/>
          <w:szCs w:val="20"/>
        </w:rPr>
        <w:t>:</w:t>
      </w:r>
    </w:p>
    <w:p w:rsidR="00D24F48" w:rsidRPr="006F59DD" w:rsidRDefault="00D24F48" w:rsidP="00D24F48">
      <w:pPr>
        <w:rPr>
          <w:rFonts w:cs="Times New Roman"/>
          <w:sz w:val="20"/>
          <w:szCs w:val="20"/>
        </w:rPr>
      </w:pPr>
    </w:p>
    <w:p w:rsidR="00D24F48" w:rsidRPr="006F59DD" w:rsidRDefault="00D24F48" w:rsidP="00D24F48">
      <w:pPr>
        <w:rPr>
          <w:rFonts w:eastAsia="Times New Roman" w:cs="Times New Roman"/>
          <w:i/>
          <w:sz w:val="20"/>
          <w:szCs w:val="20"/>
          <w:lang w:eastAsia="en-CA"/>
        </w:rPr>
      </w:pPr>
      <w:r w:rsidRPr="006F59DD">
        <w:rPr>
          <w:rFonts w:eastAsia="Times New Roman" w:cs="Times New Roman"/>
          <w:b/>
          <w:bCs/>
          <w:sz w:val="20"/>
          <w:szCs w:val="20"/>
          <w:lang w:eastAsia="en-CA"/>
        </w:rPr>
        <w:t>UPON APPLICATION</w:t>
      </w:r>
      <w:r w:rsidRPr="006F59DD">
        <w:rPr>
          <w:rFonts w:eastAsia="Times New Roman" w:cs="Times New Roman"/>
          <w:sz w:val="20"/>
          <w:szCs w:val="20"/>
          <w:lang w:eastAsia="en-CA"/>
        </w:rPr>
        <w:t xml:space="preserve"> by the appellant for an order extending the time to serve and file its notice of appeal as of right to January 26, 2022;</w:t>
      </w:r>
    </w:p>
    <w:p w:rsidR="00D24F48" w:rsidRPr="006F59DD" w:rsidRDefault="00D24F48" w:rsidP="00D24F48">
      <w:pPr>
        <w:rPr>
          <w:rFonts w:eastAsia="Times New Roman" w:cs="Times New Roman"/>
          <w:i/>
          <w:sz w:val="20"/>
          <w:szCs w:val="20"/>
          <w:lang w:eastAsia="en-CA"/>
        </w:rPr>
      </w:pPr>
    </w:p>
    <w:p w:rsidR="00D24F48" w:rsidRPr="006F59DD" w:rsidRDefault="00D24F48" w:rsidP="00D24F48">
      <w:pPr>
        <w:spacing w:line="233" w:lineRule="auto"/>
        <w:rPr>
          <w:rFonts w:cs="Times New Roman"/>
          <w:sz w:val="20"/>
          <w:szCs w:val="20"/>
        </w:rPr>
      </w:pPr>
      <w:r w:rsidRPr="006F59DD">
        <w:rPr>
          <w:rFonts w:cs="Times New Roman"/>
          <w:b/>
          <w:bCs/>
          <w:sz w:val="20"/>
          <w:szCs w:val="20"/>
        </w:rPr>
        <w:t>AND THE MATERIAL FILED</w:t>
      </w:r>
      <w:r w:rsidRPr="006F59DD">
        <w:rPr>
          <w:rFonts w:cs="Times New Roman"/>
          <w:sz w:val="20"/>
          <w:szCs w:val="20"/>
        </w:rPr>
        <w:t xml:space="preserve"> having been read;</w:t>
      </w:r>
    </w:p>
    <w:p w:rsidR="00D24F48" w:rsidRPr="006F59DD" w:rsidRDefault="00D24F48" w:rsidP="00D24F48">
      <w:pPr>
        <w:spacing w:line="233" w:lineRule="auto"/>
        <w:rPr>
          <w:rFonts w:cs="Times New Roman"/>
          <w:sz w:val="20"/>
          <w:szCs w:val="20"/>
        </w:rPr>
      </w:pPr>
    </w:p>
    <w:p w:rsidR="00D24F48" w:rsidRPr="006F59DD" w:rsidRDefault="00D24F48" w:rsidP="00D24F48">
      <w:pPr>
        <w:spacing w:line="233" w:lineRule="auto"/>
        <w:rPr>
          <w:rFonts w:cs="Times New Roman"/>
          <w:b/>
          <w:bCs/>
          <w:sz w:val="20"/>
          <w:szCs w:val="20"/>
        </w:rPr>
      </w:pPr>
      <w:r w:rsidRPr="006F59DD">
        <w:rPr>
          <w:rFonts w:eastAsia="Times New Roman" w:cs="Times New Roman"/>
          <w:b/>
          <w:bCs/>
          <w:sz w:val="20"/>
          <w:szCs w:val="20"/>
          <w:lang w:eastAsia="en-CA"/>
        </w:rPr>
        <w:t>IT IS HEREBY ORDERED THAT:</w:t>
      </w:r>
    </w:p>
    <w:p w:rsidR="00D24F48" w:rsidRPr="006F59DD" w:rsidRDefault="00D24F48" w:rsidP="00D24F48">
      <w:pPr>
        <w:spacing w:line="233" w:lineRule="auto"/>
        <w:rPr>
          <w:rFonts w:cs="Times New Roman"/>
          <w:sz w:val="20"/>
          <w:szCs w:val="20"/>
        </w:rPr>
      </w:pPr>
    </w:p>
    <w:p w:rsidR="00D24F48" w:rsidRPr="006F59DD" w:rsidRDefault="00D24F48" w:rsidP="00D24F48">
      <w:pPr>
        <w:spacing w:line="233" w:lineRule="auto"/>
        <w:rPr>
          <w:rFonts w:cs="Times New Roman"/>
          <w:sz w:val="20"/>
          <w:szCs w:val="20"/>
          <w:lang w:val="fr-CA"/>
        </w:rPr>
      </w:pPr>
      <w:r w:rsidRPr="006F59DD">
        <w:rPr>
          <w:rFonts w:cs="Times New Roman"/>
          <w:sz w:val="20"/>
          <w:szCs w:val="20"/>
          <w:lang w:val="fr-CA"/>
        </w:rPr>
        <w:t>The motion is granted.</w:t>
      </w:r>
    </w:p>
    <w:p w:rsidR="00D24F48" w:rsidRPr="006F59DD" w:rsidRDefault="00D24F48" w:rsidP="00D24F48">
      <w:pPr>
        <w:spacing w:line="233" w:lineRule="auto"/>
        <w:rPr>
          <w:rFonts w:cs="Times New Roman"/>
          <w:sz w:val="20"/>
          <w:szCs w:val="20"/>
          <w:lang w:val="fr-CA"/>
        </w:rPr>
      </w:pPr>
    </w:p>
    <w:p w:rsidR="00D24F48" w:rsidRPr="006F59DD" w:rsidRDefault="00D24F48" w:rsidP="00D24F48">
      <w:pPr>
        <w:spacing w:line="233" w:lineRule="auto"/>
        <w:rPr>
          <w:rFonts w:cs="Times New Roman"/>
          <w:sz w:val="20"/>
          <w:szCs w:val="20"/>
          <w:lang w:val="fr-CA"/>
        </w:rPr>
      </w:pPr>
    </w:p>
    <w:p w:rsidR="00D24F48" w:rsidRPr="006F59DD" w:rsidRDefault="00D24F48" w:rsidP="00D24F48">
      <w:pPr>
        <w:spacing w:line="233" w:lineRule="auto"/>
        <w:rPr>
          <w:rFonts w:cs="Times New Roman"/>
          <w:sz w:val="20"/>
          <w:szCs w:val="20"/>
          <w:lang w:val="fr-CA"/>
        </w:rPr>
      </w:pPr>
      <w:r w:rsidRPr="006F59DD">
        <w:rPr>
          <w:rFonts w:cs="Times New Roman"/>
          <w:b/>
          <w:sz w:val="20"/>
          <w:szCs w:val="20"/>
          <w:lang w:val="fr-CA"/>
        </w:rPr>
        <w:t>À LA SUITE DE LA DEMANDE</w:t>
      </w:r>
      <w:r w:rsidRPr="006F59DD">
        <w:rPr>
          <w:rFonts w:cs="Times New Roman"/>
          <w:sz w:val="20"/>
          <w:szCs w:val="20"/>
          <w:lang w:val="fr-CA"/>
        </w:rPr>
        <w:t xml:space="preserve"> de l’appelante en prorogation du délai pour signifier et déposer son avis d’appel de plein droit au 26 janvier 2022;</w:t>
      </w:r>
    </w:p>
    <w:p w:rsidR="00D24F48" w:rsidRPr="006F59DD" w:rsidRDefault="00D24F48" w:rsidP="00D24F48">
      <w:pPr>
        <w:spacing w:line="233" w:lineRule="auto"/>
        <w:rPr>
          <w:rFonts w:cs="Times New Roman"/>
          <w:sz w:val="20"/>
          <w:szCs w:val="20"/>
          <w:lang w:val="fr-CA"/>
        </w:rPr>
      </w:pPr>
    </w:p>
    <w:p w:rsidR="00D24F48" w:rsidRPr="006F59DD" w:rsidRDefault="00D24F48" w:rsidP="00D24F48">
      <w:pPr>
        <w:spacing w:line="233" w:lineRule="auto"/>
        <w:rPr>
          <w:rFonts w:cs="Times New Roman"/>
          <w:sz w:val="20"/>
          <w:szCs w:val="20"/>
          <w:lang w:val="fr-CA"/>
        </w:rPr>
      </w:pPr>
      <w:r w:rsidRPr="006F59DD">
        <w:rPr>
          <w:rFonts w:cs="Times New Roman"/>
          <w:b/>
          <w:sz w:val="20"/>
          <w:szCs w:val="20"/>
          <w:lang w:val="fr-CA"/>
        </w:rPr>
        <w:t xml:space="preserve">ET APRÈS EXAMEN </w:t>
      </w:r>
      <w:r w:rsidRPr="006F59DD">
        <w:rPr>
          <w:rFonts w:cs="Times New Roman"/>
          <w:sz w:val="20"/>
          <w:szCs w:val="20"/>
          <w:lang w:val="fr-CA"/>
        </w:rPr>
        <w:t>des documents déposés;</w:t>
      </w:r>
    </w:p>
    <w:p w:rsidR="00D24F48" w:rsidRPr="006F59DD" w:rsidRDefault="00D24F48" w:rsidP="00D24F48">
      <w:pPr>
        <w:spacing w:line="233" w:lineRule="auto"/>
        <w:rPr>
          <w:rFonts w:cs="Times New Roman"/>
          <w:sz w:val="20"/>
          <w:szCs w:val="20"/>
          <w:lang w:val="fr-CA"/>
        </w:rPr>
      </w:pPr>
    </w:p>
    <w:p w:rsidR="00D24F48" w:rsidRPr="006F59DD" w:rsidRDefault="00D24F48" w:rsidP="00D24F48">
      <w:pPr>
        <w:spacing w:line="233" w:lineRule="auto"/>
        <w:rPr>
          <w:rFonts w:cs="Times New Roman"/>
          <w:b/>
          <w:sz w:val="20"/>
          <w:szCs w:val="20"/>
          <w:lang w:val="fr-CA"/>
        </w:rPr>
      </w:pPr>
      <w:r w:rsidRPr="006F59DD">
        <w:rPr>
          <w:rFonts w:cs="Times New Roman"/>
          <w:b/>
          <w:sz w:val="20"/>
          <w:szCs w:val="20"/>
          <w:lang w:val="fr-CA"/>
        </w:rPr>
        <w:t>IL EST PAR LA PRÉSENTE ORDONNÉ CE QUI SUIT :</w:t>
      </w:r>
    </w:p>
    <w:p w:rsidR="00D24F48" w:rsidRPr="006F59DD" w:rsidRDefault="00D24F48" w:rsidP="00D24F48">
      <w:pPr>
        <w:spacing w:line="233" w:lineRule="auto"/>
        <w:rPr>
          <w:rFonts w:cs="Times New Roman"/>
          <w:sz w:val="20"/>
          <w:szCs w:val="20"/>
          <w:lang w:val="fr-CA"/>
        </w:rPr>
      </w:pPr>
    </w:p>
    <w:p w:rsidR="00D24F48" w:rsidRPr="006F59DD" w:rsidRDefault="00D24F48" w:rsidP="00D24F48">
      <w:pPr>
        <w:spacing w:line="233" w:lineRule="auto"/>
        <w:rPr>
          <w:rFonts w:cs="Times New Roman"/>
          <w:sz w:val="20"/>
          <w:szCs w:val="20"/>
          <w:lang w:val="fr-CA"/>
        </w:rPr>
      </w:pPr>
      <w:r w:rsidRPr="006F59DD">
        <w:rPr>
          <w:rFonts w:cs="Times New Roman"/>
          <w:sz w:val="20"/>
          <w:szCs w:val="20"/>
          <w:lang w:val="fr-CA"/>
        </w:rPr>
        <w:t>La requête est accueillie.</w:t>
      </w:r>
    </w:p>
    <w:p w:rsidR="00D24F48" w:rsidRPr="006F59DD" w:rsidRDefault="00D24F48" w:rsidP="00D24F48">
      <w:pPr>
        <w:spacing w:line="232" w:lineRule="auto"/>
        <w:rPr>
          <w:rFonts w:cs="Times New Roman"/>
          <w:sz w:val="20"/>
          <w:lang w:val="fr-CA"/>
        </w:rPr>
      </w:pPr>
    </w:p>
    <w:p w:rsidR="00D24F48" w:rsidRPr="006F59DD" w:rsidRDefault="006F59DD" w:rsidP="00D24F48">
      <w:pPr>
        <w:widowControl w:val="0"/>
        <w:rPr>
          <w:rFonts w:eastAsia="Times New Roman" w:cs="Times New Roman"/>
          <w:sz w:val="20"/>
          <w:szCs w:val="20"/>
          <w:lang w:val="fr-CA" w:eastAsia="en-CA"/>
        </w:rPr>
      </w:pPr>
      <w:r w:rsidRPr="006F59DD">
        <w:rPr>
          <w:rFonts w:eastAsia="Times New Roman" w:cs="Times New Roman"/>
          <w:sz w:val="20"/>
          <w:szCs w:val="20"/>
          <w:lang w:val="fr-CA" w:eastAsia="en-CA"/>
        </w:rPr>
        <w:pict>
          <v:rect id="_x0000_i1055" style="width:2in;height:1pt" o:hrpct="0" o:hralign="center" o:hrstd="t" o:hrnoshade="t" o:hr="t" fillcolor="black [3213]" stroked="f"/>
        </w:pict>
      </w:r>
    </w:p>
    <w:p w:rsidR="00D24F48" w:rsidRPr="006F59DD" w:rsidRDefault="00D24F48" w:rsidP="00D24F48">
      <w:pPr>
        <w:rPr>
          <w:rFonts w:eastAsia="Times New Roman" w:cs="Times New Roman"/>
          <w:sz w:val="20"/>
          <w:szCs w:val="20"/>
          <w:lang w:val="fr-CA" w:eastAsia="en-CA"/>
        </w:rPr>
      </w:pPr>
    </w:p>
    <w:p w:rsidR="00D24F48" w:rsidRPr="006F59DD" w:rsidRDefault="00D24F48" w:rsidP="00D24F48">
      <w:pPr>
        <w:tabs>
          <w:tab w:val="left" w:pos="-1440"/>
          <w:tab w:val="left" w:pos="-720"/>
        </w:tabs>
        <w:jc w:val="both"/>
        <w:rPr>
          <w:sz w:val="20"/>
          <w:szCs w:val="20"/>
          <w:lang w:val="fr-CA"/>
        </w:rPr>
      </w:pPr>
    </w:p>
    <w:p w:rsidR="00D24F48" w:rsidRPr="006F59DD" w:rsidRDefault="00D24F48" w:rsidP="00102792">
      <w:pPr>
        <w:jc w:val="both"/>
        <w:rPr>
          <w:sz w:val="20"/>
          <w:lang w:val="fr-CA"/>
        </w:rPr>
      </w:pPr>
    </w:p>
    <w:p w:rsidR="00D24F48" w:rsidRPr="006F59DD" w:rsidRDefault="00D24F48" w:rsidP="00102792">
      <w:pPr>
        <w:jc w:val="both"/>
        <w:rPr>
          <w:sz w:val="20"/>
          <w:lang w:val="fr-CA"/>
        </w:rPr>
      </w:pPr>
    </w:p>
    <w:p w:rsidR="00890FEB" w:rsidRPr="006F59DD" w:rsidRDefault="00890FEB" w:rsidP="008D292F">
      <w:pPr>
        <w:rPr>
          <w:sz w:val="20"/>
          <w:szCs w:val="20"/>
          <w:lang w:val="fr-CA"/>
        </w:rPr>
      </w:pPr>
    </w:p>
    <w:p w:rsidR="00890FEB" w:rsidRPr="006F59DD" w:rsidRDefault="00890FEB" w:rsidP="008D292F">
      <w:pPr>
        <w:rPr>
          <w:b/>
          <w:sz w:val="20"/>
          <w:szCs w:val="20"/>
          <w:lang w:val="fr-CA"/>
        </w:rPr>
        <w:sectPr w:rsidR="00890FEB" w:rsidRPr="006F59DD"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6F59DD" w:rsidRDefault="001434B9" w:rsidP="00567602">
      <w:pPr>
        <w:pStyle w:val="Header1StyleE"/>
        <w:pBdr>
          <w:bottom w:val="single" w:sz="12" w:space="1" w:color="auto"/>
        </w:pBdr>
        <w:rPr>
          <w:sz w:val="20"/>
          <w:lang w:val="en-US"/>
        </w:rPr>
      </w:pPr>
      <w:bookmarkStart w:id="6" w:name="_Toc95408310"/>
      <w:r w:rsidRPr="006F59DD">
        <w:lastRenderedPageBreak/>
        <w:t>Notices of appeal filed since the last issue</w:t>
      </w:r>
      <w:r w:rsidR="00271E1E" w:rsidRPr="006F59DD">
        <w:t xml:space="preserve"> / </w:t>
      </w:r>
      <w:r w:rsidR="00567602" w:rsidRPr="006F59DD">
        <w:br/>
      </w:r>
      <w:r w:rsidRPr="006F59DD">
        <w:rPr>
          <w:lang w:val="fr-CA"/>
        </w:rPr>
        <w:t>Avis d’appel déposés depuis la dernière parution</w:t>
      </w:r>
      <w:bookmarkEnd w:id="6"/>
    </w:p>
    <w:p w:rsidR="00FB1DB6" w:rsidRPr="006F59D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F59DD" w:rsidTr="005F1ED8">
        <w:trPr>
          <w:cantSplit/>
        </w:trPr>
        <w:tc>
          <w:tcPr>
            <w:tcW w:w="2206" w:type="pct"/>
            <w:tcMar>
              <w:left w:w="0" w:type="dxa"/>
              <w:right w:w="0" w:type="dxa"/>
            </w:tcMar>
          </w:tcPr>
          <w:p w:rsidR="0086340B" w:rsidRPr="006F59DD" w:rsidRDefault="008859F1" w:rsidP="005F1ED8">
            <w:pPr>
              <w:rPr>
                <w:sz w:val="20"/>
                <w:szCs w:val="20"/>
              </w:rPr>
            </w:pPr>
            <w:r w:rsidRPr="006F59DD">
              <w:rPr>
                <w:sz w:val="20"/>
                <w:szCs w:val="20"/>
              </w:rPr>
              <w:t xml:space="preserve">January </w:t>
            </w:r>
            <w:r w:rsidR="009B36BA" w:rsidRPr="006F59DD">
              <w:rPr>
                <w:sz w:val="20"/>
                <w:szCs w:val="20"/>
              </w:rPr>
              <w:t>1</w:t>
            </w:r>
            <w:r w:rsidR="006E203A" w:rsidRPr="006F59DD">
              <w:rPr>
                <w:sz w:val="20"/>
                <w:szCs w:val="20"/>
              </w:rPr>
              <w:t>7</w:t>
            </w:r>
            <w:r w:rsidRPr="006F59DD">
              <w:rPr>
                <w:sz w:val="20"/>
                <w:szCs w:val="20"/>
              </w:rPr>
              <w:t>, 20</w:t>
            </w:r>
            <w:r w:rsidR="005967EF" w:rsidRPr="006F59DD">
              <w:rPr>
                <w:sz w:val="20"/>
                <w:szCs w:val="20"/>
              </w:rPr>
              <w:t>2</w:t>
            </w:r>
            <w:r w:rsidR="00E8642A" w:rsidRPr="006F59DD">
              <w:rPr>
                <w:sz w:val="20"/>
                <w:szCs w:val="20"/>
              </w:rPr>
              <w:t>2</w:t>
            </w:r>
          </w:p>
          <w:p w:rsidR="0034657E" w:rsidRPr="006F59DD" w:rsidRDefault="0034657E" w:rsidP="005F1ED8">
            <w:pPr>
              <w:rPr>
                <w:sz w:val="20"/>
                <w:szCs w:val="20"/>
              </w:rPr>
            </w:pPr>
          </w:p>
          <w:p w:rsidR="0086340B" w:rsidRPr="006F59DD" w:rsidRDefault="006E203A" w:rsidP="005F1ED8">
            <w:pPr>
              <w:rPr>
                <w:b/>
                <w:sz w:val="20"/>
                <w:szCs w:val="20"/>
              </w:rPr>
            </w:pPr>
            <w:r w:rsidRPr="006F59DD">
              <w:rPr>
                <w:b/>
                <w:sz w:val="20"/>
                <w:szCs w:val="20"/>
              </w:rPr>
              <w:t>Canadian Council for Refugees, et al.</w:t>
            </w:r>
          </w:p>
          <w:p w:rsidR="0086340B" w:rsidRPr="006F59DD" w:rsidRDefault="0086340B" w:rsidP="005F1ED8">
            <w:pPr>
              <w:rPr>
                <w:sz w:val="20"/>
                <w:szCs w:val="20"/>
              </w:rPr>
            </w:pPr>
          </w:p>
          <w:p w:rsidR="0086340B" w:rsidRPr="006F59DD" w:rsidRDefault="0086340B" w:rsidP="005F1ED8">
            <w:pPr>
              <w:rPr>
                <w:b/>
                <w:sz w:val="20"/>
                <w:szCs w:val="20"/>
              </w:rPr>
            </w:pPr>
            <w:r w:rsidRPr="006F59DD">
              <w:rPr>
                <w:b/>
                <w:sz w:val="20"/>
                <w:szCs w:val="20"/>
              </w:rPr>
              <w:tab/>
              <w:t>v. (39</w:t>
            </w:r>
            <w:r w:rsidR="006E203A" w:rsidRPr="006F59DD">
              <w:rPr>
                <w:b/>
                <w:sz w:val="20"/>
                <w:szCs w:val="20"/>
              </w:rPr>
              <w:t>749</w:t>
            </w:r>
            <w:r w:rsidRPr="006F59DD">
              <w:rPr>
                <w:b/>
                <w:sz w:val="20"/>
                <w:szCs w:val="20"/>
              </w:rPr>
              <w:t>)</w:t>
            </w:r>
          </w:p>
          <w:p w:rsidR="0086340B" w:rsidRPr="006F59DD" w:rsidRDefault="0086340B" w:rsidP="005F1ED8">
            <w:pPr>
              <w:rPr>
                <w:sz w:val="20"/>
                <w:szCs w:val="20"/>
              </w:rPr>
            </w:pPr>
          </w:p>
          <w:p w:rsidR="0086340B" w:rsidRPr="006F59DD" w:rsidRDefault="006E203A" w:rsidP="005F1ED8">
            <w:pPr>
              <w:rPr>
                <w:b/>
                <w:sz w:val="20"/>
                <w:szCs w:val="20"/>
              </w:rPr>
            </w:pPr>
            <w:r w:rsidRPr="006F59DD">
              <w:rPr>
                <w:b/>
                <w:sz w:val="20"/>
                <w:szCs w:val="20"/>
              </w:rPr>
              <w:t>Minister of Citizenship and Immigration, et al.</w:t>
            </w:r>
            <w:r w:rsidR="0086340B" w:rsidRPr="006F59DD">
              <w:rPr>
                <w:b/>
                <w:sz w:val="20"/>
                <w:szCs w:val="20"/>
              </w:rPr>
              <w:t xml:space="preserve"> (</w:t>
            </w:r>
            <w:r w:rsidRPr="006F59DD">
              <w:rPr>
                <w:b/>
                <w:sz w:val="20"/>
                <w:szCs w:val="20"/>
              </w:rPr>
              <w:t>F</w:t>
            </w:r>
            <w:r w:rsidR="0086340B" w:rsidRPr="006F59DD">
              <w:rPr>
                <w:b/>
                <w:sz w:val="20"/>
                <w:szCs w:val="20"/>
              </w:rPr>
              <w:t>.</w:t>
            </w:r>
            <w:r w:rsidRPr="006F59DD">
              <w:rPr>
                <w:b/>
                <w:sz w:val="20"/>
                <w:szCs w:val="20"/>
              </w:rPr>
              <w:t>C</w:t>
            </w:r>
            <w:r w:rsidR="0086340B" w:rsidRPr="006F59DD">
              <w:rPr>
                <w:b/>
                <w:sz w:val="20"/>
                <w:szCs w:val="20"/>
              </w:rPr>
              <w:t>.)</w:t>
            </w:r>
          </w:p>
          <w:p w:rsidR="0086340B" w:rsidRPr="006F59DD" w:rsidRDefault="0086340B" w:rsidP="005F1ED8">
            <w:pPr>
              <w:rPr>
                <w:sz w:val="20"/>
                <w:szCs w:val="20"/>
              </w:rPr>
            </w:pPr>
          </w:p>
          <w:p w:rsidR="0086340B" w:rsidRPr="006F59DD" w:rsidRDefault="0086340B" w:rsidP="005F1ED8">
            <w:pPr>
              <w:rPr>
                <w:sz w:val="20"/>
                <w:szCs w:val="20"/>
              </w:rPr>
            </w:pPr>
            <w:r w:rsidRPr="006F59DD">
              <w:rPr>
                <w:sz w:val="20"/>
                <w:szCs w:val="20"/>
              </w:rPr>
              <w:t>(By Leave)</w:t>
            </w:r>
          </w:p>
          <w:p w:rsidR="0086340B" w:rsidRPr="006F59DD" w:rsidRDefault="0086340B" w:rsidP="005F1ED8">
            <w:pPr>
              <w:rPr>
                <w:sz w:val="20"/>
                <w:szCs w:val="20"/>
              </w:rPr>
            </w:pPr>
          </w:p>
          <w:p w:rsidR="0086340B" w:rsidRPr="006F59DD" w:rsidRDefault="006F59DD" w:rsidP="005F1ED8">
            <w:pPr>
              <w:rPr>
                <w:sz w:val="20"/>
                <w:szCs w:val="20"/>
                <w:lang w:val="fr-CA"/>
              </w:rPr>
            </w:pPr>
            <w:r w:rsidRPr="006F59DD">
              <w:rPr>
                <w:sz w:val="20"/>
                <w:szCs w:val="20"/>
                <w:lang w:val="fr-CA"/>
              </w:rPr>
              <w:pict>
                <v:rect id="_x0000_i1058" style="width:106.1pt;height:1pt" o:hrpct="500" o:hrstd="t" o:hrnoshade="t" o:hr="t" fillcolor="black [3213]" stroked="f"/>
              </w:pict>
            </w:r>
          </w:p>
        </w:tc>
        <w:tc>
          <w:tcPr>
            <w:tcW w:w="588" w:type="pct"/>
          </w:tcPr>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86340B" w:rsidRPr="006F59DD" w:rsidRDefault="0086340B" w:rsidP="005F1ED8">
            <w:pPr>
              <w:jc w:val="center"/>
              <w:rPr>
                <w:sz w:val="20"/>
                <w:szCs w:val="20"/>
              </w:rPr>
            </w:pPr>
          </w:p>
          <w:p w:rsidR="00E06F20" w:rsidRPr="006F59DD" w:rsidRDefault="00E06F20" w:rsidP="005F1ED8">
            <w:pPr>
              <w:jc w:val="center"/>
              <w:rPr>
                <w:sz w:val="20"/>
                <w:szCs w:val="20"/>
              </w:rPr>
            </w:pPr>
          </w:p>
          <w:p w:rsidR="0086340B" w:rsidRPr="006F59DD" w:rsidRDefault="0086340B" w:rsidP="005F1ED8">
            <w:pPr>
              <w:jc w:val="center"/>
              <w:rPr>
                <w:sz w:val="20"/>
                <w:szCs w:val="20"/>
              </w:rPr>
            </w:pPr>
          </w:p>
        </w:tc>
        <w:tc>
          <w:tcPr>
            <w:tcW w:w="2206" w:type="pct"/>
          </w:tcPr>
          <w:p w:rsidR="0086340B" w:rsidRPr="006F59DD" w:rsidRDefault="0086340B" w:rsidP="005F1ED8">
            <w:pPr>
              <w:rPr>
                <w:sz w:val="20"/>
                <w:szCs w:val="20"/>
              </w:rPr>
            </w:pPr>
          </w:p>
        </w:tc>
      </w:tr>
    </w:tbl>
    <w:p w:rsidR="008277C4" w:rsidRPr="006F59DD" w:rsidRDefault="008277C4" w:rsidP="00F40249">
      <w:pPr>
        <w:rPr>
          <w:sz w:val="20"/>
          <w:szCs w:val="20"/>
        </w:rPr>
      </w:pPr>
    </w:p>
    <w:p w:rsidR="008277C4" w:rsidRPr="006F59DD" w:rsidRDefault="008277C4" w:rsidP="00F40249">
      <w:pPr>
        <w:rPr>
          <w:sz w:val="20"/>
          <w:szCs w:val="20"/>
        </w:rPr>
      </w:pPr>
    </w:p>
    <w:p w:rsidR="0010587F" w:rsidRPr="006F59DD" w:rsidRDefault="0010587F" w:rsidP="00F40249">
      <w:pPr>
        <w:rPr>
          <w:sz w:val="20"/>
          <w:szCs w:val="20"/>
        </w:rPr>
      </w:pPr>
    </w:p>
    <w:p w:rsidR="00EB2B90" w:rsidRPr="006F59DD" w:rsidRDefault="00EB2B90" w:rsidP="00F40249">
      <w:pPr>
        <w:rPr>
          <w:sz w:val="20"/>
          <w:szCs w:val="20"/>
        </w:rPr>
        <w:sectPr w:rsidR="00EB2B90" w:rsidRPr="006F59DD"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6F59DD" w:rsidRDefault="001434B9" w:rsidP="00567602">
      <w:pPr>
        <w:pStyle w:val="Header1StyleE"/>
        <w:pBdr>
          <w:bottom w:val="single" w:sz="12" w:space="1" w:color="auto"/>
        </w:pBdr>
        <w:rPr>
          <w:lang w:val="fr-CA"/>
        </w:rPr>
      </w:pPr>
      <w:bookmarkStart w:id="7" w:name="_Toc95408311"/>
      <w:r w:rsidRPr="006F59DD">
        <w:rPr>
          <w:lang w:val="fr-CA"/>
        </w:rPr>
        <w:lastRenderedPageBreak/>
        <w:t>Appeals heard since the last issue and disposition</w:t>
      </w:r>
      <w:r w:rsidR="00271E1E" w:rsidRPr="006F59DD">
        <w:rPr>
          <w:lang w:val="fr-CA"/>
        </w:rPr>
        <w:t xml:space="preserve"> / </w:t>
      </w:r>
      <w:r w:rsidR="00567602" w:rsidRPr="006F59DD">
        <w:rPr>
          <w:lang w:val="fr-CA"/>
        </w:rPr>
        <w:br/>
      </w:r>
      <w:r w:rsidRPr="006F59DD">
        <w:rPr>
          <w:lang w:val="fr-CA"/>
        </w:rPr>
        <w:t>Appels entendus depuis la dernière parution et résultat</w:t>
      </w:r>
      <w:bookmarkEnd w:id="7"/>
    </w:p>
    <w:p w:rsidR="00567602" w:rsidRPr="006F59DD" w:rsidRDefault="00567602" w:rsidP="009B36BA">
      <w:pPr>
        <w:widowControl w:val="0"/>
        <w:jc w:val="both"/>
        <w:rPr>
          <w:sz w:val="20"/>
          <w:szCs w:val="20"/>
          <w:lang w:val="fr-CA"/>
        </w:rPr>
      </w:pPr>
    </w:p>
    <w:p w:rsidR="00717608" w:rsidRPr="006F59DD" w:rsidRDefault="005745D9" w:rsidP="00717608">
      <w:pPr>
        <w:rPr>
          <w:b/>
          <w:sz w:val="20"/>
          <w:szCs w:val="20"/>
        </w:rPr>
      </w:pPr>
      <w:r w:rsidRPr="006F59DD">
        <w:rPr>
          <w:b/>
          <w:sz w:val="20"/>
          <w:szCs w:val="20"/>
        </w:rPr>
        <w:t>FEBRU</w:t>
      </w:r>
      <w:r w:rsidR="009B36BA" w:rsidRPr="006F59DD">
        <w:rPr>
          <w:b/>
          <w:sz w:val="20"/>
          <w:szCs w:val="20"/>
        </w:rPr>
        <w:t>ARY</w:t>
      </w:r>
      <w:r w:rsidR="00717608" w:rsidRPr="006F59DD">
        <w:rPr>
          <w:b/>
          <w:sz w:val="20"/>
          <w:szCs w:val="20"/>
        </w:rPr>
        <w:t xml:space="preserve"> </w:t>
      </w:r>
      <w:r w:rsidRPr="006F59DD">
        <w:rPr>
          <w:b/>
          <w:sz w:val="20"/>
          <w:szCs w:val="20"/>
        </w:rPr>
        <w:t>8</w:t>
      </w:r>
      <w:r w:rsidR="00717608" w:rsidRPr="006F59DD">
        <w:rPr>
          <w:b/>
          <w:sz w:val="20"/>
          <w:szCs w:val="20"/>
        </w:rPr>
        <w:t>, 20</w:t>
      </w:r>
      <w:r w:rsidR="00172473" w:rsidRPr="006F59DD">
        <w:rPr>
          <w:b/>
          <w:sz w:val="20"/>
          <w:szCs w:val="20"/>
        </w:rPr>
        <w:t>2</w:t>
      </w:r>
      <w:r w:rsidR="00E8642A" w:rsidRPr="006F59DD">
        <w:rPr>
          <w:b/>
          <w:sz w:val="20"/>
          <w:szCs w:val="20"/>
        </w:rPr>
        <w:t>2</w:t>
      </w:r>
      <w:r w:rsidR="00717608" w:rsidRPr="006F59DD">
        <w:rPr>
          <w:b/>
          <w:sz w:val="20"/>
          <w:szCs w:val="20"/>
        </w:rPr>
        <w:t xml:space="preserve"> / LE </w:t>
      </w:r>
      <w:r w:rsidRPr="006F59DD">
        <w:rPr>
          <w:b/>
          <w:sz w:val="20"/>
          <w:szCs w:val="20"/>
        </w:rPr>
        <w:t>8</w:t>
      </w:r>
      <w:r w:rsidR="00717608" w:rsidRPr="006F59DD">
        <w:rPr>
          <w:b/>
          <w:sz w:val="20"/>
          <w:szCs w:val="20"/>
        </w:rPr>
        <w:t xml:space="preserve"> </w:t>
      </w:r>
      <w:r w:rsidRPr="006F59DD">
        <w:rPr>
          <w:b/>
          <w:sz w:val="20"/>
          <w:szCs w:val="20"/>
        </w:rPr>
        <w:t>FÉ</w:t>
      </w:r>
      <w:r w:rsidR="009B36BA" w:rsidRPr="006F59DD">
        <w:rPr>
          <w:b/>
          <w:sz w:val="20"/>
          <w:szCs w:val="20"/>
        </w:rPr>
        <w:t>V</w:t>
      </w:r>
      <w:r w:rsidRPr="006F59DD">
        <w:rPr>
          <w:b/>
          <w:sz w:val="20"/>
          <w:szCs w:val="20"/>
        </w:rPr>
        <w:t>R</w:t>
      </w:r>
      <w:r w:rsidR="009B36BA" w:rsidRPr="006F59DD">
        <w:rPr>
          <w:b/>
          <w:sz w:val="20"/>
          <w:szCs w:val="20"/>
        </w:rPr>
        <w:t>IER</w:t>
      </w:r>
      <w:r w:rsidR="00717608" w:rsidRPr="006F59DD">
        <w:rPr>
          <w:b/>
          <w:sz w:val="20"/>
          <w:szCs w:val="20"/>
        </w:rPr>
        <w:t xml:space="preserve"> 20</w:t>
      </w:r>
      <w:r w:rsidR="00172473" w:rsidRPr="006F59DD">
        <w:rPr>
          <w:b/>
          <w:sz w:val="20"/>
          <w:szCs w:val="20"/>
        </w:rPr>
        <w:t>2</w:t>
      </w:r>
      <w:r w:rsidR="00E8642A" w:rsidRPr="006F59DD">
        <w:rPr>
          <w:b/>
          <w:sz w:val="20"/>
          <w:szCs w:val="20"/>
        </w:rPr>
        <w:t>2</w:t>
      </w:r>
    </w:p>
    <w:p w:rsidR="00172473" w:rsidRPr="006F59DD" w:rsidRDefault="00172473" w:rsidP="00717608">
      <w:pPr>
        <w:rPr>
          <w:sz w:val="20"/>
          <w:szCs w:val="20"/>
        </w:rPr>
      </w:pPr>
    </w:p>
    <w:p w:rsidR="005745D9" w:rsidRPr="006F59DD" w:rsidRDefault="005745D9" w:rsidP="005745D9">
      <w:pPr>
        <w:widowControl w:val="0"/>
        <w:rPr>
          <w:sz w:val="20"/>
          <w:szCs w:val="20"/>
        </w:rPr>
      </w:pPr>
      <w:r w:rsidRPr="006F59DD">
        <w:rPr>
          <w:b/>
          <w:sz w:val="20"/>
          <w:szCs w:val="20"/>
        </w:rPr>
        <w:t xml:space="preserve">Eugene Ndhlovu v. Her Majesty the Queen </w:t>
      </w:r>
      <w:r w:rsidRPr="006F59DD">
        <w:rPr>
          <w:sz w:val="20"/>
          <w:szCs w:val="20"/>
        </w:rPr>
        <w:t>(Alta.) (Criminal) (By Leave) (</w:t>
      </w:r>
      <w:hyperlink r:id="rId49" w:history="1">
        <w:r w:rsidRPr="006F59DD">
          <w:rPr>
            <w:rStyle w:val="Hyperlink"/>
            <w:sz w:val="20"/>
            <w:szCs w:val="20"/>
          </w:rPr>
          <w:t>39360</w:t>
        </w:r>
      </w:hyperlink>
      <w:r w:rsidRPr="006F59DD">
        <w:rPr>
          <w:sz w:val="20"/>
          <w:szCs w:val="20"/>
        </w:rPr>
        <w:t>)</w:t>
      </w:r>
    </w:p>
    <w:p w:rsidR="005745D9" w:rsidRPr="006F59DD" w:rsidRDefault="005745D9" w:rsidP="005745D9">
      <w:pPr>
        <w:widowControl w:val="0"/>
        <w:ind w:left="1109" w:hanging="1109"/>
        <w:rPr>
          <w:sz w:val="20"/>
          <w:szCs w:val="20"/>
        </w:rPr>
      </w:pPr>
    </w:p>
    <w:p w:rsidR="005745D9" w:rsidRPr="006F59DD" w:rsidRDefault="005745D9" w:rsidP="005745D9">
      <w:pPr>
        <w:widowControl w:val="0"/>
        <w:ind w:left="1109" w:hanging="1109"/>
        <w:rPr>
          <w:sz w:val="20"/>
          <w:szCs w:val="20"/>
        </w:rPr>
      </w:pPr>
      <w:r w:rsidRPr="006F59DD">
        <w:rPr>
          <w:sz w:val="20"/>
          <w:szCs w:val="20"/>
        </w:rPr>
        <w:t xml:space="preserve">Coram: </w:t>
      </w:r>
      <w:r w:rsidRPr="006F59DD">
        <w:rPr>
          <w:sz w:val="20"/>
          <w:szCs w:val="20"/>
        </w:rPr>
        <w:tab/>
        <w:t>Wagner C.J. and Moldaver, Karakatsanis, Côté, Brown, Rowe, Martin, Kasirer and Jamal JJ.</w:t>
      </w:r>
    </w:p>
    <w:p w:rsidR="005745D9" w:rsidRPr="006F59DD" w:rsidRDefault="005745D9" w:rsidP="005745D9">
      <w:pPr>
        <w:widowControl w:val="0"/>
        <w:ind w:left="1109" w:hanging="1109"/>
        <w:rPr>
          <w:sz w:val="20"/>
          <w:szCs w:val="20"/>
        </w:rPr>
      </w:pPr>
    </w:p>
    <w:p w:rsidR="005745D9" w:rsidRPr="006F59DD" w:rsidRDefault="005745D9" w:rsidP="005745D9">
      <w:pPr>
        <w:widowControl w:val="0"/>
        <w:ind w:left="1109" w:hanging="1109"/>
        <w:rPr>
          <w:sz w:val="20"/>
          <w:szCs w:val="20"/>
        </w:rPr>
      </w:pPr>
      <w:r w:rsidRPr="006F59DD">
        <w:rPr>
          <w:b/>
          <w:sz w:val="20"/>
          <w:szCs w:val="20"/>
        </w:rPr>
        <w:t>RESERVED / EN DÉLIBÉRÉ</w:t>
      </w:r>
    </w:p>
    <w:p w:rsidR="00E06F20" w:rsidRPr="006F59DD" w:rsidRDefault="00E06F20" w:rsidP="00102792">
      <w:pPr>
        <w:ind w:left="1109" w:hanging="1109"/>
        <w:rPr>
          <w:bCs/>
          <w:color w:val="000000"/>
          <w:sz w:val="20"/>
          <w:szCs w:val="27"/>
        </w:rPr>
      </w:pPr>
    </w:p>
    <w:p w:rsidR="00E06F20" w:rsidRPr="006F59DD" w:rsidRDefault="006F59DD" w:rsidP="00281DA2">
      <w:pPr>
        <w:jc w:val="center"/>
        <w:rPr>
          <w:color w:val="000000"/>
          <w:sz w:val="20"/>
          <w:szCs w:val="27"/>
        </w:rPr>
      </w:pPr>
      <w:r w:rsidRPr="006F59DD">
        <w:rPr>
          <w:sz w:val="20"/>
          <w:szCs w:val="20"/>
        </w:rPr>
        <w:pict>
          <v:rect id="_x0000_i1061" style="width:2in;height:1pt" o:hrpct="0" o:hralign="center" o:hrstd="t" o:hrnoshade="t" o:hr="t" fillcolor="black [3213]" stroked="f"/>
        </w:pict>
      </w:r>
    </w:p>
    <w:p w:rsidR="00102792" w:rsidRPr="006F59DD" w:rsidRDefault="00102792" w:rsidP="00102792">
      <w:pPr>
        <w:widowControl w:val="0"/>
        <w:rPr>
          <w:sz w:val="20"/>
          <w:szCs w:val="20"/>
        </w:rPr>
      </w:pPr>
    </w:p>
    <w:p w:rsidR="005745D9" w:rsidRPr="006F59DD" w:rsidRDefault="005745D9" w:rsidP="005745D9">
      <w:pPr>
        <w:rPr>
          <w:b/>
          <w:sz w:val="20"/>
          <w:szCs w:val="20"/>
          <w:lang w:val="fr-CA"/>
        </w:rPr>
      </w:pPr>
      <w:r w:rsidRPr="006F59DD">
        <w:rPr>
          <w:b/>
          <w:sz w:val="20"/>
          <w:szCs w:val="20"/>
          <w:lang w:val="fr-CA"/>
        </w:rPr>
        <w:t>FEBRUARY 9, 2022 / LE 9 FÉVRIER 2022</w:t>
      </w:r>
    </w:p>
    <w:p w:rsidR="00E8642A" w:rsidRPr="006F59DD" w:rsidRDefault="00E8642A" w:rsidP="00E8642A">
      <w:pPr>
        <w:rPr>
          <w:sz w:val="20"/>
          <w:szCs w:val="20"/>
          <w:lang w:val="fr-CA"/>
        </w:rPr>
      </w:pPr>
    </w:p>
    <w:p w:rsidR="005745D9" w:rsidRPr="006F59DD" w:rsidRDefault="005745D9" w:rsidP="005745D9">
      <w:pPr>
        <w:widowControl w:val="0"/>
        <w:rPr>
          <w:sz w:val="20"/>
          <w:szCs w:val="20"/>
          <w:lang w:val="fr-CA"/>
        </w:rPr>
      </w:pPr>
      <w:r w:rsidRPr="006F59DD">
        <w:rPr>
          <w:b/>
          <w:sz w:val="20"/>
          <w:szCs w:val="20"/>
          <w:lang w:val="fr-CA"/>
        </w:rPr>
        <w:t xml:space="preserve">Sa Majesté la Reine c. Marc-André Boulanger </w:t>
      </w:r>
      <w:r w:rsidRPr="006F59DD">
        <w:rPr>
          <w:sz w:val="20"/>
          <w:szCs w:val="20"/>
          <w:lang w:val="fr-CA"/>
        </w:rPr>
        <w:t>(Qc) (Criminelle) (De plein droit) (</w:t>
      </w:r>
      <w:hyperlink r:id="rId50" w:history="1">
        <w:r w:rsidRPr="006F59DD">
          <w:rPr>
            <w:rStyle w:val="Hyperlink"/>
            <w:sz w:val="20"/>
            <w:szCs w:val="20"/>
            <w:lang w:val="fr-CA"/>
          </w:rPr>
          <w:t>39710</w:t>
        </w:r>
      </w:hyperlink>
      <w:r w:rsidRPr="006F59DD">
        <w:rPr>
          <w:sz w:val="20"/>
          <w:szCs w:val="20"/>
          <w:lang w:val="fr-CA"/>
        </w:rPr>
        <w:t>)</w:t>
      </w:r>
    </w:p>
    <w:p w:rsidR="005745D9" w:rsidRPr="006F59DD" w:rsidRDefault="005745D9" w:rsidP="005745D9">
      <w:pPr>
        <w:widowControl w:val="0"/>
        <w:ind w:left="1109" w:hanging="1109"/>
        <w:rPr>
          <w:sz w:val="20"/>
          <w:szCs w:val="20"/>
          <w:lang w:val="fr-CA"/>
        </w:rPr>
      </w:pPr>
      <w:r w:rsidRPr="006F59DD">
        <w:rPr>
          <w:b/>
          <w:sz w:val="20"/>
          <w:szCs w:val="20"/>
          <w:lang w:val="fr-CA"/>
        </w:rPr>
        <w:t xml:space="preserve">2022 SCC </w:t>
      </w:r>
      <w:r w:rsidR="006E203A" w:rsidRPr="006F59DD">
        <w:rPr>
          <w:b/>
          <w:sz w:val="20"/>
          <w:szCs w:val="20"/>
          <w:lang w:val="fr-CA"/>
        </w:rPr>
        <w:t>2</w:t>
      </w:r>
      <w:r w:rsidRPr="006F59DD">
        <w:rPr>
          <w:b/>
          <w:sz w:val="20"/>
          <w:szCs w:val="20"/>
          <w:lang w:val="fr-CA"/>
        </w:rPr>
        <w:t xml:space="preserve"> / 2022 CSC </w:t>
      </w:r>
      <w:r w:rsidR="006E203A" w:rsidRPr="006F59DD">
        <w:rPr>
          <w:b/>
          <w:sz w:val="20"/>
          <w:szCs w:val="20"/>
          <w:lang w:val="fr-CA"/>
        </w:rPr>
        <w:t>2</w:t>
      </w:r>
    </w:p>
    <w:p w:rsidR="005745D9" w:rsidRPr="006F59DD" w:rsidRDefault="005745D9" w:rsidP="005745D9">
      <w:pPr>
        <w:widowControl w:val="0"/>
        <w:ind w:left="1109" w:hanging="1109"/>
        <w:rPr>
          <w:sz w:val="20"/>
          <w:szCs w:val="20"/>
          <w:lang w:val="fr-CA"/>
        </w:rPr>
      </w:pPr>
    </w:p>
    <w:p w:rsidR="005745D9" w:rsidRPr="006F59DD" w:rsidRDefault="005745D9" w:rsidP="005745D9">
      <w:pPr>
        <w:widowControl w:val="0"/>
        <w:ind w:left="1109" w:hanging="1109"/>
        <w:rPr>
          <w:sz w:val="20"/>
          <w:szCs w:val="20"/>
          <w:lang w:val="fr-CA"/>
        </w:rPr>
      </w:pPr>
      <w:r w:rsidRPr="006F59DD">
        <w:rPr>
          <w:sz w:val="20"/>
          <w:szCs w:val="20"/>
          <w:lang w:val="fr-CA"/>
        </w:rPr>
        <w:t xml:space="preserve">Coram: </w:t>
      </w:r>
      <w:r w:rsidRPr="006F59DD">
        <w:rPr>
          <w:sz w:val="20"/>
          <w:szCs w:val="20"/>
          <w:lang w:val="fr-CA"/>
        </w:rPr>
        <w:tab/>
        <w:t>Le juge en chef Wagner et les juges Moldaver, Karakatsanis, Côté, Brown, Rowe, Martin, Kasirer et Jamal</w:t>
      </w:r>
    </w:p>
    <w:p w:rsidR="005745D9" w:rsidRPr="006F59DD" w:rsidRDefault="005745D9" w:rsidP="005745D9">
      <w:pPr>
        <w:widowControl w:val="0"/>
        <w:ind w:left="1109" w:hanging="1109"/>
        <w:rPr>
          <w:sz w:val="20"/>
          <w:szCs w:val="20"/>
          <w:lang w:val="fr-CA"/>
        </w:rPr>
      </w:pPr>
    </w:p>
    <w:p w:rsidR="00001D53" w:rsidRPr="006F59DD" w:rsidRDefault="00001D53" w:rsidP="00001D53">
      <w:pPr>
        <w:jc w:val="both"/>
        <w:rPr>
          <w:sz w:val="20"/>
          <w:lang w:val="fr-CA"/>
        </w:rPr>
      </w:pPr>
      <w:r w:rsidRPr="006F59DD">
        <w:rPr>
          <w:sz w:val="20"/>
          <w:lang w:val="fr-CA"/>
        </w:rPr>
        <w:t>L’appel interjeté contre l’arrêt de la Cour d’appel du Québec (Montréal), numéro 500-10-007244-195, 2021 QCCA 815, daté du 18 mai 2021, a été entendu le 9 février 2022 et la Cour a prononcé oralement le même jour le jugement suivant :</w:t>
      </w:r>
    </w:p>
    <w:p w:rsidR="00001D53" w:rsidRPr="006F59DD" w:rsidRDefault="00001D53" w:rsidP="00001D53">
      <w:pPr>
        <w:jc w:val="both"/>
        <w:rPr>
          <w:sz w:val="20"/>
          <w:lang w:val="fr-CA"/>
        </w:rPr>
      </w:pPr>
    </w:p>
    <w:p w:rsidR="00001D53" w:rsidRPr="006F59DD" w:rsidRDefault="00001D53" w:rsidP="00001D53">
      <w:pPr>
        <w:jc w:val="both"/>
        <w:rPr>
          <w:rFonts w:cs="Times New Roman"/>
          <w:sz w:val="20"/>
          <w:lang w:val="fr-CA"/>
        </w:rPr>
      </w:pPr>
      <w:r w:rsidRPr="006F59DD">
        <w:rPr>
          <w:smallCaps/>
          <w:sz w:val="20"/>
          <w:lang w:val="fr-CA"/>
        </w:rPr>
        <w:t>Le juge Kasirer</w:t>
      </w:r>
      <w:r w:rsidRPr="006F59DD">
        <w:rPr>
          <w:sz w:val="20"/>
          <w:lang w:val="fr-CA"/>
        </w:rPr>
        <w:t xml:space="preserve"> </w:t>
      </w:r>
      <w:r w:rsidRPr="006F59DD">
        <w:rPr>
          <w:rFonts w:cs="Times New Roman"/>
          <w:sz w:val="20"/>
          <w:lang w:val="fr-CA"/>
        </w:rPr>
        <w:t>—</w:t>
      </w:r>
      <w:r w:rsidRPr="006F59DD">
        <w:rPr>
          <w:sz w:val="20"/>
          <w:lang w:val="fr-CA"/>
        </w:rPr>
        <w:t xml:space="preserve"> </w:t>
      </w:r>
      <w:r w:rsidRPr="006F59DD">
        <w:rPr>
          <w:rFonts w:cs="Times New Roman"/>
          <w:sz w:val="20"/>
          <w:lang w:val="fr-CA"/>
        </w:rPr>
        <w:t xml:space="preserve">Le ministère public se pourvoit à l’encontre d’une décision majoritaire de la Cour d’appel du Québec qui confirme, au profit de l’intimé, un arrêt des procédures ordonné en raison de la violation du droit constitutionnel de ce dernier d’être jugé dans un délai raisonnable. Les juges majoritaires constatent un délai net de 35 mois et 2 jours (1066 jours), qui dépasse le plafond fixé dans </w:t>
      </w:r>
      <w:r w:rsidRPr="006F59DD">
        <w:rPr>
          <w:rFonts w:cs="Times New Roman"/>
          <w:i/>
          <w:sz w:val="20"/>
          <w:lang w:val="fr-CA"/>
        </w:rPr>
        <w:t>R. c. Jordan</w:t>
      </w:r>
      <w:r w:rsidRPr="006F59DD">
        <w:rPr>
          <w:rFonts w:cs="Times New Roman"/>
          <w:sz w:val="20"/>
          <w:lang w:val="fr-CA"/>
        </w:rPr>
        <w:t>, 2016 CSC 27, [2016] 1 R.C.S. 631.</w:t>
      </w:r>
    </w:p>
    <w:p w:rsidR="00001D53" w:rsidRPr="006F59DD" w:rsidRDefault="00001D53" w:rsidP="00001D53">
      <w:pPr>
        <w:jc w:val="both"/>
        <w:rPr>
          <w:rFonts w:cs="Times New Roman"/>
          <w:sz w:val="20"/>
          <w:lang w:val="fr-CA"/>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L’appel vise à déterminer si deux délais particuliers — une première période de 84 jours et une seconde de 112 jours — doivent être attribués à la défense en raison de sa conduite.</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i/>
          <w:sz w:val="20"/>
        </w:rPr>
        <w:t>Concernant la période de 84 jours</w:t>
      </w:r>
      <w:r w:rsidRPr="006F59DD">
        <w:rPr>
          <w:rFonts w:cs="Times New Roman"/>
          <w:sz w:val="20"/>
        </w:rPr>
        <w:t>, nous partageons l’avis du juge Chamberland, dissident en Cour d’appel, que le délai entre le 1</w:t>
      </w:r>
      <w:r w:rsidRPr="006F59DD">
        <w:rPr>
          <w:rFonts w:cs="Times New Roman"/>
          <w:sz w:val="20"/>
          <w:vertAlign w:val="superscript"/>
        </w:rPr>
        <w:t>er</w:t>
      </w:r>
      <w:r w:rsidRPr="006F59DD">
        <w:rPr>
          <w:rFonts w:cs="Times New Roman"/>
          <w:sz w:val="20"/>
        </w:rPr>
        <w:t> mars et le 24 mai 2018 résulte de la conduite illégitime de la défense et, de ce fait, qu’il doit être attribué à l’intimé.</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 xml:space="preserve">Certes, la qualification des délais est une question de droit, et le juge de première instance n’était pas lié par l’admission de l’intimé à cet égard. Toutefois, le juge de première instance ne fournit aucune explication, ne serait-ce qu’implicite, permettant de comprendre pourquoi il rejette l’admission pour cette période (motifs du juge Chamberland, par. 173). Il était particulièrement important que le juge de première instance, ayant choisi d’aller à l’encontre de la suggestion des parties et en l’absence de soumissions de leur part sur ce point précis, fournisse des motifs permettant de comprendre sa décision et </w:t>
      </w:r>
      <w:r w:rsidRPr="006F59DD">
        <w:rPr>
          <w:rFonts w:cs="Times New Roman"/>
          <w:i/>
          <w:sz w:val="20"/>
        </w:rPr>
        <w:t>pourquoi</w:t>
      </w:r>
      <w:r w:rsidRPr="006F59DD">
        <w:rPr>
          <w:rFonts w:cs="Times New Roman"/>
          <w:sz w:val="20"/>
        </w:rPr>
        <w:t xml:space="preserve"> il a décidé ainsi (voir</w:t>
      </w:r>
      <w:r w:rsidRPr="006F59DD">
        <w:rPr>
          <w:rFonts w:cs="Times New Roman"/>
          <w:i/>
          <w:sz w:val="20"/>
        </w:rPr>
        <w:t xml:space="preserve"> R. c. G.F.</w:t>
      </w:r>
      <w:r w:rsidRPr="006F59DD">
        <w:rPr>
          <w:rFonts w:cs="Times New Roman"/>
          <w:sz w:val="20"/>
        </w:rPr>
        <w:t>,</w:t>
      </w:r>
      <w:r w:rsidRPr="006F59DD">
        <w:rPr>
          <w:rFonts w:cs="Times New Roman"/>
          <w:i/>
          <w:sz w:val="20"/>
        </w:rPr>
        <w:t xml:space="preserve"> </w:t>
      </w:r>
      <w:r w:rsidRPr="006F59DD">
        <w:rPr>
          <w:rFonts w:cs="Times New Roman"/>
          <w:sz w:val="20"/>
        </w:rPr>
        <w:t>2021 CSC 20, par. 71</w:t>
      </w:r>
      <w:r w:rsidRPr="006F59DD">
        <w:rPr>
          <w:sz w:val="20"/>
        </w:rPr>
        <w:noBreakHyphen/>
      </w:r>
      <w:r w:rsidRPr="006F59DD">
        <w:rPr>
          <w:rFonts w:cs="Times New Roman"/>
          <w:sz w:val="20"/>
        </w:rPr>
        <w:t>74). Avec égards, il ne l’a pas fait.</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 xml:space="preserve">Par ailleurs, comme le laisse entendre le juge dissident, il ne suffit pas que la démarche de l’intimé soit légitime pour que le délai ne lui soit pas imputable. En l’espèce, c’est la </w:t>
      </w:r>
      <w:r w:rsidRPr="006F59DD">
        <w:rPr>
          <w:rFonts w:cs="Times New Roman"/>
          <w:i/>
          <w:sz w:val="20"/>
        </w:rPr>
        <w:t>manière</w:t>
      </w:r>
      <w:r w:rsidRPr="006F59DD">
        <w:rPr>
          <w:rFonts w:cs="Times New Roman"/>
          <w:sz w:val="20"/>
        </w:rPr>
        <w:t xml:space="preserve"> dont la défense s’est conduite au regard de sa requête en décaviardage de la dénonciation qui est illégitime, notamment à cause de la tardiveté de la présentation de sa requête. Ce n’est que 15 mois après s’être fait remettre le document caviardé qu’elle a décidé de présenter sa requête, même si les parties débattaient depuis plusieurs mois déjà relativement au caviardage d’autres documents (motifs du juge Chamberland, par. 179</w:t>
      </w:r>
      <w:r w:rsidRPr="006F59DD">
        <w:rPr>
          <w:sz w:val="20"/>
        </w:rPr>
        <w:noBreakHyphen/>
      </w:r>
      <w:r w:rsidRPr="006F59DD">
        <w:rPr>
          <w:rFonts w:cs="Times New Roman"/>
          <w:sz w:val="20"/>
        </w:rPr>
        <w:t xml:space="preserve">184, s’appuyant à bon droit notamment sur </w:t>
      </w:r>
      <w:r w:rsidRPr="006F59DD">
        <w:rPr>
          <w:rFonts w:cs="Times New Roman"/>
          <w:i/>
          <w:sz w:val="20"/>
        </w:rPr>
        <w:t>R. c. Rice</w:t>
      </w:r>
      <w:r w:rsidRPr="006F59DD">
        <w:rPr>
          <w:rFonts w:cs="Times New Roman"/>
          <w:sz w:val="20"/>
        </w:rPr>
        <w:t xml:space="preserve">, 2018 QCCA 198, 44 C.R. (7th) 83, par. 60; voir aussi </w:t>
      </w:r>
      <w:r w:rsidRPr="006F59DD">
        <w:rPr>
          <w:rFonts w:cs="Times New Roman"/>
          <w:i/>
          <w:sz w:val="20"/>
        </w:rPr>
        <w:t>R. c. Cody</w:t>
      </w:r>
      <w:r w:rsidRPr="006F59DD">
        <w:rPr>
          <w:rFonts w:cs="Times New Roman"/>
          <w:sz w:val="20"/>
        </w:rPr>
        <w:t>, 2017 CSC 31, [2017] 1 R.C.S. 659, par. 32).</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Dans les circonstances, l’entièreté du délai de 84 jours entre le 1</w:t>
      </w:r>
      <w:r w:rsidRPr="006F59DD">
        <w:rPr>
          <w:rFonts w:cs="Times New Roman"/>
          <w:sz w:val="20"/>
          <w:vertAlign w:val="superscript"/>
        </w:rPr>
        <w:t>er</w:t>
      </w:r>
      <w:r w:rsidRPr="006F59DD">
        <w:rPr>
          <w:rFonts w:cs="Times New Roman"/>
          <w:sz w:val="20"/>
        </w:rPr>
        <w:t xml:space="preserve"> mars et le 24 mai 2018 est imputable à la défense. La requête en décaviardage de la dénonciation au soutien du mandat de perquisition et la requête en contestation du mandat lui-même étaient intrinsèquement liées puisque, selon les dires de la défense, il n’était pas possible de procéder à l’audition en contestation du mandat sans régler le débat relatif au caviardage. En retardant le dépôt de la requête en décaviardage, l’intimé retardait nécessairement l’audience en contestation du mandat. L’intimé doit donc être tenu </w:t>
      </w:r>
      <w:r w:rsidRPr="006F59DD">
        <w:rPr>
          <w:rFonts w:cs="Times New Roman"/>
          <w:sz w:val="20"/>
        </w:rPr>
        <w:lastRenderedPageBreak/>
        <w:t>responsable du délai entre le jour où il a soulevé l’enjeu du décaviardage de la dénonciation (1</w:t>
      </w:r>
      <w:r w:rsidRPr="006F59DD">
        <w:rPr>
          <w:rFonts w:cs="Times New Roman"/>
          <w:sz w:val="20"/>
          <w:vertAlign w:val="superscript"/>
        </w:rPr>
        <w:t>er</w:t>
      </w:r>
      <w:r w:rsidRPr="006F59DD">
        <w:rPr>
          <w:rFonts w:cs="Times New Roman"/>
          <w:sz w:val="20"/>
        </w:rPr>
        <w:t> mars 2018) et le jour où la requête en contestation du mandat devait finalement être entendue (24 mai 2018).</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i/>
          <w:sz w:val="20"/>
        </w:rPr>
        <w:t>En ce qui a trait à la deuxième période litigieuse, soit la période de 112 jours entre le 21 mai et le 10 septembre 2019</w:t>
      </w:r>
      <w:r w:rsidRPr="006F59DD">
        <w:rPr>
          <w:rFonts w:cs="Times New Roman"/>
          <w:sz w:val="20"/>
        </w:rPr>
        <w:t>, le moyen d’appel du ministère public doit être rejeté. Les juges majoritaires avaient raison d’intervenir, car ce délai n’était pas entièrement imputable à l’intimé, malgré l’indisponibilité de son avocate à certaines dates.</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 xml:space="preserve">Certes, la Cour enseigne dans </w:t>
      </w:r>
      <w:r w:rsidRPr="006F59DD">
        <w:rPr>
          <w:rFonts w:cs="Times New Roman"/>
          <w:i/>
          <w:sz w:val="20"/>
        </w:rPr>
        <w:t xml:space="preserve">Jordan </w:t>
      </w:r>
      <w:r w:rsidRPr="006F59DD">
        <w:rPr>
          <w:rFonts w:cs="Times New Roman"/>
          <w:sz w:val="20"/>
        </w:rPr>
        <w:t>que lorsque le tribunal et le ministère public sont prêts à procéder mais la défense ne l’est pas, le délai qui en découle est imputable à cette dernière (par. 64). Tous les acteurs du système de justice criminelle, y compris la défense, doivent adopter une approche proactive afin de prévenir les délais inutiles en s’attaquant à leurs causes profondes (</w:t>
      </w:r>
      <w:r w:rsidRPr="006F59DD">
        <w:rPr>
          <w:rFonts w:cs="Times New Roman"/>
          <w:i/>
          <w:sz w:val="20"/>
        </w:rPr>
        <w:t>Cody</w:t>
      </w:r>
      <w:r w:rsidRPr="006F59DD">
        <w:rPr>
          <w:rFonts w:cs="Times New Roman"/>
          <w:sz w:val="20"/>
        </w:rPr>
        <w:t>, par. 36). Cela dit, dans certains cas, les circonstances peuvent justifier un partage de la responsabilité pour le délai entre ces acteurs, plutôt que l’attribution de l’entièreté du délai à la défense.</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 xml:space="preserve">En l’espèce, les parties avaient demandé au juge, aussi tôt qu’en novembre 2018, d’ajouter une troisième date de procès en plus des deux dates déjà prévues en janvier 2019. Leur demande a été refusée. Lors de la première journée du procès en janvier 2019, il devient clair que les deux dates prévues seront insuffisantes, notamment en raison des changements de stratégie de la poursuite. Alors qu’ils discutent de dates potentielles pour la continuation du procès et que l’avocate de l’intimé informe le juge et la poursuite de son indisponibilité pour certaines dates en mai 2019, le juge propose une date en septembre 2019, sur laquelle il insiste, sans considérer la possibilité de continuer le procès à une date plus rapprochée où les parties étaient toutes deux disponibles. </w:t>
      </w:r>
      <w:r w:rsidRPr="006F59DD">
        <w:rPr>
          <w:rFonts w:cs="Times New Roman"/>
          <w:sz w:val="20"/>
          <w:szCs w:val="24"/>
        </w:rPr>
        <w:t xml:space="preserve">Le juge savait donc depuis le mois de novembre 2018 qu’une journée additionnelle serait nécessaire et, en janvier 2019, lorsqu’il évaluait les disponibilités potentielles pour la continuation du procès, la proximité de l’atteinte des plafonds fixés par l’arrêt </w:t>
      </w:r>
      <w:r w:rsidRPr="006F59DD">
        <w:rPr>
          <w:rFonts w:cs="Times New Roman"/>
          <w:i/>
          <w:sz w:val="20"/>
          <w:szCs w:val="24"/>
        </w:rPr>
        <w:t>Jordan</w:t>
      </w:r>
      <w:r w:rsidRPr="006F59DD">
        <w:rPr>
          <w:rFonts w:cs="Times New Roman"/>
          <w:sz w:val="20"/>
          <w:szCs w:val="24"/>
        </w:rPr>
        <w:t xml:space="preserve"> devait être prise en compte (</w:t>
      </w:r>
      <w:r w:rsidRPr="006F59DD">
        <w:rPr>
          <w:rFonts w:cs="Times New Roman"/>
          <w:i/>
          <w:sz w:val="20"/>
          <w:szCs w:val="24"/>
        </w:rPr>
        <w:t>R. c. K.G.K.</w:t>
      </w:r>
      <w:r w:rsidRPr="006F59DD">
        <w:rPr>
          <w:rFonts w:cs="Times New Roman"/>
          <w:sz w:val="20"/>
          <w:szCs w:val="24"/>
        </w:rPr>
        <w:t>,</w:t>
      </w:r>
      <w:r w:rsidRPr="006F59DD">
        <w:rPr>
          <w:rFonts w:cs="Times New Roman"/>
          <w:i/>
          <w:sz w:val="20"/>
          <w:szCs w:val="24"/>
        </w:rPr>
        <w:t xml:space="preserve"> </w:t>
      </w:r>
      <w:r w:rsidRPr="006F59DD">
        <w:rPr>
          <w:rFonts w:cs="Times New Roman"/>
          <w:sz w:val="20"/>
          <w:szCs w:val="24"/>
        </w:rPr>
        <w:t xml:space="preserve">2020 CSC 7, par. 61). Cela dit, ce n’est pas avant le 7 août 2019 que l’intimé fait part à la poursuite de son intention de déposer une requête en vertu de l’art. 11b) de la </w:t>
      </w:r>
      <w:r w:rsidRPr="006F59DD">
        <w:rPr>
          <w:rFonts w:cs="Times New Roman"/>
          <w:i/>
          <w:sz w:val="20"/>
          <w:szCs w:val="24"/>
        </w:rPr>
        <w:t>Charte canadienne des droits et libertés</w:t>
      </w:r>
      <w:r w:rsidRPr="006F59DD">
        <w:rPr>
          <w:rFonts w:cs="Times New Roman"/>
          <w:sz w:val="20"/>
          <w:szCs w:val="24"/>
        </w:rPr>
        <w:t xml:space="preserve">. Ainsi, outre la conduite de l’avocate de la défense et les changements de stratégie de la poursuite, </w:t>
      </w:r>
      <w:r w:rsidRPr="006F59DD">
        <w:rPr>
          <w:rFonts w:cs="Times New Roman"/>
          <w:sz w:val="20"/>
        </w:rPr>
        <w:t>ce sont les délais institutionnels et le manque d’initiative du tribunal qui ont fait en sorte qu’aucune autre date n’a été offerte plus tôt (motifs du juge Cournoyer, par. 148).</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szCs w:val="24"/>
        </w:rPr>
        <w:t>Dans les circonstances particuli</w:t>
      </w:r>
      <w:r w:rsidRPr="006F59DD">
        <w:rPr>
          <w:rFonts w:cs="Times New Roman"/>
          <w:sz w:val="20"/>
        </w:rPr>
        <w:t>ères de cette affaire</w:t>
      </w:r>
      <w:r w:rsidRPr="006F59DD">
        <w:rPr>
          <w:rFonts w:cs="Times New Roman"/>
          <w:sz w:val="20"/>
          <w:szCs w:val="24"/>
        </w:rPr>
        <w:t xml:space="preserve">, </w:t>
      </w:r>
      <w:r w:rsidRPr="006F59DD">
        <w:rPr>
          <w:rFonts w:cs="Times New Roman"/>
          <w:sz w:val="20"/>
        </w:rPr>
        <w:t>nous estimons qu’il est « juste et raisonnable » de partager la responsabilité pour le délai de 112 jours et d’imputer à la défense jusqu’à la moitié du délai entre le 1</w:t>
      </w:r>
      <w:r w:rsidRPr="006F59DD">
        <w:rPr>
          <w:rFonts w:cs="Times New Roman"/>
          <w:sz w:val="20"/>
          <w:vertAlign w:val="superscript"/>
        </w:rPr>
        <w:t>er</w:t>
      </w:r>
      <w:r w:rsidRPr="006F59DD">
        <w:rPr>
          <w:rFonts w:cs="Times New Roman"/>
          <w:sz w:val="20"/>
        </w:rPr>
        <w:t> juin 2019 (le lendemain de la dernière date d’indisponibilité de l’avocate de l’intimé) et le 10 septembre 2019 (la date réelle de continuation du procès)</w:t>
      </w:r>
      <w:r w:rsidRPr="006F59DD">
        <w:rPr>
          <w:rFonts w:cs="Times New Roman"/>
          <w:i/>
          <w:sz w:val="20"/>
        </w:rPr>
        <w:t xml:space="preserve"> </w:t>
      </w:r>
      <w:r w:rsidRPr="006F59DD">
        <w:rPr>
          <w:rFonts w:cs="Times New Roman"/>
          <w:sz w:val="20"/>
        </w:rPr>
        <w:t>(</w:t>
      </w:r>
      <w:r w:rsidRPr="006F59DD">
        <w:rPr>
          <w:rFonts w:cs="Times New Roman"/>
          <w:i/>
          <w:sz w:val="20"/>
        </w:rPr>
        <w:t>R. c. K.J.M.</w:t>
      </w:r>
      <w:r w:rsidRPr="006F59DD">
        <w:rPr>
          <w:rFonts w:cs="Times New Roman"/>
          <w:sz w:val="20"/>
        </w:rPr>
        <w:t>, 2019 CSC 55, par. 96). Même en calculant à partir de cette hypothèse, le délai total entre ces deux dates étant de 101 jours, nous lui attribuons 51 jours (1</w:t>
      </w:r>
      <w:r w:rsidRPr="006F59DD">
        <w:rPr>
          <w:rFonts w:cs="Times New Roman"/>
          <w:sz w:val="20"/>
          <w:vertAlign w:val="superscript"/>
        </w:rPr>
        <w:t>er</w:t>
      </w:r>
      <w:r w:rsidRPr="006F59DD">
        <w:rPr>
          <w:rFonts w:cs="Times New Roman"/>
          <w:sz w:val="20"/>
        </w:rPr>
        <w:t xml:space="preserve"> juin au 22 juillet 2019). Il y a aussi lieu d’imputer à l’intimé un délai de 10 jours (entre le 21 mai et le 31 mai 2019), suivant la concession qu’il a effectuée en Cour d’appel (motifs du juge Cournoyer, par. 150, note 83). </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Au final, outre la période identifiée par les juges majoritaires en appel, un délai de 84 jours (période du 1</w:t>
      </w:r>
      <w:r w:rsidRPr="006F59DD">
        <w:rPr>
          <w:rFonts w:cs="Times New Roman"/>
          <w:sz w:val="20"/>
          <w:vertAlign w:val="superscript"/>
        </w:rPr>
        <w:t>er</w:t>
      </w:r>
      <w:r w:rsidRPr="006F59DD">
        <w:rPr>
          <w:rFonts w:cs="Times New Roman"/>
          <w:sz w:val="20"/>
        </w:rPr>
        <w:t> mars au 24 mai 2018) et un délai de 61 jours (du 21 mai au 31 mai 2019 et du 1</w:t>
      </w:r>
      <w:r w:rsidRPr="006F59DD">
        <w:rPr>
          <w:rFonts w:cs="Times New Roman"/>
          <w:sz w:val="20"/>
          <w:vertAlign w:val="superscript"/>
        </w:rPr>
        <w:t>er</w:t>
      </w:r>
      <w:r w:rsidRPr="006F59DD">
        <w:rPr>
          <w:rFonts w:cs="Times New Roman"/>
          <w:sz w:val="20"/>
        </w:rPr>
        <w:t xml:space="preserve"> juin au 22 juillet 2019) sont aussi imputables à la défense. Ceci porte le total de jours attribuables à la défense à 225 jours, et le délai net à 950 jours, soit plus de 31 mois. Le plafond </w:t>
      </w:r>
      <w:r w:rsidRPr="006F59DD">
        <w:rPr>
          <w:rFonts w:cs="Times New Roman"/>
          <w:i/>
          <w:sz w:val="20"/>
        </w:rPr>
        <w:t xml:space="preserve">Jordan </w:t>
      </w:r>
      <w:r w:rsidRPr="006F59DD">
        <w:rPr>
          <w:rFonts w:cs="Times New Roman"/>
          <w:sz w:val="20"/>
        </w:rPr>
        <w:t>de 30 mois est donc excédé et le délai est présumé déraisonnable. Aucune circonstance exceptionnelle n’a été soulevée pour justifier ce dépassement.</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pStyle w:val="ParaNoNdepar-AltN"/>
        <w:numPr>
          <w:ilvl w:val="0"/>
          <w:numId w:val="0"/>
        </w:numPr>
        <w:spacing w:before="0" w:after="0" w:line="240" w:lineRule="auto"/>
        <w:rPr>
          <w:rFonts w:cs="Times New Roman"/>
          <w:sz w:val="20"/>
        </w:rPr>
      </w:pPr>
      <w:r w:rsidRPr="006F59DD">
        <w:rPr>
          <w:rFonts w:cs="Times New Roman"/>
          <w:sz w:val="20"/>
        </w:rPr>
        <w:t xml:space="preserve">Il convient de souligner que l’intimé a été inculpé en juin 2016, proche de la date à laquelle l’arrêt </w:t>
      </w:r>
      <w:r w:rsidRPr="006F59DD">
        <w:rPr>
          <w:rFonts w:cs="Times New Roman"/>
          <w:i/>
          <w:sz w:val="20"/>
        </w:rPr>
        <w:t>Jordan</w:t>
      </w:r>
      <w:r w:rsidRPr="006F59DD">
        <w:rPr>
          <w:rFonts w:cs="Times New Roman"/>
          <w:sz w:val="20"/>
        </w:rPr>
        <w:t xml:space="preserve"> a été rendu. On s’attend, aujourd’hui, à ce qu’une telle situation ne se reproduise pas.</w:t>
      </w:r>
    </w:p>
    <w:p w:rsidR="00001D53" w:rsidRPr="006F59DD" w:rsidRDefault="00001D53" w:rsidP="00001D53">
      <w:pPr>
        <w:pStyle w:val="ParaNoNdepar-AltN"/>
        <w:numPr>
          <w:ilvl w:val="0"/>
          <w:numId w:val="0"/>
        </w:numPr>
        <w:spacing w:before="0" w:after="0" w:line="240" w:lineRule="auto"/>
        <w:rPr>
          <w:rFonts w:cs="Times New Roman"/>
          <w:sz w:val="20"/>
        </w:rPr>
      </w:pPr>
    </w:p>
    <w:p w:rsidR="00001D53" w:rsidRPr="006F59DD" w:rsidRDefault="00001D53" w:rsidP="00001D53">
      <w:pPr>
        <w:widowControl w:val="0"/>
        <w:tabs>
          <w:tab w:val="left" w:pos="720"/>
          <w:tab w:val="left" w:pos="1440"/>
          <w:tab w:val="left" w:pos="2851"/>
          <w:tab w:val="left" w:pos="4320"/>
          <w:tab w:val="left" w:pos="10224"/>
          <w:tab w:val="left" w:pos="11376"/>
        </w:tabs>
        <w:rPr>
          <w:sz w:val="16"/>
          <w:szCs w:val="20"/>
          <w:lang w:val="fr-CA"/>
        </w:rPr>
      </w:pPr>
      <w:r w:rsidRPr="006F59DD">
        <w:rPr>
          <w:rFonts w:cs="Times New Roman"/>
          <w:sz w:val="20"/>
          <w:lang w:val="fr-CA"/>
        </w:rPr>
        <w:t>Pour ces motifs, la Cour rejette l’appel et confirme l’arrêt des procédures ordonné par le juge de première instance.</w:t>
      </w:r>
    </w:p>
    <w:p w:rsidR="00E06F20" w:rsidRPr="006F59DD" w:rsidRDefault="00E06F20" w:rsidP="00A234E1">
      <w:pPr>
        <w:jc w:val="both"/>
        <w:rPr>
          <w:sz w:val="20"/>
          <w:lang w:val="fr-CA"/>
        </w:rPr>
      </w:pPr>
    </w:p>
    <w:p w:rsidR="00001D53" w:rsidRPr="006F59DD" w:rsidRDefault="00001D53" w:rsidP="00A234E1">
      <w:pPr>
        <w:jc w:val="both"/>
        <w:rPr>
          <w:sz w:val="20"/>
          <w:lang w:val="fr-CA"/>
        </w:rPr>
      </w:pPr>
    </w:p>
    <w:p w:rsidR="00001D53" w:rsidRPr="006F59DD" w:rsidRDefault="00001D53" w:rsidP="00001D53">
      <w:pPr>
        <w:jc w:val="both"/>
        <w:rPr>
          <w:sz w:val="20"/>
        </w:rPr>
      </w:pPr>
      <w:r w:rsidRPr="006F59DD">
        <w:rPr>
          <w:sz w:val="20"/>
        </w:rPr>
        <w:t xml:space="preserve">The appeal from the judgment of the </w:t>
      </w:r>
      <w:r w:rsidRPr="006F59DD">
        <w:rPr>
          <w:sz w:val="20"/>
          <w:lang w:val="en-US"/>
        </w:rPr>
        <w:t>Court of Appeal of Quebec (Montréal)</w:t>
      </w:r>
      <w:r w:rsidRPr="006F59DD">
        <w:rPr>
          <w:sz w:val="20"/>
        </w:rPr>
        <w:t xml:space="preserve">, Number </w:t>
      </w:r>
      <w:r w:rsidRPr="006F59DD">
        <w:rPr>
          <w:sz w:val="20"/>
          <w:lang w:val="en-US"/>
        </w:rPr>
        <w:t>500-10-007244-195</w:t>
      </w:r>
      <w:r w:rsidRPr="006F59DD">
        <w:rPr>
          <w:sz w:val="20"/>
        </w:rPr>
        <w:t xml:space="preserve">, </w:t>
      </w:r>
      <w:r w:rsidRPr="006F59DD">
        <w:rPr>
          <w:sz w:val="20"/>
          <w:lang w:val="en-US"/>
        </w:rPr>
        <w:t xml:space="preserve">2021 QCCA 815, </w:t>
      </w:r>
      <w:r w:rsidRPr="006F59DD">
        <w:rPr>
          <w:sz w:val="20"/>
        </w:rPr>
        <w:t>dated</w:t>
      </w:r>
      <w:r w:rsidRPr="006F59DD">
        <w:rPr>
          <w:sz w:val="20"/>
          <w:lang w:val="en-US"/>
        </w:rPr>
        <w:t xml:space="preserve"> May 18, 2021</w:t>
      </w:r>
      <w:r w:rsidRPr="006F59DD">
        <w:rPr>
          <w:sz w:val="20"/>
        </w:rPr>
        <w:t xml:space="preserve">, was heard on </w:t>
      </w:r>
      <w:r w:rsidRPr="006F59DD">
        <w:rPr>
          <w:sz w:val="20"/>
          <w:lang w:val="en-US"/>
        </w:rPr>
        <w:t>February 9, 2022,</w:t>
      </w:r>
      <w:r w:rsidRPr="006F59DD">
        <w:rPr>
          <w:sz w:val="20"/>
        </w:rPr>
        <w:t xml:space="preserve"> and the Court on that day delivered the following judgment orally: </w:t>
      </w:r>
    </w:p>
    <w:p w:rsidR="00001D53" w:rsidRPr="006F59DD" w:rsidRDefault="00001D53" w:rsidP="00001D53">
      <w:pPr>
        <w:jc w:val="both"/>
        <w:rPr>
          <w:sz w:val="20"/>
        </w:rPr>
      </w:pPr>
    </w:p>
    <w:p w:rsidR="006F59DD" w:rsidRPr="006F59DD" w:rsidRDefault="006F59DD">
      <w:pPr>
        <w:rPr>
          <w:sz w:val="20"/>
          <w:lang w:val="en-US"/>
        </w:rPr>
      </w:pPr>
      <w:r w:rsidRPr="006F59DD">
        <w:rPr>
          <w:sz w:val="20"/>
          <w:lang w:val="en-US"/>
        </w:rPr>
        <w:br w:type="page"/>
      </w:r>
    </w:p>
    <w:p w:rsidR="00001D53" w:rsidRPr="006F59DD" w:rsidRDefault="00001D53" w:rsidP="00001D53">
      <w:pPr>
        <w:jc w:val="both"/>
        <w:rPr>
          <w:sz w:val="20"/>
          <w:lang w:val="en-US"/>
        </w:rPr>
      </w:pPr>
      <w:r w:rsidRPr="006F59DD">
        <w:rPr>
          <w:sz w:val="20"/>
          <w:lang w:val="en-US"/>
        </w:rPr>
        <w:lastRenderedPageBreak/>
        <w:t>[translation]</w:t>
      </w:r>
    </w:p>
    <w:p w:rsidR="00001D53" w:rsidRPr="006F59DD" w:rsidRDefault="00001D53" w:rsidP="00001D53">
      <w:pPr>
        <w:jc w:val="both"/>
        <w:rPr>
          <w:sz w:val="20"/>
        </w:rPr>
      </w:pPr>
      <w:r w:rsidRPr="006F59DD">
        <w:rPr>
          <w:sz w:val="20"/>
          <w:lang w:val="en-US"/>
        </w:rPr>
        <w:t xml:space="preserve">Kasirer J. — </w:t>
      </w:r>
      <w:r w:rsidRPr="006F59DD">
        <w:rPr>
          <w:sz w:val="20"/>
        </w:rPr>
        <w:t xml:space="preserve">The Crown appeals from a majority decision of the Quebec Court of Appeal upholding, in favour of the respondent, a stay of proceedings entered because of the violation of his constitutional right to be tried within a reasonable time. The majority found a net delay of 35 months and 2 days (1,066 days), which exceeds the ceiling set in </w:t>
      </w:r>
      <w:r w:rsidRPr="006F59DD">
        <w:rPr>
          <w:i/>
          <w:sz w:val="20"/>
        </w:rPr>
        <w:t>R. v. Jordan</w:t>
      </w:r>
      <w:r w:rsidRPr="006F59DD">
        <w:rPr>
          <w:sz w:val="20"/>
        </w:rPr>
        <w:t>, 2016 SCC 27, [2016] 1 S.C.R. 631.</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The issue in the appeal is whether two particular delays — a first period of 84 days and a second of 112 days — must be attributed to the defence because of its conduct.</w:t>
      </w:r>
    </w:p>
    <w:p w:rsidR="00001D53" w:rsidRPr="006F59DD" w:rsidRDefault="00001D53" w:rsidP="00001D53">
      <w:pPr>
        <w:jc w:val="both"/>
        <w:rPr>
          <w:sz w:val="20"/>
        </w:rPr>
      </w:pPr>
    </w:p>
    <w:p w:rsidR="00001D53" w:rsidRPr="006F59DD" w:rsidRDefault="00001D53" w:rsidP="00001D53">
      <w:pPr>
        <w:jc w:val="both"/>
        <w:rPr>
          <w:sz w:val="20"/>
        </w:rPr>
      </w:pPr>
      <w:r w:rsidRPr="006F59DD">
        <w:rPr>
          <w:i/>
          <w:sz w:val="20"/>
        </w:rPr>
        <w:t>With regard to the period of 84 days</w:t>
      </w:r>
      <w:r w:rsidRPr="006F59DD">
        <w:rPr>
          <w:sz w:val="20"/>
        </w:rPr>
        <w:t>, we agree with Chamberland J.A., dissenting in the Court of Appeal, that the delay between March 1 and May 24, 2018 resulted from illegitimate defence conduct and must therefore be attributed to the respondent.</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 xml:space="preserve">It is true that the characterization of delay is a question of law and that the trial judge was not bound by the respondent’s admission in this regard. However, the trial judge did not provide any explanation, even an implicit one, to clarify why he was rejecting the admission for this period (reasons of Chamberland J.A., at para. 173). Since he chose to go against the parties’ suggestion, and in the absence of submissions by them on this specific point, it was especially important that the trial judge provide reasons explaining what he had decided and </w:t>
      </w:r>
      <w:r w:rsidRPr="006F59DD">
        <w:rPr>
          <w:i/>
          <w:sz w:val="20"/>
        </w:rPr>
        <w:t>why</w:t>
      </w:r>
      <w:r w:rsidRPr="006F59DD">
        <w:rPr>
          <w:sz w:val="20"/>
        </w:rPr>
        <w:t xml:space="preserve"> (see</w:t>
      </w:r>
      <w:r w:rsidRPr="006F59DD">
        <w:rPr>
          <w:i/>
          <w:sz w:val="20"/>
        </w:rPr>
        <w:t xml:space="preserve"> R. v. G.F.</w:t>
      </w:r>
      <w:r w:rsidRPr="006F59DD">
        <w:rPr>
          <w:sz w:val="20"/>
        </w:rPr>
        <w:t>,</w:t>
      </w:r>
      <w:r w:rsidRPr="006F59DD">
        <w:rPr>
          <w:i/>
          <w:sz w:val="20"/>
        </w:rPr>
        <w:t xml:space="preserve"> </w:t>
      </w:r>
      <w:r w:rsidRPr="006F59DD">
        <w:rPr>
          <w:sz w:val="20"/>
        </w:rPr>
        <w:t>2021 SCC 20, at paras. 71</w:t>
      </w:r>
      <w:r w:rsidRPr="006F59DD">
        <w:rPr>
          <w:sz w:val="20"/>
        </w:rPr>
        <w:noBreakHyphen/>
        <w:t>74). With respect, he did not do so.</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 xml:space="preserve">Moreover, as the dissenting judge suggested, it is not sufficient that the step taken by the respondent be legitimate for the delay not to be attributable to him. In this case, it is the </w:t>
      </w:r>
      <w:r w:rsidRPr="006F59DD">
        <w:rPr>
          <w:i/>
          <w:sz w:val="20"/>
        </w:rPr>
        <w:t xml:space="preserve">manner </w:t>
      </w:r>
      <w:r w:rsidRPr="006F59DD">
        <w:rPr>
          <w:sz w:val="20"/>
        </w:rPr>
        <w:t>in which the defence conducted itself with respect to its motion for an unredacted copy of the information that was illegitimate, particularly because of how late that motion was brought. It was not until 15 months after being given the redacted document that the defence decided to bring its motion, even though the parties had already been debating the redaction of other documents for several months (reasons of Chamberland J.A., at paras. 179</w:t>
      </w:r>
      <w:r w:rsidRPr="006F59DD">
        <w:rPr>
          <w:sz w:val="20"/>
        </w:rPr>
        <w:noBreakHyphen/>
        <w:t xml:space="preserve">84, properly relying in particular on </w:t>
      </w:r>
      <w:r w:rsidRPr="006F59DD">
        <w:rPr>
          <w:i/>
          <w:sz w:val="20"/>
        </w:rPr>
        <w:t>R. v. Rice</w:t>
      </w:r>
      <w:r w:rsidRPr="006F59DD">
        <w:rPr>
          <w:sz w:val="20"/>
        </w:rPr>
        <w:t xml:space="preserve">, 2018 QCCA 198, 44 C.R. (7th) 83, at para. 60; see also </w:t>
      </w:r>
      <w:r w:rsidRPr="006F59DD">
        <w:rPr>
          <w:i/>
          <w:sz w:val="20"/>
        </w:rPr>
        <w:t>R. v. Cody</w:t>
      </w:r>
      <w:r w:rsidRPr="006F59DD">
        <w:rPr>
          <w:sz w:val="20"/>
        </w:rPr>
        <w:t>, 2017 SCC 31, [2017] 1 S.C.R. 659, at para. 32).</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In the circumstances, the entire 84</w:t>
      </w:r>
      <w:r w:rsidRPr="006F59DD">
        <w:rPr>
          <w:sz w:val="20"/>
        </w:rPr>
        <w:noBreakHyphen/>
        <w:t>day delay between March 1 and May 24, 2018 is attributable to the defence. The motion for an unredacted copy of the information in support of the search warrant and the motion challenging the warrant itself were intrinsically connected, since, according to the defence, it was not possible to hear the challenge to the warrant without settling the debate over redaction. By delaying the filing of the motion for an unredacted copy of the information, the respondent necessarily delayed the hearing on the challenge to the warrant. He must therefore be held responsible for the delay between the day he raised the issue of an unredacted copy of the information (March 1, 2018) and the day the motion challenging the warrant was finally to be heard (May 24, 2018).</w:t>
      </w:r>
    </w:p>
    <w:p w:rsidR="00001D53" w:rsidRPr="006F59DD" w:rsidRDefault="00001D53" w:rsidP="00001D53">
      <w:pPr>
        <w:jc w:val="both"/>
        <w:rPr>
          <w:sz w:val="20"/>
        </w:rPr>
      </w:pPr>
    </w:p>
    <w:p w:rsidR="00001D53" w:rsidRPr="006F59DD" w:rsidRDefault="00001D53" w:rsidP="00001D53">
      <w:pPr>
        <w:jc w:val="both"/>
        <w:rPr>
          <w:sz w:val="20"/>
        </w:rPr>
      </w:pPr>
      <w:r w:rsidRPr="006F59DD">
        <w:rPr>
          <w:i/>
          <w:sz w:val="20"/>
        </w:rPr>
        <w:t>With regard to the second period in issue, namely the period of 112 days between May 21 and September 10, 2019</w:t>
      </w:r>
      <w:r w:rsidRPr="006F59DD">
        <w:rPr>
          <w:sz w:val="20"/>
        </w:rPr>
        <w:t>, the Crown’s ground of appeal must be dismissed. The majority was correct to intervene, because this delay could not be attributed entirely to the respondent despite the fact that his counsel was unavailable on certain dates.</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 xml:space="preserve">This Court did of course explain in </w:t>
      </w:r>
      <w:r w:rsidRPr="006F59DD">
        <w:rPr>
          <w:i/>
          <w:sz w:val="20"/>
        </w:rPr>
        <w:t xml:space="preserve">Jordan </w:t>
      </w:r>
      <w:r w:rsidRPr="006F59DD">
        <w:rPr>
          <w:sz w:val="20"/>
        </w:rPr>
        <w:t>that where the court and the Crown are ready to proceed but the defence is not, the resulting delay is attributable to the defence (para. 64). All participants in the criminal justice system, including the defence, must take a proactive approach in order to prevent unnecessary delay by targeting its root causes (</w:t>
      </w:r>
      <w:r w:rsidRPr="006F59DD">
        <w:rPr>
          <w:i/>
          <w:sz w:val="20"/>
        </w:rPr>
        <w:t>Cody</w:t>
      </w:r>
      <w:r w:rsidRPr="006F59DD">
        <w:rPr>
          <w:sz w:val="20"/>
        </w:rPr>
        <w:t>, at para. 36). That being said, in some cases, the circumstances may justify apportioning responsibility for delay among these participants rather than attributing the entire delay to the defence.</w:t>
      </w:r>
    </w:p>
    <w:p w:rsidR="00001D53" w:rsidRPr="006F59DD" w:rsidRDefault="00001D53" w:rsidP="00001D53">
      <w:pPr>
        <w:jc w:val="both"/>
        <w:rPr>
          <w:sz w:val="20"/>
        </w:rPr>
      </w:pPr>
    </w:p>
    <w:p w:rsidR="006F59DD" w:rsidRPr="006F59DD" w:rsidRDefault="006F59DD">
      <w:pPr>
        <w:rPr>
          <w:sz w:val="20"/>
        </w:rPr>
      </w:pPr>
      <w:r w:rsidRPr="006F59DD">
        <w:rPr>
          <w:sz w:val="20"/>
        </w:rPr>
        <w:br w:type="page"/>
      </w:r>
    </w:p>
    <w:p w:rsidR="00001D53" w:rsidRPr="006F59DD" w:rsidRDefault="00001D53" w:rsidP="00001D53">
      <w:pPr>
        <w:jc w:val="both"/>
        <w:rPr>
          <w:sz w:val="20"/>
        </w:rPr>
      </w:pPr>
      <w:r w:rsidRPr="006F59DD">
        <w:rPr>
          <w:sz w:val="20"/>
        </w:rPr>
        <w:lastRenderedPageBreak/>
        <w:t xml:space="preserve">Here, the parties had asked the judge as early as November 2018 to add a third trial date to the two dates already scheduled in January 2019. Their request was denied. On the first day of the trial in January 2019, it became clear that the two scheduled dates would not be enough, in part because of the prosecution’s changes in strategy. Even though they discussed potential dates for the continuation of the trial and counsel for the respondent informed the judge and the prosecution that she would be unavailable on certain dates in May 2019, the judge proposed and insisted on a date in September 2019 without considering the possibility of continuing the trial on an earlier date when both parties were available. The judge had therefore known since November 2018 that an additional day would be needed, and in January 2019, when he was assessing potential availability for the continuation of the trial, proximity to the </w:t>
      </w:r>
      <w:r w:rsidRPr="006F59DD">
        <w:rPr>
          <w:i/>
          <w:sz w:val="20"/>
        </w:rPr>
        <w:t>Jordan</w:t>
      </w:r>
      <w:r w:rsidRPr="006F59DD">
        <w:rPr>
          <w:sz w:val="20"/>
        </w:rPr>
        <w:t xml:space="preserve"> ceilings had to be taken into consideration (</w:t>
      </w:r>
      <w:r w:rsidRPr="006F59DD">
        <w:rPr>
          <w:i/>
          <w:sz w:val="20"/>
        </w:rPr>
        <w:t>R. v. K.G.K.</w:t>
      </w:r>
      <w:r w:rsidRPr="006F59DD">
        <w:rPr>
          <w:sz w:val="20"/>
        </w:rPr>
        <w:t>,</w:t>
      </w:r>
      <w:r w:rsidRPr="006F59DD">
        <w:rPr>
          <w:i/>
          <w:sz w:val="20"/>
        </w:rPr>
        <w:t xml:space="preserve"> </w:t>
      </w:r>
      <w:r w:rsidRPr="006F59DD">
        <w:rPr>
          <w:sz w:val="20"/>
        </w:rPr>
        <w:t xml:space="preserve">2020 SCC 7, at para. 61). That being said, it was not until August 7, 2019 that the respondent informed the prosecution of his intention to file a motion under s. 11(b) of the </w:t>
      </w:r>
      <w:r w:rsidRPr="006F59DD">
        <w:rPr>
          <w:i/>
          <w:sz w:val="20"/>
        </w:rPr>
        <w:t>Canadian Charter of Rights and Freedoms</w:t>
      </w:r>
      <w:r w:rsidRPr="006F59DD">
        <w:rPr>
          <w:sz w:val="20"/>
        </w:rPr>
        <w:t>. Therefore, in addition to the conduct of defence counsel and the prosecution’s changes in strategy, it was because of institutional delay and the court’s lack of initiative that no other date was offered sooner (reasons of Cournoyer J.A., at para. 148).</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In the particular circumstances of this case, we are of the view that it is “fair and reasonable” to apportion responsibility for the 112</w:t>
      </w:r>
      <w:r w:rsidRPr="006F59DD">
        <w:rPr>
          <w:sz w:val="20"/>
        </w:rPr>
        <w:noBreakHyphen/>
        <w:t>day delay and to attribute up to half of the delay between June 1, 2019 (the day after the last date on which counsel for the respondent was unavailable) and September 10, 2019 (the actual date on which the trial continued) to the defence</w:t>
      </w:r>
      <w:r w:rsidRPr="006F59DD">
        <w:rPr>
          <w:i/>
          <w:sz w:val="20"/>
        </w:rPr>
        <w:t xml:space="preserve"> </w:t>
      </w:r>
      <w:r w:rsidRPr="006F59DD">
        <w:rPr>
          <w:sz w:val="20"/>
        </w:rPr>
        <w:t>(</w:t>
      </w:r>
      <w:r w:rsidRPr="006F59DD">
        <w:rPr>
          <w:i/>
          <w:sz w:val="20"/>
        </w:rPr>
        <w:t>R. v. K.J.M.</w:t>
      </w:r>
      <w:r w:rsidRPr="006F59DD">
        <w:rPr>
          <w:sz w:val="20"/>
        </w:rPr>
        <w:t xml:space="preserve">, 2019 SCC 55, at para. 96). Even calculating from this premise, since the total delay between these two dates is 101 days, we attribute 51 days (June 1 to July 22, 2019) to the defence. A delay of 10 days (between May 21 and 31, 2019) should also be attributed to the respondent given the concession he made in the Court of Appeal (reasons of Cournoyer J.A., at para. 150, fn. 83). </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In the end, in addition to the period identified by the majority of the Court of Appeal, a delay of 84 days (period of March 1 to May 24, 2018) and a delay of 61 days (from May 21 to 31, 2019 and from June 1 to July 22, 2019) are attributable to the defence. This brings the total number of days attributable to the defence to 225, and the net delay to 950 days, or more than 31 months. The 30</w:t>
      </w:r>
      <w:r w:rsidRPr="006F59DD">
        <w:rPr>
          <w:sz w:val="20"/>
        </w:rPr>
        <w:noBreakHyphen/>
        <w:t xml:space="preserve">month </w:t>
      </w:r>
      <w:r w:rsidRPr="006F59DD">
        <w:rPr>
          <w:i/>
          <w:sz w:val="20"/>
        </w:rPr>
        <w:t xml:space="preserve">Jordan </w:t>
      </w:r>
      <w:r w:rsidRPr="006F59DD">
        <w:rPr>
          <w:sz w:val="20"/>
        </w:rPr>
        <w:t>ceiling has therefore been exceeded and the delay is presumed to be unreasonable. No exceptional circumstance has been raised to justify exceeding the ceiling.</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 xml:space="preserve">It should be noted that the respondent was charged in June 2016, close to the date on which the decision in </w:t>
      </w:r>
      <w:r w:rsidRPr="006F59DD">
        <w:rPr>
          <w:i/>
          <w:sz w:val="20"/>
        </w:rPr>
        <w:t>Jordan</w:t>
      </w:r>
      <w:r w:rsidRPr="006F59DD">
        <w:rPr>
          <w:sz w:val="20"/>
        </w:rPr>
        <w:t xml:space="preserve"> was rendered. The expectation today is that such a situation would not happen again.</w:t>
      </w:r>
    </w:p>
    <w:p w:rsidR="00001D53" w:rsidRPr="006F59DD" w:rsidRDefault="00001D53" w:rsidP="00001D53">
      <w:pPr>
        <w:jc w:val="both"/>
        <w:rPr>
          <w:sz w:val="20"/>
        </w:rPr>
      </w:pPr>
    </w:p>
    <w:p w:rsidR="00001D53" w:rsidRPr="006F59DD" w:rsidRDefault="00001D53" w:rsidP="00001D53">
      <w:pPr>
        <w:jc w:val="both"/>
        <w:rPr>
          <w:sz w:val="20"/>
        </w:rPr>
      </w:pPr>
      <w:r w:rsidRPr="006F59DD">
        <w:rPr>
          <w:sz w:val="20"/>
        </w:rPr>
        <w:t>For these reasons, the Court dismisses the appeal and upholds the stay of proceedings entered by the trial judge.</w:t>
      </w:r>
    </w:p>
    <w:p w:rsidR="00001D53" w:rsidRPr="006F59DD" w:rsidRDefault="00001D53" w:rsidP="00A234E1">
      <w:pPr>
        <w:jc w:val="both"/>
        <w:rPr>
          <w:sz w:val="20"/>
        </w:rPr>
      </w:pPr>
    </w:p>
    <w:p w:rsidR="00D004FC" w:rsidRPr="006F59DD" w:rsidRDefault="006F59DD" w:rsidP="00102792">
      <w:pPr>
        <w:rPr>
          <w:sz w:val="20"/>
          <w:szCs w:val="20"/>
          <w:lang w:val="fr-CA"/>
        </w:rPr>
      </w:pPr>
      <w:r w:rsidRPr="006F59DD">
        <w:rPr>
          <w:sz w:val="20"/>
          <w:szCs w:val="20"/>
        </w:rPr>
        <w:pict>
          <v:rect id="_x0000_i1062" style="width:2in;height:1pt" o:hrpct="0" o:hralign="center" o:hrstd="t" o:hrnoshade="t" o:hr="t" fillcolor="black [3213]" stroked="f"/>
        </w:pict>
      </w:r>
    </w:p>
    <w:p w:rsidR="005745D9" w:rsidRPr="006F59DD" w:rsidRDefault="005745D9" w:rsidP="005745D9">
      <w:pPr>
        <w:widowControl w:val="0"/>
        <w:rPr>
          <w:sz w:val="20"/>
          <w:szCs w:val="20"/>
        </w:rPr>
      </w:pPr>
    </w:p>
    <w:p w:rsidR="005745D9" w:rsidRPr="006F59DD" w:rsidRDefault="005745D9" w:rsidP="005745D9">
      <w:pPr>
        <w:rPr>
          <w:b/>
          <w:sz w:val="20"/>
          <w:szCs w:val="20"/>
          <w:lang w:val="fr-CA"/>
        </w:rPr>
      </w:pPr>
      <w:r w:rsidRPr="006F59DD">
        <w:rPr>
          <w:b/>
          <w:sz w:val="20"/>
          <w:szCs w:val="20"/>
          <w:lang w:val="fr-CA"/>
        </w:rPr>
        <w:t>FEBRUARY 10, 2022 / LE 10 FÉVRIER 2022</w:t>
      </w:r>
    </w:p>
    <w:p w:rsidR="005745D9" w:rsidRPr="006F59DD" w:rsidRDefault="005745D9" w:rsidP="005745D9">
      <w:pPr>
        <w:rPr>
          <w:sz w:val="20"/>
          <w:szCs w:val="20"/>
          <w:lang w:val="fr-CA"/>
        </w:rPr>
      </w:pPr>
    </w:p>
    <w:p w:rsidR="005745D9" w:rsidRPr="006F59DD" w:rsidRDefault="005745D9" w:rsidP="005745D9">
      <w:pPr>
        <w:widowControl w:val="0"/>
        <w:rPr>
          <w:sz w:val="20"/>
          <w:szCs w:val="20"/>
          <w:lang w:val="fr-CA"/>
        </w:rPr>
      </w:pPr>
      <w:r w:rsidRPr="006F59DD">
        <w:rPr>
          <w:b/>
          <w:sz w:val="20"/>
          <w:szCs w:val="20"/>
          <w:lang w:val="fr-CA"/>
        </w:rPr>
        <w:t xml:space="preserve">Sa Majesté la Reine c. </w:t>
      </w:r>
      <w:r w:rsidR="006F59DD" w:rsidRPr="006F59DD">
        <w:rPr>
          <w:b/>
          <w:sz w:val="20"/>
          <w:szCs w:val="20"/>
          <w:lang w:val="fr-CA"/>
        </w:rPr>
        <w:t>Michel Ste-Marie, Dax Ste-Marie et Richard Felx - et - Procureur général de l’Ontario, Criminal Lawyers’ Association (Ontario) et Association québécoise des avocats et avocates de la défense</w:t>
      </w:r>
      <w:r w:rsidRPr="006F59DD">
        <w:rPr>
          <w:b/>
          <w:sz w:val="20"/>
          <w:szCs w:val="20"/>
          <w:lang w:val="fr-CA"/>
        </w:rPr>
        <w:t xml:space="preserve"> </w:t>
      </w:r>
      <w:r w:rsidRPr="006F59DD">
        <w:rPr>
          <w:sz w:val="20"/>
          <w:szCs w:val="20"/>
          <w:lang w:val="fr-CA"/>
        </w:rPr>
        <w:t>(Qc) (Criminelle) (Autorisation) (</w:t>
      </w:r>
      <w:hyperlink r:id="rId51" w:history="1">
        <w:r w:rsidRPr="006F59DD">
          <w:rPr>
            <w:rStyle w:val="Hyperlink"/>
            <w:sz w:val="20"/>
            <w:szCs w:val="20"/>
            <w:lang w:val="fr-CA"/>
          </w:rPr>
          <w:t>39381</w:t>
        </w:r>
      </w:hyperlink>
      <w:r w:rsidRPr="006F59DD">
        <w:rPr>
          <w:sz w:val="20"/>
          <w:szCs w:val="20"/>
          <w:lang w:val="fr-CA"/>
        </w:rPr>
        <w:t>)</w:t>
      </w:r>
    </w:p>
    <w:p w:rsidR="005745D9" w:rsidRPr="006F59DD" w:rsidRDefault="005745D9" w:rsidP="005745D9">
      <w:pPr>
        <w:widowControl w:val="0"/>
        <w:ind w:left="1109" w:hanging="1109"/>
        <w:rPr>
          <w:sz w:val="20"/>
          <w:szCs w:val="20"/>
          <w:lang w:val="fr-CA"/>
        </w:rPr>
      </w:pPr>
      <w:r w:rsidRPr="006F59DD">
        <w:rPr>
          <w:b/>
          <w:sz w:val="20"/>
          <w:szCs w:val="20"/>
          <w:lang w:val="fr-CA"/>
        </w:rPr>
        <w:t xml:space="preserve">2022 SCC </w:t>
      </w:r>
      <w:r w:rsidR="006F52AB" w:rsidRPr="006F59DD">
        <w:rPr>
          <w:b/>
          <w:sz w:val="20"/>
          <w:szCs w:val="20"/>
          <w:lang w:val="fr-CA"/>
        </w:rPr>
        <w:t>3</w:t>
      </w:r>
      <w:r w:rsidRPr="006F59DD">
        <w:rPr>
          <w:b/>
          <w:sz w:val="20"/>
          <w:szCs w:val="20"/>
          <w:lang w:val="fr-CA"/>
        </w:rPr>
        <w:t xml:space="preserve"> / 2022 CSC </w:t>
      </w:r>
      <w:r w:rsidR="006F52AB" w:rsidRPr="006F59DD">
        <w:rPr>
          <w:b/>
          <w:sz w:val="20"/>
          <w:szCs w:val="20"/>
          <w:lang w:val="fr-CA"/>
        </w:rPr>
        <w:t>3</w:t>
      </w:r>
    </w:p>
    <w:p w:rsidR="005745D9" w:rsidRPr="006F59DD" w:rsidRDefault="005745D9" w:rsidP="005745D9">
      <w:pPr>
        <w:widowControl w:val="0"/>
        <w:ind w:left="1109" w:hanging="1109"/>
        <w:rPr>
          <w:sz w:val="20"/>
          <w:szCs w:val="20"/>
          <w:lang w:val="fr-CA"/>
        </w:rPr>
      </w:pPr>
    </w:p>
    <w:p w:rsidR="005745D9" w:rsidRPr="006F59DD" w:rsidRDefault="005745D9" w:rsidP="005745D9">
      <w:pPr>
        <w:widowControl w:val="0"/>
        <w:ind w:left="1109" w:hanging="1109"/>
        <w:rPr>
          <w:sz w:val="20"/>
          <w:szCs w:val="20"/>
          <w:lang w:val="fr-CA"/>
        </w:rPr>
      </w:pPr>
      <w:r w:rsidRPr="006F59DD">
        <w:rPr>
          <w:sz w:val="20"/>
          <w:szCs w:val="20"/>
          <w:lang w:val="fr-CA"/>
        </w:rPr>
        <w:t xml:space="preserve">Coram: </w:t>
      </w:r>
      <w:r w:rsidRPr="006F59DD">
        <w:rPr>
          <w:sz w:val="20"/>
          <w:szCs w:val="20"/>
          <w:lang w:val="fr-CA"/>
        </w:rPr>
        <w:tab/>
        <w:t>Le juge en chef Wagner et les juges Moldaver, Karakatsanis, Côté, Brown, Rowe, Martin, Kasirer et Jamal</w:t>
      </w:r>
    </w:p>
    <w:p w:rsidR="005745D9" w:rsidRPr="006F59DD" w:rsidRDefault="005745D9" w:rsidP="005745D9">
      <w:pPr>
        <w:widowControl w:val="0"/>
        <w:ind w:left="1109" w:hanging="1109"/>
        <w:rPr>
          <w:sz w:val="20"/>
          <w:szCs w:val="20"/>
          <w:lang w:val="fr-CA"/>
        </w:rPr>
      </w:pPr>
    </w:p>
    <w:p w:rsidR="006F59DD" w:rsidRPr="006F59DD" w:rsidRDefault="006F59DD" w:rsidP="006F59DD">
      <w:pPr>
        <w:jc w:val="both"/>
        <w:rPr>
          <w:sz w:val="20"/>
          <w:szCs w:val="20"/>
          <w:lang w:val="fr-CA"/>
        </w:rPr>
      </w:pPr>
      <w:r w:rsidRPr="006F59DD">
        <w:rPr>
          <w:sz w:val="20"/>
          <w:szCs w:val="20"/>
          <w:lang w:val="fr-CA"/>
        </w:rPr>
        <w:t>L’appel interjeté contre l’arrêt de la Cour d’appel du Québec (Montréal), numéros 500-10-006180-168, 500-10-006181-166, 500-10-006182-164 et 500-10-006190-167, 2020 QCCA 1118, daté du 3 septembre 2020, a été entendu le 10 février 2022 et la Cour a prononcé oralement le même jour le jugement suivant :</w:t>
      </w:r>
    </w:p>
    <w:p w:rsidR="006F59DD" w:rsidRPr="006F59DD" w:rsidRDefault="006F59DD" w:rsidP="006F59DD">
      <w:pPr>
        <w:jc w:val="both"/>
        <w:rPr>
          <w:sz w:val="20"/>
          <w:szCs w:val="20"/>
          <w:lang w:val="fr-CA"/>
        </w:rPr>
      </w:pPr>
    </w:p>
    <w:p w:rsidR="006F59DD" w:rsidRPr="006F59DD" w:rsidRDefault="006F59DD" w:rsidP="006F59DD">
      <w:pPr>
        <w:jc w:val="both"/>
        <w:rPr>
          <w:sz w:val="20"/>
          <w:szCs w:val="20"/>
          <w:lang w:val="fr-CA"/>
        </w:rPr>
      </w:pPr>
      <w:r w:rsidRPr="006F59DD">
        <w:rPr>
          <w:smallCaps/>
          <w:sz w:val="20"/>
          <w:szCs w:val="20"/>
          <w:lang w:val="fr-CA"/>
        </w:rPr>
        <w:t>Le juge Kasirer</w:t>
      </w:r>
      <w:r w:rsidRPr="006F59DD">
        <w:rPr>
          <w:sz w:val="20"/>
          <w:szCs w:val="20"/>
          <w:lang w:val="fr-CA"/>
        </w:rPr>
        <w:t xml:space="preserve"> </w:t>
      </w:r>
      <w:r w:rsidRPr="006F59DD">
        <w:rPr>
          <w:rFonts w:cs="Times New Roman"/>
          <w:sz w:val="20"/>
          <w:szCs w:val="20"/>
          <w:lang w:val="fr-CA"/>
        </w:rPr>
        <w:t>—</w:t>
      </w:r>
      <w:r w:rsidRPr="006F59DD">
        <w:rPr>
          <w:sz w:val="20"/>
          <w:szCs w:val="20"/>
          <w:lang w:val="fr-CA"/>
        </w:rPr>
        <w:t xml:space="preserve"> Le ministère public se pourvoit à l’encontre d’un arrêt de la Cour d’appel du Québec qui casse quatre déclarations de culpabilité et ordonne, au profit des intimés, un arrêt des procédures en raison d’une violation de leur droit d’être jugés dans un délai raisonnable. L’appelant demande l’annulation de l’arrêt des procédures et le renvoi du dossier à la Cour d’appel afin que cette dernière tranche les neuf moyens d’appel qu’elle a choisi de ne pas aborder, jugeant qu’il serait inutile de le faire dans les circonstances.</w:t>
      </w:r>
    </w:p>
    <w:p w:rsidR="006F59DD" w:rsidRPr="006F59DD" w:rsidRDefault="006F59DD" w:rsidP="006F59DD">
      <w:pPr>
        <w:jc w:val="both"/>
        <w:rPr>
          <w:sz w:val="20"/>
          <w:szCs w:val="20"/>
          <w:lang w:val="fr-CA"/>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Le 14 septembre 2009, les intimés ont été accusés de recyclage de produits de la criminalité, de complot et de gangstérisme. En 2014 et 2015, ils déposent des requêtes en arrêt des procédures en vertu de l’al. 11b) et du par. 24(1) de la </w:t>
      </w:r>
      <w:r w:rsidRPr="006F59DD">
        <w:rPr>
          <w:i/>
          <w:sz w:val="20"/>
          <w:szCs w:val="20"/>
        </w:rPr>
        <w:t>Charte canadienne des droits et libertés</w:t>
      </w:r>
      <w:r w:rsidRPr="006F59DD">
        <w:rPr>
          <w:sz w:val="20"/>
          <w:szCs w:val="20"/>
        </w:rPr>
        <w:t xml:space="preserve">. Le 17 septembre 2015 — avant que notre Cour ne rende l’arrêt </w:t>
      </w:r>
      <w:r w:rsidRPr="006F59DD">
        <w:rPr>
          <w:i/>
          <w:sz w:val="20"/>
          <w:szCs w:val="20"/>
        </w:rPr>
        <w:t>R. c. Jordan</w:t>
      </w:r>
      <w:r w:rsidRPr="006F59DD">
        <w:rPr>
          <w:sz w:val="20"/>
          <w:szCs w:val="20"/>
        </w:rPr>
        <w:t>, 2016 CSC 27, [2016] 1 R.C.S. 631 — la Cour du Québec rejette les requêtes, estimant que l’arrêt des procédures n’était pas une réparation appropriée. Ayant conclu à un délai de 77 mois entre les inculpations et la fin projetée du procès, le juge conclut à une violation de l’al. 11b)</w:t>
      </w:r>
      <w:r w:rsidRPr="006F59DD">
        <w:rPr>
          <w:i/>
          <w:sz w:val="20"/>
          <w:szCs w:val="20"/>
        </w:rPr>
        <w:t xml:space="preserve"> </w:t>
      </w:r>
      <w:r w:rsidRPr="006F59DD">
        <w:rPr>
          <w:sz w:val="20"/>
          <w:szCs w:val="20"/>
        </w:rPr>
        <w:t xml:space="preserve">de la </w:t>
      </w:r>
      <w:r w:rsidRPr="006F59DD">
        <w:rPr>
          <w:i/>
          <w:sz w:val="20"/>
          <w:szCs w:val="20"/>
        </w:rPr>
        <w:t>Charte</w:t>
      </w:r>
      <w:r w:rsidRPr="006F59DD">
        <w:rPr>
          <w:sz w:val="20"/>
          <w:szCs w:val="20"/>
        </w:rPr>
        <w:t xml:space="preserve">. Toutefois, il refuse d’ordonner l’arrêt des procédures au motif que le délai n’a pas porté préjudice aux accusés. Sur ce point, le juge décide : « il y a autant de préjudices découlant de l’accusation, et non pas du délai déraisonnable » et conclut qu’il existe un intérêt social « certain et primordial » à voir les accusés subir leur procès (motifs de la Cour du Québec, d.a., vol. I, p. 60). Le jugement de culpabilité est rendu le 22 juin 2016. </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rFonts w:cs="Times New Roman"/>
          <w:sz w:val="20"/>
          <w:szCs w:val="20"/>
        </w:rPr>
      </w:pPr>
      <w:r w:rsidRPr="006F59DD">
        <w:rPr>
          <w:sz w:val="20"/>
          <w:szCs w:val="20"/>
        </w:rPr>
        <w:t>De l’avis de la Cour d’appel, le juge n’avait d’autre choix que d’ordonner l’arrêt des procédures après avoir constaté une violation de l’al. 11b)</w:t>
      </w:r>
      <w:r w:rsidRPr="006F59DD">
        <w:rPr>
          <w:i/>
          <w:sz w:val="20"/>
          <w:szCs w:val="20"/>
        </w:rPr>
        <w:t xml:space="preserve"> </w:t>
      </w:r>
      <w:r w:rsidRPr="006F59DD">
        <w:rPr>
          <w:sz w:val="20"/>
          <w:szCs w:val="20"/>
        </w:rPr>
        <w:t xml:space="preserve">(citant </w:t>
      </w:r>
      <w:r w:rsidRPr="006F59DD">
        <w:rPr>
          <w:rFonts w:cs="Times New Roman"/>
          <w:i/>
          <w:sz w:val="20"/>
          <w:szCs w:val="20"/>
        </w:rPr>
        <w:t>R. c. Rahey</w:t>
      </w:r>
      <w:r w:rsidRPr="006F59DD">
        <w:rPr>
          <w:rFonts w:cs="Times New Roman"/>
          <w:sz w:val="20"/>
          <w:szCs w:val="20"/>
        </w:rPr>
        <w:t>, [1987] 1 R.C.S. 588). La Cour d’appel refuse de revoir les motifs du juge de première instance quant à la violation de l’al. 11b), estimant que le dossier d’appel n’était pas suffisamment complet pour lui permettre de déterminer si l’évaluation des délais par le juge était inadéquate ou erronée.</w:t>
      </w:r>
    </w:p>
    <w:p w:rsidR="006F59DD" w:rsidRPr="006F59DD" w:rsidRDefault="006F59DD" w:rsidP="006F59DD">
      <w:pPr>
        <w:pStyle w:val="ParaNoNdepar-AltN"/>
        <w:numPr>
          <w:ilvl w:val="0"/>
          <w:numId w:val="0"/>
        </w:numPr>
        <w:spacing w:before="0" w:after="0" w:line="240" w:lineRule="auto"/>
        <w:rPr>
          <w:rFonts w:cs="Times New Roman"/>
          <w:sz w:val="20"/>
          <w:szCs w:val="20"/>
        </w:rPr>
      </w:pPr>
    </w:p>
    <w:p w:rsidR="006F59DD" w:rsidRPr="006F59DD" w:rsidRDefault="006F59DD" w:rsidP="006F59DD">
      <w:pPr>
        <w:pStyle w:val="ParaNoNdepar-AltN"/>
        <w:numPr>
          <w:ilvl w:val="0"/>
          <w:numId w:val="0"/>
        </w:numPr>
        <w:spacing w:before="0" w:after="0" w:line="240" w:lineRule="auto"/>
        <w:rPr>
          <w:rFonts w:cs="Times New Roman"/>
          <w:sz w:val="20"/>
          <w:szCs w:val="20"/>
        </w:rPr>
      </w:pPr>
      <w:r w:rsidRPr="006F59DD">
        <w:rPr>
          <w:rFonts w:cs="Times New Roman"/>
          <w:sz w:val="20"/>
          <w:szCs w:val="20"/>
        </w:rPr>
        <w:t>Devant notre Cour, le ministère public reconnaît que le juge de première instance a commis une erreur, mais est d’avis que cette erreur n’était pas déterminante quant au résultat. Il soutient que la Cour d’appel a erré en ordonnant l’arrêt des procédures en se fondant sur la conclusion erronée et prématurée du juge de première instance que l’al. 11b)</w:t>
      </w:r>
      <w:r w:rsidRPr="006F59DD">
        <w:rPr>
          <w:rFonts w:cs="Times New Roman"/>
          <w:i/>
          <w:sz w:val="20"/>
          <w:szCs w:val="20"/>
        </w:rPr>
        <w:t xml:space="preserve"> </w:t>
      </w:r>
      <w:r w:rsidRPr="006F59DD">
        <w:rPr>
          <w:rFonts w:cs="Times New Roman"/>
          <w:sz w:val="20"/>
          <w:szCs w:val="20"/>
        </w:rPr>
        <w:t>avait été violé.</w:t>
      </w:r>
    </w:p>
    <w:p w:rsidR="006F59DD" w:rsidRPr="006F59DD" w:rsidRDefault="006F59DD" w:rsidP="006F59DD">
      <w:pPr>
        <w:pStyle w:val="ParaNoNdepar-AltN"/>
        <w:numPr>
          <w:ilvl w:val="0"/>
          <w:numId w:val="0"/>
        </w:numPr>
        <w:spacing w:before="0" w:after="0" w:line="240" w:lineRule="auto"/>
        <w:rPr>
          <w:rFonts w:cs="Times New Roman"/>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rFonts w:cs="Times New Roman"/>
          <w:sz w:val="20"/>
          <w:szCs w:val="20"/>
        </w:rPr>
        <w:t xml:space="preserve">Avec égards, le juge de première instance </w:t>
      </w:r>
      <w:r w:rsidRPr="006F59DD">
        <w:rPr>
          <w:sz w:val="20"/>
          <w:szCs w:val="20"/>
        </w:rPr>
        <w:t>a erré en évaluant le préjudice subi par les accusés au stade du remède, plutôt que d’en tenir compte pour déterminer si l’al. 11b)</w:t>
      </w:r>
      <w:r w:rsidRPr="006F59DD">
        <w:rPr>
          <w:i/>
          <w:sz w:val="20"/>
          <w:szCs w:val="20"/>
        </w:rPr>
        <w:t xml:space="preserve"> </w:t>
      </w:r>
      <w:r w:rsidRPr="006F59DD">
        <w:rPr>
          <w:sz w:val="20"/>
          <w:szCs w:val="20"/>
        </w:rPr>
        <w:t xml:space="preserve">avait été violé, selon les critères applicables à l’époque énoncés dans </w:t>
      </w:r>
      <w:r w:rsidRPr="006F59DD">
        <w:rPr>
          <w:rFonts w:cs="Times New Roman"/>
          <w:i/>
          <w:sz w:val="20"/>
          <w:szCs w:val="20"/>
        </w:rPr>
        <w:t>R. c. Morin</w:t>
      </w:r>
      <w:r w:rsidRPr="006F59DD">
        <w:rPr>
          <w:rFonts w:cs="Times New Roman"/>
          <w:sz w:val="20"/>
          <w:szCs w:val="20"/>
        </w:rPr>
        <w:t>, [1992] 1 R.C.S. 771</w:t>
      </w:r>
      <w:r w:rsidRPr="006F59DD">
        <w:rPr>
          <w:sz w:val="20"/>
          <w:szCs w:val="20"/>
        </w:rPr>
        <w:t>. Toutefois, malgré cette erreur,</w:t>
      </w:r>
      <w:r w:rsidRPr="006F59DD">
        <w:rPr>
          <w:i/>
          <w:sz w:val="20"/>
          <w:szCs w:val="20"/>
        </w:rPr>
        <w:t xml:space="preserve"> </w:t>
      </w:r>
      <w:r w:rsidRPr="006F59DD">
        <w:rPr>
          <w:sz w:val="20"/>
          <w:szCs w:val="20"/>
        </w:rPr>
        <w:t>une analyse fonctionnelle de ses motifs démontre qu’il a tenu compte des facteurs pertinents et qu’il est parvenu à la bonne conclusion, soit le rejet des requêtes en arrêt des procédures. En effet, bien qu’il se soit trompé quant à l’étape de l’analyse où le préjudice devait être pris en compte, son refus d’ordonner l’arrêt des procédures permet néanmoins de conclure que l’al. 11b)</w:t>
      </w:r>
      <w:r w:rsidRPr="006F59DD">
        <w:rPr>
          <w:i/>
          <w:sz w:val="20"/>
          <w:szCs w:val="20"/>
        </w:rPr>
        <w:t xml:space="preserve"> </w:t>
      </w:r>
      <w:r w:rsidRPr="006F59DD">
        <w:rPr>
          <w:sz w:val="20"/>
          <w:szCs w:val="20"/>
        </w:rPr>
        <w:t xml:space="preserve">n’a pas été violé selon les critères de l’arrêt </w:t>
      </w:r>
      <w:r w:rsidRPr="006F59DD">
        <w:rPr>
          <w:i/>
          <w:sz w:val="20"/>
          <w:szCs w:val="20"/>
        </w:rPr>
        <w:t>Morin.</w:t>
      </w:r>
      <w:r w:rsidRPr="006F59DD">
        <w:rPr>
          <w:sz w:val="20"/>
          <w:szCs w:val="20"/>
        </w:rPr>
        <w:t xml:space="preserve"> La Cour d’appel a omis de faire ce constat (par. 17-18).</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Dans les circonstances, nous sommes tous d’avis que la Cour d’appel avait tort d’ordonner l’arrêt des procédures que le juge a lui-même refusé. </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En tout respect, la Cour d’appel a erré en refusant de réexaminer le caractère déraisonnable des délais au motif que le dossier qui lui était présenté était incomplet. En appel, le ministère public a produit une liste d’admissions des parties, déposée par les parties en première instance en vertu de l’art. 655 du </w:t>
      </w:r>
      <w:r w:rsidRPr="006F59DD">
        <w:rPr>
          <w:i/>
          <w:sz w:val="20"/>
          <w:szCs w:val="20"/>
        </w:rPr>
        <w:t>Code criminel</w:t>
      </w:r>
      <w:r w:rsidRPr="006F59DD">
        <w:rPr>
          <w:sz w:val="20"/>
          <w:szCs w:val="20"/>
        </w:rPr>
        <w:t>, L.R.C. 1985, c. C-46,</w:t>
      </w:r>
      <w:r w:rsidRPr="006F59DD">
        <w:rPr>
          <w:i/>
          <w:sz w:val="20"/>
          <w:szCs w:val="20"/>
        </w:rPr>
        <w:t xml:space="preserve"> </w:t>
      </w:r>
      <w:r w:rsidRPr="006F59DD">
        <w:rPr>
          <w:sz w:val="20"/>
          <w:szCs w:val="20"/>
        </w:rPr>
        <w:t xml:space="preserve">qui contenait une chronologie détaillée des faits et dont la Cour d’appel n’a aucunement analysé le contenu. Nous sommes d’avis que la preuve au dossier permettait aux juges d’appel de faire cette analyse. Notons qu’aucune liste d’admissions des parties ne faisait partie des dossiers d’appel dans les affaires sur lesquelles la Cour d’appel s’est appuyée, au par. 14 de ses motifs, pour justifier son refus de réexaminer les délais en l’espèce. Bien qu’un tribunal ne soit pas lié par les admissions de droit, un exposé commun peut se révéler utile en appel et contribuer à réduire les délais qui sont à l’origine de l’atteinte alléguée par un accusé (voir, par ex., </w:t>
      </w:r>
      <w:r w:rsidRPr="006F59DD">
        <w:rPr>
          <w:i/>
          <w:sz w:val="20"/>
          <w:szCs w:val="20"/>
        </w:rPr>
        <w:t>R. c. Bryant</w:t>
      </w:r>
      <w:r w:rsidRPr="006F59DD">
        <w:rPr>
          <w:sz w:val="20"/>
          <w:szCs w:val="20"/>
        </w:rPr>
        <w:t>, 2021 QCCA 1807, par. 3).</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La preuve au dossier permet de constater que les intimés ont causé directement la majeure partie des délais dont ils se plaignent et qu’ils se sont efforcés de faire dérailler le procès </w:t>
      </w:r>
      <w:r w:rsidRPr="006F59DD">
        <w:rPr>
          <w:rFonts w:cs="Times New Roman"/>
          <w:sz w:val="20"/>
          <w:szCs w:val="20"/>
        </w:rPr>
        <w:t xml:space="preserve">en présentant de multiples demandes, requêtes, et appels interlocutoires — infructueux pour la plupart. </w:t>
      </w:r>
      <w:r w:rsidRPr="006F59DD">
        <w:rPr>
          <w:sz w:val="20"/>
          <w:szCs w:val="20"/>
        </w:rPr>
        <w:t>Ces délais sont largement mais pas exclusivement imputables à la défense et doivent être soustraits du délai total.</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De plus, les intimés ont causé des délais supplémentaires en insistant pour qu’un certain procureur les représente malgré un conflit d’intérêts évident. En 2011, le juge d’enquête préliminaire a conclu que Mélanie et Dax Ste-Marie ne pouvaient être représentés par le même avocat. Par conséquent, ils ont dû se représenter eux-mêmes. Malgré le conflit d’intérêts, ils ont continué d’insister pour que le procureur de leur père, Michel Ste-Marie, les représente tous les trois. Ils ont maintenu cette position pendant plus de deux ans. Cette ligne de conduite était manifestement intenable et elle a causé un retard supplémentaire.</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Notre conclusion est la même en ce qui concerne Richard Felx. Bien que le conflit d’intérêts ne le concernât pas directement, il ne s’est jamais montré préoccupé par les délais causés par ses coaccusés. De plus, la poursuite lui a offert à plusieurs reprises de tenir sa propre enquête préliminaire, mais il a toujours refusé.</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L’arrêt </w:t>
      </w:r>
      <w:r w:rsidRPr="006F59DD">
        <w:rPr>
          <w:i/>
          <w:sz w:val="20"/>
          <w:szCs w:val="20"/>
        </w:rPr>
        <w:t xml:space="preserve">Jordan </w:t>
      </w:r>
      <w:r w:rsidRPr="006F59DD">
        <w:rPr>
          <w:sz w:val="20"/>
          <w:szCs w:val="20"/>
        </w:rPr>
        <w:t>nous rappelle le principe, applicable en l’espèce, selon lequel</w:t>
      </w:r>
      <w:r w:rsidRPr="006F59DD">
        <w:rPr>
          <w:i/>
          <w:sz w:val="20"/>
          <w:szCs w:val="20"/>
        </w:rPr>
        <w:t xml:space="preserve"> </w:t>
      </w:r>
      <w:r w:rsidRPr="006F59DD">
        <w:rPr>
          <w:sz w:val="20"/>
          <w:szCs w:val="20"/>
        </w:rPr>
        <w:t xml:space="preserve">la défense ne doit pas être autorisée à profiter de sa propre conduite à l’origine du délai ou de ses tactiques dilatoires (par. 60 et 63; </w:t>
      </w:r>
      <w:r w:rsidRPr="006F59DD">
        <w:rPr>
          <w:rFonts w:cs="Times New Roman"/>
          <w:sz w:val="20"/>
          <w:szCs w:val="20"/>
        </w:rPr>
        <w:t xml:space="preserve">voir </w:t>
      </w:r>
      <w:r w:rsidRPr="006F59DD">
        <w:rPr>
          <w:rFonts w:cs="Times New Roman"/>
          <w:i/>
          <w:sz w:val="20"/>
          <w:szCs w:val="20"/>
        </w:rPr>
        <w:t>Morin</w:t>
      </w:r>
      <w:r w:rsidRPr="006F59DD">
        <w:rPr>
          <w:rFonts w:cs="Times New Roman"/>
          <w:sz w:val="20"/>
          <w:szCs w:val="20"/>
        </w:rPr>
        <w:t>,</w:t>
      </w:r>
      <w:r w:rsidRPr="006F59DD">
        <w:rPr>
          <w:rFonts w:cs="Times New Roman"/>
          <w:i/>
          <w:sz w:val="20"/>
          <w:szCs w:val="20"/>
        </w:rPr>
        <w:t xml:space="preserve"> </w:t>
      </w:r>
      <w:r w:rsidRPr="006F59DD">
        <w:rPr>
          <w:rFonts w:cs="Times New Roman"/>
          <w:sz w:val="20"/>
          <w:szCs w:val="20"/>
        </w:rPr>
        <w:t xml:space="preserve">p. 802; </w:t>
      </w:r>
      <w:r w:rsidRPr="006F59DD">
        <w:rPr>
          <w:rFonts w:cs="Times New Roman"/>
          <w:i/>
          <w:sz w:val="20"/>
          <w:szCs w:val="20"/>
        </w:rPr>
        <w:t>R. c. Askov</w:t>
      </w:r>
      <w:r w:rsidRPr="006F59DD">
        <w:rPr>
          <w:rFonts w:cs="Times New Roman"/>
          <w:sz w:val="20"/>
          <w:szCs w:val="20"/>
        </w:rPr>
        <w:t>, [1990] 2 R.C.S. 1199, p. 1227-1228</w:t>
      </w:r>
      <w:r w:rsidRPr="006F59DD">
        <w:rPr>
          <w:sz w:val="20"/>
          <w:szCs w:val="20"/>
        </w:rPr>
        <w:t>).</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L’appelant soutient qu’une fois les déductions faites, le délai net s’élève à tout au plus 35 mois (m.a., par. 41). Les intimés Mélanie Ste-Marie, Dax Ste-Marie et Richard Felx réfèrent à ce même calcul dans leur mémoire (m.i., par. 37).</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Tenant pour acquis, aux fins de la discussion, que le délai résiduel dépasse le plafond fixé par l’arrêt </w:t>
      </w:r>
      <w:r w:rsidRPr="006F59DD">
        <w:rPr>
          <w:i/>
          <w:sz w:val="20"/>
          <w:szCs w:val="20"/>
        </w:rPr>
        <w:t>Jordan</w:t>
      </w:r>
      <w:r w:rsidRPr="006F59DD">
        <w:rPr>
          <w:sz w:val="20"/>
          <w:szCs w:val="20"/>
        </w:rPr>
        <w:t>, la présomption de caractère déraisonnable peut être renversée au moyen de la mesure transitoire exceptionnelle</w:t>
      </w:r>
      <w:r w:rsidRPr="006F59DD">
        <w:rPr>
          <w:i/>
          <w:sz w:val="20"/>
          <w:szCs w:val="20"/>
        </w:rPr>
        <w:t xml:space="preserve"> </w:t>
      </w:r>
      <w:r w:rsidRPr="006F59DD">
        <w:rPr>
          <w:sz w:val="20"/>
          <w:szCs w:val="20"/>
        </w:rPr>
        <w:t>(</w:t>
      </w:r>
      <w:r w:rsidRPr="006F59DD">
        <w:rPr>
          <w:i/>
          <w:sz w:val="20"/>
          <w:szCs w:val="20"/>
        </w:rPr>
        <w:t>Jordan</w:t>
      </w:r>
      <w:r w:rsidRPr="006F59DD">
        <w:rPr>
          <w:sz w:val="20"/>
          <w:szCs w:val="20"/>
        </w:rPr>
        <w:t>, par. 96-97). La mesure transitoire exceptionnelle peut s’appliquer dans les cas où il est démontré que « le temps qui s’est écoulé est justifié du fait que les parties se sont raisonnablement conformées au droit tel qu’il existait au préalable » (</w:t>
      </w:r>
      <w:r w:rsidRPr="006F59DD">
        <w:rPr>
          <w:i/>
          <w:sz w:val="20"/>
          <w:szCs w:val="20"/>
        </w:rPr>
        <w:t>R. c. Cody</w:t>
      </w:r>
      <w:r w:rsidRPr="006F59DD">
        <w:rPr>
          <w:sz w:val="20"/>
          <w:szCs w:val="20"/>
        </w:rPr>
        <w:t xml:space="preserve">, 2017 CSC 31, [2017] 1 R.C.S. 659, par. 68). Dans </w:t>
      </w:r>
      <w:r w:rsidRPr="006F59DD">
        <w:rPr>
          <w:i/>
          <w:sz w:val="20"/>
          <w:szCs w:val="20"/>
        </w:rPr>
        <w:t>R. c. Rice</w:t>
      </w:r>
      <w:r w:rsidRPr="006F59DD">
        <w:rPr>
          <w:sz w:val="20"/>
          <w:szCs w:val="20"/>
        </w:rPr>
        <w:t xml:space="preserve">, 2018 QCCA 198, 44 C.R. (7th) 83, par. 202, le juge Vauclair souligne que, à cette fin, le tribunal peut examiner le comportement des accusés : « [l]’absence d’empressement est un indice du peu de préoccupation de l’accusé à l’égard des délais et peut servir à évaluer le préjudice ». Cela rejoint la détermination factuelle du juge de première instance en l’espèce qui constate que le préjudice dont les intimés se plaignent ne découle pas du délai. Dans les circonstances, en application de la mesure transitoire exceptionnelle désignée dans </w:t>
      </w:r>
      <w:r w:rsidRPr="006F59DD">
        <w:rPr>
          <w:i/>
          <w:sz w:val="20"/>
          <w:szCs w:val="20"/>
        </w:rPr>
        <w:t>Jordan</w:t>
      </w:r>
      <w:r w:rsidRPr="006F59DD">
        <w:rPr>
          <w:sz w:val="20"/>
          <w:szCs w:val="20"/>
        </w:rPr>
        <w:t xml:space="preserve">, il y a lieu de conclure que l’al. 11b) de la </w:t>
      </w:r>
      <w:r w:rsidRPr="006F59DD">
        <w:rPr>
          <w:i/>
          <w:sz w:val="20"/>
          <w:szCs w:val="20"/>
        </w:rPr>
        <w:t>Charte</w:t>
      </w:r>
      <w:r w:rsidRPr="006F59DD">
        <w:rPr>
          <w:sz w:val="20"/>
          <w:szCs w:val="20"/>
        </w:rPr>
        <w:t xml:space="preserve"> n’a pas été violé et le juge de première instance avait raison de rejeter les requêtes pour arrêt des procédures.</w:t>
      </w:r>
    </w:p>
    <w:p w:rsidR="006F59DD" w:rsidRPr="006F59DD" w:rsidRDefault="006F59DD" w:rsidP="006F59DD">
      <w:pPr>
        <w:pStyle w:val="ParaNoNdepar-AltN"/>
        <w:numPr>
          <w:ilvl w:val="0"/>
          <w:numId w:val="0"/>
        </w:numPr>
        <w:spacing w:before="0" w:after="0" w:line="240" w:lineRule="auto"/>
        <w:rPr>
          <w:sz w:val="20"/>
          <w:szCs w:val="20"/>
        </w:rPr>
      </w:pPr>
    </w:p>
    <w:p w:rsidR="006F59DD" w:rsidRPr="006F59DD" w:rsidRDefault="006F59DD" w:rsidP="006F59DD">
      <w:pPr>
        <w:pStyle w:val="ParaNoNdepar-AltN"/>
        <w:numPr>
          <w:ilvl w:val="0"/>
          <w:numId w:val="0"/>
        </w:numPr>
        <w:spacing w:before="0" w:after="0" w:line="240" w:lineRule="auto"/>
        <w:rPr>
          <w:sz w:val="20"/>
          <w:szCs w:val="20"/>
        </w:rPr>
      </w:pPr>
      <w:r w:rsidRPr="006F59DD">
        <w:rPr>
          <w:sz w:val="20"/>
          <w:szCs w:val="20"/>
        </w:rPr>
        <w:t xml:space="preserve">Pour ces motifs, nous sommes d’avis </w:t>
      </w:r>
      <w:r w:rsidRPr="006F59DD">
        <w:rPr>
          <w:rFonts w:eastAsia="Times New Roman"/>
          <w:sz w:val="20"/>
          <w:szCs w:val="20"/>
        </w:rPr>
        <w:t>d’accueillir l’appel, d’annuler l’arrêt des procédures, et de renvoyer l’affaire devant une nouvelle formation de la Cour d’appel du Québec pour l’examen des autres moyens d’appel qui restent en suspens.</w:t>
      </w:r>
    </w:p>
    <w:p w:rsidR="005745D9" w:rsidRPr="006F59DD" w:rsidRDefault="005745D9" w:rsidP="005745D9">
      <w:pPr>
        <w:widowControl w:val="0"/>
        <w:ind w:left="1109" w:hanging="1109"/>
        <w:rPr>
          <w:sz w:val="20"/>
          <w:szCs w:val="20"/>
          <w:lang w:val="fr-CA"/>
        </w:rPr>
      </w:pPr>
    </w:p>
    <w:p w:rsidR="006F59DD" w:rsidRPr="006F59DD" w:rsidRDefault="006F59DD" w:rsidP="005745D9">
      <w:pPr>
        <w:widowControl w:val="0"/>
        <w:ind w:left="1109" w:hanging="1109"/>
        <w:rPr>
          <w:sz w:val="20"/>
          <w:szCs w:val="20"/>
          <w:lang w:val="fr-CA"/>
        </w:rPr>
      </w:pPr>
    </w:p>
    <w:p w:rsidR="006F59DD" w:rsidRPr="006F59DD" w:rsidRDefault="006F59DD" w:rsidP="006F59DD">
      <w:pPr>
        <w:jc w:val="both"/>
        <w:rPr>
          <w:sz w:val="20"/>
          <w:szCs w:val="20"/>
        </w:rPr>
      </w:pPr>
      <w:r w:rsidRPr="006F59DD">
        <w:rPr>
          <w:sz w:val="20"/>
          <w:szCs w:val="20"/>
        </w:rPr>
        <w:t xml:space="preserve">The appeal from the judgment of the </w:t>
      </w:r>
      <w:r w:rsidRPr="006F59DD">
        <w:rPr>
          <w:sz w:val="20"/>
          <w:szCs w:val="20"/>
          <w:lang w:val="en-US"/>
        </w:rPr>
        <w:t>Court of Appeal of Quebec (Montréal)</w:t>
      </w:r>
      <w:r w:rsidRPr="006F59DD">
        <w:rPr>
          <w:sz w:val="20"/>
          <w:szCs w:val="20"/>
        </w:rPr>
        <w:t xml:space="preserve">, Numbers </w:t>
      </w:r>
      <w:r w:rsidRPr="006F59DD">
        <w:rPr>
          <w:sz w:val="20"/>
          <w:szCs w:val="20"/>
          <w:lang w:val="en-US"/>
        </w:rPr>
        <w:t xml:space="preserve"> 500-10-006180-168, 500-10-006181-166, 500-10-006182-164 and 500-10-006190-167</w:t>
      </w:r>
      <w:r w:rsidRPr="006F59DD">
        <w:rPr>
          <w:sz w:val="20"/>
          <w:szCs w:val="20"/>
        </w:rPr>
        <w:t>,</w:t>
      </w:r>
      <w:r w:rsidRPr="006F59DD">
        <w:rPr>
          <w:sz w:val="20"/>
          <w:szCs w:val="20"/>
          <w:lang w:val="en-US"/>
        </w:rPr>
        <w:t xml:space="preserve"> 2020 QCCA 1118, </w:t>
      </w:r>
      <w:r w:rsidRPr="006F59DD">
        <w:rPr>
          <w:sz w:val="20"/>
          <w:szCs w:val="20"/>
        </w:rPr>
        <w:t>dated</w:t>
      </w:r>
      <w:r w:rsidRPr="006F59DD">
        <w:rPr>
          <w:sz w:val="20"/>
          <w:szCs w:val="20"/>
          <w:lang w:val="en-US"/>
        </w:rPr>
        <w:t xml:space="preserve"> September 3, 2020</w:t>
      </w:r>
      <w:r w:rsidRPr="006F59DD">
        <w:rPr>
          <w:sz w:val="20"/>
          <w:szCs w:val="20"/>
        </w:rPr>
        <w:t xml:space="preserve">, was heard on </w:t>
      </w:r>
      <w:r w:rsidRPr="006F59DD">
        <w:rPr>
          <w:sz w:val="20"/>
          <w:szCs w:val="20"/>
          <w:lang w:val="en-US"/>
        </w:rPr>
        <w:t>February 10, 2022,</w:t>
      </w:r>
      <w:r w:rsidRPr="006F59DD">
        <w:rPr>
          <w:sz w:val="20"/>
          <w:szCs w:val="20"/>
        </w:rPr>
        <w:t xml:space="preserve"> and the Court on that day delivered the following judgment orally: </w:t>
      </w:r>
    </w:p>
    <w:p w:rsidR="006F59DD" w:rsidRPr="006F59DD" w:rsidRDefault="006F59DD" w:rsidP="006F59DD">
      <w:pPr>
        <w:jc w:val="both"/>
        <w:rPr>
          <w:sz w:val="20"/>
          <w:szCs w:val="20"/>
        </w:rPr>
      </w:pPr>
    </w:p>
    <w:p w:rsidR="006F59DD" w:rsidRPr="006F59DD" w:rsidRDefault="006F59DD" w:rsidP="006F59DD">
      <w:pPr>
        <w:jc w:val="both"/>
        <w:rPr>
          <w:sz w:val="20"/>
          <w:szCs w:val="20"/>
          <w:lang w:val="en-US"/>
        </w:rPr>
      </w:pPr>
      <w:r w:rsidRPr="006F59DD">
        <w:rPr>
          <w:sz w:val="20"/>
          <w:szCs w:val="20"/>
          <w:lang w:val="en-US"/>
        </w:rPr>
        <w:t>[</w:t>
      </w:r>
      <w:r w:rsidRPr="006F59DD">
        <w:rPr>
          <w:smallCaps/>
          <w:sz w:val="20"/>
          <w:szCs w:val="20"/>
          <w:lang w:val="en-US"/>
        </w:rPr>
        <w:t>translation</w:t>
      </w:r>
      <w:r w:rsidRPr="006F59DD">
        <w:rPr>
          <w:sz w:val="20"/>
          <w:szCs w:val="20"/>
          <w:lang w:val="en-US"/>
        </w:rPr>
        <w:t>]</w:t>
      </w:r>
    </w:p>
    <w:p w:rsidR="006F59DD" w:rsidRPr="006F59DD" w:rsidRDefault="006F59DD" w:rsidP="006F59DD">
      <w:pPr>
        <w:jc w:val="both"/>
        <w:rPr>
          <w:sz w:val="20"/>
          <w:szCs w:val="20"/>
        </w:rPr>
      </w:pPr>
      <w:r w:rsidRPr="006F59DD">
        <w:rPr>
          <w:smallCaps/>
          <w:sz w:val="20"/>
          <w:szCs w:val="20"/>
          <w:lang w:val="en-US"/>
        </w:rPr>
        <w:t>Kasirer J.</w:t>
      </w:r>
      <w:r w:rsidRPr="006F59DD">
        <w:rPr>
          <w:sz w:val="20"/>
          <w:szCs w:val="20"/>
          <w:lang w:val="en-US"/>
        </w:rPr>
        <w:t xml:space="preserve"> </w:t>
      </w:r>
      <w:r w:rsidRPr="006F59DD">
        <w:rPr>
          <w:rFonts w:cs="Times New Roman"/>
          <w:sz w:val="20"/>
          <w:szCs w:val="20"/>
          <w:lang w:val="en-US"/>
        </w:rPr>
        <w:t>—</w:t>
      </w:r>
      <w:r w:rsidRPr="006F59DD">
        <w:rPr>
          <w:sz w:val="20"/>
          <w:szCs w:val="20"/>
          <w:lang w:val="en-US"/>
        </w:rPr>
        <w:t xml:space="preserve"> </w:t>
      </w:r>
      <w:r w:rsidRPr="006F59DD">
        <w:rPr>
          <w:sz w:val="20"/>
          <w:szCs w:val="20"/>
        </w:rPr>
        <w:t>The Crown appeals from a judgment of the Quebec Court of Appeal quashing four convictions and entering a stay of proceedings in favour of the respondents because of a violation of their right to be tried within a reasonable time. The appellant asks that the stay of proceedings be set aside and that the case be remanded to the Court of Appeal for a decision on the nine grounds of appeal that it chose not to address, as it found it unnecessary to do so in the circumstances</w:t>
      </w:r>
    </w:p>
    <w:p w:rsidR="006F59DD" w:rsidRPr="006F59DD" w:rsidRDefault="006F59DD" w:rsidP="006F59DD">
      <w:pPr>
        <w:jc w:val="both"/>
        <w:rPr>
          <w:sz w:val="20"/>
          <w:szCs w:val="20"/>
        </w:rPr>
      </w:pPr>
    </w:p>
    <w:p w:rsidR="006F59DD" w:rsidRPr="006F59DD" w:rsidRDefault="006F59DD" w:rsidP="006F59DD">
      <w:pPr>
        <w:jc w:val="both"/>
        <w:rPr>
          <w:sz w:val="20"/>
          <w:szCs w:val="20"/>
        </w:rPr>
      </w:pPr>
      <w:r w:rsidRPr="006F59DD">
        <w:rPr>
          <w:sz w:val="20"/>
          <w:szCs w:val="20"/>
        </w:rPr>
        <w:t xml:space="preserve">On September 14, 2009, the respondents were charged with laundering proceeds of crime, conspiracy and criminal organization offences. In 2014 and 2015, they filed motions for a stay of proceedings under ss. 11(b) and 24(1) of the </w:t>
      </w:r>
      <w:r w:rsidRPr="006F59DD">
        <w:rPr>
          <w:i/>
          <w:sz w:val="20"/>
          <w:szCs w:val="20"/>
        </w:rPr>
        <w:t>Canadian Charter of Rights and Freedoms</w:t>
      </w:r>
      <w:r w:rsidRPr="006F59DD">
        <w:rPr>
          <w:sz w:val="20"/>
          <w:szCs w:val="20"/>
        </w:rPr>
        <w:t xml:space="preserve">. On September 17, 2015, before this Court rendered its decision in </w:t>
      </w:r>
      <w:r w:rsidRPr="006F59DD">
        <w:rPr>
          <w:i/>
          <w:sz w:val="20"/>
          <w:szCs w:val="20"/>
        </w:rPr>
        <w:t>R. v. Jordan</w:t>
      </w:r>
      <w:r w:rsidRPr="006F59DD">
        <w:rPr>
          <w:sz w:val="20"/>
          <w:szCs w:val="20"/>
        </w:rPr>
        <w:t xml:space="preserve">, 2016 SCC 27, </w:t>
      </w:r>
      <w:r w:rsidRPr="006F59DD">
        <w:rPr>
          <w:sz w:val="20"/>
          <w:szCs w:val="20"/>
          <w:lang w:val="en-US"/>
        </w:rPr>
        <w:t>[2016] 1 S.C.R. 631,</w:t>
      </w:r>
      <w:r w:rsidRPr="006F59DD">
        <w:rPr>
          <w:sz w:val="20"/>
          <w:szCs w:val="20"/>
        </w:rPr>
        <w:t xml:space="preserve"> the Court of Québec dismissed the motions, finding that a stay of proceedings was not an appropriate remedy. Because the judge found a 77</w:t>
      </w:r>
      <w:r w:rsidRPr="006F59DD">
        <w:rPr>
          <w:sz w:val="20"/>
          <w:szCs w:val="20"/>
        </w:rPr>
        <w:noBreakHyphen/>
        <w:t xml:space="preserve">month delay between the charges and the anticipated end of the trial, he held that s. 11(b) of the </w:t>
      </w:r>
      <w:r w:rsidRPr="006F59DD">
        <w:rPr>
          <w:i/>
          <w:sz w:val="20"/>
          <w:szCs w:val="20"/>
        </w:rPr>
        <w:t>Charter</w:t>
      </w:r>
      <w:r w:rsidRPr="006F59DD">
        <w:rPr>
          <w:sz w:val="20"/>
          <w:szCs w:val="20"/>
        </w:rPr>
        <w:t xml:space="preserve"> had been infringed. However, he declined to enter a stay of proceedings on the ground that the accused had not been prejudiced by the delay. On this point, the judge held that </w:t>
      </w:r>
      <w:r w:rsidRPr="006F59DD">
        <w:rPr>
          <w:rFonts w:cs="Times New Roman"/>
          <w:sz w:val="20"/>
          <w:szCs w:val="20"/>
        </w:rPr>
        <w:t>[</w:t>
      </w:r>
      <w:r w:rsidRPr="006F59DD">
        <w:rPr>
          <w:rFonts w:cs="Times New Roman"/>
          <w:smallCaps/>
          <w:sz w:val="20"/>
          <w:szCs w:val="20"/>
        </w:rPr>
        <w:t>translation</w:t>
      </w:r>
      <w:r w:rsidRPr="006F59DD">
        <w:rPr>
          <w:rFonts w:cs="Times New Roman"/>
          <w:sz w:val="20"/>
          <w:szCs w:val="20"/>
        </w:rPr>
        <w:t>] “there is as much prejudice resulting from the charge, and not from the unreasonable delay”, and that there was a “clear and compelling” societal interest in having the accused stand trial (Court of Québec reasons, A.R., vol. I, at p</w:t>
      </w:r>
      <w:r w:rsidRPr="006F59DD">
        <w:rPr>
          <w:sz w:val="20"/>
          <w:szCs w:val="20"/>
        </w:rPr>
        <w:t>. 60). The judgment of conviction was rendered on June 22, 2016.</w:t>
      </w:r>
    </w:p>
    <w:p w:rsidR="006F59DD" w:rsidRPr="006F59DD" w:rsidRDefault="006F59DD" w:rsidP="006F59DD">
      <w:pPr>
        <w:jc w:val="both"/>
        <w:rPr>
          <w:sz w:val="20"/>
          <w:szCs w:val="20"/>
        </w:rPr>
      </w:pPr>
    </w:p>
    <w:p w:rsidR="006F59DD" w:rsidRPr="006F59DD" w:rsidRDefault="006F59DD" w:rsidP="006F59DD">
      <w:pPr>
        <w:jc w:val="both"/>
        <w:rPr>
          <w:rFonts w:cs="Times New Roman"/>
          <w:sz w:val="20"/>
          <w:szCs w:val="20"/>
        </w:rPr>
      </w:pPr>
      <w:r w:rsidRPr="006F59DD">
        <w:rPr>
          <w:sz w:val="20"/>
          <w:szCs w:val="20"/>
        </w:rPr>
        <w:t>In the Court of Appeal’s view, the judge had no choice but to enter a stay of proceedings after finding an infringement of s. 11(b)</w:t>
      </w:r>
      <w:r w:rsidRPr="006F59DD">
        <w:rPr>
          <w:i/>
          <w:sz w:val="20"/>
          <w:szCs w:val="20"/>
        </w:rPr>
        <w:t xml:space="preserve"> </w:t>
      </w:r>
      <w:r w:rsidRPr="006F59DD">
        <w:rPr>
          <w:sz w:val="20"/>
          <w:szCs w:val="20"/>
        </w:rPr>
        <w:t xml:space="preserve">(citing </w:t>
      </w:r>
      <w:r w:rsidRPr="006F59DD">
        <w:rPr>
          <w:rFonts w:cs="Times New Roman"/>
          <w:i/>
          <w:sz w:val="20"/>
          <w:szCs w:val="20"/>
        </w:rPr>
        <w:t>R. v. Rahey</w:t>
      </w:r>
      <w:r w:rsidRPr="006F59DD">
        <w:rPr>
          <w:rFonts w:cs="Times New Roman"/>
          <w:sz w:val="20"/>
          <w:szCs w:val="20"/>
        </w:rPr>
        <w:t>, [1987] 1 S.C.R. 588). The Court of Appeal declined to review the trial judge’s reasons concerning the infringement of s. 11(b), finding that the appeal record was not sufficiently complete to permit it to determine whether the judge’s assessment of the delays was inadequate or wrong.</w:t>
      </w:r>
    </w:p>
    <w:p w:rsidR="006F59DD" w:rsidRPr="006F59DD" w:rsidRDefault="006F59DD" w:rsidP="006F59DD">
      <w:pPr>
        <w:jc w:val="both"/>
        <w:rPr>
          <w:rFonts w:cs="Times New Roman"/>
          <w:sz w:val="20"/>
          <w:szCs w:val="20"/>
        </w:rPr>
      </w:pPr>
    </w:p>
    <w:p w:rsidR="006F59DD" w:rsidRPr="006F59DD" w:rsidRDefault="006F59DD" w:rsidP="006F59DD">
      <w:pPr>
        <w:jc w:val="both"/>
        <w:rPr>
          <w:rFonts w:cs="Times New Roman"/>
          <w:sz w:val="20"/>
          <w:szCs w:val="20"/>
        </w:rPr>
      </w:pPr>
      <w:r w:rsidRPr="006F59DD">
        <w:rPr>
          <w:rFonts w:cs="Times New Roman"/>
          <w:sz w:val="20"/>
          <w:szCs w:val="20"/>
        </w:rPr>
        <w:lastRenderedPageBreak/>
        <w:t>In this Court, the Crown acknowledges that the trial judge made an error, but it takes the view that the error was not determinative of the outcome. It argues that the Court of Appeal erred in entering a stay of proceedings in reliance on the trial judge’s erroneous and premature conclusion that s. 11(b) had been infringed.</w:t>
      </w:r>
    </w:p>
    <w:p w:rsidR="006F59DD" w:rsidRPr="006F59DD" w:rsidRDefault="006F59DD" w:rsidP="006F59DD">
      <w:pPr>
        <w:jc w:val="both"/>
        <w:rPr>
          <w:rFonts w:cs="Times New Roman"/>
          <w:sz w:val="20"/>
          <w:szCs w:val="20"/>
        </w:rPr>
      </w:pPr>
    </w:p>
    <w:p w:rsidR="006F59DD" w:rsidRPr="006F59DD" w:rsidRDefault="006F59DD" w:rsidP="006F59DD">
      <w:pPr>
        <w:jc w:val="both"/>
        <w:rPr>
          <w:sz w:val="20"/>
          <w:szCs w:val="20"/>
        </w:rPr>
      </w:pPr>
      <w:r w:rsidRPr="006F59DD">
        <w:rPr>
          <w:rFonts w:cs="Times New Roman"/>
          <w:sz w:val="20"/>
          <w:szCs w:val="20"/>
        </w:rPr>
        <w:t>With respect, the trial judge erred in assessing the prejudice suffered by the accused at the remedy stage rather than</w:t>
      </w:r>
      <w:r w:rsidRPr="006F59DD">
        <w:rPr>
          <w:sz w:val="20"/>
          <w:szCs w:val="20"/>
        </w:rPr>
        <w:t xml:space="preserve"> considering it in determining whether s. 11(b) had been infringed, in accordance with the criteria applicable at the time set out in </w:t>
      </w:r>
      <w:r w:rsidRPr="006F59DD">
        <w:rPr>
          <w:rFonts w:cs="Times New Roman"/>
          <w:i/>
          <w:sz w:val="20"/>
          <w:szCs w:val="20"/>
        </w:rPr>
        <w:t>R. v. Morin</w:t>
      </w:r>
      <w:r w:rsidRPr="006F59DD">
        <w:rPr>
          <w:rFonts w:cs="Times New Roman"/>
          <w:sz w:val="20"/>
          <w:szCs w:val="20"/>
        </w:rPr>
        <w:t>, [1992] 1 S.C.R. 771</w:t>
      </w:r>
      <w:r w:rsidRPr="006F59DD">
        <w:rPr>
          <w:sz w:val="20"/>
          <w:szCs w:val="20"/>
        </w:rPr>
        <w:t>. Despite that error, however, a functional analysis of his reasons shows that he considered the relevant factors and reached the correct conclusion, namely that the motions for a stay of proceedings should be dismissed. Although he was mistaken about the stage of the analysis at which prejudice had to be considered, his refusal to enter a stay of proceedings nonetheless makes it possible to conclude that s. 11(b)</w:t>
      </w:r>
      <w:r w:rsidRPr="006F59DD">
        <w:rPr>
          <w:i/>
          <w:sz w:val="20"/>
          <w:szCs w:val="20"/>
        </w:rPr>
        <w:t xml:space="preserve"> </w:t>
      </w:r>
      <w:r w:rsidRPr="006F59DD">
        <w:rPr>
          <w:sz w:val="20"/>
          <w:szCs w:val="20"/>
        </w:rPr>
        <w:t xml:space="preserve">was not infringed based on the </w:t>
      </w:r>
      <w:r w:rsidRPr="006F59DD">
        <w:rPr>
          <w:i/>
          <w:sz w:val="20"/>
          <w:szCs w:val="20"/>
        </w:rPr>
        <w:t>Morin</w:t>
      </w:r>
      <w:r w:rsidRPr="006F59DD">
        <w:rPr>
          <w:sz w:val="20"/>
          <w:szCs w:val="20"/>
        </w:rPr>
        <w:t xml:space="preserve"> criteria</w:t>
      </w:r>
      <w:r w:rsidRPr="006F59DD">
        <w:rPr>
          <w:i/>
          <w:sz w:val="20"/>
          <w:szCs w:val="20"/>
        </w:rPr>
        <w:t>.</w:t>
      </w:r>
      <w:r w:rsidRPr="006F59DD">
        <w:rPr>
          <w:sz w:val="20"/>
          <w:szCs w:val="20"/>
        </w:rPr>
        <w:t xml:space="preserve"> The Court of Appeal failed to make this finding (paras. 17</w:t>
      </w:r>
      <w:r w:rsidRPr="006F59DD">
        <w:rPr>
          <w:sz w:val="20"/>
          <w:szCs w:val="20"/>
        </w:rPr>
        <w:noBreakHyphen/>
        <w:t>18).</w:t>
      </w:r>
    </w:p>
    <w:p w:rsidR="006F59DD" w:rsidRPr="006F59DD" w:rsidRDefault="006F59DD" w:rsidP="006F59DD">
      <w:pPr>
        <w:jc w:val="both"/>
        <w:rPr>
          <w:sz w:val="20"/>
          <w:szCs w:val="20"/>
        </w:rPr>
      </w:pPr>
    </w:p>
    <w:p w:rsidR="006F59DD" w:rsidRPr="006F59DD" w:rsidRDefault="006F59DD" w:rsidP="006F59DD">
      <w:pPr>
        <w:jc w:val="both"/>
        <w:rPr>
          <w:sz w:val="20"/>
          <w:szCs w:val="20"/>
        </w:rPr>
      </w:pPr>
      <w:r w:rsidRPr="006F59DD">
        <w:rPr>
          <w:sz w:val="20"/>
          <w:szCs w:val="20"/>
        </w:rPr>
        <w:t>In the circumstances, we are all of the view that the Court of Appeal erred in entering the stay of proceedings that the judge had himself denied.</w:t>
      </w:r>
    </w:p>
    <w:p w:rsidR="006F59DD" w:rsidRPr="006F59DD" w:rsidRDefault="006F59DD" w:rsidP="006F59DD">
      <w:pPr>
        <w:jc w:val="both"/>
        <w:rPr>
          <w:sz w:val="20"/>
          <w:szCs w:val="20"/>
        </w:rPr>
      </w:pPr>
    </w:p>
    <w:p w:rsidR="006F59DD" w:rsidRPr="006F59DD" w:rsidRDefault="006F59DD" w:rsidP="006F59DD">
      <w:pPr>
        <w:jc w:val="both"/>
        <w:rPr>
          <w:sz w:val="20"/>
          <w:szCs w:val="20"/>
        </w:rPr>
      </w:pPr>
      <w:r w:rsidRPr="006F59DD">
        <w:rPr>
          <w:sz w:val="20"/>
          <w:szCs w:val="20"/>
        </w:rPr>
        <w:t>With respect, the Court of Appeal erred in refusing to re</w:t>
      </w:r>
      <w:r w:rsidRPr="006F59DD">
        <w:rPr>
          <w:sz w:val="20"/>
          <w:szCs w:val="20"/>
        </w:rPr>
        <w:noBreakHyphen/>
        <w:t xml:space="preserve">examine the unreasonableness of the delays on the ground that the record before it was incomplete. On appeal, the Crown filed a statement of admissions by the parties — filed by the parties at trial under s. 655 of the </w:t>
      </w:r>
      <w:r w:rsidRPr="006F59DD">
        <w:rPr>
          <w:i/>
          <w:sz w:val="20"/>
          <w:szCs w:val="20"/>
        </w:rPr>
        <w:t>Criminal Code</w:t>
      </w:r>
      <w:r w:rsidRPr="006F59DD">
        <w:rPr>
          <w:sz w:val="20"/>
          <w:szCs w:val="20"/>
        </w:rPr>
        <w:t>, R.S.C. 1985, c. C-46 — that contained a detailed chronology of events, the content of which was not analyzed at all by the Court of Appeal. In our opinion, the evidence in the record allowed the appeal judges to carry out that analysis. It should be noted that a statement of admissions by the parties was not part of the appeal records in the cases on which the Court of Appeal relied, at para. 14 of its reasons, to justify its refusal to re</w:t>
      </w:r>
      <w:r w:rsidRPr="006F59DD">
        <w:rPr>
          <w:sz w:val="20"/>
          <w:szCs w:val="20"/>
        </w:rPr>
        <w:noBreakHyphen/>
        <w:t xml:space="preserve">examine the delays in this case. Although a court is not bound by admissions of law, a joint statement may be useful on appeal and may help reduce the delays leading to the infringement alleged by an accused (see, e.g., </w:t>
      </w:r>
      <w:r w:rsidRPr="006F59DD">
        <w:rPr>
          <w:i/>
          <w:sz w:val="20"/>
          <w:szCs w:val="20"/>
        </w:rPr>
        <w:t>R. v. Bryant</w:t>
      </w:r>
      <w:r w:rsidRPr="006F59DD">
        <w:rPr>
          <w:sz w:val="20"/>
          <w:szCs w:val="20"/>
        </w:rPr>
        <w:t>, 2021 QCCA 1807, at para. 3).</w:t>
      </w:r>
    </w:p>
    <w:p w:rsidR="006F59DD" w:rsidRPr="006F59DD" w:rsidRDefault="006F59DD" w:rsidP="006F59DD">
      <w:pPr>
        <w:jc w:val="both"/>
        <w:rPr>
          <w:sz w:val="20"/>
          <w:szCs w:val="20"/>
        </w:rPr>
      </w:pPr>
    </w:p>
    <w:p w:rsidR="006F59DD" w:rsidRPr="006F59DD" w:rsidRDefault="006F59DD" w:rsidP="006F59DD">
      <w:pPr>
        <w:jc w:val="both"/>
        <w:rPr>
          <w:sz w:val="20"/>
          <w:szCs w:val="20"/>
        </w:rPr>
      </w:pPr>
      <w:r w:rsidRPr="006F59DD">
        <w:rPr>
          <w:sz w:val="20"/>
          <w:szCs w:val="20"/>
        </w:rPr>
        <w:t>The evidence in the record shows that the respondents directly caused most of the delays of which they complain and that they attempted to derail the trial by filing multiple applications, motions and interlocutory appeals, which were unsuccessful for the most part. These delays are largely but not exclusively attributable to the defence and must be subtracted from the total delay.</w:t>
      </w:r>
    </w:p>
    <w:p w:rsidR="006F59DD" w:rsidRPr="006F59DD" w:rsidRDefault="006F59DD" w:rsidP="006F59DD">
      <w:pPr>
        <w:jc w:val="both"/>
        <w:rPr>
          <w:sz w:val="20"/>
          <w:szCs w:val="20"/>
        </w:rPr>
      </w:pPr>
    </w:p>
    <w:p w:rsidR="006F59DD" w:rsidRPr="006F59DD" w:rsidRDefault="006F59DD" w:rsidP="006F59DD">
      <w:pPr>
        <w:jc w:val="both"/>
        <w:rPr>
          <w:sz w:val="20"/>
          <w:szCs w:val="20"/>
        </w:rPr>
      </w:pPr>
      <w:r w:rsidRPr="006F59DD">
        <w:rPr>
          <w:sz w:val="20"/>
          <w:szCs w:val="20"/>
        </w:rPr>
        <w:t>The respondents also caused additional delays by insisting that a certain lawyer represent them despite a clear conflict of interest. In 2011, the preliminary inquiry judge found that Mélanie and Dax Ste</w:t>
      </w:r>
      <w:r w:rsidRPr="006F59DD">
        <w:rPr>
          <w:sz w:val="20"/>
          <w:szCs w:val="20"/>
        </w:rPr>
        <w:noBreakHyphen/>
        <w:t>Marie could not be represented by the same lawyer. As a result, they represented themselves. Despite the conflict of interest, they continued to insist that the lawyer retained by their father, Michel Ste</w:t>
      </w:r>
      <w:r w:rsidRPr="006F59DD">
        <w:rPr>
          <w:sz w:val="20"/>
          <w:szCs w:val="20"/>
        </w:rPr>
        <w:noBreakHyphen/>
        <w:t>Marie, represent all three of them. They maintained that position for more than two years. That course of conduct was of course untenable and caused additional delay.</w:t>
      </w:r>
    </w:p>
    <w:p w:rsidR="006F59DD" w:rsidRPr="006F59DD" w:rsidRDefault="006F59DD" w:rsidP="006F59DD">
      <w:pPr>
        <w:jc w:val="both"/>
        <w:rPr>
          <w:sz w:val="20"/>
          <w:szCs w:val="20"/>
        </w:rPr>
      </w:pPr>
    </w:p>
    <w:p w:rsidR="006F59DD" w:rsidRPr="006F59DD" w:rsidRDefault="006F59DD" w:rsidP="006F59DD">
      <w:pPr>
        <w:jc w:val="both"/>
        <w:rPr>
          <w:sz w:val="20"/>
          <w:szCs w:val="20"/>
        </w:rPr>
      </w:pPr>
      <w:r w:rsidRPr="006F59DD">
        <w:rPr>
          <w:sz w:val="20"/>
          <w:szCs w:val="20"/>
        </w:rPr>
        <w:t>We reach the same conclusion with respect to Richard Felx. Although the conflict of interest did not directly involve him, he never expressed concern about the delays caused by his co</w:t>
      </w:r>
      <w:r w:rsidRPr="006F59DD">
        <w:rPr>
          <w:sz w:val="20"/>
          <w:szCs w:val="20"/>
        </w:rPr>
        <w:noBreakHyphen/>
        <w:t>accused. Moreover, the prosecution offered him his own preliminary inquiry several times, but he always refused.</w:t>
      </w:r>
    </w:p>
    <w:p w:rsidR="006F59DD" w:rsidRPr="006F59DD" w:rsidRDefault="006F59DD" w:rsidP="006F59DD">
      <w:pPr>
        <w:jc w:val="both"/>
        <w:rPr>
          <w:sz w:val="20"/>
          <w:szCs w:val="20"/>
        </w:rPr>
      </w:pPr>
    </w:p>
    <w:p w:rsidR="006F59DD" w:rsidRPr="006F59DD" w:rsidRDefault="006F59DD" w:rsidP="006F59DD">
      <w:pPr>
        <w:jc w:val="both"/>
        <w:rPr>
          <w:rFonts w:asciiTheme="minorBidi" w:hAnsiTheme="minorBidi"/>
          <w:sz w:val="20"/>
          <w:szCs w:val="20"/>
        </w:rPr>
      </w:pPr>
      <w:r w:rsidRPr="006F59DD">
        <w:rPr>
          <w:i/>
          <w:sz w:val="20"/>
          <w:szCs w:val="20"/>
        </w:rPr>
        <w:t>Jordan</w:t>
      </w:r>
      <w:r w:rsidRPr="006F59DD">
        <w:rPr>
          <w:sz w:val="20"/>
          <w:szCs w:val="20"/>
        </w:rPr>
        <w:t xml:space="preserve"> reaffirmed the principle, which is applicable in this case, that the defence should not be allowed to benefit from its own delay</w:t>
      </w:r>
      <w:r w:rsidRPr="006F59DD">
        <w:rPr>
          <w:sz w:val="20"/>
          <w:szCs w:val="20"/>
        </w:rPr>
        <w:noBreakHyphen/>
        <w:t xml:space="preserve">causing conduct or from its tactics aimed at causing delay (paras. 60 and 63; see </w:t>
      </w:r>
      <w:r w:rsidRPr="006F59DD">
        <w:rPr>
          <w:i/>
          <w:sz w:val="20"/>
          <w:szCs w:val="20"/>
        </w:rPr>
        <w:t>Morin</w:t>
      </w:r>
      <w:r w:rsidRPr="006F59DD">
        <w:rPr>
          <w:sz w:val="20"/>
          <w:szCs w:val="20"/>
        </w:rPr>
        <w:t xml:space="preserve">, at p. 802; </w:t>
      </w:r>
      <w:r w:rsidRPr="006F59DD">
        <w:rPr>
          <w:i/>
          <w:sz w:val="20"/>
          <w:szCs w:val="20"/>
        </w:rPr>
        <w:t>R. v. Askov</w:t>
      </w:r>
      <w:r w:rsidRPr="006F59DD">
        <w:rPr>
          <w:sz w:val="20"/>
          <w:szCs w:val="20"/>
        </w:rPr>
        <w:t xml:space="preserve">, </w:t>
      </w:r>
      <w:r w:rsidRPr="006F59DD">
        <w:rPr>
          <w:rFonts w:cs="Times New Roman"/>
          <w:sz w:val="20"/>
          <w:szCs w:val="20"/>
        </w:rPr>
        <w:t>[1990</w:t>
      </w:r>
      <w:r w:rsidRPr="006F59DD">
        <w:rPr>
          <w:rFonts w:asciiTheme="minorBidi" w:hAnsiTheme="minorBidi"/>
          <w:sz w:val="20"/>
          <w:szCs w:val="20"/>
        </w:rPr>
        <w:t>] 2 S.C.R. 1199, at pp. 1227</w:t>
      </w:r>
      <w:r w:rsidRPr="006F59DD">
        <w:rPr>
          <w:rFonts w:asciiTheme="minorBidi" w:hAnsiTheme="minorBidi"/>
          <w:sz w:val="20"/>
          <w:szCs w:val="20"/>
        </w:rPr>
        <w:noBreakHyphen/>
        <w:t>28).</w:t>
      </w:r>
    </w:p>
    <w:p w:rsidR="006F59DD" w:rsidRPr="006F59DD" w:rsidRDefault="006F59DD" w:rsidP="006F59DD">
      <w:pPr>
        <w:jc w:val="both"/>
        <w:rPr>
          <w:rFonts w:asciiTheme="minorBidi" w:hAnsiTheme="minorBidi"/>
          <w:sz w:val="20"/>
          <w:szCs w:val="20"/>
        </w:rPr>
      </w:pPr>
    </w:p>
    <w:p w:rsidR="006F59DD" w:rsidRPr="006F59DD" w:rsidRDefault="006F59DD" w:rsidP="006F59DD">
      <w:pPr>
        <w:jc w:val="both"/>
        <w:rPr>
          <w:rFonts w:asciiTheme="minorBidi" w:hAnsiTheme="minorBidi"/>
          <w:sz w:val="20"/>
          <w:szCs w:val="20"/>
        </w:rPr>
      </w:pPr>
      <w:r w:rsidRPr="006F59DD">
        <w:rPr>
          <w:rFonts w:asciiTheme="minorBidi" w:hAnsiTheme="minorBidi"/>
          <w:sz w:val="20"/>
          <w:szCs w:val="20"/>
        </w:rPr>
        <w:t>The appellant argues that once the deductions are made, the net delay is 35 months at the most (A.F., at para. 41). The respondents Mélanie Ste</w:t>
      </w:r>
      <w:r w:rsidRPr="006F59DD">
        <w:rPr>
          <w:rFonts w:asciiTheme="minorBidi" w:hAnsiTheme="minorBidi"/>
          <w:sz w:val="20"/>
          <w:szCs w:val="20"/>
        </w:rPr>
        <w:noBreakHyphen/>
        <w:t>Marie, Dax Ste</w:t>
      </w:r>
      <w:r w:rsidRPr="006F59DD">
        <w:rPr>
          <w:rFonts w:asciiTheme="minorBidi" w:hAnsiTheme="minorBidi"/>
          <w:sz w:val="20"/>
          <w:szCs w:val="20"/>
        </w:rPr>
        <w:noBreakHyphen/>
        <w:t>Marie and Richard Felx refer to this same calculation in their factum (R.F., at para. 37).</w:t>
      </w:r>
    </w:p>
    <w:p w:rsidR="006F59DD" w:rsidRPr="006F59DD" w:rsidRDefault="006F59DD" w:rsidP="006F59DD">
      <w:pPr>
        <w:jc w:val="both"/>
        <w:rPr>
          <w:rFonts w:asciiTheme="minorBidi" w:hAnsiTheme="minorBidi"/>
          <w:sz w:val="20"/>
          <w:szCs w:val="20"/>
        </w:rPr>
      </w:pPr>
    </w:p>
    <w:p w:rsidR="006F59DD" w:rsidRPr="006F59DD" w:rsidRDefault="006F59DD">
      <w:pPr>
        <w:rPr>
          <w:rFonts w:asciiTheme="minorBidi" w:hAnsiTheme="minorBidi"/>
          <w:sz w:val="20"/>
          <w:szCs w:val="20"/>
        </w:rPr>
      </w:pPr>
      <w:r w:rsidRPr="006F59DD">
        <w:rPr>
          <w:rFonts w:asciiTheme="minorBidi" w:hAnsiTheme="minorBidi"/>
          <w:sz w:val="20"/>
          <w:szCs w:val="20"/>
        </w:rPr>
        <w:br w:type="page"/>
      </w:r>
    </w:p>
    <w:p w:rsidR="006F59DD" w:rsidRPr="006F59DD" w:rsidRDefault="006F59DD" w:rsidP="006F59DD">
      <w:pPr>
        <w:jc w:val="both"/>
        <w:rPr>
          <w:rFonts w:asciiTheme="minorBidi" w:hAnsiTheme="minorBidi"/>
          <w:sz w:val="20"/>
          <w:szCs w:val="20"/>
        </w:rPr>
      </w:pPr>
      <w:r w:rsidRPr="006F59DD">
        <w:rPr>
          <w:rFonts w:asciiTheme="minorBidi" w:hAnsiTheme="minorBidi"/>
          <w:sz w:val="20"/>
          <w:szCs w:val="20"/>
        </w:rPr>
        <w:lastRenderedPageBreak/>
        <w:t xml:space="preserve">Assuming for the sake of argument that the residual delay exceeds the ceiling set in </w:t>
      </w:r>
      <w:r w:rsidRPr="006F59DD">
        <w:rPr>
          <w:rFonts w:asciiTheme="minorBidi" w:hAnsiTheme="minorBidi"/>
          <w:i/>
          <w:sz w:val="20"/>
          <w:szCs w:val="20"/>
        </w:rPr>
        <w:t>Jordan</w:t>
      </w:r>
      <w:r w:rsidRPr="006F59DD">
        <w:rPr>
          <w:rFonts w:asciiTheme="minorBidi" w:hAnsiTheme="minorBidi"/>
          <w:sz w:val="20"/>
          <w:szCs w:val="20"/>
        </w:rPr>
        <w:t>, the presumption of unreasonableness may be rebutted on the basis of the transitional exceptional circumstance (</w:t>
      </w:r>
      <w:r w:rsidRPr="006F59DD">
        <w:rPr>
          <w:rFonts w:asciiTheme="minorBidi" w:hAnsiTheme="minorBidi"/>
          <w:i/>
          <w:sz w:val="20"/>
          <w:szCs w:val="20"/>
        </w:rPr>
        <w:t>Jordan</w:t>
      </w:r>
      <w:r w:rsidRPr="006F59DD">
        <w:rPr>
          <w:rFonts w:asciiTheme="minorBidi" w:hAnsiTheme="minorBidi"/>
          <w:sz w:val="20"/>
          <w:szCs w:val="20"/>
        </w:rPr>
        <w:t>, at paras. 96</w:t>
      </w:r>
      <w:r w:rsidRPr="006F59DD">
        <w:rPr>
          <w:rFonts w:asciiTheme="minorBidi" w:hAnsiTheme="minorBidi"/>
          <w:sz w:val="20"/>
          <w:szCs w:val="20"/>
        </w:rPr>
        <w:noBreakHyphen/>
        <w:t>97). The transitional exceptional circumstance may apply where it is shown that “the time the case has taken is justified based on the parties’ reasonable reliance on the law as it previously existed” (</w:t>
      </w:r>
      <w:r w:rsidRPr="006F59DD">
        <w:rPr>
          <w:rFonts w:asciiTheme="minorBidi" w:hAnsiTheme="minorBidi"/>
          <w:i/>
          <w:sz w:val="20"/>
          <w:szCs w:val="20"/>
        </w:rPr>
        <w:t>R. v. Cody</w:t>
      </w:r>
      <w:r w:rsidRPr="006F59DD">
        <w:rPr>
          <w:rFonts w:asciiTheme="minorBidi" w:hAnsiTheme="minorBidi"/>
          <w:sz w:val="20"/>
          <w:szCs w:val="20"/>
        </w:rPr>
        <w:t xml:space="preserve">, 2017 SCC 31, [2017] 1 S.C.R. 659, at para. 68). In </w:t>
      </w:r>
      <w:r w:rsidRPr="006F59DD">
        <w:rPr>
          <w:rFonts w:asciiTheme="minorBidi" w:hAnsiTheme="minorBidi"/>
          <w:i/>
          <w:sz w:val="20"/>
          <w:szCs w:val="20"/>
        </w:rPr>
        <w:t>R. v. Rice</w:t>
      </w:r>
      <w:r w:rsidRPr="006F59DD">
        <w:rPr>
          <w:rFonts w:asciiTheme="minorBidi" w:hAnsiTheme="minorBidi"/>
          <w:sz w:val="20"/>
          <w:szCs w:val="20"/>
        </w:rPr>
        <w:t>, 2018 QCCA 198, at para. 202 (CanLII), Vauclair J.A. noted that, for this purpose, the court may examine the conduct of the accused: [</w:t>
      </w:r>
      <w:r w:rsidRPr="006F59DD">
        <w:rPr>
          <w:rFonts w:asciiTheme="minorBidi" w:hAnsiTheme="minorBidi"/>
          <w:smallCaps/>
          <w:sz w:val="20"/>
          <w:szCs w:val="20"/>
        </w:rPr>
        <w:t>translation</w:t>
      </w:r>
      <w:r w:rsidRPr="006F59DD">
        <w:rPr>
          <w:rFonts w:asciiTheme="minorBidi" w:hAnsiTheme="minorBidi"/>
          <w:sz w:val="20"/>
          <w:szCs w:val="20"/>
        </w:rPr>
        <w:t xml:space="preserve">] “[t]he absence of haste is an indicator of the lack of concern the accused has for delays and may be helpful in assessing prejudice”. This is in line with the factual determination made by the trial judge in this case, who found that the prejudice complained of by the respondents did not result from delay. In this situation, in light of the transitional exceptional circumstance identified in </w:t>
      </w:r>
      <w:r w:rsidRPr="006F59DD">
        <w:rPr>
          <w:rFonts w:asciiTheme="minorBidi" w:hAnsiTheme="minorBidi"/>
          <w:i/>
          <w:sz w:val="20"/>
          <w:szCs w:val="20"/>
        </w:rPr>
        <w:t>Jordan</w:t>
      </w:r>
      <w:r w:rsidRPr="006F59DD">
        <w:rPr>
          <w:rFonts w:asciiTheme="minorBidi" w:hAnsiTheme="minorBidi"/>
          <w:sz w:val="20"/>
          <w:szCs w:val="20"/>
        </w:rPr>
        <w:t xml:space="preserve">, it should be concluded that s. 11(b) of the </w:t>
      </w:r>
      <w:r w:rsidRPr="006F59DD">
        <w:rPr>
          <w:rFonts w:asciiTheme="minorBidi" w:hAnsiTheme="minorBidi"/>
          <w:i/>
          <w:sz w:val="20"/>
          <w:szCs w:val="20"/>
        </w:rPr>
        <w:t>Charter</w:t>
      </w:r>
      <w:r w:rsidRPr="006F59DD">
        <w:rPr>
          <w:rFonts w:asciiTheme="minorBidi" w:hAnsiTheme="minorBidi"/>
          <w:sz w:val="20"/>
          <w:szCs w:val="20"/>
        </w:rPr>
        <w:t xml:space="preserve"> was not infringed and that the trial judge was right to dismiss the motions for a stay of proceedings.</w:t>
      </w:r>
    </w:p>
    <w:p w:rsidR="006F59DD" w:rsidRPr="006F59DD" w:rsidRDefault="006F59DD" w:rsidP="006F59DD">
      <w:pPr>
        <w:jc w:val="both"/>
        <w:rPr>
          <w:rFonts w:asciiTheme="minorBidi" w:hAnsiTheme="minorBidi"/>
          <w:sz w:val="20"/>
          <w:szCs w:val="20"/>
        </w:rPr>
      </w:pPr>
    </w:p>
    <w:p w:rsidR="006F59DD" w:rsidRPr="006F59DD" w:rsidRDefault="006F59DD" w:rsidP="006F59DD">
      <w:pPr>
        <w:jc w:val="both"/>
        <w:rPr>
          <w:sz w:val="20"/>
          <w:szCs w:val="20"/>
          <w:lang w:val="en-US"/>
        </w:rPr>
      </w:pPr>
      <w:r w:rsidRPr="006F59DD">
        <w:rPr>
          <w:rFonts w:asciiTheme="minorBidi" w:hAnsiTheme="minorBidi"/>
          <w:sz w:val="20"/>
          <w:szCs w:val="20"/>
        </w:rPr>
        <w:t>For these reasons, we would allow the appeal, set aside the stay of proceedings and remand the case to a new panel of the Quebec Court of Appeal for consideration of the other grounds of appeal that remain outstanding.</w:t>
      </w:r>
    </w:p>
    <w:p w:rsidR="005745D9" w:rsidRPr="006F59DD" w:rsidRDefault="005745D9" w:rsidP="005745D9">
      <w:pPr>
        <w:jc w:val="both"/>
        <w:rPr>
          <w:sz w:val="20"/>
          <w:szCs w:val="20"/>
          <w:lang w:val="en-US"/>
        </w:rPr>
      </w:pPr>
    </w:p>
    <w:p w:rsidR="00172473" w:rsidRPr="006F59DD" w:rsidRDefault="006F59DD" w:rsidP="005745D9">
      <w:pPr>
        <w:widowControl w:val="0"/>
        <w:rPr>
          <w:sz w:val="20"/>
          <w:szCs w:val="20"/>
          <w:lang w:val="fr-CA"/>
        </w:rPr>
      </w:pPr>
      <w:r w:rsidRPr="006F59DD">
        <w:rPr>
          <w:sz w:val="20"/>
          <w:szCs w:val="20"/>
        </w:rPr>
        <w:pict>
          <v:rect id="_x0000_i1063" style="width:2in;height:1pt" o:hrpct="0" o:hralign="center" o:hrstd="t" o:hrnoshade="t" o:hr="t" fillcolor="black [3213]" stroked="f"/>
        </w:pict>
      </w:r>
    </w:p>
    <w:p w:rsidR="00732DB7" w:rsidRPr="006F59DD" w:rsidRDefault="00732DB7" w:rsidP="00732DB7">
      <w:pPr>
        <w:widowControl w:val="0"/>
        <w:rPr>
          <w:sz w:val="20"/>
          <w:szCs w:val="20"/>
          <w:lang w:val="fr-CA"/>
        </w:rPr>
      </w:pPr>
    </w:p>
    <w:p w:rsidR="005745D9" w:rsidRPr="006F59DD" w:rsidRDefault="005745D9" w:rsidP="00732DB7">
      <w:pPr>
        <w:widowControl w:val="0"/>
        <w:rPr>
          <w:sz w:val="20"/>
          <w:szCs w:val="20"/>
          <w:lang w:val="fr-CA"/>
        </w:rPr>
      </w:pPr>
    </w:p>
    <w:p w:rsidR="00732DB7" w:rsidRPr="006F59DD" w:rsidRDefault="00732DB7" w:rsidP="00732DB7">
      <w:pPr>
        <w:widowControl w:val="0"/>
        <w:rPr>
          <w:sz w:val="20"/>
          <w:szCs w:val="20"/>
          <w:lang w:val="fr-CA"/>
        </w:rPr>
        <w:sectPr w:rsidR="00732DB7" w:rsidRPr="006F59DD"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p w:rsidR="00567602" w:rsidRPr="006F59DD" w:rsidRDefault="001434B9" w:rsidP="00567602">
      <w:pPr>
        <w:pStyle w:val="Header1StyleE"/>
        <w:pBdr>
          <w:bottom w:val="single" w:sz="12" w:space="1" w:color="auto"/>
        </w:pBdr>
        <w:rPr>
          <w:lang w:val="fr-CA"/>
        </w:rPr>
      </w:pPr>
      <w:bookmarkStart w:id="8" w:name="1"/>
      <w:bookmarkStart w:id="9" w:name="_Toc95408312"/>
      <w:bookmarkEnd w:id="8"/>
      <w:r w:rsidRPr="006F59DD">
        <w:rPr>
          <w:lang w:val="fr-CA"/>
        </w:rPr>
        <w:lastRenderedPageBreak/>
        <w:t xml:space="preserve">Supreme </w:t>
      </w:r>
      <w:r w:rsidR="00930B8A" w:rsidRPr="006F59DD">
        <w:rPr>
          <w:lang w:val="fr-CA"/>
        </w:rPr>
        <w:t>C</w:t>
      </w:r>
      <w:r w:rsidR="00271E1E" w:rsidRPr="006F59DD">
        <w:rPr>
          <w:lang w:val="fr-CA"/>
        </w:rPr>
        <w:t>ourt R</w:t>
      </w:r>
      <w:r w:rsidRPr="006F59DD">
        <w:rPr>
          <w:lang w:val="fr-CA"/>
        </w:rPr>
        <w:t>eports</w:t>
      </w:r>
      <w:r w:rsidR="00271E1E" w:rsidRPr="006F59DD">
        <w:rPr>
          <w:lang w:val="fr-CA"/>
        </w:rPr>
        <w:t xml:space="preserve"> / </w:t>
      </w:r>
      <w:r w:rsidR="00567602" w:rsidRPr="006F59DD">
        <w:rPr>
          <w:lang w:val="fr-CA"/>
        </w:rPr>
        <w:br/>
      </w:r>
      <w:r w:rsidRPr="006F59DD">
        <w:rPr>
          <w:lang w:val="fr-CA"/>
        </w:rPr>
        <w:t xml:space="preserve">Recueil des arrêts de la </w:t>
      </w:r>
      <w:r w:rsidR="00930B8A" w:rsidRPr="006F59DD">
        <w:rPr>
          <w:lang w:val="fr-CA"/>
        </w:rPr>
        <w:t>C</w:t>
      </w:r>
      <w:r w:rsidRPr="006F59DD">
        <w:rPr>
          <w:lang w:val="fr-CA"/>
        </w:rPr>
        <w:t>our suprême</w:t>
      </w:r>
      <w:bookmarkEnd w:id="9"/>
    </w:p>
    <w:p w:rsidR="00E80D6C" w:rsidRPr="006F59DD" w:rsidRDefault="00E80D6C" w:rsidP="00E80D6C">
      <w:pPr>
        <w:rPr>
          <w:sz w:val="20"/>
          <w:szCs w:val="20"/>
          <w:lang w:val="fr-CA"/>
        </w:rPr>
      </w:pPr>
    </w:p>
    <w:p w:rsidR="00E80D6C" w:rsidRPr="006F59DD" w:rsidRDefault="006F59DD" w:rsidP="00E80D6C">
      <w:pPr>
        <w:rPr>
          <w:rFonts w:cs="Times New Roman"/>
          <w:sz w:val="20"/>
          <w:szCs w:val="20"/>
          <w:lang w:val="en-GB"/>
        </w:rPr>
      </w:pPr>
      <w:hyperlink r:id="rId58" w:history="1">
        <w:r w:rsidR="00E80D6C" w:rsidRPr="006F59DD">
          <w:rPr>
            <w:rStyle w:val="Hyperlink"/>
            <w:rFonts w:cs="Times New Roman"/>
            <w:b/>
            <w:bCs/>
            <w:sz w:val="20"/>
            <w:szCs w:val="20"/>
            <w:lang w:val="en-GB"/>
          </w:rPr>
          <w:t xml:space="preserve">Canada Supreme Court Reports: Part </w:t>
        </w:r>
        <w:r w:rsidR="00B14176" w:rsidRPr="006F59DD">
          <w:rPr>
            <w:rStyle w:val="Hyperlink"/>
            <w:rFonts w:cs="Times New Roman"/>
            <w:b/>
            <w:bCs/>
            <w:sz w:val="20"/>
            <w:szCs w:val="20"/>
            <w:lang w:val="en-GB"/>
          </w:rPr>
          <w:t>4</w:t>
        </w:r>
        <w:r w:rsidR="00E80D6C" w:rsidRPr="006F59DD">
          <w:rPr>
            <w:rStyle w:val="Hyperlink"/>
            <w:rFonts w:cs="Times New Roman"/>
            <w:b/>
            <w:bCs/>
            <w:sz w:val="20"/>
            <w:szCs w:val="20"/>
            <w:lang w:val="en-GB"/>
          </w:rPr>
          <w:t xml:space="preserve">, 2019 Vol. </w:t>
        </w:r>
        <w:r w:rsidR="00B14176" w:rsidRPr="006F59DD">
          <w:rPr>
            <w:rStyle w:val="Hyperlink"/>
            <w:rFonts w:cs="Times New Roman"/>
            <w:b/>
            <w:bCs/>
            <w:sz w:val="20"/>
            <w:szCs w:val="20"/>
            <w:lang w:val="en-GB"/>
          </w:rPr>
          <w:t>2</w:t>
        </w:r>
      </w:hyperlink>
    </w:p>
    <w:p w:rsidR="00E80D6C" w:rsidRPr="006F59DD" w:rsidRDefault="00E80D6C" w:rsidP="00E80D6C">
      <w:pPr>
        <w:rPr>
          <w:sz w:val="20"/>
          <w:szCs w:val="20"/>
          <w:lang w:val="en-GB"/>
        </w:rPr>
      </w:pPr>
    </w:p>
    <w:p w:rsidR="00E80D6C" w:rsidRPr="006F59DD" w:rsidRDefault="006F59DD" w:rsidP="00E80D6C">
      <w:pPr>
        <w:rPr>
          <w:rFonts w:cs="Times New Roman"/>
          <w:b/>
          <w:bCs/>
          <w:sz w:val="20"/>
          <w:szCs w:val="20"/>
          <w:lang w:val="fr-CA"/>
        </w:rPr>
      </w:pPr>
      <w:hyperlink r:id="rId59" w:history="1">
        <w:r w:rsidR="00E80D6C" w:rsidRPr="006F59DD">
          <w:rPr>
            <w:rStyle w:val="Hyperlink"/>
            <w:rFonts w:cs="Times New Roman"/>
            <w:b/>
            <w:bCs/>
            <w:sz w:val="20"/>
            <w:szCs w:val="20"/>
            <w:lang w:val="fr-CA"/>
          </w:rPr>
          <w:t xml:space="preserve">Recueil des arrêts de la Cour suprême du Canada : </w:t>
        </w:r>
        <w:r w:rsidR="00B14176" w:rsidRPr="006F59DD">
          <w:rPr>
            <w:rStyle w:val="Hyperlink"/>
            <w:rFonts w:cs="Times New Roman"/>
            <w:b/>
            <w:bCs/>
            <w:sz w:val="20"/>
            <w:szCs w:val="20"/>
            <w:lang w:val="fr-CA"/>
          </w:rPr>
          <w:t>4</w:t>
        </w:r>
        <w:r w:rsidR="00E80D6C" w:rsidRPr="006F59DD">
          <w:rPr>
            <w:rStyle w:val="Hyperlink"/>
            <w:rFonts w:cs="Times New Roman"/>
            <w:b/>
            <w:bCs/>
            <w:sz w:val="20"/>
            <w:szCs w:val="20"/>
            <w:lang w:val="fr-CA"/>
          </w:rPr>
          <w:t xml:space="preserve">e cahier, 2019 Vol. </w:t>
        </w:r>
        <w:r w:rsidR="00B14176" w:rsidRPr="006F59DD">
          <w:rPr>
            <w:rStyle w:val="Hyperlink"/>
            <w:rFonts w:cs="Times New Roman"/>
            <w:b/>
            <w:bCs/>
            <w:sz w:val="20"/>
            <w:szCs w:val="20"/>
            <w:lang w:val="fr-CA"/>
          </w:rPr>
          <w:t>2</w:t>
        </w:r>
      </w:hyperlink>
    </w:p>
    <w:p w:rsidR="00E80D6C" w:rsidRPr="006F59DD" w:rsidRDefault="00E80D6C" w:rsidP="00E80D6C">
      <w:pPr>
        <w:rPr>
          <w:sz w:val="20"/>
          <w:szCs w:val="20"/>
          <w:lang w:val="fr-CA"/>
        </w:rPr>
      </w:pPr>
    </w:p>
    <w:p w:rsidR="00E80D6C" w:rsidRPr="006F59DD" w:rsidRDefault="006F59DD" w:rsidP="00E80D6C">
      <w:pPr>
        <w:rPr>
          <w:sz w:val="20"/>
          <w:szCs w:val="20"/>
          <w:lang w:val="en-GB"/>
        </w:rPr>
      </w:pPr>
      <w:r w:rsidRPr="006F59DD">
        <w:rPr>
          <w:sz w:val="20"/>
          <w:szCs w:val="20"/>
        </w:rPr>
        <w:pict>
          <v:rect id="_x0000_i1066" style="width:2in;height:1pt" o:hrpct="0" o:hrstd="t" o:hrnoshade="t" o:hr="t" fillcolor="black [3213]" stroked="f"/>
        </w:pict>
      </w:r>
    </w:p>
    <w:p w:rsidR="00C01FCB" w:rsidRPr="006F59DD" w:rsidRDefault="00C01FCB" w:rsidP="00A956D3">
      <w:pPr>
        <w:rPr>
          <w:sz w:val="20"/>
          <w:szCs w:val="20"/>
          <w:lang w:val="fr-CA"/>
        </w:rPr>
      </w:pPr>
    </w:p>
    <w:p w:rsidR="00194C4A" w:rsidRPr="006F59DD" w:rsidRDefault="006F59DD" w:rsidP="00194C4A">
      <w:pPr>
        <w:rPr>
          <w:rFonts w:cs="Times New Roman"/>
          <w:sz w:val="20"/>
          <w:szCs w:val="20"/>
          <w:lang w:val="en-GB"/>
        </w:rPr>
      </w:pPr>
      <w:hyperlink r:id="rId60" w:history="1">
        <w:r w:rsidR="00194C4A" w:rsidRPr="006F59DD">
          <w:rPr>
            <w:rStyle w:val="Hyperlink"/>
            <w:rFonts w:cs="Times New Roman"/>
            <w:b/>
            <w:bCs/>
            <w:sz w:val="20"/>
            <w:szCs w:val="20"/>
            <w:lang w:val="en-GB"/>
          </w:rPr>
          <w:t>Canada Supreme Court Reports: Part 1, 2019 Vol. 3</w:t>
        </w:r>
      </w:hyperlink>
    </w:p>
    <w:p w:rsidR="00194C4A" w:rsidRPr="006F59DD" w:rsidRDefault="00194C4A" w:rsidP="00194C4A">
      <w:pPr>
        <w:rPr>
          <w:sz w:val="20"/>
          <w:szCs w:val="20"/>
          <w:lang w:val="en-GB"/>
        </w:rPr>
      </w:pPr>
    </w:p>
    <w:p w:rsidR="00194C4A" w:rsidRPr="006F59DD" w:rsidRDefault="006F59DD" w:rsidP="00194C4A">
      <w:pPr>
        <w:rPr>
          <w:rFonts w:cs="Times New Roman"/>
          <w:b/>
          <w:bCs/>
          <w:sz w:val="20"/>
          <w:szCs w:val="20"/>
          <w:lang w:val="fr-CA"/>
        </w:rPr>
      </w:pPr>
      <w:hyperlink r:id="rId61" w:history="1">
        <w:r w:rsidR="00194C4A" w:rsidRPr="006F59DD">
          <w:rPr>
            <w:rStyle w:val="Hyperlink"/>
            <w:rFonts w:cs="Times New Roman"/>
            <w:b/>
            <w:bCs/>
            <w:sz w:val="20"/>
            <w:szCs w:val="20"/>
            <w:lang w:val="fr-CA"/>
          </w:rPr>
          <w:t>Recueil des arrêts de la Cour suprême du Canada : 1er cahier, 2019 Vol. 3</w:t>
        </w:r>
      </w:hyperlink>
    </w:p>
    <w:p w:rsidR="00194C4A" w:rsidRPr="006F59DD" w:rsidRDefault="00194C4A" w:rsidP="00194C4A">
      <w:pPr>
        <w:rPr>
          <w:sz w:val="20"/>
          <w:szCs w:val="20"/>
          <w:lang w:val="fr-CA"/>
        </w:rPr>
      </w:pPr>
    </w:p>
    <w:p w:rsidR="00125B8F" w:rsidRPr="006F59DD" w:rsidRDefault="006F59DD" w:rsidP="00194C4A">
      <w:pPr>
        <w:rPr>
          <w:sz w:val="20"/>
          <w:szCs w:val="20"/>
          <w:lang w:val="fr-CA"/>
        </w:rPr>
      </w:pPr>
      <w:r w:rsidRPr="006F59DD">
        <w:rPr>
          <w:sz w:val="20"/>
          <w:szCs w:val="20"/>
        </w:rPr>
        <w:pict>
          <v:rect id="_x0000_i1067" style="width:2in;height:1pt" o:hrpct="0" o:hrstd="t" o:hrnoshade="t" o:hr="t" fillcolor="black [3213]" stroked="f"/>
        </w:pict>
      </w:r>
    </w:p>
    <w:p w:rsidR="00194C4A" w:rsidRPr="006F59DD" w:rsidRDefault="00194C4A" w:rsidP="00A956D3">
      <w:pPr>
        <w:rPr>
          <w:sz w:val="20"/>
          <w:szCs w:val="20"/>
          <w:lang w:val="fr-CA"/>
        </w:rPr>
      </w:pPr>
    </w:p>
    <w:p w:rsidR="006B6926" w:rsidRPr="006F59DD" w:rsidRDefault="006B6926" w:rsidP="00782AE4">
      <w:pPr>
        <w:jc w:val="both"/>
        <w:rPr>
          <w:sz w:val="20"/>
          <w:szCs w:val="20"/>
          <w:lang w:val="fr-CA"/>
        </w:rPr>
      </w:pPr>
    </w:p>
    <w:p w:rsidR="006B6926" w:rsidRPr="006F59DD" w:rsidRDefault="006B6926" w:rsidP="00782AE4">
      <w:pPr>
        <w:jc w:val="both"/>
        <w:rPr>
          <w:sz w:val="20"/>
          <w:szCs w:val="20"/>
          <w:lang w:val="fr-CA"/>
        </w:rPr>
        <w:sectPr w:rsidR="006B6926" w:rsidRPr="006F59DD" w:rsidSect="006B6926">
          <w:headerReference w:type="default"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p w:rsidR="003F414B" w:rsidRPr="006F59DD" w:rsidRDefault="003F414B" w:rsidP="003F414B">
      <w:pPr>
        <w:tabs>
          <w:tab w:val="center" w:pos="5220"/>
          <w:tab w:val="right" w:pos="10800"/>
        </w:tabs>
        <w:jc w:val="center"/>
        <w:rPr>
          <w:rFonts w:ascii="Arial" w:hAnsi="Arial" w:cs="Arial"/>
          <w:szCs w:val="24"/>
          <w:lang w:val="fr-CA"/>
        </w:rPr>
      </w:pPr>
      <w:bookmarkStart w:id="10" w:name="QuickMark"/>
      <w:bookmarkEnd w:id="10"/>
      <w:r w:rsidRPr="006F59DD">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6F59DD"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lang w:val="fr-FR"/>
              </w:rPr>
            </w:pPr>
            <w:r w:rsidRPr="006F59D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lang w:val="fr-FR"/>
              </w:rPr>
            </w:pPr>
            <w:r w:rsidRPr="006F59D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lang w:val="fr-FR"/>
              </w:rPr>
            </w:pPr>
            <w:r w:rsidRPr="006F59DD">
              <w:rPr>
                <w:rFonts w:ascii="Arial" w:eastAsia="Arial" w:hAnsi="Arial"/>
                <w:b/>
                <w:color w:val="000000"/>
                <w:sz w:val="13"/>
              </w:rPr>
              <w:t>DECEMBER – DÉCEMBRE</w:t>
            </w:r>
          </w:p>
        </w:tc>
      </w:tr>
      <w:tr w:rsidR="003F414B" w:rsidRPr="006F59DD"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S</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M</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T</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W</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T</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F</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S</w:t>
            </w:r>
          </w:p>
          <w:p w:rsidR="003F414B" w:rsidRPr="006F59DD" w:rsidRDefault="003F414B" w:rsidP="00E8642A">
            <w:pPr>
              <w:jc w:val="center"/>
              <w:textAlignment w:val="baseline"/>
              <w:rPr>
                <w:rFonts w:ascii="Arial" w:eastAsia="Arial" w:hAnsi="Arial"/>
                <w:b/>
                <w:color w:val="000000"/>
                <w:sz w:val="13"/>
                <w:szCs w:val="13"/>
              </w:rPr>
            </w:pPr>
            <w:r w:rsidRPr="006F59D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S</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M</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T</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W</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T</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F</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S</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S</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M</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T</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W</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T</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F</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S</w:t>
            </w:r>
          </w:p>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S</w:t>
            </w:r>
          </w:p>
        </w:tc>
      </w:tr>
      <w:tr w:rsidR="003F414B" w:rsidRPr="006F59DD"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CC</w:t>
            </w:r>
          </w:p>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4</w:t>
            </w:r>
          </w:p>
        </w:tc>
      </w:tr>
      <w:tr w:rsidR="003F414B" w:rsidRPr="006F59DD"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CC</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H</w:t>
            </w:r>
          </w:p>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11</w:t>
            </w:r>
          </w:p>
        </w:tc>
      </w:tr>
      <w:tr w:rsidR="003F414B" w:rsidRPr="006F59DD"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18</w:t>
            </w:r>
          </w:p>
        </w:tc>
      </w:tr>
      <w:tr w:rsidR="003F414B" w:rsidRPr="006F59DD"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25</w:t>
            </w:r>
          </w:p>
        </w:tc>
      </w:tr>
      <w:tr w:rsidR="003F414B" w:rsidRPr="006F59DD"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 xml:space="preserve">  24 /</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rPr>
            </w:pPr>
            <w:r w:rsidRPr="006F59DD">
              <w:rPr>
                <w:rFonts w:ascii="Arial" w:eastAsia="Arial" w:hAnsi="Arial" w:cs="Arial"/>
                <w:b/>
                <w:color w:val="000000"/>
                <w:sz w:val="13"/>
              </w:rPr>
              <w:t>CC</w:t>
            </w:r>
          </w:p>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rPr>
            </w:pPr>
            <w:r w:rsidRPr="006F59DD">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b/>
                <w:sz w:val="13"/>
                <w:szCs w:val="13"/>
              </w:rPr>
            </w:pPr>
            <w:r w:rsidRPr="006F59DD">
              <w:rPr>
                <w:rFonts w:ascii="Arial" w:hAnsi="Arial" w:cs="Arial"/>
                <w:b/>
                <w:sz w:val="13"/>
                <w:szCs w:val="13"/>
              </w:rPr>
              <w:t>H</w:t>
            </w:r>
          </w:p>
          <w:p w:rsidR="003F414B" w:rsidRPr="006F59DD" w:rsidRDefault="003F414B" w:rsidP="00E8642A">
            <w:pPr>
              <w:jc w:val="center"/>
              <w:rPr>
                <w:rFonts w:ascii="Arial" w:hAnsi="Arial" w:cs="Arial"/>
                <w:sz w:val="13"/>
                <w:szCs w:val="13"/>
              </w:rPr>
            </w:pPr>
            <w:r w:rsidRPr="006F59D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b/>
                <w:sz w:val="13"/>
                <w:szCs w:val="13"/>
              </w:rPr>
            </w:pPr>
            <w:r w:rsidRPr="006F59DD">
              <w:rPr>
                <w:rFonts w:ascii="Arial" w:hAnsi="Arial" w:cs="Arial"/>
                <w:b/>
                <w:sz w:val="13"/>
                <w:szCs w:val="13"/>
              </w:rPr>
              <w:t>H</w:t>
            </w:r>
          </w:p>
          <w:p w:rsidR="003F414B" w:rsidRPr="006F59DD" w:rsidRDefault="003F414B" w:rsidP="00E8642A">
            <w:pPr>
              <w:jc w:val="center"/>
              <w:rPr>
                <w:rFonts w:ascii="Arial" w:hAnsi="Arial" w:cs="Arial"/>
                <w:sz w:val="13"/>
                <w:szCs w:val="13"/>
              </w:rPr>
            </w:pPr>
            <w:r w:rsidRPr="006F59D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r w:rsidRPr="006F59DD">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rPr>
                <w:rFonts w:ascii="Arial" w:hAnsi="Arial" w:cs="Arial"/>
                <w:sz w:val="13"/>
                <w:szCs w:val="13"/>
              </w:rPr>
            </w:pPr>
          </w:p>
        </w:tc>
      </w:tr>
    </w:tbl>
    <w:p w:rsidR="003F414B" w:rsidRPr="006F59DD" w:rsidRDefault="003F414B" w:rsidP="003F414B">
      <w:pPr>
        <w:tabs>
          <w:tab w:val="center" w:pos="5220"/>
          <w:tab w:val="right" w:pos="10440"/>
        </w:tabs>
        <w:spacing w:before="120"/>
        <w:jc w:val="center"/>
        <w:rPr>
          <w:rFonts w:ascii="Arial" w:hAnsi="Arial" w:cs="Arial"/>
          <w:szCs w:val="24"/>
        </w:rPr>
      </w:pPr>
      <w:r w:rsidRPr="006F59DD">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6F59DD"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MARCH – MARS</w:t>
            </w:r>
          </w:p>
        </w:tc>
      </w:tr>
      <w:tr w:rsidR="003F414B" w:rsidRPr="006F59DD"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r>
      <w:tr w:rsidR="003F414B" w:rsidRPr="006F59D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r>
      <w:tr w:rsidR="003F414B" w:rsidRPr="006F59D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spacing w:before="241" w:after="34"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F59DD" w:rsidRDefault="003F414B" w:rsidP="00E8642A">
            <w:pPr>
              <w:spacing w:before="91" w:line="148" w:lineRule="exact"/>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spacing w:before="2" w:after="34"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CC</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r>
      <w:tr w:rsidR="003F414B" w:rsidRPr="006F59D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spacing w:before="240" w:after="30"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spacing w:before="91" w:line="148" w:lineRule="exact"/>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CC</w:t>
            </w:r>
          </w:p>
          <w:p w:rsidR="003F414B" w:rsidRPr="006F59DD" w:rsidRDefault="003F414B" w:rsidP="00E8642A">
            <w:pPr>
              <w:spacing w:before="1" w:after="30"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CC</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r>
      <w:tr w:rsidR="003F414B" w:rsidRPr="006F59D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spacing w:before="212" w:after="30"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spacing w:before="212" w:after="30"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r>
      <w:tr w:rsidR="003F414B" w:rsidRPr="006F59DD"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F59DD" w:rsidRDefault="003F414B" w:rsidP="00E8642A">
            <w:pPr>
              <w:spacing w:before="77" w:after="35"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 xml:space="preserve">  23 /</w:t>
            </w:r>
          </w:p>
          <w:p w:rsidR="003F414B" w:rsidRPr="006F59DD" w:rsidRDefault="003F414B" w:rsidP="00E8642A">
            <w:pPr>
              <w:spacing w:before="39" w:after="30"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F59DD" w:rsidRDefault="003F414B" w:rsidP="00E8642A">
            <w:pPr>
              <w:spacing w:before="77" w:after="35"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 xml:space="preserve">  24 /</w:t>
            </w:r>
          </w:p>
          <w:p w:rsidR="003F414B" w:rsidRPr="006F59DD" w:rsidRDefault="003F414B" w:rsidP="00E8642A">
            <w:pPr>
              <w:spacing w:before="39" w:after="30" w:line="147" w:lineRule="exact"/>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r>
      <w:tr w:rsidR="003F414B" w:rsidRPr="006F59DD"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JUNE – JUIN</w:t>
            </w:r>
          </w:p>
        </w:tc>
      </w:tr>
      <w:tr w:rsidR="003F414B" w:rsidRPr="006F59DD"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r>
      <w:tr w:rsidR="003F414B" w:rsidRPr="006F59D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F59DD"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4</w:t>
            </w:r>
          </w:p>
        </w:tc>
      </w:tr>
      <w:tr w:rsidR="003F414B" w:rsidRPr="006F59D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CC</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F59DD" w:rsidRDefault="003F414B" w:rsidP="00E8642A">
            <w:pPr>
              <w:jc w:val="center"/>
              <w:textAlignment w:val="baseline"/>
              <w:rPr>
                <w:rFonts w:ascii="Arial" w:eastAsia="Arial" w:hAnsi="Arial"/>
                <w:b/>
                <w:color w:val="000000"/>
                <w:sz w:val="13"/>
              </w:rPr>
            </w:pPr>
            <w:r w:rsidRPr="006F59DD">
              <w:rPr>
                <w:rFonts w:ascii="Arial" w:eastAsia="Arial" w:hAnsi="Arial"/>
                <w:b/>
                <w:color w:val="000000"/>
                <w:sz w:val="13"/>
              </w:rPr>
              <w:t>CC</w:t>
            </w:r>
          </w:p>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11</w:t>
            </w:r>
          </w:p>
        </w:tc>
      </w:tr>
      <w:tr w:rsidR="003F414B" w:rsidRPr="006F59D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CC</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18</w:t>
            </w:r>
          </w:p>
        </w:tc>
      </w:tr>
      <w:tr w:rsidR="003F414B" w:rsidRPr="006F59D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OR</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OR</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25</w:t>
            </w:r>
          </w:p>
        </w:tc>
      </w:tr>
      <w:tr w:rsidR="003F414B" w:rsidRPr="006F59DD"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OR</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OR</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olor w:val="000000"/>
                <w:sz w:val="13"/>
              </w:rPr>
            </w:pPr>
            <w:r w:rsidRPr="006F59DD">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eastAsia="Times New Roman"/>
                <w:color w:val="000000"/>
              </w:rPr>
            </w:pPr>
          </w:p>
        </w:tc>
      </w:tr>
      <w:tr w:rsidR="003F414B" w:rsidRPr="006F59DD"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SEPTEMBER – SEPTEMBRE</w:t>
            </w:r>
          </w:p>
        </w:tc>
      </w:tr>
      <w:tr w:rsidR="003F414B" w:rsidRPr="006F59DD"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6"/>
                <w:szCs w:val="16"/>
              </w:rPr>
            </w:pPr>
            <w:r w:rsidRPr="006F59D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F59DD"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W</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T</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F</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p w:rsidR="003F414B" w:rsidRPr="006F59DD" w:rsidRDefault="003F414B" w:rsidP="00E8642A">
            <w:pPr>
              <w:tabs>
                <w:tab w:val="center" w:pos="5220"/>
                <w:tab w:val="right" w:pos="10440"/>
              </w:tabs>
              <w:jc w:val="center"/>
              <w:rPr>
                <w:rFonts w:ascii="Arial" w:hAnsi="Arial" w:cs="Arial"/>
                <w:b/>
                <w:sz w:val="13"/>
                <w:szCs w:val="13"/>
              </w:rPr>
            </w:pPr>
            <w:r w:rsidRPr="006F59DD">
              <w:rPr>
                <w:rFonts w:ascii="Arial" w:hAnsi="Arial" w:cs="Arial"/>
                <w:b/>
                <w:sz w:val="13"/>
                <w:szCs w:val="13"/>
              </w:rPr>
              <w:t>S</w:t>
            </w:r>
          </w:p>
        </w:tc>
      </w:tr>
      <w:tr w:rsidR="003F414B" w:rsidRPr="006F59D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r>
      <w:tr w:rsidR="003F414B" w:rsidRPr="006F59D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r>
      <w:tr w:rsidR="003F414B" w:rsidRPr="006F59D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r>
      <w:tr w:rsidR="003F414B" w:rsidRPr="006F59D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24</w:t>
            </w:r>
          </w:p>
        </w:tc>
      </w:tr>
      <w:tr w:rsidR="003F414B" w:rsidRPr="006F59DD"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 xml:space="preserve">  24 /</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F59D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RH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RH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Arial" w:hAnsi="Arial" w:cs="Arial"/>
                <w:b/>
                <w:color w:val="000000"/>
                <w:sz w:val="13"/>
                <w:szCs w:val="13"/>
              </w:rPr>
            </w:pPr>
            <w:r w:rsidRPr="006F59DD">
              <w:rPr>
                <w:rFonts w:ascii="Arial" w:eastAsia="Arial" w:hAnsi="Arial" w:cs="Arial"/>
                <w:b/>
                <w:color w:val="000000"/>
                <w:sz w:val="13"/>
                <w:szCs w:val="13"/>
              </w:rPr>
              <w:t>H</w:t>
            </w:r>
          </w:p>
          <w:p w:rsidR="003F414B" w:rsidRPr="006F59DD" w:rsidRDefault="003F414B" w:rsidP="00E8642A">
            <w:pPr>
              <w:jc w:val="center"/>
              <w:textAlignment w:val="baseline"/>
              <w:rPr>
                <w:rFonts w:ascii="Arial" w:eastAsia="Arial" w:hAnsi="Arial" w:cs="Arial"/>
                <w:color w:val="000000"/>
                <w:sz w:val="13"/>
                <w:szCs w:val="13"/>
              </w:rPr>
            </w:pPr>
            <w:r w:rsidRPr="006F59DD">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6F59DD" w:rsidRDefault="003F414B" w:rsidP="00E8642A">
            <w:pPr>
              <w:jc w:val="center"/>
              <w:textAlignment w:val="baseline"/>
              <w:rPr>
                <w:rFonts w:ascii="Arial" w:eastAsia="Times New Roman" w:hAnsi="Arial" w:cs="Arial"/>
                <w:color w:val="000000"/>
                <w:sz w:val="13"/>
                <w:szCs w:val="13"/>
              </w:rPr>
            </w:pPr>
          </w:p>
        </w:tc>
      </w:tr>
      <w:tr w:rsidR="003F414B" w:rsidRPr="006F59DD"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6F59DD" w:rsidRDefault="003F414B" w:rsidP="00E8642A">
            <w:pPr>
              <w:spacing w:before="40"/>
              <w:jc w:val="right"/>
              <w:rPr>
                <w:rFonts w:ascii="Arial" w:hAnsi="Arial" w:cs="Arial"/>
                <w:b/>
                <w:sz w:val="13"/>
                <w:szCs w:val="13"/>
              </w:rPr>
            </w:pPr>
            <w:r w:rsidRPr="006F59DD">
              <w:rPr>
                <w:rFonts w:ascii="Arial" w:hAnsi="Arial" w:cs="Arial"/>
                <w:b/>
                <w:sz w:val="13"/>
                <w:szCs w:val="13"/>
              </w:rPr>
              <w:t>Sitting of the Court /</w:t>
            </w:r>
          </w:p>
          <w:p w:rsidR="003F414B" w:rsidRPr="006F59DD" w:rsidRDefault="003F414B" w:rsidP="00E8642A">
            <w:pPr>
              <w:jc w:val="right"/>
              <w:rPr>
                <w:rFonts w:ascii="Arial" w:hAnsi="Arial" w:cs="Arial"/>
                <w:b/>
                <w:sz w:val="13"/>
                <w:szCs w:val="13"/>
              </w:rPr>
            </w:pPr>
            <w:r w:rsidRPr="006F59D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6F59DD"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6F59DD" w:rsidRDefault="003F414B" w:rsidP="00E8642A">
            <w:pPr>
              <w:tabs>
                <w:tab w:val="left" w:pos="203"/>
              </w:tabs>
              <w:spacing w:before="40" w:after="120"/>
              <w:rPr>
                <w:rFonts w:ascii="Arial" w:hAnsi="Arial" w:cs="Arial"/>
                <w:b/>
                <w:sz w:val="13"/>
                <w:szCs w:val="13"/>
                <w:lang w:val="fr-CA"/>
              </w:rPr>
            </w:pPr>
            <w:r w:rsidRPr="006F59DD">
              <w:rPr>
                <w:rFonts w:ascii="Arial" w:hAnsi="Arial" w:cs="Arial"/>
                <w:b/>
                <w:sz w:val="13"/>
                <w:szCs w:val="13"/>
                <w:lang w:val="fr-CA"/>
              </w:rPr>
              <w:t>18</w:t>
            </w:r>
            <w:r w:rsidRPr="006F59DD">
              <w:rPr>
                <w:rFonts w:ascii="Arial" w:hAnsi="Arial" w:cs="Arial"/>
                <w:b/>
                <w:sz w:val="13"/>
                <w:szCs w:val="13"/>
                <w:lang w:val="fr-CA"/>
              </w:rPr>
              <w:tab/>
              <w:t xml:space="preserve"> sitting weeks / semaines séances de la Cour</w:t>
            </w:r>
          </w:p>
          <w:p w:rsidR="003F414B" w:rsidRPr="006F59DD" w:rsidRDefault="003F414B" w:rsidP="00E8642A">
            <w:pPr>
              <w:tabs>
                <w:tab w:val="left" w:pos="203"/>
              </w:tabs>
              <w:rPr>
                <w:rFonts w:ascii="Arial" w:hAnsi="Arial" w:cs="Arial"/>
                <w:b/>
                <w:sz w:val="13"/>
                <w:szCs w:val="13"/>
                <w:lang w:val="fr-CA"/>
              </w:rPr>
            </w:pPr>
            <w:r w:rsidRPr="006F59DD">
              <w:rPr>
                <w:rFonts w:ascii="Arial" w:hAnsi="Arial" w:cs="Arial"/>
                <w:b/>
                <w:sz w:val="13"/>
                <w:szCs w:val="13"/>
                <w:lang w:val="fr-CA"/>
              </w:rPr>
              <w:t>88</w:t>
            </w:r>
            <w:r w:rsidRPr="006F59D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6F59DD" w:rsidRDefault="003F414B" w:rsidP="00E8642A">
            <w:pPr>
              <w:spacing w:before="40" w:after="120"/>
              <w:jc w:val="right"/>
              <w:rPr>
                <w:rFonts w:ascii="Arial" w:hAnsi="Arial" w:cs="Arial"/>
                <w:b/>
                <w:sz w:val="13"/>
                <w:szCs w:val="13"/>
                <w:lang w:val="fr-FR"/>
              </w:rPr>
            </w:pPr>
            <w:r w:rsidRPr="006F59DD">
              <w:rPr>
                <w:rFonts w:ascii="Arial" w:hAnsi="Arial" w:cs="Arial"/>
                <w:b/>
                <w:sz w:val="13"/>
                <w:szCs w:val="13"/>
                <w:lang w:val="fr-FR"/>
              </w:rPr>
              <w:t>Rosh Hashanah / Nouvel An juif</w:t>
            </w:r>
          </w:p>
          <w:p w:rsidR="003F414B" w:rsidRPr="006F59DD" w:rsidRDefault="003F414B" w:rsidP="00E8642A">
            <w:pPr>
              <w:jc w:val="right"/>
              <w:rPr>
                <w:rFonts w:ascii="Arial" w:hAnsi="Arial" w:cs="Arial"/>
                <w:b/>
                <w:sz w:val="13"/>
                <w:szCs w:val="13"/>
                <w:lang w:val="fr-CA"/>
              </w:rPr>
            </w:pPr>
            <w:r w:rsidRPr="006F59DD">
              <w:rPr>
                <w:rFonts w:ascii="Arial" w:hAnsi="Arial" w:cs="Arial"/>
                <w:b/>
                <w:sz w:val="13"/>
                <w:szCs w:val="13"/>
                <w:lang w:val="fr-FR"/>
              </w:rPr>
              <w:t>Yom Kippur / Yom Kippour</w:t>
            </w:r>
          </w:p>
        </w:tc>
        <w:tc>
          <w:tcPr>
            <w:tcW w:w="271" w:type="pct"/>
            <w:gridSpan w:val="2"/>
            <w:hideMark/>
          </w:tcPr>
          <w:p w:rsidR="003F414B" w:rsidRPr="006F59DD" w:rsidRDefault="003F414B" w:rsidP="00E8642A">
            <w:pPr>
              <w:spacing w:before="40" w:after="120"/>
              <w:jc w:val="center"/>
              <w:rPr>
                <w:rFonts w:ascii="Arial" w:hAnsi="Arial" w:cs="Arial"/>
                <w:b/>
                <w:sz w:val="13"/>
                <w:szCs w:val="13"/>
                <w:lang w:val="fr-CA"/>
              </w:rPr>
            </w:pPr>
            <w:r w:rsidRPr="006F59DD">
              <w:rPr>
                <w:rFonts w:ascii="Arial" w:hAnsi="Arial" w:cs="Arial"/>
                <w:b/>
                <w:sz w:val="13"/>
                <w:szCs w:val="13"/>
                <w:lang w:val="fr-CA"/>
              </w:rPr>
              <w:t>RH</w:t>
            </w:r>
          </w:p>
          <w:p w:rsidR="003F414B" w:rsidRPr="006F59DD" w:rsidRDefault="003F414B" w:rsidP="00E8642A">
            <w:pPr>
              <w:jc w:val="center"/>
              <w:rPr>
                <w:rFonts w:ascii="Arial" w:hAnsi="Arial" w:cs="Arial"/>
                <w:b/>
                <w:sz w:val="13"/>
                <w:szCs w:val="13"/>
                <w:lang w:val="fr-CA"/>
              </w:rPr>
            </w:pPr>
            <w:r w:rsidRPr="006F59DD">
              <w:rPr>
                <w:rFonts w:ascii="Arial" w:hAnsi="Arial" w:cs="Arial"/>
                <w:b/>
                <w:sz w:val="13"/>
                <w:szCs w:val="13"/>
                <w:lang w:val="fr-CA"/>
              </w:rPr>
              <w:t>YK</w:t>
            </w:r>
          </w:p>
        </w:tc>
      </w:tr>
      <w:tr w:rsidR="003F414B" w:rsidRPr="006F59DD"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6F59DD" w:rsidRDefault="003F414B" w:rsidP="00E8642A">
            <w:pPr>
              <w:jc w:val="right"/>
              <w:rPr>
                <w:rFonts w:ascii="Arial" w:hAnsi="Arial" w:cs="Arial"/>
                <w:b/>
                <w:sz w:val="13"/>
                <w:szCs w:val="13"/>
                <w:lang w:val="fr-CA"/>
              </w:rPr>
            </w:pPr>
            <w:r w:rsidRPr="006F59DD">
              <w:rPr>
                <w:rFonts w:ascii="Arial" w:hAnsi="Arial" w:cs="Arial"/>
                <w:b/>
                <w:sz w:val="13"/>
                <w:szCs w:val="13"/>
                <w:lang w:val="fr-CA"/>
              </w:rPr>
              <w:t>Court conference /</w:t>
            </w:r>
          </w:p>
          <w:p w:rsidR="003F414B" w:rsidRPr="006F59DD" w:rsidRDefault="003F414B" w:rsidP="00E8642A">
            <w:pPr>
              <w:jc w:val="right"/>
              <w:rPr>
                <w:rFonts w:ascii="Arial" w:hAnsi="Arial" w:cs="Arial"/>
                <w:b/>
                <w:sz w:val="13"/>
                <w:szCs w:val="13"/>
                <w:lang w:val="fr-CA"/>
              </w:rPr>
            </w:pPr>
            <w:r w:rsidRPr="006F59D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6F59DD" w:rsidRDefault="003F414B" w:rsidP="00E8642A">
            <w:pPr>
              <w:jc w:val="center"/>
              <w:rPr>
                <w:rFonts w:ascii="Arial" w:hAnsi="Arial" w:cs="Arial"/>
                <w:b/>
                <w:sz w:val="13"/>
                <w:szCs w:val="13"/>
                <w:lang w:val="fr-FR"/>
              </w:rPr>
            </w:pPr>
            <w:r w:rsidRPr="006F59D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6F59DD" w:rsidRDefault="003F414B" w:rsidP="00E8642A">
            <w:pPr>
              <w:tabs>
                <w:tab w:val="left" w:pos="203"/>
              </w:tabs>
              <w:rPr>
                <w:rFonts w:ascii="Arial" w:hAnsi="Arial" w:cs="Arial"/>
                <w:b/>
                <w:sz w:val="13"/>
                <w:szCs w:val="13"/>
                <w:lang w:val="fr-CA"/>
              </w:rPr>
            </w:pPr>
            <w:r w:rsidRPr="006F59DD">
              <w:rPr>
                <w:rFonts w:ascii="Arial" w:hAnsi="Arial" w:cs="Arial"/>
                <w:b/>
                <w:sz w:val="13"/>
                <w:szCs w:val="13"/>
                <w:lang w:val="fr-CA"/>
              </w:rPr>
              <w:t>9</w:t>
            </w:r>
            <w:r w:rsidRPr="006F59DD">
              <w:rPr>
                <w:rFonts w:ascii="Arial" w:hAnsi="Arial" w:cs="Arial"/>
                <w:b/>
                <w:sz w:val="13"/>
                <w:szCs w:val="13"/>
                <w:lang w:val="fr-CA"/>
              </w:rPr>
              <w:tab/>
              <w:t>Court conference days /</w:t>
            </w:r>
          </w:p>
          <w:p w:rsidR="003F414B" w:rsidRPr="006F59DD" w:rsidRDefault="003F414B" w:rsidP="00E8642A">
            <w:pPr>
              <w:tabs>
                <w:tab w:val="left" w:pos="203"/>
              </w:tabs>
              <w:rPr>
                <w:rFonts w:ascii="Arial" w:hAnsi="Arial" w:cs="Arial"/>
                <w:b/>
                <w:sz w:val="13"/>
                <w:szCs w:val="13"/>
                <w:lang w:val="fr-CA"/>
              </w:rPr>
            </w:pPr>
            <w:r w:rsidRPr="006F59D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6F59DD" w:rsidRDefault="003F414B" w:rsidP="00E8642A">
            <w:pPr>
              <w:rPr>
                <w:rFonts w:ascii="Arial" w:hAnsi="Arial" w:cs="Arial"/>
                <w:b/>
                <w:sz w:val="13"/>
                <w:szCs w:val="13"/>
                <w:lang w:val="fr-CA"/>
              </w:rPr>
            </w:pPr>
          </w:p>
        </w:tc>
        <w:tc>
          <w:tcPr>
            <w:tcW w:w="271" w:type="pct"/>
            <w:gridSpan w:val="2"/>
          </w:tcPr>
          <w:p w:rsidR="003F414B" w:rsidRPr="006F59DD"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6F59DD" w:rsidRDefault="003F414B" w:rsidP="00E8642A">
            <w:pPr>
              <w:jc w:val="right"/>
              <w:rPr>
                <w:rFonts w:ascii="Arial" w:hAnsi="Arial" w:cs="Arial"/>
                <w:b/>
                <w:sz w:val="13"/>
                <w:szCs w:val="13"/>
              </w:rPr>
            </w:pPr>
            <w:r w:rsidRPr="006F59DD">
              <w:rPr>
                <w:rFonts w:ascii="Arial" w:hAnsi="Arial" w:cs="Arial"/>
                <w:b/>
                <w:sz w:val="13"/>
                <w:szCs w:val="13"/>
              </w:rPr>
              <w:t xml:space="preserve">Holiday / </w:t>
            </w:r>
            <w:r w:rsidRPr="006F59D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6F59DD" w:rsidRDefault="003F414B" w:rsidP="00E8642A">
            <w:pPr>
              <w:jc w:val="center"/>
              <w:rPr>
                <w:rFonts w:ascii="Arial" w:hAnsi="Arial" w:cs="Arial"/>
                <w:b/>
                <w:sz w:val="13"/>
                <w:szCs w:val="13"/>
              </w:rPr>
            </w:pPr>
            <w:r w:rsidRPr="006F59DD">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6F59DD" w:rsidRDefault="003F414B" w:rsidP="00E8642A">
            <w:pPr>
              <w:tabs>
                <w:tab w:val="left" w:pos="203"/>
              </w:tabs>
              <w:rPr>
                <w:rFonts w:ascii="Arial" w:hAnsi="Arial" w:cs="Arial"/>
                <w:b/>
                <w:sz w:val="13"/>
                <w:szCs w:val="13"/>
              </w:rPr>
            </w:pPr>
            <w:r w:rsidRPr="006F59DD">
              <w:rPr>
                <w:rFonts w:ascii="Arial" w:hAnsi="Arial" w:cs="Arial"/>
                <w:b/>
                <w:sz w:val="13"/>
                <w:szCs w:val="13"/>
              </w:rPr>
              <w:t>2</w:t>
            </w:r>
            <w:r w:rsidRPr="006F59DD">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6F59DD">
              <w:rPr>
                <w:rFonts w:ascii="Arial" w:hAnsi="Arial" w:cs="Arial"/>
                <w:b/>
                <w:sz w:val="13"/>
                <w:szCs w:val="13"/>
              </w:rPr>
              <w:tab/>
            </w:r>
            <w:r w:rsidRPr="006F59DD">
              <w:rPr>
                <w:rFonts w:ascii="Arial" w:hAnsi="Arial" w:cs="Arial"/>
                <w:b/>
                <w:sz w:val="13"/>
                <w:szCs w:val="13"/>
                <w:lang w:val="fr-CA"/>
              </w:rPr>
              <w:t>jours fériés durant les séances</w:t>
            </w:r>
            <w:bookmarkStart w:id="11" w:name="_GoBack"/>
            <w:bookmarkEnd w:id="11"/>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66"/>
      <w:footerReference w:type="default" r:id="rId6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3A" w:rsidRDefault="00131D3A" w:rsidP="00A87207">
      <w:r>
        <w:separator/>
      </w:r>
    </w:p>
  </w:endnote>
  <w:endnote w:type="continuationSeparator" w:id="0">
    <w:p w:rsidR="00131D3A" w:rsidRDefault="00131D3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rsidP="00A87207">
    <w:pPr>
      <w:pStyle w:val="Footer"/>
    </w:pPr>
    <w:r>
      <w:pict>
        <v:rect id="_x0000_i1039" style="width:480.95pt;height:1pt" o:hralign="center" o:hrstd="t" o:hrnoshade="t" o:hr="t" fillcolor="black [3213]" stroked="f"/>
      </w:pict>
    </w:r>
  </w:p>
  <w:p w:rsidR="00131D3A" w:rsidRPr="00B7374B" w:rsidRDefault="00131D3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F59DD">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131D3A" w:rsidRDefault="00131D3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pPr>
      <w:pStyle w:val="Footer"/>
      <w:rPr>
        <w:lang w:val="fr-CA"/>
      </w:rPr>
    </w:pPr>
    <w:r>
      <w:rPr>
        <w:lang w:val="fr-CA"/>
      </w:rPr>
      <w:pict>
        <v:rect id="_x0000_i1060" style="width:480.95pt;height:1pt" o:hralign="center" o:hrstd="t" o:hrnoshade="t" o:hr="t" fillcolor="black [3213]" stroked="f"/>
      </w:pict>
    </w:r>
  </w:p>
  <w:p w:rsidR="00131D3A" w:rsidRDefault="00131D3A" w:rsidP="00EB2B90">
    <w:pPr>
      <w:tabs>
        <w:tab w:val="center" w:pos="4680"/>
      </w:tabs>
    </w:pPr>
    <w:r>
      <w:tab/>
      <w:t xml:space="preserve">- </w:t>
    </w:r>
    <w:r>
      <w:fldChar w:fldCharType="begin"/>
    </w:r>
    <w:r>
      <w:instrText xml:space="preserve"> PAGE   \* MERGEFORMAT </w:instrText>
    </w:r>
    <w:r>
      <w:fldChar w:fldCharType="separate"/>
    </w:r>
    <w:r w:rsidR="006F59DD">
      <w:rPr>
        <w:noProof/>
      </w:rPr>
      <w:t>16</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D3A" w:rsidRDefault="00131D3A">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rsidP="00732DB7">
    <w:r>
      <w:pict>
        <v:rect id="_x0000_i1064" style="width:480.95pt;height:1pt" o:hralign="center" o:hrstd="t" o:hrnoshade="t" o:hr="t" fillcolor="black" stroked="f"/>
      </w:pict>
    </w:r>
  </w:p>
  <w:p w:rsidR="00131D3A" w:rsidRDefault="00131D3A">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pPr>
      <w:pStyle w:val="Footer"/>
    </w:pPr>
    <w:r>
      <w:pict>
        <v:rect id="_x0000_i1065" style="width:480.95pt;height:1pt" o:hralign="center" o:hrstd="t" o:hrnoshade="t" o:hr="t" fillcolor="black" stroked="f"/>
      </w:pict>
    </w:r>
  </w:p>
  <w:p w:rsidR="00131D3A" w:rsidRPr="00283C52" w:rsidRDefault="00131D3A">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r>
      <w:rPr>
        <w:lang w:val="fr-CA"/>
      </w:rPr>
      <w:pict>
        <v:rect id="_x0000_i1068" style="width:480.95pt;height:1pt" o:hralign="center" o:hrstd="t" o:hrnoshade="t" o:hr="t" fillcolor="black [3213]" stroked="f"/>
      </w:pict>
    </w:r>
  </w:p>
  <w:p w:rsidR="00131D3A" w:rsidRDefault="00131D3A"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rsidP="006B6926">
    <w:pPr>
      <w:tabs>
        <w:tab w:val="center" w:pos="4680"/>
      </w:tabs>
      <w:rPr>
        <w:lang w:val="fr-CA"/>
      </w:rPr>
    </w:pPr>
    <w:r>
      <w:rPr>
        <w:lang w:val="fr-CA"/>
      </w:rPr>
      <w:pict>
        <v:rect id="_x0000_i1069" style="width:480.95pt;height:1pt" o:hralign="center" o:hrstd="t" o:hrnoshade="t" o:hr="t" fillcolor="black [3213]" stroked="f"/>
      </w:pict>
    </w:r>
  </w:p>
  <w:p w:rsidR="00131D3A" w:rsidRDefault="00131D3A" w:rsidP="006B6926">
    <w:pPr>
      <w:tabs>
        <w:tab w:val="center" w:pos="4680"/>
      </w:tabs>
    </w:pPr>
    <w:r>
      <w:tab/>
      <w:t xml:space="preserve">- </w:t>
    </w:r>
    <w:r>
      <w:fldChar w:fldCharType="begin"/>
    </w:r>
    <w:r>
      <w:instrText xml:space="preserve">PAGE </w:instrText>
    </w:r>
    <w:r>
      <w:fldChar w:fldCharType="separate"/>
    </w:r>
    <w:r w:rsidR="006F59DD">
      <w:rPr>
        <w:noProof/>
      </w:rPr>
      <w:t>25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Pr="00924065" w:rsidRDefault="00131D3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rsidP="00755F22">
    <w:pPr>
      <w:tabs>
        <w:tab w:val="left" w:pos="-1440"/>
        <w:tab w:val="left" w:pos="-720"/>
      </w:tabs>
    </w:pPr>
    <w:r>
      <w:pict>
        <v:rect id="_x0000_i1040" style="width:480.95pt;height:1pt" o:hralign="center" o:hrstd="t" o:hrnoshade="t" o:hr="t" fillcolor="black [3213]" stroked="f"/>
      </w:pict>
    </w:r>
  </w:p>
  <w:p w:rsidR="00131D3A" w:rsidRPr="00954D22" w:rsidRDefault="00131D3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F59DD">
      <w:rPr>
        <w:noProof/>
        <w:szCs w:val="24"/>
      </w:rPr>
      <w:t>1</w:t>
    </w:r>
    <w:r>
      <w:rPr>
        <w:szCs w:val="24"/>
      </w:rPr>
      <w:fldChar w:fldCharType="end"/>
    </w:r>
    <w:r w:rsidRPr="00954D22">
      <w:rPr>
        <w:szCs w:val="24"/>
      </w:rPr>
      <w:t xml:space="preserve"> -</w:t>
    </w:r>
  </w:p>
  <w:p w:rsidR="00131D3A" w:rsidRDefault="00131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D3A" w:rsidRDefault="00131D3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rsidP="00EB2B90">
    <w:pPr>
      <w:tabs>
        <w:tab w:val="center" w:pos="4680"/>
      </w:tabs>
    </w:pPr>
    <w:r>
      <w:pict>
        <v:rect id="_x0000_i1053" style="width:480.95pt;height:1pt" o:hralign="center" o:hrstd="t" o:hrnoshade="t" o:hr="t" fillcolor="black" stroked="f"/>
      </w:pict>
    </w:r>
  </w:p>
  <w:p w:rsidR="00131D3A" w:rsidRPr="002864CC" w:rsidRDefault="00131D3A" w:rsidP="00EB2B90">
    <w:pPr>
      <w:tabs>
        <w:tab w:val="center" w:pos="4680"/>
      </w:tabs>
    </w:pPr>
    <w:r w:rsidRPr="002864CC">
      <w:tab/>
      <w:t xml:space="preserve">- </w:t>
    </w:r>
    <w:r>
      <w:fldChar w:fldCharType="begin"/>
    </w:r>
    <w:r>
      <w:instrText xml:space="preserve"> PAGE   \* MERGEFORMAT </w:instrText>
    </w:r>
    <w:r>
      <w:fldChar w:fldCharType="separate"/>
    </w:r>
    <w:r w:rsidR="006F59DD">
      <w:rPr>
        <w:noProof/>
      </w:rPr>
      <w:t>14</w:t>
    </w:r>
    <w:r>
      <w:rPr>
        <w:noProof/>
      </w:rPr>
      <w:fldChar w:fldCharType="end"/>
    </w:r>
    <w:r w:rsidRPr="002864CC">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pPr>
      <w:pStyle w:val="Footer"/>
    </w:pPr>
    <w:r>
      <w:pict>
        <v:rect id="_x0000_i1054" style="width:480.95pt;height:1pt" o:hralign="center" o:hrstd="t" o:hrnoshade="t" o:hr="t" fillcolor="black" stroked="f"/>
      </w:pict>
    </w:r>
  </w:p>
  <w:p w:rsidR="00131D3A" w:rsidRPr="002864CC" w:rsidRDefault="00131D3A" w:rsidP="00EB2B90">
    <w:pPr>
      <w:tabs>
        <w:tab w:val="center" w:pos="4680"/>
      </w:tabs>
    </w:pPr>
    <w:r>
      <w:tab/>
      <w:t xml:space="preserve">- </w:t>
    </w:r>
    <w:r>
      <w:fldChar w:fldCharType="begin"/>
    </w:r>
    <w:r>
      <w:instrText xml:space="preserve"> PAGE   \* MERGEFORMAT </w:instrText>
    </w:r>
    <w:r>
      <w:fldChar w:fldCharType="separate"/>
    </w:r>
    <w:r w:rsidR="006F59DD">
      <w:rPr>
        <w:noProof/>
      </w:rPr>
      <w:t>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D3A" w:rsidRDefault="00131D3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131D3A" w:rsidRPr="0009648D" w:rsidRDefault="00131D3A" w:rsidP="00ED7E83">
    <w:pPr>
      <w:tabs>
        <w:tab w:val="center" w:pos="4680"/>
      </w:tabs>
    </w:pPr>
    <w:r>
      <w:tab/>
    </w:r>
    <w:r w:rsidRPr="0009648D">
      <w:t xml:space="preserve">- </w:t>
    </w:r>
    <w:r>
      <w:fldChar w:fldCharType="begin"/>
    </w:r>
    <w:r>
      <w:instrText xml:space="preserve"> PAGE   \* MERGEFORMAT </w:instrText>
    </w:r>
    <w:r>
      <w:fldChar w:fldCharType="separate"/>
    </w:r>
    <w:r>
      <w:rPr>
        <w:noProof/>
      </w:rPr>
      <w:t>12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6F59DD">
    <w:pPr>
      <w:pStyle w:val="Footer"/>
      <w:rPr>
        <w:lang w:val="fr-CA"/>
      </w:rPr>
    </w:pPr>
    <w:r>
      <w:rPr>
        <w:lang w:val="fr-CA"/>
      </w:rPr>
      <w:pict>
        <v:rect id="_x0000_i1057" style="width:480.95pt;height:1pt" o:hralign="center" o:hrstd="t" o:hrnoshade="t" o:hr="t" fillcolor="black [3213]" stroked="f"/>
      </w:pict>
    </w:r>
  </w:p>
  <w:p w:rsidR="00131D3A" w:rsidRDefault="00131D3A" w:rsidP="00245129">
    <w:pPr>
      <w:tabs>
        <w:tab w:val="center" w:pos="4680"/>
      </w:tabs>
    </w:pPr>
    <w:r>
      <w:tab/>
    </w:r>
    <w:r w:rsidRPr="0009648D">
      <w:t xml:space="preserve">- </w:t>
    </w:r>
    <w:r>
      <w:fldChar w:fldCharType="begin"/>
    </w:r>
    <w:r>
      <w:instrText xml:space="preserve"> PAGE   \* MERGEFORMAT </w:instrText>
    </w:r>
    <w:r>
      <w:fldChar w:fldCharType="separate"/>
    </w:r>
    <w:r w:rsidR="006F59DD">
      <w:rPr>
        <w:noProof/>
      </w:rPr>
      <w:t>15</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D3A"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D3A" w:rsidRDefault="00131D3A">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3A" w:rsidRDefault="00131D3A" w:rsidP="00A87207">
      <w:r>
        <w:separator/>
      </w:r>
    </w:p>
  </w:footnote>
  <w:footnote w:type="continuationSeparator" w:id="0">
    <w:p w:rsidR="00131D3A" w:rsidRDefault="00131D3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31D3A" w:rsidRPr="0044776A" w:rsidTr="00245129">
      <w:tc>
        <w:tcPr>
          <w:tcW w:w="4290" w:type="dxa"/>
          <w:tcMar>
            <w:left w:w="0" w:type="dxa"/>
            <w:right w:w="0" w:type="dxa"/>
          </w:tcMar>
        </w:tcPr>
        <w:p w:rsidR="00131D3A" w:rsidRPr="00D31809" w:rsidRDefault="00131D3A" w:rsidP="00D31809">
          <w:pPr>
            <w:keepNext/>
            <w:keepLines/>
            <w:rPr>
              <w:sz w:val="20"/>
              <w:szCs w:val="20"/>
              <w:lang w:val="en-US"/>
            </w:rPr>
          </w:pPr>
          <w:r w:rsidRPr="00D31809">
            <w:rPr>
              <w:sz w:val="20"/>
              <w:szCs w:val="20"/>
              <w:lang w:val="en-US"/>
            </w:rPr>
            <w:t>Applications for leave to appeal filed</w:t>
          </w:r>
        </w:p>
        <w:p w:rsidR="00131D3A" w:rsidRPr="00D31809" w:rsidRDefault="00131D3A" w:rsidP="00D31809">
          <w:pPr>
            <w:keepNext/>
            <w:keepLines/>
            <w:rPr>
              <w:sz w:val="20"/>
              <w:szCs w:val="20"/>
            </w:rPr>
          </w:pPr>
        </w:p>
      </w:tc>
      <w:tc>
        <w:tcPr>
          <w:tcW w:w="1200" w:type="dxa"/>
          <w:tcMar>
            <w:left w:w="0" w:type="dxa"/>
            <w:right w:w="0" w:type="dxa"/>
          </w:tcMar>
        </w:tcPr>
        <w:p w:rsidR="00131D3A" w:rsidRPr="00D31809" w:rsidRDefault="00131D3A" w:rsidP="002E2327">
          <w:pPr>
            <w:keepNext/>
            <w:keepLines/>
            <w:tabs>
              <w:tab w:val="left" w:pos="-1440"/>
              <w:tab w:val="left" w:pos="-720"/>
            </w:tabs>
            <w:jc w:val="center"/>
            <w:rPr>
              <w:sz w:val="20"/>
              <w:szCs w:val="20"/>
            </w:rPr>
          </w:pPr>
        </w:p>
      </w:tc>
      <w:tc>
        <w:tcPr>
          <w:tcW w:w="4320" w:type="dxa"/>
          <w:tcMar>
            <w:left w:w="0" w:type="dxa"/>
            <w:right w:w="0" w:type="dxa"/>
          </w:tcMar>
        </w:tcPr>
        <w:p w:rsidR="00131D3A" w:rsidRPr="00D31809" w:rsidRDefault="00131D3A" w:rsidP="002E2327">
          <w:pPr>
            <w:keepLines/>
            <w:rPr>
              <w:sz w:val="20"/>
              <w:szCs w:val="20"/>
              <w:lang w:val="fr-CA"/>
            </w:rPr>
          </w:pPr>
          <w:r w:rsidRPr="00D31809">
            <w:rPr>
              <w:sz w:val="20"/>
              <w:szCs w:val="20"/>
              <w:lang w:val="fr-CA"/>
            </w:rPr>
            <w:t>Demandes d’autorisation d’appel déposées</w:t>
          </w:r>
        </w:p>
      </w:tc>
    </w:tr>
  </w:tbl>
  <w:p w:rsidR="00131D3A" w:rsidRDefault="00131D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31D3A" w:rsidRPr="006F59DD" w:rsidTr="00245129">
      <w:tc>
        <w:tcPr>
          <w:tcW w:w="4200" w:type="dxa"/>
          <w:tcMar>
            <w:left w:w="0" w:type="dxa"/>
            <w:right w:w="0" w:type="dxa"/>
          </w:tcMar>
        </w:tcPr>
        <w:p w:rsidR="00131D3A" w:rsidRPr="00F40249" w:rsidRDefault="00131D3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31D3A" w:rsidRDefault="00131D3A" w:rsidP="00102926">
          <w:pPr>
            <w:keepNext/>
            <w:keepLines/>
            <w:tabs>
              <w:tab w:val="left" w:pos="-1440"/>
              <w:tab w:val="left" w:pos="-720"/>
            </w:tabs>
            <w:jc w:val="center"/>
            <w:rPr>
              <w:sz w:val="20"/>
              <w:szCs w:val="20"/>
            </w:rPr>
          </w:pPr>
        </w:p>
        <w:p w:rsidR="00131D3A" w:rsidRDefault="00131D3A" w:rsidP="00102926">
          <w:pPr>
            <w:keepNext/>
            <w:keepLines/>
            <w:tabs>
              <w:tab w:val="left" w:pos="-1440"/>
              <w:tab w:val="left" w:pos="-720"/>
            </w:tabs>
            <w:jc w:val="center"/>
            <w:rPr>
              <w:sz w:val="20"/>
              <w:szCs w:val="20"/>
            </w:rPr>
          </w:pPr>
        </w:p>
        <w:p w:rsidR="00131D3A" w:rsidRPr="00F40249" w:rsidRDefault="00131D3A" w:rsidP="00102926">
          <w:pPr>
            <w:keepNext/>
            <w:keepLines/>
            <w:tabs>
              <w:tab w:val="left" w:pos="-1440"/>
              <w:tab w:val="left" w:pos="-720"/>
            </w:tabs>
            <w:jc w:val="center"/>
            <w:rPr>
              <w:sz w:val="20"/>
              <w:szCs w:val="20"/>
            </w:rPr>
          </w:pPr>
        </w:p>
      </w:tc>
      <w:tc>
        <w:tcPr>
          <w:tcW w:w="4230" w:type="dxa"/>
          <w:tcMar>
            <w:left w:w="0" w:type="dxa"/>
            <w:right w:w="0" w:type="dxa"/>
          </w:tcMar>
        </w:tcPr>
        <w:p w:rsidR="00131D3A" w:rsidRPr="00F40249" w:rsidRDefault="00131D3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31D3A" w:rsidRPr="00B01A03" w:rsidRDefault="00131D3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D3A" w:rsidRPr="006F59DD">
      <w:tc>
        <w:tcPr>
          <w:tcW w:w="4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D3A" w:rsidRPr="00283C52" w:rsidRDefault="00131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31D3A" w:rsidRPr="00283C52"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1D3A" w:rsidRPr="00283C52"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1D3A" w:rsidRPr="006F59DD" w:rsidTr="00245129">
      <w:tc>
        <w:tcPr>
          <w:tcW w:w="4200" w:type="dxa"/>
          <w:tcMar>
            <w:left w:w="0" w:type="dxa"/>
            <w:right w:w="0" w:type="dxa"/>
          </w:tcMar>
        </w:tcPr>
        <w:p w:rsidR="00131D3A" w:rsidRPr="00732DB7" w:rsidRDefault="00131D3A"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131D3A" w:rsidRPr="00732DB7" w:rsidRDefault="00131D3A" w:rsidP="00732DB7">
          <w:pPr>
            <w:keepNext/>
            <w:keepLines/>
            <w:tabs>
              <w:tab w:val="left" w:pos="-1440"/>
              <w:tab w:val="left" w:pos="-720"/>
            </w:tabs>
            <w:jc w:val="center"/>
            <w:rPr>
              <w:sz w:val="20"/>
              <w:szCs w:val="20"/>
            </w:rPr>
          </w:pPr>
        </w:p>
        <w:p w:rsidR="00131D3A" w:rsidRPr="00732DB7" w:rsidRDefault="00131D3A" w:rsidP="00732DB7">
          <w:pPr>
            <w:keepNext/>
            <w:keepLines/>
            <w:tabs>
              <w:tab w:val="left" w:pos="-1440"/>
              <w:tab w:val="left" w:pos="-720"/>
            </w:tabs>
            <w:jc w:val="center"/>
            <w:rPr>
              <w:sz w:val="20"/>
              <w:szCs w:val="20"/>
            </w:rPr>
          </w:pPr>
        </w:p>
        <w:p w:rsidR="00131D3A" w:rsidRPr="00732DB7" w:rsidRDefault="00131D3A" w:rsidP="00732DB7">
          <w:pPr>
            <w:keepNext/>
            <w:keepLines/>
            <w:tabs>
              <w:tab w:val="left" w:pos="-1440"/>
              <w:tab w:val="left" w:pos="-720"/>
            </w:tabs>
            <w:jc w:val="center"/>
            <w:rPr>
              <w:sz w:val="20"/>
              <w:szCs w:val="20"/>
            </w:rPr>
          </w:pPr>
        </w:p>
      </w:tc>
      <w:tc>
        <w:tcPr>
          <w:tcW w:w="4080" w:type="dxa"/>
          <w:tcMar>
            <w:left w:w="0" w:type="dxa"/>
            <w:right w:w="0" w:type="dxa"/>
          </w:tcMar>
        </w:tcPr>
        <w:p w:rsidR="00131D3A" w:rsidRPr="00732DB7" w:rsidRDefault="00131D3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31D3A" w:rsidRPr="00283C52" w:rsidRDefault="00131D3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131D3A" w:rsidRPr="006F59DD" w:rsidTr="00245129">
      <w:tc>
        <w:tcPr>
          <w:tcW w:w="4320" w:type="dxa"/>
        </w:tcPr>
        <w:p w:rsidR="00131D3A" w:rsidRPr="006B6926" w:rsidRDefault="00131D3A" w:rsidP="006B6926">
          <w:pPr>
            <w:keepNext/>
            <w:keepLines/>
            <w:rPr>
              <w:bCs/>
              <w:sz w:val="20"/>
              <w:szCs w:val="20"/>
              <w:lang w:val="en-GB"/>
            </w:rPr>
          </w:pPr>
          <w:r w:rsidRPr="006B6926">
            <w:rPr>
              <w:bCs/>
              <w:sz w:val="20"/>
              <w:szCs w:val="20"/>
              <w:lang w:val="en-GB"/>
            </w:rPr>
            <w:t>SUPREME COURT REPORTS</w:t>
          </w:r>
        </w:p>
      </w:tc>
      <w:tc>
        <w:tcPr>
          <w:tcW w:w="840" w:type="dxa"/>
        </w:tcPr>
        <w:p w:rsidR="00131D3A" w:rsidRDefault="00131D3A" w:rsidP="006B6926">
          <w:pPr>
            <w:jc w:val="center"/>
            <w:rPr>
              <w:bCs/>
              <w:sz w:val="20"/>
              <w:szCs w:val="20"/>
              <w:lang w:val="en-GB"/>
            </w:rPr>
          </w:pPr>
        </w:p>
        <w:p w:rsidR="00131D3A" w:rsidRPr="006B6926" w:rsidRDefault="00131D3A" w:rsidP="006B6926">
          <w:pPr>
            <w:jc w:val="center"/>
            <w:rPr>
              <w:bCs/>
              <w:sz w:val="20"/>
              <w:szCs w:val="20"/>
              <w:lang w:val="en-GB"/>
            </w:rPr>
          </w:pPr>
        </w:p>
      </w:tc>
      <w:tc>
        <w:tcPr>
          <w:tcW w:w="4320" w:type="dxa"/>
        </w:tcPr>
        <w:p w:rsidR="00131D3A" w:rsidRPr="006B6926" w:rsidRDefault="00131D3A" w:rsidP="006B6926">
          <w:pPr>
            <w:keepNext/>
            <w:keepLines/>
            <w:rPr>
              <w:bCs/>
              <w:sz w:val="20"/>
              <w:szCs w:val="20"/>
              <w:lang w:val="fr-CA"/>
            </w:rPr>
          </w:pPr>
          <w:r w:rsidRPr="006B6926">
            <w:rPr>
              <w:bCs/>
              <w:sz w:val="20"/>
              <w:szCs w:val="20"/>
              <w:lang w:val="fr-CA"/>
            </w:rPr>
            <w:t>RECUEIL DES ARRÊTS DE LA COUR SUPRÊME</w:t>
          </w:r>
        </w:p>
      </w:tc>
    </w:tr>
  </w:tbl>
  <w:p w:rsidR="00131D3A" w:rsidRPr="000924F7" w:rsidRDefault="00131D3A">
    <w:pPr>
      <w:pStyle w:val="Heade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D3A" w:rsidRPr="006F59DD">
      <w:tc>
        <w:tcPr>
          <w:tcW w:w="4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31D3A" w:rsidRPr="000204A4" w:rsidRDefault="00131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131D3A" w:rsidRPr="000204A4"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31D3A" w:rsidRPr="000204A4"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1D3A" w:rsidRPr="00890FEB" w:rsidTr="00245129">
      <w:tc>
        <w:tcPr>
          <w:tcW w:w="4200" w:type="dxa"/>
          <w:tcMar>
            <w:left w:w="0" w:type="dxa"/>
            <w:right w:w="0" w:type="dxa"/>
          </w:tcMar>
        </w:tcPr>
        <w:p w:rsidR="00131D3A" w:rsidRPr="00890FEB" w:rsidRDefault="00131D3A" w:rsidP="0030050B">
          <w:pPr>
            <w:rPr>
              <w:sz w:val="20"/>
              <w:szCs w:val="20"/>
            </w:rPr>
          </w:pPr>
          <w:r w:rsidRPr="00890FEB">
            <w:rPr>
              <w:sz w:val="20"/>
              <w:szCs w:val="20"/>
            </w:rPr>
            <w:t>Judgment on motion</w:t>
          </w:r>
        </w:p>
      </w:tc>
      <w:tc>
        <w:tcPr>
          <w:tcW w:w="1200" w:type="dxa"/>
          <w:tcMar>
            <w:left w:w="0" w:type="dxa"/>
            <w:right w:w="0" w:type="dxa"/>
          </w:tcMar>
        </w:tcPr>
        <w:p w:rsidR="00131D3A" w:rsidRPr="00890FEB" w:rsidRDefault="00131D3A" w:rsidP="00890FEB">
          <w:pPr>
            <w:jc w:val="center"/>
            <w:rPr>
              <w:sz w:val="20"/>
              <w:szCs w:val="20"/>
            </w:rPr>
          </w:pPr>
        </w:p>
        <w:p w:rsidR="00131D3A" w:rsidRPr="00890FEB" w:rsidRDefault="00131D3A" w:rsidP="00890FEB">
          <w:pPr>
            <w:jc w:val="center"/>
            <w:rPr>
              <w:sz w:val="20"/>
              <w:szCs w:val="20"/>
            </w:rPr>
          </w:pPr>
        </w:p>
      </w:tc>
      <w:tc>
        <w:tcPr>
          <w:tcW w:w="4080" w:type="dxa"/>
          <w:tcMar>
            <w:left w:w="0" w:type="dxa"/>
            <w:right w:w="0" w:type="dxa"/>
          </w:tcMar>
        </w:tcPr>
        <w:p w:rsidR="00131D3A" w:rsidRPr="00890FEB" w:rsidRDefault="00131D3A" w:rsidP="00890FEB">
          <w:pPr>
            <w:rPr>
              <w:sz w:val="20"/>
              <w:szCs w:val="20"/>
              <w:lang w:val="fr-CA"/>
            </w:rPr>
          </w:pPr>
          <w:r w:rsidRPr="00890FEB">
            <w:rPr>
              <w:sz w:val="20"/>
              <w:szCs w:val="20"/>
              <w:lang w:val="fr-CA"/>
            </w:rPr>
            <w:t>Jugements sur requêtes</w:t>
          </w:r>
        </w:p>
      </w:tc>
    </w:tr>
  </w:tbl>
  <w:p w:rsidR="00131D3A" w:rsidRPr="002864CC" w:rsidRDefault="00131D3A" w:rsidP="00EB2B90">
    <w:pPr>
      <w:rPr>
        <w:lang w:val="fr-CA"/>
      </w:rPr>
    </w:pPr>
  </w:p>
  <w:p w:rsidR="00131D3A" w:rsidRPr="000204A4" w:rsidRDefault="00131D3A" w:rsidP="00EB2B90">
    <w:pPr>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D3A" w:rsidRPr="006F59DD">
      <w:tc>
        <w:tcPr>
          <w:tcW w:w="4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31D3A" w:rsidRDefault="00131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D3A" w:rsidRPr="00FF6BA5" w:rsidRDefault="00131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31D3A" w:rsidRPr="00FF6BA5"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31D3A" w:rsidRPr="00FF6BA5"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31D3A" w:rsidRPr="00FF6BA5"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31D3A" w:rsidRPr="006F59DD" w:rsidTr="00245129">
      <w:tc>
        <w:tcPr>
          <w:tcW w:w="4200" w:type="dxa"/>
          <w:tcMar>
            <w:left w:w="0" w:type="dxa"/>
            <w:right w:w="0" w:type="dxa"/>
          </w:tcMar>
        </w:tcPr>
        <w:p w:rsidR="00131D3A" w:rsidRPr="00634F42" w:rsidRDefault="00131D3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31D3A" w:rsidRPr="00755F22" w:rsidRDefault="00131D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1D3A" w:rsidRPr="00755F22" w:rsidRDefault="00131D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31D3A" w:rsidRPr="00755F22" w:rsidRDefault="00131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31D3A" w:rsidRPr="00FF6BA5" w:rsidRDefault="00131D3A" w:rsidP="00755F22">
    <w:pPr>
      <w:tabs>
        <w:tab w:val="left" w:pos="-1440"/>
        <w:tab w:val="left" w:pos="-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3A" w:rsidRDefault="00131D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31D3A" w:rsidRPr="006F59DD">
      <w:tc>
        <w:tcPr>
          <w:tcW w:w="4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31D3A" w:rsidRDefault="00131D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D3A" w:rsidRPr="00B01A03" w:rsidRDefault="00131D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31D3A" w:rsidRPr="00B01A03"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1D3A" w:rsidRPr="00B01A03" w:rsidRDefault="00131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ttachedTemplate r:id="rId1"/>
  <w:defaultTabStop w:val="720"/>
  <w:drawingGridHorizontalSpacing w:val="120"/>
  <w:displayHorizontalDrawingGridEvery w:val="2"/>
  <w:characterSpacingControl w:val="doNotCompress"/>
  <w:hdrShapeDefaults>
    <o:shapedefaults v:ext="edit" spidmax="266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36"/>
    <w:rsid w:val="00001D53"/>
    <w:rsid w:val="00002704"/>
    <w:rsid w:val="00020DC3"/>
    <w:rsid w:val="00023F15"/>
    <w:rsid w:val="0003223B"/>
    <w:rsid w:val="000327B2"/>
    <w:rsid w:val="00033A57"/>
    <w:rsid w:val="0004528B"/>
    <w:rsid w:val="00045DE3"/>
    <w:rsid w:val="00064FBA"/>
    <w:rsid w:val="00091BA6"/>
    <w:rsid w:val="00091FA6"/>
    <w:rsid w:val="0009686C"/>
    <w:rsid w:val="00096BD9"/>
    <w:rsid w:val="000A65C3"/>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2475"/>
    <w:rsid w:val="00124D41"/>
    <w:rsid w:val="00125B8F"/>
    <w:rsid w:val="00131D3A"/>
    <w:rsid w:val="0013369E"/>
    <w:rsid w:val="0013595D"/>
    <w:rsid w:val="001434B9"/>
    <w:rsid w:val="00143EF6"/>
    <w:rsid w:val="00152E76"/>
    <w:rsid w:val="00164E6D"/>
    <w:rsid w:val="0016538E"/>
    <w:rsid w:val="00172473"/>
    <w:rsid w:val="00180CBA"/>
    <w:rsid w:val="00183454"/>
    <w:rsid w:val="0019203D"/>
    <w:rsid w:val="00194C4A"/>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91036"/>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5ACC"/>
    <w:rsid w:val="00560DF1"/>
    <w:rsid w:val="0056248C"/>
    <w:rsid w:val="00564B09"/>
    <w:rsid w:val="00567602"/>
    <w:rsid w:val="00567680"/>
    <w:rsid w:val="00571CA4"/>
    <w:rsid w:val="00573AF2"/>
    <w:rsid w:val="005745D9"/>
    <w:rsid w:val="00582136"/>
    <w:rsid w:val="005967EF"/>
    <w:rsid w:val="005B2EA9"/>
    <w:rsid w:val="005B6826"/>
    <w:rsid w:val="005C6840"/>
    <w:rsid w:val="005F1ED8"/>
    <w:rsid w:val="005F263E"/>
    <w:rsid w:val="00600252"/>
    <w:rsid w:val="00612A40"/>
    <w:rsid w:val="0062714A"/>
    <w:rsid w:val="00634F42"/>
    <w:rsid w:val="00645947"/>
    <w:rsid w:val="0065127E"/>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13F"/>
    <w:rsid w:val="006E06AF"/>
    <w:rsid w:val="006E1CB0"/>
    <w:rsid w:val="006E203A"/>
    <w:rsid w:val="006F350F"/>
    <w:rsid w:val="006F52AB"/>
    <w:rsid w:val="006F59DD"/>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16AB"/>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9F46F6"/>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4176"/>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7D26"/>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4F48"/>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ListParagraph"/>
    <w:next w:val="Normal"/>
    <w:link w:val="Heading8Char"/>
    <w:uiPriority w:val="9"/>
    <w:unhideWhenUsed/>
    <w:qFormat/>
    <w:rsid w:val="006F59DD"/>
    <w:pPr>
      <w:tabs>
        <w:tab w:val="left" w:pos="2340"/>
      </w:tabs>
      <w:ind w:left="2520" w:hanging="360"/>
      <w:jc w:val="both"/>
      <w:outlineLvl w:val="7"/>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0A65C3"/>
    <w:pPr>
      <w:jc w:val="both"/>
    </w:pPr>
    <w:rPr>
      <w:rFonts w:eastAsia="Calibri" w:cs="Times New Roman"/>
      <w:smallCaps/>
    </w:rPr>
  </w:style>
  <w:style w:type="character" w:customStyle="1" w:styleId="SCCBanSummaryChar">
    <w:name w:val="SCC.BanSummary Char"/>
    <w:basedOn w:val="DefaultParagraphFont"/>
    <w:link w:val="SCCBanSummary0"/>
    <w:rsid w:val="000A65C3"/>
    <w:rPr>
      <w:rFonts w:eastAsia="Calibri" w:cs="Times New Roman"/>
      <w:smallCaps/>
      <w:lang w:val="en-CA"/>
    </w:rPr>
  </w:style>
  <w:style w:type="character" w:customStyle="1" w:styleId="ParaNoNdepar-AltNChar">
    <w:name w:val="Para. No. / Nº de par. - Alt N Char"/>
    <w:basedOn w:val="DefaultParagraphFont"/>
    <w:link w:val="ParaNoNdepar-AltN"/>
    <w:locked/>
    <w:rsid w:val="00001D53"/>
    <w:rPr>
      <w:rFonts w:eastAsiaTheme="minorEastAsia"/>
      <w:lang w:val="fr-CA"/>
    </w:rPr>
  </w:style>
  <w:style w:type="character" w:customStyle="1" w:styleId="Heading8Char">
    <w:name w:val="Heading 8 Char"/>
    <w:basedOn w:val="DefaultParagraphFont"/>
    <w:link w:val="Heading8"/>
    <w:uiPriority w:val="9"/>
    <w:rsid w:val="006F59DD"/>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1/2021qcca405/2021qcca405.pdf" TargetMode="External"/><Relationship Id="rId26" Type="http://schemas.openxmlformats.org/officeDocument/2006/relationships/hyperlink" Target="https://www.canlii.org/en/on/oncj/doc/2020/2020oncj34/2020oncj34.html" TargetMode="External"/><Relationship Id="rId39" Type="http://schemas.openxmlformats.org/officeDocument/2006/relationships/footer" Target="footer6.xml"/><Relationship Id="rId21" Type="http://schemas.openxmlformats.org/officeDocument/2006/relationships/hyperlink" Target="https://www.canlii.org/en/nl/nlsc/doc/2019/2019nlsc110/2019nlsc110.html?resultIndex=1"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hyperlink" Target="https://www.scc-csc.ca/case-dossier/info/sum-som-fra.aspx?cas=39710" TargetMode="External"/><Relationship Id="rId55" Type="http://schemas.openxmlformats.org/officeDocument/2006/relationships/footer" Target="footer13.xml"/><Relationship Id="rId63" Type="http://schemas.openxmlformats.org/officeDocument/2006/relationships/footer" Target="footer1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on/onca/doc/2021/2021onca539/2021onca539.html?resultIndex=1" TargetMode="External"/><Relationship Id="rId29" Type="http://schemas.openxmlformats.org/officeDocument/2006/relationships/hyperlink" Target="https://www.canlii.org/en/on/oncj/doc/2020/2020oncj34/2020oncj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nl/nlca/doc/2021/2021nlca29/2021nlca29.html"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eader" Target="header13.xml"/><Relationship Id="rId58" Type="http://schemas.openxmlformats.org/officeDocument/2006/relationships/hyperlink" Target="https://decisions.scc-csc.ca/scc-csc/scr/en/item/7349/index.do" TargetMode="External"/><Relationship Id="rId66"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s://www.canlii.org/en/on/onca/doc/2021/2021onca539/2021onca539.html?resultIndex=1" TargetMode="External"/><Relationship Id="rId23" Type="http://schemas.openxmlformats.org/officeDocument/2006/relationships/hyperlink" Target="https://www.canlii.org/en/nl/nlsc/doc/2019/2019nlsc110/2019nlsc110.html?resultIndex=1" TargetMode="External"/><Relationship Id="rId28" Type="http://schemas.openxmlformats.org/officeDocument/2006/relationships/hyperlink" Target="https://www.canlii.org/en/on/oncj/doc/2019/2019oncj543/2019oncj543.html?autocompleteStr=2019%20ONCJ%20543&amp;autocompletePos=1" TargetMode="External"/><Relationship Id="rId36" Type="http://schemas.openxmlformats.org/officeDocument/2006/relationships/footer" Target="footer5.xml"/><Relationship Id="rId49" Type="http://schemas.openxmlformats.org/officeDocument/2006/relationships/hyperlink" Target="https://www.scc-csc.ca/case-dossier/info/sum-som-eng.aspx?cas=39360" TargetMode="External"/><Relationship Id="rId57" Type="http://schemas.openxmlformats.org/officeDocument/2006/relationships/footer" Target="footer14.xml"/><Relationship Id="rId61" Type="http://schemas.openxmlformats.org/officeDocument/2006/relationships/hyperlink" Target="https://decisions.scc-csc.ca/scc-csc/scr/fr/item/7350/index.do" TargetMode="External"/><Relationship Id="rId10" Type="http://schemas.openxmlformats.org/officeDocument/2006/relationships/hyperlink" Target="https://www.scc-csc.ca" TargetMode="External"/><Relationship Id="rId19" Type="http://schemas.openxmlformats.org/officeDocument/2006/relationships/hyperlink" Target="https://www.canlii.org/fr/qc/qccs/doc/2018/2018qccs2458/2018qccs2458.pdf"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eader" Target="header12.xml"/><Relationship Id="rId60" Type="http://schemas.openxmlformats.org/officeDocument/2006/relationships/hyperlink" Target="https://decisions.scc-csc.ca/scc-csc/scr/en/item/7350/index.do" TargetMode="External"/><Relationship Id="rId65"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nl/nlca/doc/2021/2021nlca29/2021nlca29.html" TargetMode="External"/><Relationship Id="rId27" Type="http://schemas.openxmlformats.org/officeDocument/2006/relationships/hyperlink" Target="https://www.canlii.org/en/on/onca/doc/2021/2021onca500/2021onca500.html?autocompleteStr=2021%20ONCA%20500&amp;autocompletePos=1" TargetMode="External"/><Relationship Id="rId30" Type="http://schemas.openxmlformats.org/officeDocument/2006/relationships/hyperlink" Target="https://www.canlii.org/en/on/onca/doc/2021/2021onca500/2021onca500.html?autocompleteStr=2021%20ONCA%20500&amp;autocompletePos=1"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header" Target="header14.xml"/><Relationship Id="rId64" Type="http://schemas.openxmlformats.org/officeDocument/2006/relationships/header" Target="header16.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scc-csc.ca/case-dossier/info/sum-som-fra.aspx?cas=3938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8/2018qccs2458/2018qccs2458.pdf" TargetMode="External"/><Relationship Id="rId25" Type="http://schemas.openxmlformats.org/officeDocument/2006/relationships/hyperlink" Target="https://www.canlii.org/en/on/oncj/doc/2019/2019oncj543/2019oncj543.html?autocompleteStr=2019%20ONCJ%20543&amp;autocompletePos=1"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hyperlink" Target="https://decisions.scc-csc.ca/scc-csc/scr/fr/item/7349/index.do" TargetMode="External"/><Relationship Id="rId67" Type="http://schemas.openxmlformats.org/officeDocument/2006/relationships/footer" Target="footer17.xml"/><Relationship Id="rId20" Type="http://schemas.openxmlformats.org/officeDocument/2006/relationships/hyperlink" Target="https://www.canlii.org/fr/qc/qcca/doc/2021/2021qcca405/2021qcca405.pdf" TargetMode="External"/><Relationship Id="rId41" Type="http://schemas.openxmlformats.org/officeDocument/2006/relationships/header" Target="header8.xml"/><Relationship Id="rId54" Type="http://schemas.openxmlformats.org/officeDocument/2006/relationships/footer" Target="footer12.xml"/><Relationship Id="rId62"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C474-6A04-4191-A30C-B1743DD0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28</Pages>
  <Words>11528</Words>
  <Characters>65716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2022-02-15T20:15:00Z</dcterms:created>
  <dcterms:modified xsi:type="dcterms:W3CDTF">2022-02-21T16:18:00Z</dcterms:modified>
</cp:coreProperties>
</file>