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5B107F" w:rsidTr="00F138C1">
        <w:tc>
          <w:tcPr>
            <w:tcW w:w="9648" w:type="dxa"/>
            <w:gridSpan w:val="3"/>
          </w:tcPr>
          <w:p w:rsidR="008C2D9E" w:rsidRPr="005B107F" w:rsidRDefault="008C2D9E" w:rsidP="00F138C1">
            <w:pPr>
              <w:tabs>
                <w:tab w:val="left" w:pos="6075"/>
              </w:tabs>
              <w:jc w:val="center"/>
              <w:rPr>
                <w:b/>
                <w:sz w:val="32"/>
                <w:szCs w:val="32"/>
                <w:lang w:val="fr-CA"/>
              </w:rPr>
            </w:pPr>
            <w:r w:rsidRPr="005B107F">
              <w:rPr>
                <w:noProof/>
                <w:lang w:val="en-US"/>
              </w:rPr>
              <w:drawing>
                <wp:inline distT="0" distB="0" distL="0" distR="0" wp14:anchorId="15AA22D5" wp14:editId="5DE26FEE">
                  <wp:extent cx="1188574" cy="16378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763" cy="1651902"/>
                          </a:xfrm>
                          <a:prstGeom prst="rect">
                            <a:avLst/>
                          </a:prstGeom>
                        </pic:spPr>
                      </pic:pic>
                    </a:graphicData>
                  </a:graphic>
                </wp:inline>
              </w:drawing>
            </w:r>
          </w:p>
          <w:p w:rsidR="008C2D9E" w:rsidRPr="005B107F" w:rsidRDefault="008C2D9E" w:rsidP="00F138C1">
            <w:pPr>
              <w:tabs>
                <w:tab w:val="left" w:pos="6075"/>
              </w:tabs>
              <w:jc w:val="center"/>
              <w:rPr>
                <w:b/>
                <w:sz w:val="32"/>
                <w:szCs w:val="32"/>
                <w:lang w:val="fr-CA"/>
              </w:rPr>
            </w:pPr>
          </w:p>
        </w:tc>
      </w:tr>
      <w:tr w:rsidR="00F138C1" w:rsidRPr="005B107F" w:rsidTr="00F138C1">
        <w:tc>
          <w:tcPr>
            <w:tcW w:w="4599" w:type="dxa"/>
            <w:tcMar>
              <w:top w:w="284" w:type="dxa"/>
            </w:tcMar>
          </w:tcPr>
          <w:p w:rsidR="00F138C1" w:rsidRPr="005B107F" w:rsidRDefault="00F138C1" w:rsidP="00F138C1">
            <w:pPr>
              <w:tabs>
                <w:tab w:val="left" w:pos="6075"/>
              </w:tabs>
              <w:jc w:val="center"/>
              <w:rPr>
                <w:b/>
                <w:sz w:val="32"/>
                <w:szCs w:val="32"/>
              </w:rPr>
            </w:pPr>
            <w:r w:rsidRPr="005B107F">
              <w:rPr>
                <w:b/>
                <w:sz w:val="32"/>
                <w:szCs w:val="32"/>
              </w:rPr>
              <w:t>SUPREME COURT OF CANADA</w:t>
            </w:r>
          </w:p>
        </w:tc>
        <w:tc>
          <w:tcPr>
            <w:tcW w:w="483" w:type="dxa"/>
          </w:tcPr>
          <w:p w:rsidR="00F138C1" w:rsidRPr="005B107F" w:rsidRDefault="00F138C1" w:rsidP="00F138C1">
            <w:pPr>
              <w:tabs>
                <w:tab w:val="left" w:pos="6075"/>
              </w:tabs>
              <w:jc w:val="center"/>
              <w:rPr>
                <w:sz w:val="32"/>
                <w:szCs w:val="32"/>
              </w:rPr>
            </w:pPr>
          </w:p>
        </w:tc>
        <w:tc>
          <w:tcPr>
            <w:tcW w:w="4566" w:type="dxa"/>
            <w:tcMar>
              <w:top w:w="284" w:type="dxa"/>
            </w:tcMar>
          </w:tcPr>
          <w:p w:rsidR="00F138C1" w:rsidRPr="005B107F" w:rsidRDefault="00F138C1" w:rsidP="00F138C1">
            <w:pPr>
              <w:tabs>
                <w:tab w:val="left" w:pos="6075"/>
              </w:tabs>
              <w:jc w:val="center"/>
              <w:rPr>
                <w:b/>
                <w:sz w:val="32"/>
                <w:szCs w:val="32"/>
                <w:lang w:val="fr-CA"/>
              </w:rPr>
            </w:pPr>
            <w:r w:rsidRPr="005B107F">
              <w:rPr>
                <w:b/>
                <w:sz w:val="32"/>
                <w:szCs w:val="32"/>
                <w:lang w:val="fr-CA"/>
              </w:rPr>
              <w:t>COUR SUPRÊME DU CANADA</w:t>
            </w:r>
          </w:p>
        </w:tc>
      </w:tr>
      <w:tr w:rsidR="00F138C1" w:rsidRPr="005B107F" w:rsidTr="00F138C1">
        <w:tc>
          <w:tcPr>
            <w:tcW w:w="4599" w:type="dxa"/>
            <w:tcMar>
              <w:top w:w="567" w:type="dxa"/>
            </w:tcMar>
          </w:tcPr>
          <w:p w:rsidR="00F138C1" w:rsidRPr="005B107F" w:rsidRDefault="00F138C1" w:rsidP="00F138C1">
            <w:pPr>
              <w:tabs>
                <w:tab w:val="left" w:pos="6075"/>
              </w:tabs>
              <w:jc w:val="center"/>
              <w:rPr>
                <w:sz w:val="28"/>
                <w:szCs w:val="28"/>
              </w:rPr>
            </w:pPr>
            <w:r w:rsidRPr="005B107F">
              <w:rPr>
                <w:sz w:val="28"/>
                <w:szCs w:val="28"/>
              </w:rPr>
              <w:t>BULLETIN OF</w:t>
            </w:r>
            <w:r w:rsidRPr="005B107F">
              <w:rPr>
                <w:sz w:val="28"/>
                <w:szCs w:val="28"/>
              </w:rPr>
              <w:br/>
              <w:t xml:space="preserve"> PROCEEDINGS</w:t>
            </w:r>
          </w:p>
        </w:tc>
        <w:tc>
          <w:tcPr>
            <w:tcW w:w="483" w:type="dxa"/>
          </w:tcPr>
          <w:p w:rsidR="00F138C1" w:rsidRPr="005B107F" w:rsidRDefault="00F138C1" w:rsidP="00F138C1">
            <w:pPr>
              <w:tabs>
                <w:tab w:val="left" w:pos="6075"/>
              </w:tabs>
            </w:pPr>
          </w:p>
        </w:tc>
        <w:tc>
          <w:tcPr>
            <w:tcW w:w="4566" w:type="dxa"/>
            <w:tcMar>
              <w:top w:w="567" w:type="dxa"/>
            </w:tcMar>
          </w:tcPr>
          <w:p w:rsidR="00F138C1" w:rsidRPr="005B107F" w:rsidRDefault="00F138C1" w:rsidP="00F138C1">
            <w:pPr>
              <w:tabs>
                <w:tab w:val="left" w:pos="6075"/>
              </w:tabs>
              <w:jc w:val="center"/>
              <w:rPr>
                <w:sz w:val="28"/>
                <w:szCs w:val="28"/>
                <w:lang w:val="fr-CA"/>
              </w:rPr>
            </w:pPr>
            <w:r w:rsidRPr="005B107F">
              <w:rPr>
                <w:sz w:val="28"/>
                <w:szCs w:val="28"/>
                <w:lang w:val="fr-CA"/>
              </w:rPr>
              <w:t>BULLETIN DES</w:t>
            </w:r>
            <w:r w:rsidRPr="005B107F">
              <w:rPr>
                <w:sz w:val="28"/>
                <w:szCs w:val="28"/>
                <w:lang w:val="fr-CA"/>
              </w:rPr>
              <w:br/>
              <w:t xml:space="preserve"> PROCÉDURES</w:t>
            </w:r>
          </w:p>
        </w:tc>
      </w:tr>
      <w:tr w:rsidR="00F138C1" w:rsidRPr="005B107F" w:rsidTr="00F138C1">
        <w:tc>
          <w:tcPr>
            <w:tcW w:w="4599" w:type="dxa"/>
            <w:tcMar>
              <w:top w:w="567" w:type="dxa"/>
            </w:tcMar>
          </w:tcPr>
          <w:p w:rsidR="00F138C1" w:rsidRPr="005B107F" w:rsidRDefault="00F138C1" w:rsidP="00F138C1">
            <w:pPr>
              <w:tabs>
                <w:tab w:val="left" w:pos="6075"/>
              </w:tabs>
              <w:jc w:val="both"/>
              <w:rPr>
                <w:rFonts w:ascii="Arial" w:hAnsi="Arial" w:cs="Arial"/>
                <w:i/>
                <w:sz w:val="20"/>
                <w:szCs w:val="20"/>
              </w:rPr>
            </w:pPr>
            <w:r w:rsidRPr="005B107F">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5B107F"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5B107F" w:rsidRDefault="00F138C1" w:rsidP="00F138C1">
            <w:pPr>
              <w:tabs>
                <w:tab w:val="left" w:pos="6075"/>
              </w:tabs>
              <w:jc w:val="both"/>
              <w:rPr>
                <w:rFonts w:ascii="Arial" w:hAnsi="Arial" w:cs="Arial"/>
                <w:i/>
                <w:sz w:val="20"/>
                <w:szCs w:val="20"/>
                <w:lang w:val="fr-CA"/>
              </w:rPr>
            </w:pPr>
            <w:r w:rsidRPr="005B107F">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5B107F" w:rsidTr="00F138C1">
        <w:tc>
          <w:tcPr>
            <w:tcW w:w="4599" w:type="dxa"/>
            <w:tcMar>
              <w:top w:w="567" w:type="dxa"/>
            </w:tcMar>
          </w:tcPr>
          <w:p w:rsidR="00F138C1" w:rsidRPr="005B107F" w:rsidRDefault="00F138C1" w:rsidP="00F138C1">
            <w:pPr>
              <w:tabs>
                <w:tab w:val="left" w:pos="6075"/>
              </w:tabs>
              <w:jc w:val="both"/>
              <w:rPr>
                <w:rFonts w:ascii="Arial" w:hAnsi="Arial" w:cs="Arial"/>
                <w:i/>
                <w:sz w:val="20"/>
                <w:szCs w:val="20"/>
              </w:rPr>
            </w:pPr>
            <w:r w:rsidRPr="005B107F">
              <w:rPr>
                <w:rFonts w:ascii="Arial" w:hAnsi="Arial" w:cs="Arial"/>
                <w:i/>
                <w:sz w:val="20"/>
                <w:szCs w:val="20"/>
              </w:rPr>
              <w:t>During Court sessions, the Bulletin is usually issued weekly.</w:t>
            </w:r>
          </w:p>
        </w:tc>
        <w:tc>
          <w:tcPr>
            <w:tcW w:w="483" w:type="dxa"/>
          </w:tcPr>
          <w:p w:rsidR="00F138C1" w:rsidRPr="005B107F"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5B107F" w:rsidRDefault="00F138C1" w:rsidP="00F138C1">
            <w:pPr>
              <w:tabs>
                <w:tab w:val="left" w:pos="6075"/>
              </w:tabs>
              <w:jc w:val="both"/>
              <w:rPr>
                <w:rFonts w:ascii="Arial" w:hAnsi="Arial" w:cs="Arial"/>
                <w:i/>
                <w:sz w:val="20"/>
                <w:szCs w:val="20"/>
                <w:lang w:val="fr-CA"/>
              </w:rPr>
            </w:pPr>
            <w:r w:rsidRPr="005B107F">
              <w:rPr>
                <w:rFonts w:ascii="Arial" w:hAnsi="Arial" w:cs="Arial"/>
                <w:i/>
                <w:sz w:val="20"/>
                <w:szCs w:val="20"/>
                <w:lang w:val="fr-CA"/>
              </w:rPr>
              <w:t>Le Bulletin paraît en principe toutes les semaines pendant les sessions de la Cour.</w:t>
            </w:r>
          </w:p>
        </w:tc>
      </w:tr>
      <w:tr w:rsidR="00F138C1" w:rsidRPr="005B107F" w:rsidTr="00F138C1">
        <w:tc>
          <w:tcPr>
            <w:tcW w:w="4599" w:type="dxa"/>
            <w:tcMar>
              <w:top w:w="567" w:type="dxa"/>
            </w:tcMar>
          </w:tcPr>
          <w:p w:rsidR="00F138C1" w:rsidRPr="005B107F" w:rsidRDefault="00F138C1" w:rsidP="00F138C1">
            <w:pPr>
              <w:tabs>
                <w:tab w:val="left" w:pos="6075"/>
              </w:tabs>
              <w:jc w:val="both"/>
              <w:rPr>
                <w:rFonts w:ascii="Arial" w:hAnsi="Arial" w:cs="Arial"/>
                <w:i/>
                <w:sz w:val="20"/>
                <w:szCs w:val="20"/>
              </w:rPr>
            </w:pPr>
            <w:r w:rsidRPr="005B107F">
              <w:rPr>
                <w:rFonts w:ascii="Arial" w:hAnsi="Arial" w:cs="Arial"/>
                <w:i/>
                <w:sz w:val="20"/>
                <w:szCs w:val="20"/>
              </w:rPr>
              <w:fldChar w:fldCharType="begin"/>
            </w:r>
            <w:r w:rsidRPr="005B107F">
              <w:rPr>
                <w:rFonts w:ascii="Arial" w:hAnsi="Arial" w:cs="Arial"/>
                <w:i/>
                <w:sz w:val="20"/>
                <w:szCs w:val="20"/>
              </w:rPr>
              <w:instrText xml:space="preserve"> SEQ CHAPTER \h \r 1</w:instrText>
            </w:r>
            <w:r w:rsidRPr="005B107F">
              <w:rPr>
                <w:rFonts w:ascii="Arial" w:hAnsi="Arial" w:cs="Arial"/>
                <w:i/>
                <w:sz w:val="20"/>
                <w:szCs w:val="20"/>
              </w:rPr>
              <w:fldChar w:fldCharType="end"/>
            </w:r>
            <w:r w:rsidRPr="005B107F">
              <w:rPr>
                <w:rFonts w:ascii="Arial" w:hAnsi="Arial" w:cs="Arial"/>
                <w:i/>
                <w:iCs/>
                <w:sz w:val="20"/>
                <w:szCs w:val="20"/>
              </w:rPr>
              <w:t>Where a judgment has been rendered, requests for copies should be made to the Registrar, with a remittance of $15 for each set of reasons.  All remittances should be made payable to the Receiver General for Canada.</w:t>
            </w:r>
          </w:p>
        </w:tc>
        <w:tc>
          <w:tcPr>
            <w:tcW w:w="483" w:type="dxa"/>
          </w:tcPr>
          <w:p w:rsidR="00F138C1" w:rsidRPr="005B107F"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5B107F" w:rsidRDefault="00F138C1" w:rsidP="00F138C1">
            <w:pPr>
              <w:tabs>
                <w:tab w:val="left" w:pos="6075"/>
              </w:tabs>
              <w:jc w:val="both"/>
              <w:rPr>
                <w:rFonts w:ascii="Arial" w:hAnsi="Arial" w:cs="Arial"/>
                <w:i/>
                <w:sz w:val="20"/>
                <w:szCs w:val="20"/>
                <w:lang w:val="fr-CA"/>
              </w:rPr>
            </w:pPr>
            <w:r w:rsidRPr="005B107F">
              <w:rPr>
                <w:rFonts w:ascii="Arial" w:hAnsi="Arial" w:cs="Arial"/>
                <w:i/>
                <w:sz w:val="20"/>
                <w:szCs w:val="20"/>
                <w:lang w:val="fr-CA"/>
              </w:rPr>
              <w:fldChar w:fldCharType="begin"/>
            </w:r>
            <w:r w:rsidRPr="005B107F">
              <w:rPr>
                <w:rFonts w:ascii="Arial" w:hAnsi="Arial" w:cs="Arial"/>
                <w:i/>
                <w:sz w:val="20"/>
                <w:szCs w:val="20"/>
                <w:lang w:val="fr-CA"/>
              </w:rPr>
              <w:instrText xml:space="preserve"> SEQ CHAPTER \h \r 1</w:instrText>
            </w:r>
            <w:r w:rsidRPr="005B107F">
              <w:rPr>
                <w:rFonts w:ascii="Arial" w:hAnsi="Arial" w:cs="Arial"/>
                <w:i/>
                <w:sz w:val="20"/>
                <w:szCs w:val="20"/>
                <w:lang w:val="fr-CA"/>
              </w:rPr>
              <w:fldChar w:fldCharType="end"/>
            </w:r>
            <w:r w:rsidRPr="005B107F">
              <w:rPr>
                <w:rFonts w:ascii="Arial" w:hAnsi="Arial" w:cs="Arial"/>
                <w:i/>
                <w:iCs/>
                <w:sz w:val="20"/>
                <w:szCs w:val="20"/>
                <w:lang w:val="fr-CA"/>
              </w:rPr>
              <w:t>Quand un arrêt est rendu, on peut se procurer les motifs de jugement en adressant sa demande au registraire, accompagnée de 15 $ par exemplaire.  Le paiement doit être fait à l'ordre du Receveur général du Canada.</w:t>
            </w:r>
          </w:p>
        </w:tc>
      </w:tr>
      <w:tr w:rsidR="00F138C1" w:rsidRPr="005B107F" w:rsidTr="00F138C1">
        <w:tc>
          <w:tcPr>
            <w:tcW w:w="4599" w:type="dxa"/>
            <w:tcMar>
              <w:top w:w="567" w:type="dxa"/>
            </w:tcMar>
          </w:tcPr>
          <w:p w:rsidR="00F138C1" w:rsidRPr="005B107F" w:rsidRDefault="00F138C1" w:rsidP="00F138C1">
            <w:pPr>
              <w:tabs>
                <w:tab w:val="left" w:pos="6075"/>
              </w:tabs>
              <w:jc w:val="both"/>
              <w:rPr>
                <w:rFonts w:ascii="Arial" w:hAnsi="Arial" w:cs="Arial"/>
                <w:i/>
                <w:sz w:val="20"/>
                <w:szCs w:val="20"/>
              </w:rPr>
            </w:pPr>
            <w:r w:rsidRPr="005B107F">
              <w:rPr>
                <w:rFonts w:ascii="Arial" w:hAnsi="Arial" w:cs="Arial"/>
                <w:i/>
                <w:sz w:val="20"/>
                <w:szCs w:val="20"/>
                <w:lang w:val="en-US"/>
              </w:rPr>
              <w:t>Please c</w:t>
            </w:r>
            <w:r w:rsidRPr="005B107F">
              <w:rPr>
                <w:rFonts w:ascii="Arial" w:hAnsi="Arial" w:cs="Arial"/>
                <w:i/>
                <w:sz w:val="20"/>
                <w:szCs w:val="20"/>
              </w:rPr>
              <w:t xml:space="preserve">onsult the Supreme Court of Canada website at </w:t>
            </w:r>
            <w:hyperlink r:id="rId9" w:history="1">
              <w:r w:rsidRPr="005B107F">
                <w:rPr>
                  <w:rStyle w:val="Hyperlink"/>
                  <w:rFonts w:ascii="Arial" w:hAnsi="Arial" w:cs="Arial"/>
                  <w:i/>
                  <w:sz w:val="20"/>
                  <w:szCs w:val="20"/>
                </w:rPr>
                <w:t>www.scc-csc.ca</w:t>
              </w:r>
            </w:hyperlink>
            <w:r w:rsidRPr="005B107F">
              <w:rPr>
                <w:rFonts w:ascii="Arial" w:hAnsi="Arial" w:cs="Arial"/>
                <w:i/>
                <w:sz w:val="20"/>
                <w:szCs w:val="20"/>
              </w:rPr>
              <w:t xml:space="preserve"> for more information.</w:t>
            </w:r>
          </w:p>
        </w:tc>
        <w:tc>
          <w:tcPr>
            <w:tcW w:w="483" w:type="dxa"/>
          </w:tcPr>
          <w:p w:rsidR="00F138C1" w:rsidRPr="005B107F"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5B107F" w:rsidRDefault="00F138C1" w:rsidP="00F138C1">
            <w:pPr>
              <w:tabs>
                <w:tab w:val="left" w:pos="6075"/>
              </w:tabs>
              <w:jc w:val="both"/>
              <w:rPr>
                <w:rFonts w:ascii="Arial" w:hAnsi="Arial" w:cs="Arial"/>
                <w:i/>
                <w:sz w:val="20"/>
                <w:szCs w:val="20"/>
                <w:lang w:val="fr-CA"/>
              </w:rPr>
            </w:pPr>
            <w:r w:rsidRPr="005B107F">
              <w:rPr>
                <w:rFonts w:ascii="Arial" w:hAnsi="Arial" w:cs="Arial"/>
                <w:i/>
                <w:sz w:val="20"/>
                <w:szCs w:val="20"/>
                <w:lang w:val="fr-CA"/>
              </w:rPr>
              <w:t xml:space="preserve">Pour de plus amples informations, veuillez consulter le site Web de la Cour suprême du Canada à l’adresse suivante : </w:t>
            </w:r>
            <w:hyperlink r:id="rId10" w:history="1">
              <w:r w:rsidRPr="005B107F">
                <w:rPr>
                  <w:rStyle w:val="Hyperlink"/>
                  <w:rFonts w:ascii="Arial" w:hAnsi="Arial" w:cs="Arial"/>
                  <w:i/>
                  <w:sz w:val="20"/>
                  <w:szCs w:val="20"/>
                  <w:lang w:val="fr-CA"/>
                </w:rPr>
                <w:t>www.scc-csc.ca</w:t>
              </w:r>
            </w:hyperlink>
            <w:r w:rsidRPr="005B107F">
              <w:rPr>
                <w:rFonts w:ascii="Arial" w:hAnsi="Arial" w:cs="Arial"/>
                <w:i/>
                <w:sz w:val="20"/>
                <w:szCs w:val="20"/>
                <w:lang w:val="fr-CA"/>
              </w:rPr>
              <w:t xml:space="preserve"> </w:t>
            </w:r>
          </w:p>
        </w:tc>
      </w:tr>
    </w:tbl>
    <w:p w:rsidR="00F138C1" w:rsidRPr="005B107F"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5B107F" w:rsidTr="00F138C1">
        <w:tc>
          <w:tcPr>
            <w:tcW w:w="2250" w:type="pct"/>
            <w:tcBorders>
              <w:top w:val="single" w:sz="4" w:space="0" w:color="auto"/>
            </w:tcBorders>
            <w:tcMar>
              <w:top w:w="284" w:type="dxa"/>
              <w:bottom w:w="284" w:type="dxa"/>
            </w:tcMar>
          </w:tcPr>
          <w:p w:rsidR="00F138C1" w:rsidRPr="005B107F" w:rsidRDefault="004406DE" w:rsidP="00352B57">
            <w:pPr>
              <w:tabs>
                <w:tab w:val="left" w:pos="6075"/>
              </w:tabs>
              <w:rPr>
                <w:rFonts w:ascii="Arial" w:hAnsi="Arial" w:cs="Arial"/>
                <w:i/>
                <w:sz w:val="20"/>
                <w:szCs w:val="20"/>
              </w:rPr>
            </w:pPr>
            <w:r w:rsidRPr="005B107F">
              <w:rPr>
                <w:lang w:val="fr-CA"/>
              </w:rPr>
              <w:t>Ju</w:t>
            </w:r>
            <w:r w:rsidR="00D4247B" w:rsidRPr="005B107F">
              <w:rPr>
                <w:lang w:val="fr-CA"/>
              </w:rPr>
              <w:t>ly</w:t>
            </w:r>
            <w:r w:rsidR="00F138C1" w:rsidRPr="005B107F">
              <w:rPr>
                <w:lang w:val="fr-CA"/>
              </w:rPr>
              <w:t xml:space="preserve"> </w:t>
            </w:r>
            <w:r w:rsidR="00352B57" w:rsidRPr="005B107F">
              <w:rPr>
                <w:lang w:val="fr-CA"/>
              </w:rPr>
              <w:t>15</w:t>
            </w:r>
            <w:r w:rsidR="00F138C1" w:rsidRPr="005B107F">
              <w:rPr>
                <w:lang w:val="fr-CA"/>
              </w:rPr>
              <w:t>, 20</w:t>
            </w:r>
            <w:bookmarkStart w:id="0" w:name="_GoBack"/>
            <w:bookmarkEnd w:id="0"/>
            <w:r w:rsidR="009B36BA" w:rsidRPr="005B107F">
              <w:rPr>
                <w:lang w:val="fr-CA"/>
              </w:rPr>
              <w:t>2</w:t>
            </w:r>
            <w:r w:rsidR="00E8642A" w:rsidRPr="005B107F">
              <w:rPr>
                <w:lang w:val="fr-CA"/>
              </w:rPr>
              <w:t>2</w:t>
            </w:r>
          </w:p>
        </w:tc>
        <w:tc>
          <w:tcPr>
            <w:tcW w:w="500" w:type="pct"/>
            <w:tcBorders>
              <w:top w:val="single" w:sz="4" w:space="0" w:color="auto"/>
            </w:tcBorders>
            <w:tcMar>
              <w:top w:w="284" w:type="dxa"/>
              <w:bottom w:w="284" w:type="dxa"/>
            </w:tcMar>
          </w:tcPr>
          <w:p w:rsidR="00F138C1" w:rsidRPr="005B107F" w:rsidRDefault="00F138C1" w:rsidP="005B107F">
            <w:pPr>
              <w:tabs>
                <w:tab w:val="left" w:pos="6075"/>
              </w:tabs>
              <w:jc w:val="center"/>
              <w:rPr>
                <w:rFonts w:ascii="Arial" w:hAnsi="Arial" w:cs="Arial"/>
                <w:i/>
                <w:sz w:val="20"/>
                <w:szCs w:val="20"/>
              </w:rPr>
            </w:pPr>
            <w:r w:rsidRPr="005B107F">
              <w:rPr>
                <w:lang w:val="fr-CA"/>
              </w:rPr>
              <w:t xml:space="preserve">1 - </w:t>
            </w:r>
            <w:r w:rsidR="005B107F" w:rsidRPr="005B107F">
              <w:rPr>
                <w:lang w:val="fr-CA"/>
              </w:rPr>
              <w:t>4</w:t>
            </w:r>
          </w:p>
        </w:tc>
        <w:tc>
          <w:tcPr>
            <w:tcW w:w="2250" w:type="pct"/>
            <w:tcBorders>
              <w:top w:val="single" w:sz="4" w:space="0" w:color="auto"/>
            </w:tcBorders>
            <w:tcMar>
              <w:top w:w="284" w:type="dxa"/>
              <w:bottom w:w="284" w:type="dxa"/>
            </w:tcMar>
          </w:tcPr>
          <w:p w:rsidR="00F138C1" w:rsidRPr="005B107F" w:rsidRDefault="00F138C1" w:rsidP="00352B57">
            <w:pPr>
              <w:tabs>
                <w:tab w:val="left" w:pos="6075"/>
              </w:tabs>
              <w:jc w:val="right"/>
              <w:rPr>
                <w:rFonts w:ascii="Arial" w:hAnsi="Arial" w:cs="Arial"/>
                <w:i/>
                <w:sz w:val="20"/>
                <w:szCs w:val="20"/>
                <w:lang w:val="fr-CA"/>
              </w:rPr>
            </w:pPr>
            <w:r w:rsidRPr="005B107F">
              <w:rPr>
                <w:lang w:val="fr-CA"/>
              </w:rPr>
              <w:t xml:space="preserve">Le </w:t>
            </w:r>
            <w:r w:rsidR="00352B57" w:rsidRPr="005B107F">
              <w:rPr>
                <w:lang w:val="fr-CA"/>
              </w:rPr>
              <w:t>15</w:t>
            </w:r>
            <w:r w:rsidRPr="005B107F">
              <w:rPr>
                <w:lang w:val="fr-CA"/>
              </w:rPr>
              <w:t xml:space="preserve"> </w:t>
            </w:r>
            <w:r w:rsidR="004406DE" w:rsidRPr="005B107F">
              <w:rPr>
                <w:lang w:val="fr-CA"/>
              </w:rPr>
              <w:t>jui</w:t>
            </w:r>
            <w:r w:rsidR="00D4247B" w:rsidRPr="005B107F">
              <w:rPr>
                <w:lang w:val="fr-CA"/>
              </w:rPr>
              <w:t>llet</w:t>
            </w:r>
            <w:r w:rsidR="00BE5B3E" w:rsidRPr="005B107F">
              <w:rPr>
                <w:lang w:val="fr-CA"/>
              </w:rPr>
              <w:t xml:space="preserve"> </w:t>
            </w:r>
            <w:r w:rsidRPr="005B107F">
              <w:rPr>
                <w:lang w:val="fr-CA"/>
              </w:rPr>
              <w:t>202</w:t>
            </w:r>
            <w:r w:rsidR="00E8642A" w:rsidRPr="005B107F">
              <w:rPr>
                <w:lang w:val="fr-CA"/>
              </w:rPr>
              <w:t>2</w:t>
            </w:r>
          </w:p>
        </w:tc>
      </w:tr>
      <w:tr w:rsidR="00F138C1" w:rsidRPr="005B107F" w:rsidTr="00F138C1">
        <w:tc>
          <w:tcPr>
            <w:tcW w:w="2250" w:type="pct"/>
            <w:tcBorders>
              <w:bottom w:val="single" w:sz="4" w:space="0" w:color="auto"/>
            </w:tcBorders>
            <w:tcMar>
              <w:top w:w="284" w:type="dxa"/>
              <w:bottom w:w="284" w:type="dxa"/>
            </w:tcMar>
          </w:tcPr>
          <w:p w:rsidR="00F138C1" w:rsidRPr="005B107F" w:rsidRDefault="00F138C1" w:rsidP="00E8642A">
            <w:pPr>
              <w:tabs>
                <w:tab w:val="left" w:pos="6075"/>
              </w:tabs>
              <w:rPr>
                <w:rFonts w:ascii="Arial" w:hAnsi="Arial" w:cs="Arial"/>
                <w:i/>
                <w:sz w:val="20"/>
                <w:szCs w:val="20"/>
              </w:rPr>
            </w:pPr>
            <w:r w:rsidRPr="005B107F">
              <w:rPr>
                <w:sz w:val="18"/>
                <w:szCs w:val="18"/>
                <w:lang w:val="en-US"/>
              </w:rPr>
              <w:t>© Supreme Court of Canada (202</w:t>
            </w:r>
            <w:r w:rsidR="00E8642A" w:rsidRPr="005B107F">
              <w:rPr>
                <w:sz w:val="18"/>
                <w:szCs w:val="18"/>
                <w:lang w:val="en-US"/>
              </w:rPr>
              <w:t>2</w:t>
            </w:r>
            <w:r w:rsidRPr="005B107F">
              <w:rPr>
                <w:sz w:val="18"/>
                <w:szCs w:val="18"/>
                <w:lang w:val="en-US"/>
              </w:rPr>
              <w:t>)</w:t>
            </w:r>
            <w:r w:rsidRPr="005B107F">
              <w:rPr>
                <w:sz w:val="18"/>
                <w:szCs w:val="18"/>
                <w:lang w:val="en-US"/>
              </w:rPr>
              <w:br/>
              <w:t>ISSN 1918-8358 (Online)</w:t>
            </w:r>
          </w:p>
        </w:tc>
        <w:tc>
          <w:tcPr>
            <w:tcW w:w="500" w:type="pct"/>
            <w:tcBorders>
              <w:bottom w:val="single" w:sz="4" w:space="0" w:color="auto"/>
            </w:tcBorders>
            <w:tcMar>
              <w:top w:w="284" w:type="dxa"/>
              <w:bottom w:w="284" w:type="dxa"/>
            </w:tcMar>
          </w:tcPr>
          <w:p w:rsidR="00F138C1" w:rsidRPr="005B107F"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5B107F" w:rsidRDefault="00F138C1" w:rsidP="00E8642A">
            <w:pPr>
              <w:tabs>
                <w:tab w:val="left" w:pos="6075"/>
              </w:tabs>
              <w:jc w:val="right"/>
              <w:rPr>
                <w:rFonts w:ascii="Arial" w:hAnsi="Arial" w:cs="Arial"/>
                <w:i/>
                <w:sz w:val="20"/>
                <w:szCs w:val="20"/>
                <w:lang w:val="fr-CA"/>
              </w:rPr>
            </w:pPr>
            <w:r w:rsidRPr="005B107F">
              <w:rPr>
                <w:sz w:val="18"/>
                <w:szCs w:val="18"/>
                <w:lang w:val="fr-CA"/>
              </w:rPr>
              <w:t>© Cour suprême du Canada (202</w:t>
            </w:r>
            <w:r w:rsidR="00E8642A" w:rsidRPr="005B107F">
              <w:rPr>
                <w:sz w:val="18"/>
                <w:szCs w:val="18"/>
                <w:lang w:val="fr-CA"/>
              </w:rPr>
              <w:t>2</w:t>
            </w:r>
            <w:proofErr w:type="gramStart"/>
            <w:r w:rsidRPr="005B107F">
              <w:rPr>
                <w:sz w:val="18"/>
                <w:szCs w:val="18"/>
                <w:lang w:val="fr-CA"/>
              </w:rPr>
              <w:t>)</w:t>
            </w:r>
            <w:proofErr w:type="gramEnd"/>
            <w:r w:rsidRPr="005B107F">
              <w:rPr>
                <w:sz w:val="18"/>
                <w:szCs w:val="18"/>
                <w:lang w:val="fr-CA"/>
              </w:rPr>
              <w:br/>
              <w:t>ISSN 1918-8358 (En ligne)</w:t>
            </w:r>
          </w:p>
        </w:tc>
      </w:tr>
    </w:tbl>
    <w:p w:rsidR="0030050B" w:rsidRPr="005B107F" w:rsidRDefault="0030050B" w:rsidP="00F138C1">
      <w:pPr>
        <w:tabs>
          <w:tab w:val="left" w:pos="6075"/>
        </w:tabs>
        <w:rPr>
          <w:lang w:val="fr-CA"/>
        </w:rPr>
      </w:pPr>
    </w:p>
    <w:p w:rsidR="00560DF1" w:rsidRPr="005B107F" w:rsidRDefault="00560DF1" w:rsidP="0095096B">
      <w:pPr>
        <w:tabs>
          <w:tab w:val="right" w:pos="9360"/>
        </w:tabs>
        <w:rPr>
          <w:lang w:val="fr-CA"/>
        </w:rPr>
      </w:pPr>
    </w:p>
    <w:p w:rsidR="00F138C1" w:rsidRPr="005B107F"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5B107F" w:rsidRDefault="00DC6B2E" w:rsidP="00693C38">
          <w:pPr>
            <w:pStyle w:val="Title"/>
            <w:jc w:val="center"/>
            <w:rPr>
              <w:rFonts w:ascii="Times New Roman" w:hAnsi="Times New Roman" w:cs="Times New Roman"/>
              <w:b/>
              <w:sz w:val="24"/>
              <w:szCs w:val="28"/>
              <w:lang w:val="fr-CA"/>
            </w:rPr>
          </w:pPr>
          <w:r w:rsidRPr="005B107F">
            <w:rPr>
              <w:rFonts w:ascii="Times New Roman" w:hAnsi="Times New Roman" w:cs="Times New Roman"/>
              <w:b/>
              <w:sz w:val="24"/>
              <w:szCs w:val="28"/>
              <w:lang w:val="fr-CA"/>
            </w:rPr>
            <w:t>Contents</w:t>
          </w:r>
        </w:p>
        <w:p w:rsidR="00693C38" w:rsidRPr="005B107F" w:rsidRDefault="00DC6B2E" w:rsidP="00693C38">
          <w:pPr>
            <w:jc w:val="center"/>
            <w:rPr>
              <w:b/>
              <w:szCs w:val="28"/>
              <w:lang w:val="fr-CA"/>
            </w:rPr>
          </w:pPr>
          <w:r w:rsidRPr="005B107F">
            <w:rPr>
              <w:b/>
              <w:szCs w:val="28"/>
              <w:lang w:val="fr-CA"/>
            </w:rPr>
            <w:t>Table des matières</w:t>
          </w:r>
        </w:p>
        <w:p w:rsidR="00693C38" w:rsidRPr="005B107F" w:rsidRDefault="00693C38" w:rsidP="00693C38">
          <w:pPr>
            <w:rPr>
              <w:lang w:val="fr-CA"/>
            </w:rPr>
          </w:pPr>
        </w:p>
        <w:p w:rsidR="005B107F" w:rsidRPr="005B107F" w:rsidRDefault="00DC6B2E">
          <w:pPr>
            <w:pStyle w:val="TOC1"/>
            <w:tabs>
              <w:tab w:val="right" w:leader="dot" w:pos="9638"/>
            </w:tabs>
            <w:rPr>
              <w:rFonts w:asciiTheme="minorHAnsi" w:eastAsiaTheme="minorEastAsia" w:hAnsiTheme="minorHAnsi"/>
              <w:noProof/>
              <w:sz w:val="22"/>
              <w:lang w:val="en-US"/>
            </w:rPr>
          </w:pPr>
          <w:r w:rsidRPr="005B107F">
            <w:rPr>
              <w:b/>
              <w:bCs/>
              <w:noProof/>
            </w:rPr>
            <w:fldChar w:fldCharType="begin"/>
          </w:r>
          <w:r w:rsidRPr="005B107F">
            <w:rPr>
              <w:b/>
              <w:bCs/>
              <w:noProof/>
            </w:rPr>
            <w:instrText xml:space="preserve"> TOC \o "1-3" \h \z \u </w:instrText>
          </w:r>
          <w:r w:rsidRPr="005B107F">
            <w:rPr>
              <w:b/>
              <w:bCs/>
              <w:noProof/>
            </w:rPr>
            <w:fldChar w:fldCharType="separate"/>
          </w:r>
          <w:hyperlink w:anchor="_Toc108763060" w:history="1">
            <w:r w:rsidR="005B107F" w:rsidRPr="005B107F">
              <w:rPr>
                <w:rStyle w:val="Hyperlink"/>
                <w:noProof/>
                <w:lang w:val="fr-CA"/>
              </w:rPr>
              <w:t>Judgments on applications for leave /  Jugements rendus sur les demandes d’autorisation</w:t>
            </w:r>
            <w:r w:rsidR="005B107F" w:rsidRPr="005B107F">
              <w:rPr>
                <w:noProof/>
                <w:webHidden/>
              </w:rPr>
              <w:tab/>
            </w:r>
            <w:r w:rsidR="005B107F" w:rsidRPr="005B107F">
              <w:rPr>
                <w:noProof/>
                <w:webHidden/>
              </w:rPr>
              <w:fldChar w:fldCharType="begin"/>
            </w:r>
            <w:r w:rsidR="005B107F" w:rsidRPr="005B107F">
              <w:rPr>
                <w:noProof/>
                <w:webHidden/>
              </w:rPr>
              <w:instrText xml:space="preserve"> PAGEREF _Toc108763060 \h </w:instrText>
            </w:r>
            <w:r w:rsidR="005B107F" w:rsidRPr="005B107F">
              <w:rPr>
                <w:noProof/>
                <w:webHidden/>
              </w:rPr>
            </w:r>
            <w:r w:rsidR="005B107F" w:rsidRPr="005B107F">
              <w:rPr>
                <w:noProof/>
                <w:webHidden/>
              </w:rPr>
              <w:fldChar w:fldCharType="separate"/>
            </w:r>
            <w:r w:rsidR="005B107F" w:rsidRPr="005B107F">
              <w:rPr>
                <w:noProof/>
                <w:webHidden/>
              </w:rPr>
              <w:t>1</w:t>
            </w:r>
            <w:r w:rsidR="005B107F" w:rsidRPr="005B107F">
              <w:rPr>
                <w:noProof/>
                <w:webHidden/>
              </w:rPr>
              <w:fldChar w:fldCharType="end"/>
            </w:r>
          </w:hyperlink>
        </w:p>
        <w:p w:rsidR="005B107F" w:rsidRPr="005B107F" w:rsidRDefault="005B107F">
          <w:pPr>
            <w:pStyle w:val="TOC1"/>
            <w:tabs>
              <w:tab w:val="right" w:leader="dot" w:pos="9638"/>
            </w:tabs>
            <w:rPr>
              <w:rFonts w:asciiTheme="minorHAnsi" w:eastAsiaTheme="minorEastAsia" w:hAnsiTheme="minorHAnsi"/>
              <w:noProof/>
              <w:sz w:val="22"/>
              <w:lang w:val="en-US"/>
            </w:rPr>
          </w:pPr>
          <w:hyperlink w:anchor="_Toc108763061" w:history="1">
            <w:r w:rsidRPr="005B107F">
              <w:rPr>
                <w:rStyle w:val="Hyperlink"/>
                <w:noProof/>
              </w:rPr>
              <w:t xml:space="preserve">Notices of appeal filed since the last issue /  </w:t>
            </w:r>
            <w:r w:rsidRPr="005B107F">
              <w:rPr>
                <w:rStyle w:val="Hyperlink"/>
                <w:noProof/>
                <w:lang w:val="fr-CA"/>
              </w:rPr>
              <w:t>Avis d’appel déposés depuis la dernière parution</w:t>
            </w:r>
            <w:r w:rsidRPr="005B107F">
              <w:rPr>
                <w:noProof/>
                <w:webHidden/>
              </w:rPr>
              <w:tab/>
            </w:r>
            <w:r w:rsidRPr="005B107F">
              <w:rPr>
                <w:noProof/>
                <w:webHidden/>
              </w:rPr>
              <w:fldChar w:fldCharType="begin"/>
            </w:r>
            <w:r w:rsidRPr="005B107F">
              <w:rPr>
                <w:noProof/>
                <w:webHidden/>
              </w:rPr>
              <w:instrText xml:space="preserve"> PAGEREF _Toc108763061 \h </w:instrText>
            </w:r>
            <w:r w:rsidRPr="005B107F">
              <w:rPr>
                <w:noProof/>
                <w:webHidden/>
              </w:rPr>
            </w:r>
            <w:r w:rsidRPr="005B107F">
              <w:rPr>
                <w:noProof/>
                <w:webHidden/>
              </w:rPr>
              <w:fldChar w:fldCharType="separate"/>
            </w:r>
            <w:r w:rsidRPr="005B107F">
              <w:rPr>
                <w:noProof/>
                <w:webHidden/>
              </w:rPr>
              <w:t>3</w:t>
            </w:r>
            <w:r w:rsidRPr="005B107F">
              <w:rPr>
                <w:noProof/>
                <w:webHidden/>
              </w:rPr>
              <w:fldChar w:fldCharType="end"/>
            </w:r>
          </w:hyperlink>
        </w:p>
        <w:p w:rsidR="005B107F" w:rsidRPr="005B107F" w:rsidRDefault="005B107F">
          <w:pPr>
            <w:pStyle w:val="TOC1"/>
            <w:tabs>
              <w:tab w:val="right" w:leader="dot" w:pos="9638"/>
            </w:tabs>
            <w:rPr>
              <w:rFonts w:asciiTheme="minorHAnsi" w:eastAsiaTheme="minorEastAsia" w:hAnsiTheme="minorHAnsi"/>
              <w:noProof/>
              <w:sz w:val="22"/>
              <w:lang w:val="en-US"/>
            </w:rPr>
          </w:pPr>
          <w:hyperlink w:anchor="_Toc108763062" w:history="1">
            <w:r w:rsidRPr="005B107F">
              <w:rPr>
                <w:rStyle w:val="Hyperlink"/>
                <w:noProof/>
                <w:lang w:val="fr-CA"/>
              </w:rPr>
              <w:t>Pronouncements of reserved appeals /  Jugements rendus sur les appels en délibéré</w:t>
            </w:r>
            <w:r w:rsidRPr="005B107F">
              <w:rPr>
                <w:noProof/>
                <w:webHidden/>
              </w:rPr>
              <w:tab/>
            </w:r>
            <w:r w:rsidRPr="005B107F">
              <w:rPr>
                <w:noProof/>
                <w:webHidden/>
              </w:rPr>
              <w:fldChar w:fldCharType="begin"/>
            </w:r>
            <w:r w:rsidRPr="005B107F">
              <w:rPr>
                <w:noProof/>
                <w:webHidden/>
              </w:rPr>
              <w:instrText xml:space="preserve"> PAGEREF _Toc108763062 \h </w:instrText>
            </w:r>
            <w:r w:rsidRPr="005B107F">
              <w:rPr>
                <w:noProof/>
                <w:webHidden/>
              </w:rPr>
            </w:r>
            <w:r w:rsidRPr="005B107F">
              <w:rPr>
                <w:noProof/>
                <w:webHidden/>
              </w:rPr>
              <w:fldChar w:fldCharType="separate"/>
            </w:r>
            <w:r w:rsidRPr="005B107F">
              <w:rPr>
                <w:noProof/>
                <w:webHidden/>
              </w:rPr>
              <w:t>4</w:t>
            </w:r>
            <w:r w:rsidRPr="005B107F">
              <w:rPr>
                <w:noProof/>
                <w:webHidden/>
              </w:rPr>
              <w:fldChar w:fldCharType="end"/>
            </w:r>
          </w:hyperlink>
        </w:p>
        <w:p w:rsidR="00560DF1" w:rsidRPr="005B107F" w:rsidRDefault="00DC6B2E">
          <w:r w:rsidRPr="005B107F">
            <w:rPr>
              <w:b/>
              <w:bCs/>
              <w:noProof/>
              <w:sz w:val="20"/>
            </w:rPr>
            <w:fldChar w:fldCharType="end"/>
          </w:r>
        </w:p>
      </w:sdtContent>
    </w:sdt>
    <w:p w:rsidR="00560DF1" w:rsidRPr="005B107F"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5B107F" w:rsidTr="00F138C1">
        <w:trPr>
          <w:jc w:val="center"/>
        </w:trPr>
        <w:tc>
          <w:tcPr>
            <w:tcW w:w="9638" w:type="dxa"/>
          </w:tcPr>
          <w:p w:rsidR="00F138C1" w:rsidRPr="005B107F" w:rsidRDefault="00F138C1" w:rsidP="00F138C1">
            <w:pPr>
              <w:keepNext/>
              <w:tabs>
                <w:tab w:val="right" w:pos="9360"/>
              </w:tabs>
              <w:spacing w:after="120"/>
              <w:jc w:val="center"/>
              <w:rPr>
                <w:szCs w:val="24"/>
              </w:rPr>
            </w:pPr>
            <w:r w:rsidRPr="005B107F">
              <w:rPr>
                <w:szCs w:val="24"/>
              </w:rPr>
              <w:t>NOTICE</w:t>
            </w:r>
          </w:p>
          <w:p w:rsidR="00F138C1" w:rsidRPr="005B107F" w:rsidRDefault="00F138C1" w:rsidP="00F138C1">
            <w:pPr>
              <w:keepNext/>
              <w:tabs>
                <w:tab w:val="right" w:pos="9360"/>
              </w:tabs>
              <w:spacing w:after="120"/>
              <w:jc w:val="both"/>
              <w:rPr>
                <w:szCs w:val="24"/>
              </w:rPr>
            </w:pPr>
            <w:r w:rsidRPr="005B107F">
              <w:rPr>
                <w:szCs w:val="24"/>
              </w:rPr>
              <w:t>Case summaries included in the Bulletin are prepared by the Office of the Registrar of the Supreme Court of Canada (Law Branch) for information purposes only.</w:t>
            </w:r>
          </w:p>
          <w:p w:rsidR="00F138C1" w:rsidRPr="005B107F" w:rsidRDefault="00F138C1" w:rsidP="00F138C1">
            <w:pPr>
              <w:keepNext/>
              <w:tabs>
                <w:tab w:val="right" w:pos="9360"/>
              </w:tabs>
              <w:spacing w:after="120"/>
              <w:jc w:val="center"/>
              <w:rPr>
                <w:szCs w:val="24"/>
                <w:lang w:val="fr-CA"/>
              </w:rPr>
            </w:pPr>
            <w:r w:rsidRPr="005B107F">
              <w:rPr>
                <w:szCs w:val="24"/>
                <w:lang w:val="fr-CA"/>
              </w:rPr>
              <w:t>AVIS</w:t>
            </w:r>
          </w:p>
          <w:p w:rsidR="00F138C1" w:rsidRPr="005B107F" w:rsidRDefault="00F138C1" w:rsidP="00F138C1">
            <w:pPr>
              <w:keepNext/>
              <w:tabs>
                <w:tab w:val="right" w:pos="9360"/>
              </w:tabs>
              <w:spacing w:after="120"/>
              <w:jc w:val="both"/>
              <w:rPr>
                <w:sz w:val="20"/>
                <w:szCs w:val="20"/>
                <w:lang w:val="fr-CA"/>
              </w:rPr>
            </w:pPr>
            <w:r w:rsidRPr="005B107F">
              <w:rPr>
                <w:szCs w:val="24"/>
                <w:lang w:val="fr-CA"/>
              </w:rPr>
              <w:t>Les résumés des causes publiés dans le bulletin sont préparés par le Bureau du registraire (Direction générale du droit) uniquement à titre d’information.</w:t>
            </w:r>
          </w:p>
        </w:tc>
      </w:tr>
    </w:tbl>
    <w:p w:rsidR="00F138C1" w:rsidRPr="005B107F" w:rsidRDefault="00F138C1" w:rsidP="00F138C1">
      <w:pPr>
        <w:tabs>
          <w:tab w:val="right" w:pos="9360"/>
        </w:tabs>
        <w:rPr>
          <w:lang w:val="fr-CA"/>
        </w:rPr>
      </w:pPr>
    </w:p>
    <w:p w:rsidR="00F138C1" w:rsidRPr="005B107F" w:rsidRDefault="00F138C1" w:rsidP="00F138C1">
      <w:pPr>
        <w:tabs>
          <w:tab w:val="right" w:pos="9360"/>
        </w:tabs>
        <w:rPr>
          <w:lang w:val="fr-CA"/>
        </w:rPr>
      </w:pPr>
    </w:p>
    <w:p w:rsidR="00C01FCB" w:rsidRPr="005B107F" w:rsidRDefault="00C01FCB" w:rsidP="0095096B">
      <w:pPr>
        <w:tabs>
          <w:tab w:val="right" w:pos="9360"/>
        </w:tabs>
        <w:rPr>
          <w:lang w:val="fr-CA"/>
        </w:rPr>
      </w:pPr>
    </w:p>
    <w:p w:rsidR="00A87207" w:rsidRPr="005B107F" w:rsidRDefault="00A87207" w:rsidP="0095096B">
      <w:pPr>
        <w:tabs>
          <w:tab w:val="right" w:pos="9360"/>
        </w:tabs>
        <w:rPr>
          <w:lang w:val="fr-CA"/>
        </w:rPr>
        <w:sectPr w:rsidR="00A87207" w:rsidRPr="005B107F" w:rsidSect="0044776A">
          <w:pgSz w:w="12240" w:h="15840"/>
          <w:pgMar w:top="720" w:right="1152" w:bottom="1080" w:left="1440" w:header="706" w:footer="706" w:gutter="0"/>
          <w:cols w:space="708"/>
          <w:titlePg/>
          <w:docGrid w:linePitch="360"/>
        </w:sectPr>
      </w:pPr>
    </w:p>
    <w:p w:rsidR="00693C38" w:rsidRPr="005B107F" w:rsidRDefault="00DD0BDC" w:rsidP="00567602">
      <w:pPr>
        <w:pStyle w:val="Header1StyleE"/>
        <w:pBdr>
          <w:bottom w:val="single" w:sz="12" w:space="1" w:color="auto"/>
        </w:pBdr>
        <w:rPr>
          <w:lang w:val="fr-CA"/>
        </w:rPr>
      </w:pPr>
      <w:bookmarkStart w:id="1" w:name="QuickMark_1"/>
      <w:bookmarkStart w:id="2" w:name="_Toc108763060"/>
      <w:bookmarkEnd w:id="1"/>
      <w:r w:rsidRPr="005B107F">
        <w:rPr>
          <w:lang w:val="fr-CA"/>
        </w:rPr>
        <w:lastRenderedPageBreak/>
        <w:t>Judgments on applications</w:t>
      </w:r>
      <w:r w:rsidR="000C1D9D" w:rsidRPr="005B107F">
        <w:rPr>
          <w:lang w:val="fr-CA"/>
        </w:rPr>
        <w:t xml:space="preserve"> </w:t>
      </w:r>
      <w:r w:rsidRPr="005B107F">
        <w:rPr>
          <w:lang w:val="fr-CA"/>
        </w:rPr>
        <w:t>for leave</w:t>
      </w:r>
      <w:r w:rsidR="00693C38" w:rsidRPr="005B107F">
        <w:rPr>
          <w:noProof/>
          <w:sz w:val="20"/>
          <w:lang w:val="fr-CA"/>
        </w:rPr>
        <w:t xml:space="preserve"> </w:t>
      </w:r>
      <w:r w:rsidR="00271E1E" w:rsidRPr="005B107F">
        <w:rPr>
          <w:noProof/>
          <w:sz w:val="20"/>
          <w:lang w:val="fr-CA"/>
        </w:rPr>
        <w:t xml:space="preserve">/ </w:t>
      </w:r>
      <w:r w:rsidR="00693C38" w:rsidRPr="005B107F">
        <w:rPr>
          <w:noProof/>
          <w:sz w:val="20"/>
          <w:lang w:val="fr-CA"/>
        </w:rPr>
        <w:br/>
      </w:r>
      <w:r w:rsidRPr="005B107F">
        <w:rPr>
          <w:lang w:val="fr-CA"/>
        </w:rPr>
        <w:t>Jugements rendus sur les demandes d’autorisation</w:t>
      </w:r>
      <w:bookmarkEnd w:id="2"/>
    </w:p>
    <w:p w:rsidR="00FB1DB6" w:rsidRPr="005B107F" w:rsidRDefault="00FB1DB6" w:rsidP="00693C38">
      <w:pPr>
        <w:rPr>
          <w:sz w:val="20"/>
          <w:szCs w:val="20"/>
          <w:lang w:val="fr-CA"/>
        </w:rPr>
      </w:pPr>
    </w:p>
    <w:p w:rsidR="00F16063" w:rsidRPr="005B107F" w:rsidRDefault="00E8642A" w:rsidP="00F16063">
      <w:pPr>
        <w:rPr>
          <w:b/>
          <w:sz w:val="20"/>
          <w:szCs w:val="20"/>
        </w:rPr>
      </w:pPr>
      <w:r w:rsidRPr="005B107F">
        <w:rPr>
          <w:b/>
          <w:sz w:val="20"/>
          <w:szCs w:val="20"/>
        </w:rPr>
        <w:t>J</w:t>
      </w:r>
      <w:r w:rsidR="004406DE" w:rsidRPr="005B107F">
        <w:rPr>
          <w:b/>
          <w:sz w:val="20"/>
          <w:szCs w:val="20"/>
        </w:rPr>
        <w:t>U</w:t>
      </w:r>
      <w:r w:rsidR="00D4247B" w:rsidRPr="005B107F">
        <w:rPr>
          <w:b/>
          <w:sz w:val="20"/>
          <w:szCs w:val="20"/>
        </w:rPr>
        <w:t>LY</w:t>
      </w:r>
      <w:r w:rsidR="00F16063" w:rsidRPr="005B107F">
        <w:rPr>
          <w:b/>
          <w:sz w:val="20"/>
          <w:szCs w:val="20"/>
        </w:rPr>
        <w:t xml:space="preserve"> </w:t>
      </w:r>
      <w:r w:rsidR="00352B57" w:rsidRPr="005B107F">
        <w:rPr>
          <w:b/>
          <w:sz w:val="20"/>
          <w:szCs w:val="20"/>
        </w:rPr>
        <w:t>14</w:t>
      </w:r>
      <w:r w:rsidR="00F16063" w:rsidRPr="005B107F">
        <w:rPr>
          <w:b/>
          <w:sz w:val="20"/>
          <w:szCs w:val="20"/>
        </w:rPr>
        <w:t xml:space="preserve">, </w:t>
      </w:r>
      <w:r w:rsidR="0034657E" w:rsidRPr="005B107F">
        <w:rPr>
          <w:b/>
          <w:sz w:val="20"/>
          <w:szCs w:val="20"/>
        </w:rPr>
        <w:t>20</w:t>
      </w:r>
      <w:r w:rsidR="005967EF" w:rsidRPr="005B107F">
        <w:rPr>
          <w:b/>
          <w:sz w:val="20"/>
          <w:szCs w:val="20"/>
        </w:rPr>
        <w:t>2</w:t>
      </w:r>
      <w:r w:rsidRPr="005B107F">
        <w:rPr>
          <w:b/>
          <w:sz w:val="20"/>
          <w:szCs w:val="20"/>
        </w:rPr>
        <w:t>2</w:t>
      </w:r>
      <w:r w:rsidR="00F16063" w:rsidRPr="005B107F">
        <w:rPr>
          <w:b/>
          <w:sz w:val="20"/>
          <w:szCs w:val="20"/>
        </w:rPr>
        <w:t xml:space="preserve"> / LE </w:t>
      </w:r>
      <w:r w:rsidR="00352B57" w:rsidRPr="005B107F">
        <w:rPr>
          <w:b/>
          <w:sz w:val="20"/>
          <w:szCs w:val="20"/>
        </w:rPr>
        <w:t>14</w:t>
      </w:r>
      <w:r w:rsidR="00F16063" w:rsidRPr="005B107F">
        <w:rPr>
          <w:b/>
          <w:sz w:val="20"/>
          <w:szCs w:val="20"/>
        </w:rPr>
        <w:t xml:space="preserve"> </w:t>
      </w:r>
      <w:r w:rsidRPr="005B107F">
        <w:rPr>
          <w:b/>
          <w:sz w:val="20"/>
          <w:szCs w:val="20"/>
        </w:rPr>
        <w:t>J</w:t>
      </w:r>
      <w:r w:rsidR="004406DE" w:rsidRPr="005B107F">
        <w:rPr>
          <w:b/>
          <w:sz w:val="20"/>
          <w:szCs w:val="20"/>
        </w:rPr>
        <w:t>UI</w:t>
      </w:r>
      <w:r w:rsidR="00D4247B" w:rsidRPr="005B107F">
        <w:rPr>
          <w:b/>
          <w:sz w:val="20"/>
          <w:szCs w:val="20"/>
        </w:rPr>
        <w:t>LLE</w:t>
      </w:r>
      <w:r w:rsidR="00352B57" w:rsidRPr="005B107F">
        <w:rPr>
          <w:b/>
          <w:sz w:val="20"/>
          <w:szCs w:val="20"/>
        </w:rPr>
        <w:t>T</w:t>
      </w:r>
      <w:r w:rsidR="00F16063" w:rsidRPr="005B107F">
        <w:rPr>
          <w:b/>
          <w:sz w:val="20"/>
          <w:szCs w:val="20"/>
        </w:rPr>
        <w:t xml:space="preserve"> </w:t>
      </w:r>
      <w:r w:rsidR="0034657E" w:rsidRPr="005B107F">
        <w:rPr>
          <w:b/>
          <w:sz w:val="20"/>
          <w:szCs w:val="20"/>
        </w:rPr>
        <w:t>20</w:t>
      </w:r>
      <w:r w:rsidR="005967EF" w:rsidRPr="005B107F">
        <w:rPr>
          <w:b/>
          <w:sz w:val="20"/>
          <w:szCs w:val="20"/>
        </w:rPr>
        <w:t>2</w:t>
      </w:r>
      <w:r w:rsidRPr="005B107F">
        <w:rPr>
          <w:b/>
          <w:sz w:val="20"/>
          <w:szCs w:val="20"/>
        </w:rPr>
        <w:t>2</w:t>
      </w:r>
    </w:p>
    <w:p w:rsidR="00A2015F" w:rsidRPr="005B107F" w:rsidRDefault="00A2015F" w:rsidP="00A2015F">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A2015F" w:rsidRPr="005B107F" w:rsidTr="00A2015F">
        <w:tc>
          <w:tcPr>
            <w:tcW w:w="543" w:type="pct"/>
          </w:tcPr>
          <w:p w:rsidR="00A2015F" w:rsidRPr="005B107F" w:rsidRDefault="00A2015F" w:rsidP="00A2015F">
            <w:pPr>
              <w:jc w:val="both"/>
              <w:rPr>
                <w:sz w:val="20"/>
              </w:rPr>
            </w:pPr>
            <w:r w:rsidRPr="005B107F">
              <w:rPr>
                <w:rStyle w:val="SCCFileNumberChar"/>
                <w:sz w:val="20"/>
                <w:szCs w:val="20"/>
              </w:rPr>
              <w:t>40085</w:t>
            </w:r>
          </w:p>
        </w:tc>
        <w:tc>
          <w:tcPr>
            <w:tcW w:w="4457" w:type="pct"/>
            <w:gridSpan w:val="3"/>
          </w:tcPr>
          <w:p w:rsidR="00A2015F" w:rsidRPr="005B107F" w:rsidRDefault="00A2015F" w:rsidP="00A2015F">
            <w:pPr>
              <w:pStyle w:val="SCCLsocParty"/>
              <w:jc w:val="both"/>
              <w:rPr>
                <w:b/>
                <w:sz w:val="20"/>
                <w:szCs w:val="20"/>
                <w:lang w:val="en-US"/>
              </w:rPr>
            </w:pPr>
            <w:r w:rsidRPr="005B107F">
              <w:rPr>
                <w:b/>
                <w:sz w:val="20"/>
                <w:szCs w:val="20"/>
                <w:lang w:val="en-US"/>
              </w:rPr>
              <w:t>R.K.K. v. Her Majesty the Queen</w:t>
            </w:r>
          </w:p>
          <w:p w:rsidR="00A2015F" w:rsidRPr="005B107F" w:rsidRDefault="00A2015F" w:rsidP="00A2015F">
            <w:pPr>
              <w:jc w:val="both"/>
              <w:rPr>
                <w:sz w:val="20"/>
              </w:rPr>
            </w:pPr>
            <w:r w:rsidRPr="005B107F">
              <w:rPr>
                <w:sz w:val="20"/>
              </w:rPr>
              <w:t>(B.C.) (Criminal) (By Leave)</w:t>
            </w:r>
          </w:p>
        </w:tc>
      </w:tr>
      <w:tr w:rsidR="00A2015F" w:rsidRPr="005B107F" w:rsidTr="00A2015F">
        <w:tc>
          <w:tcPr>
            <w:tcW w:w="5000" w:type="pct"/>
            <w:gridSpan w:val="4"/>
          </w:tcPr>
          <w:p w:rsidR="00A2015F" w:rsidRPr="005B107F" w:rsidRDefault="00A2015F" w:rsidP="00A2015F">
            <w:pPr>
              <w:jc w:val="both"/>
              <w:rPr>
                <w:sz w:val="20"/>
                <w:szCs w:val="20"/>
              </w:rPr>
            </w:pPr>
            <w:r w:rsidRPr="005B107F">
              <w:rPr>
                <w:sz w:val="20"/>
                <w:szCs w:val="20"/>
              </w:rPr>
              <w:t>The application for leave to appeal from the judgment of the</w:t>
            </w:r>
            <w:bookmarkStart w:id="3" w:name="BM_1_"/>
            <w:bookmarkEnd w:id="3"/>
            <w:r w:rsidRPr="005B107F">
              <w:rPr>
                <w:sz w:val="20"/>
                <w:szCs w:val="20"/>
              </w:rPr>
              <w:t xml:space="preserve"> Court of Appeal for British Columbia (Vancouver), Number CA46921, 2022 BCCA 17, dated January 20, 2022, is dismissed.</w:t>
            </w:r>
          </w:p>
          <w:p w:rsidR="00A2015F" w:rsidRPr="005B107F" w:rsidRDefault="00A2015F" w:rsidP="00A2015F">
            <w:pPr>
              <w:pStyle w:val="SCCBanSummary0"/>
              <w:rPr>
                <w:sz w:val="20"/>
                <w:szCs w:val="20"/>
              </w:rPr>
            </w:pPr>
          </w:p>
        </w:tc>
      </w:tr>
      <w:tr w:rsidR="00A2015F" w:rsidRPr="005B107F" w:rsidTr="00A2015F">
        <w:tc>
          <w:tcPr>
            <w:tcW w:w="5000" w:type="pct"/>
            <w:gridSpan w:val="4"/>
          </w:tcPr>
          <w:p w:rsidR="00A2015F" w:rsidRPr="005B107F" w:rsidRDefault="00A2015F" w:rsidP="00A2015F">
            <w:pPr>
              <w:pStyle w:val="SCCBanSummary0"/>
              <w:rPr>
                <w:sz w:val="20"/>
                <w:szCs w:val="20"/>
              </w:rPr>
            </w:pPr>
            <w:r w:rsidRPr="005B107F">
              <w:rPr>
                <w:sz w:val="20"/>
                <w:szCs w:val="20"/>
              </w:rPr>
              <w:t>(Publication ban in case)</w:t>
            </w:r>
          </w:p>
          <w:p w:rsidR="00A2015F" w:rsidRPr="005B107F" w:rsidRDefault="00A2015F" w:rsidP="00A2015F">
            <w:pPr>
              <w:jc w:val="both"/>
              <w:rPr>
                <w:sz w:val="20"/>
              </w:rPr>
            </w:pPr>
          </w:p>
          <w:p w:rsidR="00A2015F" w:rsidRPr="005B107F" w:rsidRDefault="00A2015F" w:rsidP="00A2015F">
            <w:pPr>
              <w:jc w:val="both"/>
              <w:rPr>
                <w:sz w:val="20"/>
              </w:rPr>
            </w:pPr>
            <w:r w:rsidRPr="005B107F">
              <w:rPr>
                <w:sz w:val="20"/>
              </w:rPr>
              <w:t>Criminal law — Evidence — Assessment — How does the prohibition against stereotypical reasoning apply in criminal cases — Is the prohibition against stereotypical reasoning distinct from the prohibition against speculation?</w:t>
            </w:r>
          </w:p>
        </w:tc>
      </w:tr>
      <w:tr w:rsidR="00A2015F" w:rsidRPr="005B107F" w:rsidTr="00A2015F">
        <w:tc>
          <w:tcPr>
            <w:tcW w:w="5000" w:type="pct"/>
            <w:gridSpan w:val="4"/>
          </w:tcPr>
          <w:p w:rsidR="00A2015F" w:rsidRPr="005B107F" w:rsidRDefault="00A2015F" w:rsidP="00A2015F">
            <w:pPr>
              <w:jc w:val="both"/>
              <w:rPr>
                <w:sz w:val="20"/>
              </w:rPr>
            </w:pPr>
          </w:p>
        </w:tc>
      </w:tr>
      <w:tr w:rsidR="00A2015F" w:rsidRPr="005B107F" w:rsidTr="00A2015F">
        <w:tc>
          <w:tcPr>
            <w:tcW w:w="5000" w:type="pct"/>
            <w:gridSpan w:val="4"/>
          </w:tcPr>
          <w:p w:rsidR="00A2015F" w:rsidRPr="005B107F" w:rsidRDefault="00A2015F" w:rsidP="00A2015F">
            <w:pPr>
              <w:jc w:val="both"/>
              <w:rPr>
                <w:color w:val="000000"/>
                <w:sz w:val="20"/>
              </w:rPr>
            </w:pPr>
            <w:r w:rsidRPr="005B107F">
              <w:rPr>
                <w:color w:val="000000"/>
                <w:sz w:val="20"/>
              </w:rPr>
              <w:t xml:space="preserve">Shortly after J.K.R. ended her relationship with R.K.K., they had sexual intercourse. J.K.R. testified that she did not consent to sexual intercourse. R.K.K. testified that she had consented. R.K.K. took a photograph of J.K.R. lying on the bed. J.K.R. testified that R.K.K. threatened to disseminate it. </w:t>
            </w:r>
            <w:r w:rsidRPr="005B107F">
              <w:rPr>
                <w:iCs/>
                <w:color w:val="000000"/>
                <w:sz w:val="20"/>
              </w:rPr>
              <w:t>R.K.K., was convicted of sexual assault and extortion. The Court of Appeal dismissed the conviction appeal.</w:t>
            </w:r>
          </w:p>
          <w:p w:rsidR="00A2015F" w:rsidRPr="005B107F" w:rsidRDefault="00A2015F" w:rsidP="00A2015F">
            <w:pPr>
              <w:jc w:val="both"/>
              <w:rPr>
                <w:sz w:val="20"/>
              </w:rPr>
            </w:pPr>
          </w:p>
        </w:tc>
      </w:tr>
      <w:tr w:rsidR="00A2015F" w:rsidRPr="005B107F" w:rsidTr="00A2015F">
        <w:tc>
          <w:tcPr>
            <w:tcW w:w="2427" w:type="pct"/>
            <w:gridSpan w:val="2"/>
          </w:tcPr>
          <w:p w:rsidR="00A2015F" w:rsidRPr="005B107F" w:rsidRDefault="00A2015F" w:rsidP="00A2015F">
            <w:pPr>
              <w:jc w:val="both"/>
              <w:rPr>
                <w:sz w:val="20"/>
              </w:rPr>
            </w:pPr>
            <w:r w:rsidRPr="005B107F">
              <w:rPr>
                <w:sz w:val="20"/>
              </w:rPr>
              <w:t>February 8, 2019</w:t>
            </w:r>
          </w:p>
          <w:p w:rsidR="00A2015F" w:rsidRPr="005B107F" w:rsidRDefault="00A2015F" w:rsidP="00A2015F">
            <w:pPr>
              <w:jc w:val="both"/>
              <w:rPr>
                <w:sz w:val="20"/>
              </w:rPr>
            </w:pPr>
            <w:r w:rsidRPr="005B107F">
              <w:rPr>
                <w:sz w:val="20"/>
              </w:rPr>
              <w:t>Supreme Court of British Columbia</w:t>
            </w:r>
          </w:p>
          <w:p w:rsidR="00A2015F" w:rsidRPr="005B107F" w:rsidRDefault="00A2015F" w:rsidP="00A2015F">
            <w:pPr>
              <w:jc w:val="both"/>
              <w:rPr>
                <w:sz w:val="20"/>
              </w:rPr>
            </w:pPr>
            <w:r w:rsidRPr="005B107F">
              <w:rPr>
                <w:sz w:val="20"/>
              </w:rPr>
              <w:t xml:space="preserve">(Weatherill J.) </w:t>
            </w:r>
          </w:p>
          <w:p w:rsidR="00A2015F" w:rsidRPr="005B107F" w:rsidRDefault="005B107F" w:rsidP="00A2015F">
            <w:pPr>
              <w:jc w:val="both"/>
              <w:rPr>
                <w:sz w:val="20"/>
              </w:rPr>
            </w:pPr>
            <w:hyperlink r:id="rId11" w:history="1">
              <w:r w:rsidR="00A2015F" w:rsidRPr="005B107F">
                <w:rPr>
                  <w:rStyle w:val="Hyperlink"/>
                  <w:sz w:val="20"/>
                </w:rPr>
                <w:t>2019 BCSC 1822</w:t>
              </w:r>
            </w:hyperlink>
          </w:p>
          <w:p w:rsidR="00A2015F" w:rsidRPr="005B107F" w:rsidRDefault="00A2015F" w:rsidP="00A2015F">
            <w:pPr>
              <w:jc w:val="both"/>
              <w:rPr>
                <w:sz w:val="20"/>
              </w:rPr>
            </w:pPr>
          </w:p>
        </w:tc>
        <w:tc>
          <w:tcPr>
            <w:tcW w:w="243" w:type="pct"/>
          </w:tcPr>
          <w:p w:rsidR="00A2015F" w:rsidRPr="005B107F" w:rsidRDefault="00A2015F" w:rsidP="00A2015F">
            <w:pPr>
              <w:jc w:val="both"/>
              <w:rPr>
                <w:sz w:val="20"/>
              </w:rPr>
            </w:pPr>
          </w:p>
        </w:tc>
        <w:tc>
          <w:tcPr>
            <w:tcW w:w="2330" w:type="pct"/>
          </w:tcPr>
          <w:p w:rsidR="00A2015F" w:rsidRPr="005B107F" w:rsidRDefault="00A2015F" w:rsidP="00A2015F">
            <w:pPr>
              <w:jc w:val="both"/>
              <w:rPr>
                <w:sz w:val="20"/>
              </w:rPr>
            </w:pPr>
            <w:r w:rsidRPr="005B107F">
              <w:rPr>
                <w:sz w:val="20"/>
              </w:rPr>
              <w:t>Convictions entered: sexual assault and extortion</w:t>
            </w:r>
          </w:p>
          <w:p w:rsidR="00A2015F" w:rsidRPr="005B107F" w:rsidRDefault="00A2015F" w:rsidP="00A2015F">
            <w:pPr>
              <w:jc w:val="both"/>
              <w:rPr>
                <w:sz w:val="20"/>
              </w:rPr>
            </w:pPr>
          </w:p>
        </w:tc>
      </w:tr>
      <w:tr w:rsidR="00A2015F" w:rsidRPr="005B107F" w:rsidTr="00A2015F">
        <w:tc>
          <w:tcPr>
            <w:tcW w:w="2427" w:type="pct"/>
            <w:gridSpan w:val="2"/>
          </w:tcPr>
          <w:p w:rsidR="00A2015F" w:rsidRPr="005B107F" w:rsidRDefault="00A2015F" w:rsidP="00A2015F">
            <w:pPr>
              <w:jc w:val="both"/>
              <w:rPr>
                <w:sz w:val="20"/>
              </w:rPr>
            </w:pPr>
            <w:r w:rsidRPr="005B107F">
              <w:rPr>
                <w:sz w:val="20"/>
              </w:rPr>
              <w:t>January 20, 2022</w:t>
            </w:r>
          </w:p>
          <w:p w:rsidR="00A2015F" w:rsidRPr="005B107F" w:rsidRDefault="00A2015F" w:rsidP="00A2015F">
            <w:pPr>
              <w:jc w:val="both"/>
              <w:rPr>
                <w:sz w:val="20"/>
              </w:rPr>
            </w:pPr>
            <w:r w:rsidRPr="005B107F">
              <w:rPr>
                <w:sz w:val="20"/>
              </w:rPr>
              <w:t xml:space="preserve">Court of Appeal for British Columbia </w:t>
            </w:r>
          </w:p>
          <w:p w:rsidR="00A2015F" w:rsidRPr="005B107F" w:rsidRDefault="00A2015F" w:rsidP="00A2015F">
            <w:pPr>
              <w:jc w:val="both"/>
              <w:rPr>
                <w:sz w:val="20"/>
              </w:rPr>
            </w:pPr>
            <w:r w:rsidRPr="005B107F">
              <w:rPr>
                <w:sz w:val="20"/>
              </w:rPr>
              <w:t>(Vancouver)</w:t>
            </w:r>
          </w:p>
          <w:p w:rsidR="00A2015F" w:rsidRPr="005B107F" w:rsidRDefault="00A2015F" w:rsidP="00A2015F">
            <w:pPr>
              <w:jc w:val="both"/>
              <w:rPr>
                <w:sz w:val="20"/>
              </w:rPr>
            </w:pPr>
            <w:r w:rsidRPr="005B107F">
              <w:rPr>
                <w:sz w:val="20"/>
              </w:rPr>
              <w:t>(Tysoe, Stromberg-Stein, Marchand JJ.A.)</w:t>
            </w:r>
          </w:p>
          <w:p w:rsidR="00A2015F" w:rsidRPr="005B107F" w:rsidRDefault="00A2015F" w:rsidP="00A2015F">
            <w:pPr>
              <w:jc w:val="both"/>
              <w:rPr>
                <w:sz w:val="20"/>
              </w:rPr>
            </w:pPr>
            <w:r w:rsidRPr="005B107F">
              <w:rPr>
                <w:sz w:val="20"/>
              </w:rPr>
              <w:t xml:space="preserve">CA46921; </w:t>
            </w:r>
            <w:hyperlink r:id="rId12" w:history="1">
              <w:r w:rsidRPr="005B107F">
                <w:rPr>
                  <w:rStyle w:val="Hyperlink"/>
                  <w:sz w:val="20"/>
                </w:rPr>
                <w:t>2022 BCCA 17</w:t>
              </w:r>
            </w:hyperlink>
          </w:p>
          <w:p w:rsidR="00A2015F" w:rsidRPr="005B107F" w:rsidRDefault="00A2015F" w:rsidP="00A2015F">
            <w:pPr>
              <w:jc w:val="both"/>
              <w:rPr>
                <w:sz w:val="20"/>
              </w:rPr>
            </w:pPr>
          </w:p>
        </w:tc>
        <w:tc>
          <w:tcPr>
            <w:tcW w:w="243" w:type="pct"/>
          </w:tcPr>
          <w:p w:rsidR="00A2015F" w:rsidRPr="005B107F" w:rsidRDefault="00A2015F" w:rsidP="00A2015F">
            <w:pPr>
              <w:jc w:val="both"/>
              <w:rPr>
                <w:sz w:val="20"/>
              </w:rPr>
            </w:pPr>
          </w:p>
        </w:tc>
        <w:tc>
          <w:tcPr>
            <w:tcW w:w="2330" w:type="pct"/>
          </w:tcPr>
          <w:p w:rsidR="00A2015F" w:rsidRPr="005B107F" w:rsidRDefault="00A2015F" w:rsidP="00A2015F">
            <w:pPr>
              <w:jc w:val="both"/>
              <w:rPr>
                <w:sz w:val="20"/>
              </w:rPr>
            </w:pPr>
            <w:r w:rsidRPr="005B107F">
              <w:rPr>
                <w:sz w:val="20"/>
              </w:rPr>
              <w:t>Conviction appeal dismissed</w:t>
            </w:r>
          </w:p>
          <w:p w:rsidR="00A2015F" w:rsidRPr="005B107F" w:rsidRDefault="00A2015F" w:rsidP="00A2015F">
            <w:pPr>
              <w:jc w:val="both"/>
              <w:rPr>
                <w:sz w:val="20"/>
              </w:rPr>
            </w:pPr>
          </w:p>
        </w:tc>
      </w:tr>
      <w:tr w:rsidR="00A2015F" w:rsidRPr="005B107F" w:rsidTr="00A2015F">
        <w:tc>
          <w:tcPr>
            <w:tcW w:w="2427" w:type="pct"/>
            <w:gridSpan w:val="2"/>
          </w:tcPr>
          <w:p w:rsidR="00A2015F" w:rsidRPr="005B107F" w:rsidRDefault="00A2015F" w:rsidP="00A2015F">
            <w:pPr>
              <w:jc w:val="both"/>
              <w:rPr>
                <w:sz w:val="20"/>
              </w:rPr>
            </w:pPr>
            <w:r w:rsidRPr="005B107F">
              <w:rPr>
                <w:sz w:val="20"/>
              </w:rPr>
              <w:t>March 21, 2022</w:t>
            </w:r>
          </w:p>
          <w:p w:rsidR="00A2015F" w:rsidRPr="005B107F" w:rsidRDefault="00A2015F" w:rsidP="00A2015F">
            <w:pPr>
              <w:jc w:val="both"/>
              <w:rPr>
                <w:sz w:val="20"/>
              </w:rPr>
            </w:pPr>
            <w:r w:rsidRPr="005B107F">
              <w:rPr>
                <w:sz w:val="20"/>
              </w:rPr>
              <w:t>Supreme Court of Canada</w:t>
            </w:r>
          </w:p>
        </w:tc>
        <w:tc>
          <w:tcPr>
            <w:tcW w:w="243" w:type="pct"/>
          </w:tcPr>
          <w:p w:rsidR="00A2015F" w:rsidRPr="005B107F" w:rsidRDefault="00A2015F" w:rsidP="00A2015F">
            <w:pPr>
              <w:jc w:val="both"/>
              <w:rPr>
                <w:sz w:val="20"/>
              </w:rPr>
            </w:pPr>
          </w:p>
        </w:tc>
        <w:tc>
          <w:tcPr>
            <w:tcW w:w="2330" w:type="pct"/>
          </w:tcPr>
          <w:p w:rsidR="00A2015F" w:rsidRPr="005B107F" w:rsidRDefault="00A2015F" w:rsidP="00A2015F">
            <w:pPr>
              <w:jc w:val="both"/>
              <w:rPr>
                <w:sz w:val="20"/>
              </w:rPr>
            </w:pPr>
            <w:r w:rsidRPr="005B107F">
              <w:rPr>
                <w:sz w:val="20"/>
              </w:rPr>
              <w:t>Application for leave to appeal filed</w:t>
            </w:r>
          </w:p>
          <w:p w:rsidR="00A2015F" w:rsidRPr="005B107F" w:rsidRDefault="00A2015F" w:rsidP="00A2015F">
            <w:pPr>
              <w:jc w:val="both"/>
              <w:rPr>
                <w:sz w:val="20"/>
              </w:rPr>
            </w:pPr>
          </w:p>
        </w:tc>
      </w:tr>
    </w:tbl>
    <w:p w:rsidR="00A2015F" w:rsidRPr="005B107F" w:rsidRDefault="00A2015F" w:rsidP="00A2015F">
      <w:pPr>
        <w:jc w:val="both"/>
        <w:rPr>
          <w:sz w:val="20"/>
        </w:rPr>
      </w:pPr>
    </w:p>
    <w:p w:rsidR="00A2015F" w:rsidRPr="005B107F" w:rsidRDefault="005B107F" w:rsidP="00A2015F">
      <w:pPr>
        <w:jc w:val="both"/>
        <w:rPr>
          <w:sz w:val="20"/>
        </w:rPr>
      </w:pPr>
      <w:r w:rsidRPr="005B107F">
        <w:rPr>
          <w:sz w:val="20"/>
        </w:rPr>
        <w:pict>
          <v:rect id="_x0000_i1033" style="width:2in;height:1pt" o:hrpct="0" o:hralign="center" o:hrstd="t" o:hrnoshade="t" o:hr="t" fillcolor="black [3213]" stroked="f"/>
        </w:pict>
      </w:r>
    </w:p>
    <w:p w:rsidR="00A2015F" w:rsidRPr="005B107F" w:rsidRDefault="00A2015F" w:rsidP="00A2015F">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5"/>
        <w:gridCol w:w="8492"/>
      </w:tblGrid>
      <w:tr w:rsidR="00A2015F" w:rsidRPr="005B107F" w:rsidTr="00A2015F">
        <w:tc>
          <w:tcPr>
            <w:tcW w:w="543" w:type="pct"/>
          </w:tcPr>
          <w:p w:rsidR="00A2015F" w:rsidRPr="005B107F" w:rsidRDefault="00A2015F" w:rsidP="00A2015F">
            <w:pPr>
              <w:jc w:val="both"/>
              <w:rPr>
                <w:sz w:val="20"/>
                <w:lang w:val="fr-CA"/>
              </w:rPr>
            </w:pPr>
            <w:r w:rsidRPr="005B107F">
              <w:rPr>
                <w:rStyle w:val="SCCFileNumberChar"/>
                <w:sz w:val="20"/>
                <w:szCs w:val="20"/>
                <w:lang w:val="fr-CA"/>
              </w:rPr>
              <w:t>40085</w:t>
            </w:r>
          </w:p>
        </w:tc>
        <w:tc>
          <w:tcPr>
            <w:tcW w:w="4457" w:type="pct"/>
          </w:tcPr>
          <w:p w:rsidR="00A2015F" w:rsidRPr="005B107F" w:rsidRDefault="00A2015F" w:rsidP="00A2015F">
            <w:pPr>
              <w:pStyle w:val="SCCLsocParty"/>
              <w:jc w:val="both"/>
              <w:rPr>
                <w:b/>
                <w:sz w:val="20"/>
                <w:szCs w:val="20"/>
              </w:rPr>
            </w:pPr>
            <w:r w:rsidRPr="005B107F">
              <w:rPr>
                <w:b/>
                <w:sz w:val="20"/>
                <w:szCs w:val="20"/>
              </w:rPr>
              <w:t>R.K.K. c. Sa Majesté la Reine</w:t>
            </w:r>
          </w:p>
          <w:p w:rsidR="00A2015F" w:rsidRPr="005B107F" w:rsidRDefault="00A2015F" w:rsidP="005D091C">
            <w:pPr>
              <w:jc w:val="both"/>
              <w:rPr>
                <w:sz w:val="20"/>
                <w:lang w:val="fr-CA"/>
              </w:rPr>
            </w:pPr>
            <w:r w:rsidRPr="005B107F">
              <w:rPr>
                <w:sz w:val="20"/>
                <w:lang w:val="fr-CA"/>
              </w:rPr>
              <w:t>(C.-B.) (</w:t>
            </w:r>
            <w:r w:rsidR="005D091C" w:rsidRPr="005B107F">
              <w:rPr>
                <w:sz w:val="20"/>
                <w:lang w:val="fr-CA"/>
              </w:rPr>
              <w:t>C</w:t>
            </w:r>
            <w:r w:rsidRPr="005B107F">
              <w:rPr>
                <w:sz w:val="20"/>
                <w:lang w:val="fr-CA"/>
              </w:rPr>
              <w:t>riminelle) (</w:t>
            </w:r>
            <w:r w:rsidR="005D091C" w:rsidRPr="005B107F">
              <w:rPr>
                <w:sz w:val="20"/>
                <w:lang w:val="fr-CA"/>
              </w:rPr>
              <w:t>S</w:t>
            </w:r>
            <w:r w:rsidRPr="005B107F">
              <w:rPr>
                <w:sz w:val="20"/>
                <w:lang w:val="fr-CA"/>
              </w:rPr>
              <w:t>ur autorisation)</w:t>
            </w:r>
          </w:p>
        </w:tc>
      </w:tr>
      <w:tr w:rsidR="00A2015F" w:rsidRPr="005B107F" w:rsidTr="00A2015F">
        <w:tc>
          <w:tcPr>
            <w:tcW w:w="5000" w:type="pct"/>
            <w:gridSpan w:val="2"/>
          </w:tcPr>
          <w:p w:rsidR="00A2015F" w:rsidRPr="005B107F" w:rsidRDefault="00A2015F" w:rsidP="00A2015F">
            <w:pPr>
              <w:pStyle w:val="SCCBanSummary0"/>
              <w:rPr>
                <w:smallCaps w:val="0"/>
                <w:sz w:val="20"/>
                <w:szCs w:val="20"/>
                <w:lang w:val="fr-CA"/>
              </w:rPr>
            </w:pPr>
            <w:r w:rsidRPr="005B107F">
              <w:rPr>
                <w:smallCaps w:val="0"/>
                <w:sz w:val="20"/>
                <w:szCs w:val="20"/>
                <w:lang w:val="fr-CA"/>
              </w:rPr>
              <w:t>La demande d’autorisation d’appel de l’arrêt de la Cour d’appel de la Colombie-Britannique (Vancouver), numéro CA46921, 2022 BCCA 17, daté du 20 janvier 2022, est rejetée.</w:t>
            </w:r>
          </w:p>
          <w:p w:rsidR="00A2015F" w:rsidRPr="005B107F" w:rsidRDefault="00A2015F" w:rsidP="00A2015F">
            <w:pPr>
              <w:rPr>
                <w:lang w:val="fr-CA"/>
              </w:rPr>
            </w:pPr>
          </w:p>
        </w:tc>
      </w:tr>
      <w:tr w:rsidR="00A2015F" w:rsidRPr="005B107F" w:rsidTr="00A2015F">
        <w:tc>
          <w:tcPr>
            <w:tcW w:w="5000" w:type="pct"/>
            <w:gridSpan w:val="2"/>
          </w:tcPr>
          <w:p w:rsidR="00A2015F" w:rsidRPr="005B107F" w:rsidRDefault="00A2015F" w:rsidP="00A2015F">
            <w:pPr>
              <w:pStyle w:val="SCCBanSummary0"/>
              <w:rPr>
                <w:sz w:val="20"/>
                <w:szCs w:val="20"/>
                <w:lang w:val="fr-CA"/>
              </w:rPr>
            </w:pPr>
            <w:r w:rsidRPr="005B107F">
              <w:rPr>
                <w:sz w:val="20"/>
                <w:szCs w:val="20"/>
                <w:lang w:val="fr-CA"/>
              </w:rPr>
              <w:t>(Ordonnance de non-publication au dossier)</w:t>
            </w:r>
          </w:p>
          <w:p w:rsidR="00A2015F" w:rsidRPr="005B107F" w:rsidRDefault="00A2015F" w:rsidP="00A2015F">
            <w:pPr>
              <w:jc w:val="both"/>
              <w:rPr>
                <w:sz w:val="20"/>
                <w:lang w:val="fr-CA"/>
              </w:rPr>
            </w:pPr>
          </w:p>
          <w:p w:rsidR="00A2015F" w:rsidRPr="005B107F" w:rsidRDefault="00A2015F" w:rsidP="00A2015F">
            <w:pPr>
              <w:jc w:val="both"/>
              <w:rPr>
                <w:sz w:val="20"/>
                <w:lang w:val="fr-CA"/>
              </w:rPr>
            </w:pPr>
            <w:r w:rsidRPr="005B107F">
              <w:rPr>
                <w:sz w:val="20"/>
                <w:lang w:val="fr-CA"/>
              </w:rPr>
              <w:t>Droit criminel — Preuve — Appréciation — De quelle façon l’interdiction de raisonnement fondé sur des stéréotypes s’applique-t-elle en matière pénale ? — L’interdiction de raisonnement fondé sur des stéréotypes est-elle distincte de l’interdiction de formuler des conjectures ?</w:t>
            </w:r>
          </w:p>
        </w:tc>
      </w:tr>
      <w:tr w:rsidR="00A2015F" w:rsidRPr="005B107F" w:rsidTr="00A2015F">
        <w:tc>
          <w:tcPr>
            <w:tcW w:w="5000" w:type="pct"/>
            <w:gridSpan w:val="2"/>
          </w:tcPr>
          <w:p w:rsidR="00A2015F" w:rsidRPr="005B107F" w:rsidRDefault="00A2015F" w:rsidP="00A2015F">
            <w:pPr>
              <w:jc w:val="both"/>
              <w:rPr>
                <w:sz w:val="20"/>
                <w:lang w:val="fr-CA"/>
              </w:rPr>
            </w:pPr>
          </w:p>
        </w:tc>
      </w:tr>
    </w:tbl>
    <w:p w:rsidR="00A2015F" w:rsidRPr="005B107F" w:rsidRDefault="00A2015F">
      <w:pPr>
        <w:rPr>
          <w:lang w:val="fr-CA"/>
        </w:rPr>
      </w:pPr>
      <w:r w:rsidRPr="005B107F">
        <w:rPr>
          <w:lang w:val="fr-CA"/>
        </w:rPr>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A2015F" w:rsidRPr="005B107F" w:rsidTr="00A2015F">
        <w:tc>
          <w:tcPr>
            <w:tcW w:w="5000" w:type="pct"/>
            <w:gridSpan w:val="3"/>
          </w:tcPr>
          <w:p w:rsidR="00A2015F" w:rsidRPr="005B107F" w:rsidRDefault="00A2015F" w:rsidP="00A2015F">
            <w:pPr>
              <w:jc w:val="both"/>
              <w:rPr>
                <w:color w:val="000000"/>
                <w:sz w:val="20"/>
                <w:lang w:val="fr-CA"/>
              </w:rPr>
            </w:pPr>
            <w:r w:rsidRPr="005B107F">
              <w:rPr>
                <w:color w:val="000000"/>
                <w:sz w:val="20"/>
                <w:lang w:val="fr-CA"/>
              </w:rPr>
              <w:lastRenderedPageBreak/>
              <w:t xml:space="preserve">Peu de temps après que J.K.R. a mis fin à sa relation avec R.K.K., ils ont eu des relations sexuelles. J.K.R. a témoigné qu’elle n’a pas consenti aux relations sexuelles. R.K.K. a témoigné qu’elle avait en effet consenti. R.K.K. a pris une photographie de J.K.R. alors qu’elle était couchée sur le lit. J.K.R. a témoigné que R.K.K. avait menacé de diffuser la photographie. </w:t>
            </w:r>
            <w:r w:rsidRPr="005B107F">
              <w:rPr>
                <w:iCs/>
                <w:color w:val="000000"/>
                <w:sz w:val="20"/>
                <w:lang w:val="fr-CA"/>
              </w:rPr>
              <w:t>R.K.K. a été déclaré coupable d’agression sexuelle et d’extorsion. La Cour d’appel a rejeté l’appel de la déclaration de culpabilité.</w:t>
            </w:r>
          </w:p>
          <w:p w:rsidR="00A2015F" w:rsidRPr="005B107F" w:rsidRDefault="00A2015F" w:rsidP="00A2015F">
            <w:pPr>
              <w:jc w:val="both"/>
              <w:rPr>
                <w:sz w:val="20"/>
                <w:lang w:val="fr-CA"/>
              </w:rPr>
            </w:pPr>
          </w:p>
        </w:tc>
      </w:tr>
      <w:tr w:rsidR="00A2015F" w:rsidRPr="005B107F" w:rsidTr="00A2015F">
        <w:tc>
          <w:tcPr>
            <w:tcW w:w="2427" w:type="pct"/>
          </w:tcPr>
          <w:p w:rsidR="00A2015F" w:rsidRPr="005B107F" w:rsidRDefault="00A2015F" w:rsidP="00A2015F">
            <w:pPr>
              <w:jc w:val="both"/>
              <w:rPr>
                <w:sz w:val="20"/>
                <w:lang w:val="fr-CA"/>
              </w:rPr>
            </w:pPr>
            <w:r w:rsidRPr="005B107F">
              <w:rPr>
                <w:sz w:val="20"/>
                <w:lang w:val="fr-CA"/>
              </w:rPr>
              <w:t>8 février 2019</w:t>
            </w:r>
          </w:p>
          <w:p w:rsidR="00A2015F" w:rsidRPr="005B107F" w:rsidRDefault="00A2015F" w:rsidP="00A2015F">
            <w:pPr>
              <w:jc w:val="both"/>
              <w:rPr>
                <w:sz w:val="20"/>
                <w:lang w:val="fr-CA"/>
              </w:rPr>
            </w:pPr>
            <w:r w:rsidRPr="005B107F">
              <w:rPr>
                <w:sz w:val="20"/>
                <w:lang w:val="fr-CA"/>
              </w:rPr>
              <w:t>Cour suprême de la Colombie-Britannique</w:t>
            </w:r>
          </w:p>
          <w:p w:rsidR="00A2015F" w:rsidRPr="005B107F" w:rsidRDefault="00A2015F" w:rsidP="00A2015F">
            <w:pPr>
              <w:jc w:val="both"/>
              <w:rPr>
                <w:sz w:val="20"/>
                <w:lang w:val="fr-CA"/>
              </w:rPr>
            </w:pPr>
            <w:r w:rsidRPr="005B107F">
              <w:rPr>
                <w:sz w:val="20"/>
                <w:lang w:val="fr-CA"/>
              </w:rPr>
              <w:t xml:space="preserve">(juge Weatherill) </w:t>
            </w:r>
          </w:p>
          <w:p w:rsidR="00A2015F" w:rsidRPr="005B107F" w:rsidRDefault="005B107F" w:rsidP="00A2015F">
            <w:pPr>
              <w:jc w:val="both"/>
              <w:rPr>
                <w:sz w:val="20"/>
                <w:lang w:val="fr-CA"/>
              </w:rPr>
            </w:pPr>
            <w:hyperlink r:id="rId13" w:history="1">
              <w:r w:rsidR="00A2015F" w:rsidRPr="005B107F">
                <w:rPr>
                  <w:rStyle w:val="Hyperlink"/>
                  <w:sz w:val="20"/>
                  <w:lang w:val="fr-CA"/>
                </w:rPr>
                <w:t>2019 BCSC 1822</w:t>
              </w:r>
            </w:hyperlink>
          </w:p>
          <w:p w:rsidR="00A2015F" w:rsidRPr="005B107F" w:rsidRDefault="00A2015F" w:rsidP="00A2015F">
            <w:pPr>
              <w:jc w:val="both"/>
              <w:rPr>
                <w:sz w:val="20"/>
                <w:lang w:val="fr-CA"/>
              </w:rPr>
            </w:pPr>
          </w:p>
        </w:tc>
        <w:tc>
          <w:tcPr>
            <w:tcW w:w="243" w:type="pct"/>
          </w:tcPr>
          <w:p w:rsidR="00A2015F" w:rsidRPr="005B107F" w:rsidRDefault="00A2015F" w:rsidP="00A2015F">
            <w:pPr>
              <w:jc w:val="both"/>
              <w:rPr>
                <w:sz w:val="20"/>
                <w:lang w:val="fr-CA"/>
              </w:rPr>
            </w:pPr>
          </w:p>
        </w:tc>
        <w:tc>
          <w:tcPr>
            <w:tcW w:w="2330" w:type="pct"/>
          </w:tcPr>
          <w:p w:rsidR="00A2015F" w:rsidRPr="005B107F" w:rsidRDefault="00A2015F" w:rsidP="00A2015F">
            <w:pPr>
              <w:jc w:val="both"/>
              <w:rPr>
                <w:sz w:val="20"/>
                <w:lang w:val="fr-CA"/>
              </w:rPr>
            </w:pPr>
            <w:r w:rsidRPr="005B107F">
              <w:rPr>
                <w:sz w:val="20"/>
                <w:lang w:val="fr-CA"/>
              </w:rPr>
              <w:t>Les déclarations de culpabilité</w:t>
            </w:r>
            <w:r w:rsidRPr="005B107F">
              <w:rPr>
                <w:iCs/>
                <w:color w:val="000000"/>
                <w:sz w:val="20"/>
                <w:lang w:val="fr-CA"/>
              </w:rPr>
              <w:t xml:space="preserve"> </w:t>
            </w:r>
            <w:r w:rsidRPr="005B107F">
              <w:rPr>
                <w:iCs/>
                <w:sz w:val="20"/>
                <w:lang w:val="fr-CA"/>
              </w:rPr>
              <w:t>pour agression sexuelle et extorsion</w:t>
            </w:r>
            <w:r w:rsidRPr="005B107F">
              <w:rPr>
                <w:sz w:val="20"/>
                <w:lang w:val="fr-CA"/>
              </w:rPr>
              <w:t xml:space="preserve"> sont prononcées.</w:t>
            </w:r>
          </w:p>
          <w:p w:rsidR="00A2015F" w:rsidRPr="005B107F" w:rsidRDefault="00A2015F" w:rsidP="00A2015F">
            <w:pPr>
              <w:jc w:val="both"/>
              <w:rPr>
                <w:sz w:val="20"/>
                <w:lang w:val="fr-CA"/>
              </w:rPr>
            </w:pPr>
          </w:p>
        </w:tc>
      </w:tr>
      <w:tr w:rsidR="00A2015F" w:rsidRPr="005B107F" w:rsidTr="00A2015F">
        <w:tc>
          <w:tcPr>
            <w:tcW w:w="2427" w:type="pct"/>
          </w:tcPr>
          <w:p w:rsidR="00A2015F" w:rsidRPr="005B107F" w:rsidRDefault="00A2015F" w:rsidP="00A2015F">
            <w:pPr>
              <w:jc w:val="both"/>
              <w:rPr>
                <w:sz w:val="20"/>
                <w:lang w:val="fr-CA"/>
              </w:rPr>
            </w:pPr>
            <w:r w:rsidRPr="005B107F">
              <w:rPr>
                <w:sz w:val="20"/>
                <w:lang w:val="fr-CA"/>
              </w:rPr>
              <w:t>20 janvier 2022</w:t>
            </w:r>
          </w:p>
          <w:p w:rsidR="00A2015F" w:rsidRPr="005B107F" w:rsidRDefault="00A2015F" w:rsidP="00A2015F">
            <w:pPr>
              <w:jc w:val="both"/>
              <w:rPr>
                <w:sz w:val="20"/>
                <w:lang w:val="fr-CA"/>
              </w:rPr>
            </w:pPr>
            <w:r w:rsidRPr="005B107F">
              <w:rPr>
                <w:sz w:val="20"/>
                <w:lang w:val="fr-CA"/>
              </w:rPr>
              <w:t xml:space="preserve">Cour d’appel de la Colombie-Britannique </w:t>
            </w:r>
          </w:p>
          <w:p w:rsidR="00A2015F" w:rsidRPr="005B107F" w:rsidRDefault="00A2015F" w:rsidP="00A2015F">
            <w:pPr>
              <w:jc w:val="both"/>
              <w:rPr>
                <w:sz w:val="20"/>
                <w:lang w:val="fr-CA"/>
              </w:rPr>
            </w:pPr>
            <w:r w:rsidRPr="005B107F">
              <w:rPr>
                <w:sz w:val="20"/>
                <w:lang w:val="fr-CA"/>
              </w:rPr>
              <w:t>(Vancouver)</w:t>
            </w:r>
          </w:p>
          <w:p w:rsidR="00A2015F" w:rsidRPr="005B107F" w:rsidRDefault="00A2015F" w:rsidP="00A2015F">
            <w:pPr>
              <w:jc w:val="both"/>
              <w:rPr>
                <w:sz w:val="20"/>
                <w:lang w:val="fr-CA"/>
              </w:rPr>
            </w:pPr>
            <w:r w:rsidRPr="005B107F">
              <w:rPr>
                <w:sz w:val="20"/>
                <w:lang w:val="fr-CA"/>
              </w:rPr>
              <w:t>(juges Tysoe, Stromberg-Stein, Marchand)</w:t>
            </w:r>
          </w:p>
          <w:p w:rsidR="00A2015F" w:rsidRPr="005B107F" w:rsidRDefault="00A2015F" w:rsidP="00A2015F">
            <w:pPr>
              <w:jc w:val="both"/>
              <w:rPr>
                <w:sz w:val="20"/>
                <w:lang w:val="fr-CA"/>
              </w:rPr>
            </w:pPr>
            <w:r w:rsidRPr="005B107F">
              <w:rPr>
                <w:sz w:val="20"/>
                <w:lang w:val="fr-CA"/>
              </w:rPr>
              <w:t xml:space="preserve">CA46921; </w:t>
            </w:r>
            <w:hyperlink r:id="rId14" w:history="1">
              <w:r w:rsidRPr="005B107F">
                <w:rPr>
                  <w:rStyle w:val="Hyperlink"/>
                  <w:sz w:val="20"/>
                  <w:lang w:val="fr-CA"/>
                </w:rPr>
                <w:t>2022 BCCA 17</w:t>
              </w:r>
            </w:hyperlink>
          </w:p>
          <w:p w:rsidR="00A2015F" w:rsidRPr="005B107F" w:rsidRDefault="00A2015F" w:rsidP="00A2015F">
            <w:pPr>
              <w:jc w:val="both"/>
              <w:rPr>
                <w:sz w:val="20"/>
                <w:lang w:val="fr-CA"/>
              </w:rPr>
            </w:pPr>
          </w:p>
        </w:tc>
        <w:tc>
          <w:tcPr>
            <w:tcW w:w="243" w:type="pct"/>
          </w:tcPr>
          <w:p w:rsidR="00A2015F" w:rsidRPr="005B107F" w:rsidRDefault="00A2015F" w:rsidP="00A2015F">
            <w:pPr>
              <w:jc w:val="both"/>
              <w:rPr>
                <w:sz w:val="20"/>
                <w:lang w:val="fr-CA"/>
              </w:rPr>
            </w:pPr>
          </w:p>
        </w:tc>
        <w:tc>
          <w:tcPr>
            <w:tcW w:w="2330" w:type="pct"/>
          </w:tcPr>
          <w:p w:rsidR="00A2015F" w:rsidRPr="005B107F" w:rsidRDefault="00A2015F" w:rsidP="00A2015F">
            <w:pPr>
              <w:jc w:val="both"/>
              <w:rPr>
                <w:sz w:val="20"/>
                <w:lang w:val="fr-CA"/>
              </w:rPr>
            </w:pPr>
            <w:r w:rsidRPr="005B107F">
              <w:rPr>
                <w:sz w:val="20"/>
                <w:lang w:val="fr-CA"/>
              </w:rPr>
              <w:t>L’appel de la déclaration de culpabilité est rejeté.</w:t>
            </w:r>
          </w:p>
          <w:p w:rsidR="00A2015F" w:rsidRPr="005B107F" w:rsidRDefault="00A2015F" w:rsidP="00A2015F">
            <w:pPr>
              <w:jc w:val="both"/>
              <w:rPr>
                <w:sz w:val="20"/>
                <w:lang w:val="fr-CA"/>
              </w:rPr>
            </w:pPr>
          </w:p>
        </w:tc>
      </w:tr>
      <w:tr w:rsidR="00A2015F" w:rsidRPr="005B107F" w:rsidTr="00A2015F">
        <w:tc>
          <w:tcPr>
            <w:tcW w:w="2427" w:type="pct"/>
          </w:tcPr>
          <w:p w:rsidR="00A2015F" w:rsidRPr="005B107F" w:rsidRDefault="00A2015F" w:rsidP="00A2015F">
            <w:pPr>
              <w:jc w:val="both"/>
              <w:rPr>
                <w:sz w:val="20"/>
                <w:lang w:val="fr-CA"/>
              </w:rPr>
            </w:pPr>
            <w:r w:rsidRPr="005B107F">
              <w:rPr>
                <w:sz w:val="20"/>
                <w:lang w:val="fr-CA"/>
              </w:rPr>
              <w:t>21 mars 2022</w:t>
            </w:r>
          </w:p>
          <w:p w:rsidR="00A2015F" w:rsidRPr="005B107F" w:rsidRDefault="00A2015F" w:rsidP="00A2015F">
            <w:pPr>
              <w:jc w:val="both"/>
              <w:rPr>
                <w:sz w:val="20"/>
                <w:lang w:val="fr-CA"/>
              </w:rPr>
            </w:pPr>
            <w:r w:rsidRPr="005B107F">
              <w:rPr>
                <w:sz w:val="20"/>
                <w:lang w:val="fr-CA"/>
              </w:rPr>
              <w:t>Cour suprême du Canada</w:t>
            </w:r>
          </w:p>
        </w:tc>
        <w:tc>
          <w:tcPr>
            <w:tcW w:w="243" w:type="pct"/>
          </w:tcPr>
          <w:p w:rsidR="00A2015F" w:rsidRPr="005B107F" w:rsidRDefault="00A2015F" w:rsidP="00A2015F">
            <w:pPr>
              <w:jc w:val="both"/>
              <w:rPr>
                <w:sz w:val="20"/>
                <w:lang w:val="fr-CA"/>
              </w:rPr>
            </w:pPr>
          </w:p>
        </w:tc>
        <w:tc>
          <w:tcPr>
            <w:tcW w:w="2330" w:type="pct"/>
          </w:tcPr>
          <w:p w:rsidR="00A2015F" w:rsidRPr="005B107F" w:rsidRDefault="00A2015F" w:rsidP="00A2015F">
            <w:pPr>
              <w:jc w:val="both"/>
              <w:rPr>
                <w:sz w:val="20"/>
                <w:lang w:val="fr-CA"/>
              </w:rPr>
            </w:pPr>
            <w:r w:rsidRPr="005B107F">
              <w:rPr>
                <w:sz w:val="20"/>
                <w:lang w:val="fr-CA"/>
              </w:rPr>
              <w:t>La demande d’autorisation d’appel est présentée.</w:t>
            </w:r>
          </w:p>
          <w:p w:rsidR="00A2015F" w:rsidRPr="005B107F" w:rsidRDefault="00A2015F" w:rsidP="00A2015F">
            <w:pPr>
              <w:jc w:val="both"/>
              <w:rPr>
                <w:sz w:val="20"/>
                <w:lang w:val="fr-CA"/>
              </w:rPr>
            </w:pPr>
          </w:p>
        </w:tc>
      </w:tr>
    </w:tbl>
    <w:p w:rsidR="004B2E86" w:rsidRPr="005B107F" w:rsidRDefault="004B2E86" w:rsidP="004B2E86">
      <w:pPr>
        <w:jc w:val="both"/>
        <w:rPr>
          <w:sz w:val="20"/>
          <w:szCs w:val="20"/>
          <w:lang w:val="fr-CA"/>
        </w:rPr>
      </w:pPr>
    </w:p>
    <w:p w:rsidR="00102792" w:rsidRPr="005B107F" w:rsidRDefault="005B107F" w:rsidP="004B2E86">
      <w:pPr>
        <w:jc w:val="both"/>
        <w:rPr>
          <w:sz w:val="20"/>
          <w:szCs w:val="20"/>
          <w:lang w:val="fr-CA"/>
        </w:rPr>
      </w:pPr>
      <w:r w:rsidRPr="005B107F">
        <w:rPr>
          <w:sz w:val="20"/>
          <w:szCs w:val="20"/>
        </w:rPr>
        <w:pict>
          <v:rect id="_x0000_i1034" style="width:2in;height:1pt" o:hrpct="0" o:hralign="center" o:hrstd="t" o:hrnoshade="t" o:hr="t" fillcolor="black" stroked="f"/>
        </w:pict>
      </w:r>
    </w:p>
    <w:p w:rsidR="00E06F20" w:rsidRPr="005B107F" w:rsidRDefault="00E06F20" w:rsidP="00102792">
      <w:pPr>
        <w:jc w:val="both"/>
        <w:rPr>
          <w:sz w:val="20"/>
          <w:lang w:val="fr-CA"/>
        </w:rPr>
      </w:pPr>
    </w:p>
    <w:p w:rsidR="00890FEB" w:rsidRPr="005B107F" w:rsidRDefault="00890FEB" w:rsidP="008D292F">
      <w:pPr>
        <w:rPr>
          <w:sz w:val="20"/>
          <w:szCs w:val="20"/>
          <w:lang w:val="fr-CA"/>
        </w:rPr>
      </w:pPr>
    </w:p>
    <w:p w:rsidR="00890FEB" w:rsidRPr="005B107F" w:rsidRDefault="00890FEB" w:rsidP="008D292F">
      <w:pPr>
        <w:rPr>
          <w:b/>
          <w:sz w:val="20"/>
          <w:szCs w:val="20"/>
          <w:lang w:val="fr-CA"/>
        </w:rPr>
        <w:sectPr w:rsidR="00890FEB" w:rsidRPr="005B107F" w:rsidSect="005B107F">
          <w:headerReference w:type="even" r:id="rId15"/>
          <w:headerReference w:type="default" r:id="rId16"/>
          <w:footerReference w:type="even" r:id="rId17"/>
          <w:footerReference w:type="default" r:id="rId18"/>
          <w:headerReference w:type="first" r:id="rId19"/>
          <w:footerReference w:type="first" r:id="rId20"/>
          <w:pgSz w:w="12240" w:h="15840"/>
          <w:pgMar w:top="720" w:right="965" w:bottom="1080" w:left="1656" w:header="720" w:footer="965" w:gutter="0"/>
          <w:pgNumType w:start="1"/>
          <w:cols w:space="720"/>
          <w:titlePg/>
          <w:docGrid w:linePitch="326"/>
        </w:sectPr>
      </w:pPr>
    </w:p>
    <w:p w:rsidR="00567602" w:rsidRPr="005B107F" w:rsidRDefault="001434B9" w:rsidP="00567602">
      <w:pPr>
        <w:pStyle w:val="Header1StyleE"/>
        <w:pBdr>
          <w:bottom w:val="single" w:sz="12" w:space="1" w:color="auto"/>
        </w:pBdr>
        <w:rPr>
          <w:sz w:val="20"/>
          <w:lang w:val="en-US"/>
        </w:rPr>
      </w:pPr>
      <w:bookmarkStart w:id="4" w:name="_Toc108763061"/>
      <w:r w:rsidRPr="005B107F">
        <w:lastRenderedPageBreak/>
        <w:t>Notices of appeal filed since the last issue</w:t>
      </w:r>
      <w:r w:rsidR="00271E1E" w:rsidRPr="005B107F">
        <w:t xml:space="preserve"> / </w:t>
      </w:r>
      <w:r w:rsidR="00567602" w:rsidRPr="005B107F">
        <w:br/>
      </w:r>
      <w:r w:rsidRPr="005B107F">
        <w:rPr>
          <w:lang w:val="fr-CA"/>
        </w:rPr>
        <w:t>Avis d’appel déposés depuis la dernière parution</w:t>
      </w:r>
      <w:bookmarkEnd w:id="4"/>
    </w:p>
    <w:p w:rsidR="00FB1DB6" w:rsidRPr="005B107F" w:rsidRDefault="00FB1DB6" w:rsidP="00F40249">
      <w:pPr>
        <w:rPr>
          <w:sz w:val="20"/>
          <w:szCs w:val="20"/>
          <w:lang w:val="en-US"/>
        </w:rPr>
      </w:pPr>
    </w:p>
    <w:tbl>
      <w:tblPr>
        <w:tblW w:w="5000" w:type="pct"/>
        <w:tblCellMar>
          <w:left w:w="0" w:type="dxa"/>
          <w:right w:w="0" w:type="dxa"/>
        </w:tblCellMar>
        <w:tblLook w:val="0000" w:firstRow="0" w:lastRow="0" w:firstColumn="0" w:lastColumn="0" w:noHBand="0" w:noVBand="0"/>
      </w:tblPr>
      <w:tblGrid>
        <w:gridCol w:w="4244"/>
        <w:gridCol w:w="1131"/>
        <w:gridCol w:w="4244"/>
      </w:tblGrid>
      <w:tr w:rsidR="0086340B" w:rsidRPr="005B107F" w:rsidTr="005F1ED8">
        <w:trPr>
          <w:cantSplit/>
        </w:trPr>
        <w:tc>
          <w:tcPr>
            <w:tcW w:w="2206" w:type="pct"/>
            <w:tcMar>
              <w:left w:w="0" w:type="dxa"/>
              <w:right w:w="0" w:type="dxa"/>
            </w:tcMar>
          </w:tcPr>
          <w:p w:rsidR="00C356F5" w:rsidRPr="005B107F" w:rsidRDefault="00C356F5" w:rsidP="00C356F5">
            <w:pPr>
              <w:rPr>
                <w:sz w:val="20"/>
                <w:szCs w:val="20"/>
                <w:lang w:val="fr-CA"/>
              </w:rPr>
            </w:pPr>
            <w:r w:rsidRPr="005B107F">
              <w:rPr>
                <w:sz w:val="20"/>
                <w:szCs w:val="20"/>
                <w:lang w:val="fr-CA"/>
              </w:rPr>
              <w:t>Le 27 juin 2022</w:t>
            </w:r>
          </w:p>
          <w:p w:rsidR="0034657E" w:rsidRPr="005B107F" w:rsidRDefault="0034657E" w:rsidP="005F1ED8">
            <w:pPr>
              <w:rPr>
                <w:sz w:val="20"/>
                <w:szCs w:val="20"/>
                <w:lang w:val="fr-CA"/>
              </w:rPr>
            </w:pPr>
          </w:p>
          <w:p w:rsidR="0086340B" w:rsidRPr="005B107F" w:rsidRDefault="00C356F5" w:rsidP="005F1ED8">
            <w:pPr>
              <w:rPr>
                <w:b/>
                <w:sz w:val="20"/>
                <w:szCs w:val="20"/>
                <w:lang w:val="fr-CA"/>
              </w:rPr>
            </w:pPr>
            <w:r w:rsidRPr="005B107F">
              <w:rPr>
                <w:b/>
                <w:sz w:val="20"/>
                <w:szCs w:val="20"/>
                <w:lang w:val="fr-CA"/>
              </w:rPr>
              <w:t>Sa Majesté la Reine,</w:t>
            </w:r>
            <w:r w:rsidR="0086340B" w:rsidRPr="005B107F">
              <w:rPr>
                <w:b/>
                <w:sz w:val="20"/>
                <w:szCs w:val="20"/>
                <w:lang w:val="fr-CA"/>
              </w:rPr>
              <w:t xml:space="preserve"> et al.</w:t>
            </w:r>
          </w:p>
          <w:p w:rsidR="0086340B" w:rsidRPr="005B107F" w:rsidRDefault="0086340B" w:rsidP="005F1ED8">
            <w:pPr>
              <w:rPr>
                <w:sz w:val="20"/>
                <w:szCs w:val="20"/>
                <w:lang w:val="fr-CA"/>
              </w:rPr>
            </w:pPr>
          </w:p>
          <w:p w:rsidR="0086340B" w:rsidRPr="005B107F" w:rsidRDefault="0086340B" w:rsidP="005F1ED8">
            <w:pPr>
              <w:rPr>
                <w:b/>
                <w:sz w:val="20"/>
                <w:szCs w:val="20"/>
                <w:lang w:val="fr-CA"/>
              </w:rPr>
            </w:pPr>
            <w:r w:rsidRPr="005B107F">
              <w:rPr>
                <w:b/>
                <w:sz w:val="20"/>
                <w:szCs w:val="20"/>
                <w:lang w:val="fr-CA"/>
              </w:rPr>
              <w:tab/>
            </w:r>
            <w:r w:rsidR="00C356F5" w:rsidRPr="005B107F">
              <w:rPr>
                <w:b/>
                <w:sz w:val="20"/>
                <w:szCs w:val="20"/>
                <w:lang w:val="fr-CA"/>
              </w:rPr>
              <w:t>c</w:t>
            </w:r>
            <w:r w:rsidRPr="005B107F">
              <w:rPr>
                <w:b/>
                <w:sz w:val="20"/>
                <w:szCs w:val="20"/>
                <w:lang w:val="fr-CA"/>
              </w:rPr>
              <w:t>. (39</w:t>
            </w:r>
            <w:r w:rsidR="00C356F5" w:rsidRPr="005B107F">
              <w:rPr>
                <w:b/>
                <w:sz w:val="20"/>
                <w:szCs w:val="20"/>
                <w:lang w:val="fr-CA"/>
              </w:rPr>
              <w:t>935</w:t>
            </w:r>
            <w:r w:rsidRPr="005B107F">
              <w:rPr>
                <w:b/>
                <w:sz w:val="20"/>
                <w:szCs w:val="20"/>
                <w:lang w:val="fr-CA"/>
              </w:rPr>
              <w:t>)</w:t>
            </w:r>
          </w:p>
          <w:p w:rsidR="0086340B" w:rsidRPr="005B107F" w:rsidRDefault="0086340B" w:rsidP="005F1ED8">
            <w:pPr>
              <w:rPr>
                <w:sz w:val="20"/>
                <w:szCs w:val="20"/>
                <w:lang w:val="fr-CA"/>
              </w:rPr>
            </w:pPr>
          </w:p>
          <w:p w:rsidR="0086340B" w:rsidRPr="005B107F" w:rsidRDefault="00C356F5" w:rsidP="005F1ED8">
            <w:pPr>
              <w:rPr>
                <w:b/>
                <w:sz w:val="20"/>
                <w:szCs w:val="20"/>
                <w:lang w:val="fr-CA"/>
              </w:rPr>
            </w:pPr>
            <w:r w:rsidRPr="005B107F">
              <w:rPr>
                <w:b/>
                <w:sz w:val="20"/>
                <w:szCs w:val="20"/>
                <w:lang w:val="fr-CA"/>
              </w:rPr>
              <w:t>Maxime Bertrand Marchand</w:t>
            </w:r>
            <w:r w:rsidR="0086340B" w:rsidRPr="005B107F">
              <w:rPr>
                <w:b/>
                <w:sz w:val="20"/>
                <w:szCs w:val="20"/>
                <w:lang w:val="fr-CA"/>
              </w:rPr>
              <w:t xml:space="preserve"> (</w:t>
            </w:r>
            <w:r w:rsidRPr="005B107F">
              <w:rPr>
                <w:b/>
                <w:sz w:val="20"/>
                <w:szCs w:val="20"/>
                <w:lang w:val="fr-CA"/>
              </w:rPr>
              <w:t>Qc</w:t>
            </w:r>
            <w:r w:rsidR="0086340B" w:rsidRPr="005B107F">
              <w:rPr>
                <w:b/>
                <w:sz w:val="20"/>
                <w:szCs w:val="20"/>
                <w:lang w:val="fr-CA"/>
              </w:rPr>
              <w:t>)</w:t>
            </w:r>
          </w:p>
          <w:p w:rsidR="0086340B" w:rsidRPr="005B107F" w:rsidRDefault="0086340B" w:rsidP="005F1ED8">
            <w:pPr>
              <w:rPr>
                <w:sz w:val="20"/>
                <w:szCs w:val="20"/>
                <w:lang w:val="fr-CA"/>
              </w:rPr>
            </w:pPr>
          </w:p>
          <w:p w:rsidR="0086340B" w:rsidRPr="005B107F" w:rsidRDefault="0086340B" w:rsidP="005F1ED8">
            <w:pPr>
              <w:rPr>
                <w:sz w:val="20"/>
                <w:szCs w:val="20"/>
                <w:lang w:val="fr-CA"/>
              </w:rPr>
            </w:pPr>
            <w:r w:rsidRPr="005B107F">
              <w:rPr>
                <w:sz w:val="20"/>
                <w:szCs w:val="20"/>
                <w:lang w:val="fr-CA"/>
              </w:rPr>
              <w:t>(</w:t>
            </w:r>
            <w:r w:rsidR="00C356F5" w:rsidRPr="005B107F">
              <w:rPr>
                <w:sz w:val="20"/>
                <w:szCs w:val="20"/>
                <w:lang w:val="fr-CA"/>
              </w:rPr>
              <w:t>Autorisation</w:t>
            </w:r>
            <w:r w:rsidRPr="005B107F">
              <w:rPr>
                <w:sz w:val="20"/>
                <w:szCs w:val="20"/>
                <w:lang w:val="fr-CA"/>
              </w:rPr>
              <w:t>)</w:t>
            </w:r>
          </w:p>
          <w:p w:rsidR="0086340B" w:rsidRPr="005B107F" w:rsidRDefault="0086340B" w:rsidP="005F1ED8">
            <w:pPr>
              <w:rPr>
                <w:sz w:val="20"/>
                <w:szCs w:val="20"/>
                <w:lang w:val="fr-CA"/>
              </w:rPr>
            </w:pPr>
          </w:p>
          <w:p w:rsidR="0086340B" w:rsidRPr="005B107F" w:rsidRDefault="005B107F" w:rsidP="005F1ED8">
            <w:pPr>
              <w:rPr>
                <w:sz w:val="20"/>
                <w:szCs w:val="20"/>
                <w:lang w:val="fr-CA"/>
              </w:rPr>
            </w:pPr>
            <w:r w:rsidRPr="005B107F">
              <w:rPr>
                <w:sz w:val="20"/>
                <w:szCs w:val="20"/>
                <w:lang w:val="fr-CA"/>
              </w:rPr>
              <w:pict>
                <v:rect id="_x0000_i1040" style="width:106.1pt;height:1pt" o:hrpct="500" o:hrstd="t" o:hrnoshade="t" o:hr="t" fillcolor="black [3213]" stroked="f"/>
              </w:pict>
            </w:r>
          </w:p>
        </w:tc>
        <w:tc>
          <w:tcPr>
            <w:tcW w:w="588" w:type="pct"/>
          </w:tcPr>
          <w:p w:rsidR="0086340B" w:rsidRPr="005B107F" w:rsidRDefault="0086340B" w:rsidP="005F1ED8">
            <w:pPr>
              <w:jc w:val="center"/>
              <w:rPr>
                <w:sz w:val="20"/>
                <w:szCs w:val="20"/>
              </w:rPr>
            </w:pPr>
          </w:p>
          <w:p w:rsidR="0086340B" w:rsidRPr="005B107F" w:rsidRDefault="0086340B" w:rsidP="005F1ED8">
            <w:pPr>
              <w:jc w:val="center"/>
              <w:rPr>
                <w:sz w:val="20"/>
                <w:szCs w:val="20"/>
              </w:rPr>
            </w:pPr>
          </w:p>
          <w:p w:rsidR="0086340B" w:rsidRPr="005B107F" w:rsidRDefault="0086340B" w:rsidP="005F1ED8">
            <w:pPr>
              <w:jc w:val="center"/>
              <w:rPr>
                <w:sz w:val="20"/>
                <w:szCs w:val="20"/>
              </w:rPr>
            </w:pPr>
          </w:p>
          <w:p w:rsidR="0086340B" w:rsidRPr="005B107F" w:rsidRDefault="0086340B" w:rsidP="005F1ED8">
            <w:pPr>
              <w:jc w:val="center"/>
              <w:rPr>
                <w:sz w:val="20"/>
                <w:szCs w:val="20"/>
              </w:rPr>
            </w:pPr>
          </w:p>
          <w:p w:rsidR="0086340B" w:rsidRPr="005B107F" w:rsidRDefault="0086340B" w:rsidP="005F1ED8">
            <w:pPr>
              <w:jc w:val="center"/>
              <w:rPr>
                <w:sz w:val="20"/>
                <w:szCs w:val="20"/>
              </w:rPr>
            </w:pPr>
          </w:p>
          <w:p w:rsidR="0086340B" w:rsidRPr="005B107F" w:rsidRDefault="0086340B" w:rsidP="005F1ED8">
            <w:pPr>
              <w:jc w:val="center"/>
              <w:rPr>
                <w:sz w:val="20"/>
                <w:szCs w:val="20"/>
              </w:rPr>
            </w:pPr>
          </w:p>
          <w:p w:rsidR="0086340B" w:rsidRPr="005B107F" w:rsidRDefault="0086340B" w:rsidP="005F1ED8">
            <w:pPr>
              <w:jc w:val="center"/>
              <w:rPr>
                <w:sz w:val="20"/>
                <w:szCs w:val="20"/>
              </w:rPr>
            </w:pPr>
          </w:p>
          <w:p w:rsidR="0086340B" w:rsidRPr="005B107F" w:rsidRDefault="0086340B" w:rsidP="005F1ED8">
            <w:pPr>
              <w:jc w:val="center"/>
              <w:rPr>
                <w:sz w:val="20"/>
                <w:szCs w:val="20"/>
              </w:rPr>
            </w:pPr>
          </w:p>
          <w:p w:rsidR="0086340B" w:rsidRPr="005B107F" w:rsidRDefault="0086340B" w:rsidP="005F1ED8">
            <w:pPr>
              <w:jc w:val="center"/>
              <w:rPr>
                <w:sz w:val="20"/>
                <w:szCs w:val="20"/>
              </w:rPr>
            </w:pPr>
          </w:p>
          <w:p w:rsidR="0086340B" w:rsidRPr="005B107F" w:rsidRDefault="0086340B" w:rsidP="005F1ED8">
            <w:pPr>
              <w:jc w:val="center"/>
              <w:rPr>
                <w:sz w:val="20"/>
                <w:szCs w:val="20"/>
              </w:rPr>
            </w:pPr>
          </w:p>
          <w:p w:rsidR="00E06F20" w:rsidRPr="005B107F" w:rsidRDefault="00E06F20" w:rsidP="005F1ED8">
            <w:pPr>
              <w:jc w:val="center"/>
              <w:rPr>
                <w:sz w:val="20"/>
                <w:szCs w:val="20"/>
              </w:rPr>
            </w:pPr>
          </w:p>
          <w:p w:rsidR="0086340B" w:rsidRPr="005B107F" w:rsidRDefault="0086340B" w:rsidP="005F1ED8">
            <w:pPr>
              <w:jc w:val="center"/>
              <w:rPr>
                <w:sz w:val="20"/>
                <w:szCs w:val="20"/>
              </w:rPr>
            </w:pPr>
          </w:p>
        </w:tc>
        <w:tc>
          <w:tcPr>
            <w:tcW w:w="2206" w:type="pct"/>
          </w:tcPr>
          <w:p w:rsidR="0086340B" w:rsidRPr="005B107F" w:rsidRDefault="0086340B" w:rsidP="005F1ED8">
            <w:pPr>
              <w:rPr>
                <w:sz w:val="20"/>
                <w:szCs w:val="20"/>
              </w:rPr>
            </w:pPr>
          </w:p>
        </w:tc>
      </w:tr>
    </w:tbl>
    <w:p w:rsidR="008277C4" w:rsidRPr="005B107F" w:rsidRDefault="008277C4" w:rsidP="00F40249">
      <w:pPr>
        <w:rPr>
          <w:sz w:val="20"/>
          <w:szCs w:val="20"/>
        </w:rPr>
      </w:pPr>
    </w:p>
    <w:p w:rsidR="008277C4" w:rsidRPr="005B107F" w:rsidRDefault="008277C4" w:rsidP="00F40249">
      <w:pPr>
        <w:rPr>
          <w:sz w:val="20"/>
          <w:szCs w:val="20"/>
        </w:rPr>
      </w:pPr>
    </w:p>
    <w:p w:rsidR="0010587F" w:rsidRPr="005B107F" w:rsidRDefault="0010587F" w:rsidP="00F40249">
      <w:pPr>
        <w:rPr>
          <w:sz w:val="20"/>
          <w:szCs w:val="20"/>
        </w:rPr>
      </w:pPr>
    </w:p>
    <w:p w:rsidR="00EB2B90" w:rsidRPr="005B107F" w:rsidRDefault="00EB2B90" w:rsidP="00F40249">
      <w:pPr>
        <w:rPr>
          <w:sz w:val="20"/>
          <w:szCs w:val="20"/>
        </w:rPr>
        <w:sectPr w:rsidR="00EB2B90" w:rsidRPr="005B107F" w:rsidSect="00F40249">
          <w:headerReference w:type="even" r:id="rId21"/>
          <w:headerReference w:type="default" r:id="rId22"/>
          <w:footerReference w:type="even" r:id="rId23"/>
          <w:footerReference w:type="default" r:id="rId24"/>
          <w:headerReference w:type="first" r:id="rId25"/>
          <w:footerReference w:type="first" r:id="rId26"/>
          <w:pgSz w:w="12240" w:h="15840"/>
          <w:pgMar w:top="720" w:right="965" w:bottom="1080" w:left="1656" w:header="720" w:footer="965" w:gutter="0"/>
          <w:cols w:space="720"/>
          <w:titlePg/>
          <w:docGrid w:linePitch="326"/>
        </w:sectPr>
      </w:pPr>
    </w:p>
    <w:p w:rsidR="00567602" w:rsidRPr="005B107F" w:rsidRDefault="001434B9" w:rsidP="00567602">
      <w:pPr>
        <w:pStyle w:val="Header1StyleE"/>
        <w:pBdr>
          <w:bottom w:val="single" w:sz="12" w:space="1" w:color="auto"/>
        </w:pBdr>
        <w:rPr>
          <w:lang w:val="fr-CA"/>
        </w:rPr>
      </w:pPr>
      <w:bookmarkStart w:id="5" w:name="_Toc108763062"/>
      <w:r w:rsidRPr="005B107F">
        <w:rPr>
          <w:lang w:val="fr-CA"/>
        </w:rPr>
        <w:lastRenderedPageBreak/>
        <w:t>Pronouncements of reserved</w:t>
      </w:r>
      <w:r w:rsidR="00271E1E" w:rsidRPr="005B107F">
        <w:rPr>
          <w:lang w:val="fr-CA"/>
        </w:rPr>
        <w:t xml:space="preserve"> appeals / </w:t>
      </w:r>
      <w:r w:rsidR="00567602" w:rsidRPr="005B107F">
        <w:rPr>
          <w:lang w:val="fr-CA"/>
        </w:rPr>
        <w:br/>
      </w:r>
      <w:r w:rsidRPr="005B107F">
        <w:rPr>
          <w:lang w:val="fr-CA"/>
        </w:rPr>
        <w:t>Jugements rendus sur les appels en délibéré</w:t>
      </w:r>
      <w:bookmarkEnd w:id="5"/>
    </w:p>
    <w:p w:rsidR="00FF6EEC" w:rsidRPr="005B107F" w:rsidRDefault="00FF6EEC" w:rsidP="00FF6EEC">
      <w:pPr>
        <w:rPr>
          <w:sz w:val="20"/>
          <w:szCs w:val="20"/>
          <w:lang w:val="fr-CA"/>
        </w:rPr>
      </w:pPr>
    </w:p>
    <w:p w:rsidR="00102792" w:rsidRPr="005B107F" w:rsidRDefault="009B36BA" w:rsidP="00102792">
      <w:pPr>
        <w:rPr>
          <w:b/>
          <w:sz w:val="20"/>
          <w:szCs w:val="20"/>
          <w:lang w:val="en-US"/>
        </w:rPr>
      </w:pPr>
      <w:r w:rsidRPr="005B107F">
        <w:rPr>
          <w:b/>
          <w:sz w:val="20"/>
          <w:szCs w:val="20"/>
          <w:lang w:val="en-US"/>
        </w:rPr>
        <w:t>J</w:t>
      </w:r>
      <w:r w:rsidR="004406DE" w:rsidRPr="005B107F">
        <w:rPr>
          <w:b/>
          <w:sz w:val="20"/>
          <w:szCs w:val="20"/>
          <w:lang w:val="en-US"/>
        </w:rPr>
        <w:t>U</w:t>
      </w:r>
      <w:r w:rsidR="00D4247B" w:rsidRPr="005B107F">
        <w:rPr>
          <w:b/>
          <w:sz w:val="20"/>
          <w:szCs w:val="20"/>
          <w:lang w:val="en-US"/>
        </w:rPr>
        <w:t>LY</w:t>
      </w:r>
      <w:r w:rsidR="00102792" w:rsidRPr="005B107F">
        <w:rPr>
          <w:b/>
          <w:sz w:val="20"/>
          <w:szCs w:val="20"/>
          <w:lang w:val="en-US"/>
        </w:rPr>
        <w:t xml:space="preserve"> </w:t>
      </w:r>
      <w:r w:rsidR="00352B57" w:rsidRPr="005B107F">
        <w:rPr>
          <w:b/>
          <w:sz w:val="20"/>
          <w:szCs w:val="20"/>
          <w:lang w:val="en-US"/>
        </w:rPr>
        <w:t>15</w:t>
      </w:r>
      <w:r w:rsidR="00102792" w:rsidRPr="005B107F">
        <w:rPr>
          <w:b/>
          <w:sz w:val="20"/>
          <w:szCs w:val="20"/>
          <w:lang w:val="en-US"/>
        </w:rPr>
        <w:t xml:space="preserve">, </w:t>
      </w:r>
      <w:r w:rsidR="0034657E" w:rsidRPr="005B107F">
        <w:rPr>
          <w:b/>
          <w:sz w:val="20"/>
          <w:szCs w:val="20"/>
          <w:lang w:val="en-US"/>
        </w:rPr>
        <w:t>20</w:t>
      </w:r>
      <w:r w:rsidR="00172473" w:rsidRPr="005B107F">
        <w:rPr>
          <w:b/>
          <w:sz w:val="20"/>
          <w:szCs w:val="20"/>
          <w:lang w:val="en-US"/>
        </w:rPr>
        <w:t>2</w:t>
      </w:r>
      <w:r w:rsidR="00E8642A" w:rsidRPr="005B107F">
        <w:rPr>
          <w:b/>
          <w:sz w:val="20"/>
          <w:szCs w:val="20"/>
          <w:lang w:val="en-US"/>
        </w:rPr>
        <w:t>2</w:t>
      </w:r>
      <w:r w:rsidR="00102792" w:rsidRPr="005B107F">
        <w:rPr>
          <w:b/>
          <w:sz w:val="20"/>
          <w:szCs w:val="20"/>
          <w:lang w:val="en-US"/>
        </w:rPr>
        <w:t xml:space="preserve"> / LE </w:t>
      </w:r>
      <w:r w:rsidR="00352B57" w:rsidRPr="005B107F">
        <w:rPr>
          <w:b/>
          <w:sz w:val="20"/>
          <w:szCs w:val="20"/>
          <w:lang w:val="en-US"/>
        </w:rPr>
        <w:t>15</w:t>
      </w:r>
      <w:r w:rsidR="00102792" w:rsidRPr="005B107F">
        <w:rPr>
          <w:b/>
          <w:sz w:val="20"/>
          <w:szCs w:val="20"/>
          <w:lang w:val="en-US"/>
        </w:rPr>
        <w:t xml:space="preserve"> </w:t>
      </w:r>
      <w:r w:rsidRPr="005B107F">
        <w:rPr>
          <w:b/>
          <w:sz w:val="20"/>
          <w:szCs w:val="20"/>
          <w:lang w:val="en-US"/>
        </w:rPr>
        <w:t>J</w:t>
      </w:r>
      <w:r w:rsidR="004406DE" w:rsidRPr="005B107F">
        <w:rPr>
          <w:b/>
          <w:sz w:val="20"/>
          <w:szCs w:val="20"/>
          <w:lang w:val="en-US"/>
        </w:rPr>
        <w:t>U</w:t>
      </w:r>
      <w:r w:rsidR="00D4247B" w:rsidRPr="005B107F">
        <w:rPr>
          <w:b/>
          <w:sz w:val="20"/>
          <w:szCs w:val="20"/>
          <w:lang w:val="en-US"/>
        </w:rPr>
        <w:t>LY</w:t>
      </w:r>
      <w:r w:rsidR="00102792" w:rsidRPr="005B107F">
        <w:rPr>
          <w:b/>
          <w:sz w:val="20"/>
          <w:szCs w:val="20"/>
          <w:lang w:val="en-US"/>
        </w:rPr>
        <w:t xml:space="preserve"> </w:t>
      </w:r>
      <w:r w:rsidR="0034657E" w:rsidRPr="005B107F">
        <w:rPr>
          <w:b/>
          <w:sz w:val="20"/>
          <w:szCs w:val="20"/>
          <w:lang w:val="en-US"/>
        </w:rPr>
        <w:t>20</w:t>
      </w:r>
      <w:r w:rsidR="00172473" w:rsidRPr="005B107F">
        <w:rPr>
          <w:b/>
          <w:sz w:val="20"/>
          <w:szCs w:val="20"/>
          <w:lang w:val="en-US"/>
        </w:rPr>
        <w:t>2</w:t>
      </w:r>
      <w:r w:rsidR="00E8642A" w:rsidRPr="005B107F">
        <w:rPr>
          <w:b/>
          <w:sz w:val="20"/>
          <w:szCs w:val="20"/>
          <w:lang w:val="en-US"/>
        </w:rPr>
        <w:t>2</w:t>
      </w:r>
    </w:p>
    <w:p w:rsidR="00102792" w:rsidRPr="005B107F" w:rsidRDefault="00102792" w:rsidP="00102792">
      <w:pPr>
        <w:rPr>
          <w:sz w:val="20"/>
          <w:szCs w:val="20"/>
          <w:lang w:val="en-US"/>
        </w:rPr>
      </w:pPr>
    </w:p>
    <w:p w:rsidR="00522A2F" w:rsidRPr="005B107F" w:rsidRDefault="00102792" w:rsidP="00D4247B">
      <w:pPr>
        <w:ind w:left="1440" w:hanging="1440"/>
        <w:jc w:val="both"/>
        <w:rPr>
          <w:sz w:val="20"/>
        </w:rPr>
      </w:pPr>
      <w:r w:rsidRPr="005B107F">
        <w:rPr>
          <w:rFonts w:eastAsia="Times New Roman" w:cs="Times New Roman"/>
          <w:b/>
          <w:bCs/>
          <w:color w:val="000000"/>
          <w:sz w:val="20"/>
          <w:szCs w:val="20"/>
          <w:lang w:val="en-US"/>
        </w:rPr>
        <w:t>3</w:t>
      </w:r>
      <w:r w:rsidR="004406DE" w:rsidRPr="005B107F">
        <w:rPr>
          <w:rFonts w:eastAsia="Times New Roman" w:cs="Times New Roman"/>
          <w:b/>
          <w:bCs/>
          <w:color w:val="000000"/>
          <w:sz w:val="20"/>
          <w:szCs w:val="20"/>
          <w:lang w:val="en-US"/>
        </w:rPr>
        <w:t>9</w:t>
      </w:r>
      <w:r w:rsidR="00D4247B" w:rsidRPr="005B107F">
        <w:rPr>
          <w:rFonts w:eastAsia="Times New Roman" w:cs="Times New Roman"/>
          <w:b/>
          <w:bCs/>
          <w:color w:val="000000"/>
          <w:sz w:val="20"/>
          <w:szCs w:val="20"/>
          <w:lang w:val="en-US"/>
        </w:rPr>
        <w:t>4</w:t>
      </w:r>
      <w:r w:rsidR="00352B57" w:rsidRPr="005B107F">
        <w:rPr>
          <w:rFonts w:eastAsia="Times New Roman" w:cs="Times New Roman"/>
          <w:b/>
          <w:bCs/>
          <w:color w:val="000000"/>
          <w:sz w:val="20"/>
          <w:szCs w:val="20"/>
          <w:lang w:val="en-US"/>
        </w:rPr>
        <w:t>18</w:t>
      </w:r>
      <w:r w:rsidR="00172473" w:rsidRPr="005B107F">
        <w:rPr>
          <w:rFonts w:eastAsia="Times New Roman" w:cs="Times New Roman"/>
          <w:b/>
          <w:bCs/>
          <w:color w:val="000000"/>
          <w:sz w:val="20"/>
          <w:szCs w:val="20"/>
          <w:lang w:val="en-US"/>
        </w:rPr>
        <w:tab/>
      </w:r>
      <w:r w:rsidR="004B654A" w:rsidRPr="005B107F">
        <w:rPr>
          <w:b/>
          <w:sz w:val="20"/>
        </w:rPr>
        <w:t>Society of Composers, Authors and Music Publishers of Canada v. Entertainment Software Association, Entertainment Software Association of Canada, Apple Inc., Apple Canada Inc., Bell Canada, Quebecor Media Inc., Rogers Communications, Shaw Communications and Pandora Media Inc. - AND BETWEEN - Music Canada v. Entertainment Software Association, Entertainment Software Association of Canada, Apple Inc., Apple Canada Inc., Bell Canada, Quebecor Media Inc., Rogers Communications, Shaw Communications and Pandora Media Inc. - and - Samuelson-Glushko Canadian Internet Policy and Public Interest Clinic, Canadian Music Publishers Association carrying on business as “Music Publishers Canada”, Professional Music Publishers Association, Canadian Association of Law Libraries, Library Futures Institute and Ariel Katz</w:t>
      </w:r>
      <w:r w:rsidR="00352B57" w:rsidRPr="005B107F">
        <w:rPr>
          <w:b/>
          <w:sz w:val="20"/>
        </w:rPr>
        <w:t xml:space="preserve"> </w:t>
      </w:r>
      <w:r w:rsidR="00352B57" w:rsidRPr="005B107F">
        <w:rPr>
          <w:iCs/>
          <w:sz w:val="20"/>
        </w:rPr>
        <w:t>(F.C.)</w:t>
      </w:r>
    </w:p>
    <w:p w:rsidR="00102792" w:rsidRPr="005B107F" w:rsidRDefault="00102792" w:rsidP="00102792">
      <w:pPr>
        <w:ind w:left="1440"/>
        <w:jc w:val="both"/>
        <w:rPr>
          <w:rFonts w:eastAsia="Times New Roman" w:cs="Times New Roman"/>
          <w:color w:val="000000"/>
          <w:sz w:val="20"/>
          <w:szCs w:val="20"/>
          <w:lang w:val="en-US"/>
        </w:rPr>
      </w:pPr>
      <w:r w:rsidRPr="005B107F">
        <w:rPr>
          <w:rFonts w:eastAsia="Times New Roman" w:cs="Times New Roman"/>
          <w:b/>
          <w:bCs/>
          <w:color w:val="000000"/>
          <w:sz w:val="20"/>
          <w:szCs w:val="20"/>
          <w:lang w:val="en-US"/>
        </w:rPr>
        <w:t>20</w:t>
      </w:r>
      <w:r w:rsidR="00172473" w:rsidRPr="005B107F">
        <w:rPr>
          <w:rFonts w:eastAsia="Times New Roman" w:cs="Times New Roman"/>
          <w:b/>
          <w:bCs/>
          <w:color w:val="000000"/>
          <w:sz w:val="20"/>
          <w:szCs w:val="20"/>
          <w:lang w:val="en-US"/>
        </w:rPr>
        <w:t>2</w:t>
      </w:r>
      <w:r w:rsidR="00E8642A" w:rsidRPr="005B107F">
        <w:rPr>
          <w:rFonts w:eastAsia="Times New Roman" w:cs="Times New Roman"/>
          <w:b/>
          <w:bCs/>
          <w:color w:val="000000"/>
          <w:sz w:val="20"/>
          <w:szCs w:val="20"/>
          <w:lang w:val="en-US"/>
        </w:rPr>
        <w:t>2</w:t>
      </w:r>
      <w:r w:rsidRPr="005B107F">
        <w:rPr>
          <w:rFonts w:eastAsia="Times New Roman" w:cs="Times New Roman"/>
          <w:b/>
          <w:bCs/>
          <w:color w:val="000000"/>
          <w:sz w:val="20"/>
          <w:szCs w:val="20"/>
          <w:lang w:val="en-US"/>
        </w:rPr>
        <w:t xml:space="preserve"> SCC </w:t>
      </w:r>
      <w:r w:rsidR="007638C0" w:rsidRPr="005B107F">
        <w:rPr>
          <w:rFonts w:eastAsia="Times New Roman" w:cs="Times New Roman"/>
          <w:b/>
          <w:bCs/>
          <w:color w:val="000000"/>
          <w:sz w:val="20"/>
          <w:szCs w:val="20"/>
          <w:lang w:val="en-US"/>
        </w:rPr>
        <w:t>30</w:t>
      </w:r>
      <w:r w:rsidRPr="005B107F">
        <w:rPr>
          <w:rFonts w:eastAsia="Times New Roman" w:cs="Times New Roman"/>
          <w:b/>
          <w:bCs/>
          <w:color w:val="000000"/>
          <w:sz w:val="20"/>
          <w:szCs w:val="20"/>
          <w:lang w:val="en-US"/>
        </w:rPr>
        <w:t xml:space="preserve"> / 20</w:t>
      </w:r>
      <w:r w:rsidR="00172473" w:rsidRPr="005B107F">
        <w:rPr>
          <w:rFonts w:eastAsia="Times New Roman" w:cs="Times New Roman"/>
          <w:b/>
          <w:bCs/>
          <w:color w:val="000000"/>
          <w:sz w:val="20"/>
          <w:szCs w:val="20"/>
          <w:lang w:val="en-US"/>
        </w:rPr>
        <w:t>2</w:t>
      </w:r>
      <w:r w:rsidR="00E8642A" w:rsidRPr="005B107F">
        <w:rPr>
          <w:rFonts w:eastAsia="Times New Roman" w:cs="Times New Roman"/>
          <w:b/>
          <w:bCs/>
          <w:color w:val="000000"/>
          <w:sz w:val="20"/>
          <w:szCs w:val="20"/>
          <w:lang w:val="en-US"/>
        </w:rPr>
        <w:t>2</w:t>
      </w:r>
      <w:r w:rsidRPr="005B107F">
        <w:rPr>
          <w:rFonts w:eastAsia="Times New Roman" w:cs="Times New Roman"/>
          <w:b/>
          <w:bCs/>
          <w:color w:val="000000"/>
          <w:sz w:val="20"/>
          <w:szCs w:val="20"/>
          <w:lang w:val="en-US"/>
        </w:rPr>
        <w:t xml:space="preserve"> CSC </w:t>
      </w:r>
      <w:r w:rsidR="007638C0" w:rsidRPr="005B107F">
        <w:rPr>
          <w:rFonts w:eastAsia="Times New Roman" w:cs="Times New Roman"/>
          <w:b/>
          <w:bCs/>
          <w:color w:val="000000"/>
          <w:sz w:val="20"/>
          <w:szCs w:val="20"/>
          <w:lang w:val="en-US"/>
        </w:rPr>
        <w:t>30</w:t>
      </w:r>
    </w:p>
    <w:p w:rsidR="00102792" w:rsidRPr="005B107F" w:rsidRDefault="00102792" w:rsidP="00102792">
      <w:pPr>
        <w:jc w:val="both"/>
        <w:rPr>
          <w:rFonts w:eastAsia="Times New Roman" w:cs="Times New Roman"/>
          <w:color w:val="000000"/>
          <w:sz w:val="20"/>
          <w:szCs w:val="20"/>
          <w:lang w:val="en-US"/>
        </w:rPr>
      </w:pPr>
    </w:p>
    <w:p w:rsidR="00102792" w:rsidRPr="005B107F" w:rsidRDefault="00172473" w:rsidP="00102792">
      <w:pPr>
        <w:ind w:left="1440" w:hanging="1440"/>
        <w:rPr>
          <w:rFonts w:eastAsia="Times New Roman" w:cs="Times New Roman"/>
          <w:color w:val="000000"/>
          <w:sz w:val="20"/>
          <w:szCs w:val="20"/>
          <w:lang w:val="en-US"/>
        </w:rPr>
      </w:pPr>
      <w:r w:rsidRPr="005B107F">
        <w:rPr>
          <w:rFonts w:eastAsia="Times New Roman" w:cs="Times New Roman"/>
          <w:color w:val="000000"/>
          <w:sz w:val="20"/>
          <w:szCs w:val="20"/>
          <w:lang w:val="en-US"/>
        </w:rPr>
        <w:t>Coram:</w:t>
      </w:r>
      <w:r w:rsidRPr="005B107F">
        <w:rPr>
          <w:rFonts w:eastAsia="Times New Roman" w:cs="Times New Roman"/>
          <w:color w:val="000000"/>
          <w:sz w:val="20"/>
          <w:szCs w:val="20"/>
          <w:lang w:val="en-US"/>
        </w:rPr>
        <w:tab/>
      </w:r>
      <w:r w:rsidR="00102792" w:rsidRPr="005B107F">
        <w:rPr>
          <w:rFonts w:eastAsia="Times New Roman" w:cs="Times New Roman"/>
          <w:color w:val="000000"/>
          <w:sz w:val="20"/>
          <w:szCs w:val="20"/>
          <w:lang w:val="en-US"/>
        </w:rPr>
        <w:t>Wagner C.J. and Moldaver, Karakatsanis, Côté, Brown, Rowe</w:t>
      </w:r>
      <w:r w:rsidRPr="005B107F">
        <w:rPr>
          <w:rFonts w:eastAsia="Times New Roman" w:cs="Times New Roman"/>
          <w:color w:val="000000"/>
          <w:sz w:val="20"/>
          <w:szCs w:val="20"/>
          <w:lang w:val="en-US"/>
        </w:rPr>
        <w:t xml:space="preserve">, </w:t>
      </w:r>
      <w:r w:rsidR="00102792" w:rsidRPr="005B107F">
        <w:rPr>
          <w:rFonts w:eastAsia="Times New Roman" w:cs="Times New Roman"/>
          <w:color w:val="000000"/>
          <w:sz w:val="20"/>
          <w:szCs w:val="20"/>
          <w:lang w:val="en-US"/>
        </w:rPr>
        <w:t>Martin</w:t>
      </w:r>
      <w:r w:rsidR="00FA7B17" w:rsidRPr="005B107F">
        <w:rPr>
          <w:rFonts w:eastAsia="Times New Roman" w:cs="Times New Roman"/>
          <w:color w:val="000000"/>
          <w:sz w:val="20"/>
          <w:szCs w:val="20"/>
          <w:lang w:val="en-US"/>
        </w:rPr>
        <w:t>,</w:t>
      </w:r>
      <w:r w:rsidRPr="005B107F">
        <w:rPr>
          <w:rFonts w:eastAsia="Times New Roman" w:cs="Times New Roman"/>
          <w:color w:val="000000"/>
          <w:sz w:val="20"/>
          <w:szCs w:val="20"/>
          <w:lang w:val="en-US"/>
        </w:rPr>
        <w:t xml:space="preserve"> Kasirer</w:t>
      </w:r>
      <w:r w:rsidR="00102792" w:rsidRPr="005B107F">
        <w:rPr>
          <w:rFonts w:eastAsia="Times New Roman" w:cs="Times New Roman"/>
          <w:color w:val="000000"/>
          <w:sz w:val="20"/>
          <w:szCs w:val="20"/>
          <w:lang w:val="en-US"/>
        </w:rPr>
        <w:t xml:space="preserve"> </w:t>
      </w:r>
      <w:r w:rsidR="00FA7B17" w:rsidRPr="005B107F">
        <w:rPr>
          <w:rFonts w:eastAsia="Times New Roman" w:cs="Times New Roman"/>
          <w:color w:val="000000"/>
          <w:sz w:val="20"/>
          <w:szCs w:val="20"/>
          <w:lang w:val="en-US"/>
        </w:rPr>
        <w:t xml:space="preserve">and Jamal </w:t>
      </w:r>
      <w:r w:rsidR="00102792" w:rsidRPr="005B107F">
        <w:rPr>
          <w:rFonts w:eastAsia="Times New Roman" w:cs="Times New Roman"/>
          <w:color w:val="000000"/>
          <w:sz w:val="20"/>
          <w:szCs w:val="20"/>
          <w:lang w:val="en-US"/>
        </w:rPr>
        <w:t>JJ.</w:t>
      </w:r>
    </w:p>
    <w:p w:rsidR="00102792" w:rsidRPr="005B107F" w:rsidRDefault="00102792" w:rsidP="00102792">
      <w:pPr>
        <w:ind w:left="1440" w:hanging="1440"/>
        <w:rPr>
          <w:rFonts w:eastAsia="Times New Roman" w:cs="Times New Roman"/>
          <w:color w:val="000000"/>
          <w:sz w:val="20"/>
          <w:szCs w:val="20"/>
          <w:lang w:val="en-US"/>
        </w:rPr>
      </w:pPr>
    </w:p>
    <w:p w:rsidR="004B654A" w:rsidRPr="005B107F" w:rsidRDefault="004B654A" w:rsidP="004B654A">
      <w:pPr>
        <w:jc w:val="both"/>
        <w:rPr>
          <w:sz w:val="20"/>
          <w:szCs w:val="20"/>
          <w:lang w:val="en-US"/>
        </w:rPr>
      </w:pPr>
      <w:r w:rsidRPr="005B107F">
        <w:rPr>
          <w:sz w:val="20"/>
          <w:szCs w:val="20"/>
        </w:rPr>
        <w:t>The appeal from the judgment of the Federal Court of Appeal, Numbers A-267-17 and A-270-17, 2020 FCA 100, dated June 5, 2020, heard on January 18, 2022, is dismissed with costs in this Court to</w:t>
      </w:r>
      <w:r w:rsidRPr="005B107F">
        <w:rPr>
          <w:rFonts w:eastAsia="Times New Roman" w:cs="Times New Roman"/>
          <w:sz w:val="20"/>
          <w:szCs w:val="20"/>
          <w:lang w:eastAsia="en-CA"/>
        </w:rPr>
        <w:t xml:space="preserve"> </w:t>
      </w:r>
      <w:r w:rsidRPr="005B107F">
        <w:rPr>
          <w:sz w:val="20"/>
          <w:szCs w:val="20"/>
        </w:rPr>
        <w:t>Apple Inc. and Apple Canada Inc., and costs in this Court and the Federal Court of Appeal to the remaining respondents.</w:t>
      </w:r>
    </w:p>
    <w:p w:rsidR="004B654A" w:rsidRPr="005B107F" w:rsidRDefault="004B654A" w:rsidP="004B654A">
      <w:pPr>
        <w:jc w:val="both"/>
        <w:rPr>
          <w:sz w:val="20"/>
          <w:szCs w:val="20"/>
          <w:lang w:val="en-US"/>
        </w:rPr>
      </w:pPr>
    </w:p>
    <w:p w:rsidR="004B654A" w:rsidRPr="005B107F" w:rsidRDefault="004B654A" w:rsidP="004B654A">
      <w:pPr>
        <w:jc w:val="both"/>
        <w:rPr>
          <w:sz w:val="20"/>
          <w:szCs w:val="20"/>
          <w:lang w:val="fr-CA"/>
        </w:rPr>
      </w:pPr>
      <w:r w:rsidRPr="005B107F">
        <w:rPr>
          <w:sz w:val="20"/>
          <w:szCs w:val="20"/>
          <w:lang w:val="fr-CA"/>
        </w:rPr>
        <w:t>L’appel interjeté contre l’arrêt de la Cour d’appel fédérale, numéros A-267-17 et A-270-17, 2020 CAF 100, daté du 5 juin 2020, entendu le 18 janvier 2022, est rejeté. Les dépens devant la Cour sont adjugés à</w:t>
      </w:r>
      <w:r w:rsidRPr="005B107F">
        <w:rPr>
          <w:rFonts w:eastAsia="Times New Roman" w:cs="Times New Roman"/>
          <w:sz w:val="20"/>
          <w:szCs w:val="20"/>
          <w:lang w:val="fr-CA" w:eastAsia="en-CA"/>
        </w:rPr>
        <w:t xml:space="preserve"> </w:t>
      </w:r>
      <w:r w:rsidRPr="005B107F">
        <w:rPr>
          <w:sz w:val="20"/>
          <w:szCs w:val="20"/>
          <w:lang w:val="fr-CA"/>
        </w:rPr>
        <w:t>Apple Inc. et Apple Canada Inc. et les dépens devant la Cour et la Cour d’appel fédérale</w:t>
      </w:r>
      <w:r w:rsidRPr="005B107F" w:rsidDel="00FD7B5A">
        <w:rPr>
          <w:sz w:val="20"/>
          <w:szCs w:val="20"/>
          <w:lang w:val="fr-CA"/>
        </w:rPr>
        <w:t xml:space="preserve"> </w:t>
      </w:r>
      <w:r w:rsidRPr="005B107F">
        <w:rPr>
          <w:sz w:val="20"/>
          <w:szCs w:val="20"/>
          <w:lang w:val="fr-CA"/>
        </w:rPr>
        <w:t>sont adjugés aux autres intimées.</w:t>
      </w:r>
    </w:p>
    <w:p w:rsidR="00102792" w:rsidRPr="005B107F" w:rsidRDefault="00102792" w:rsidP="00102792">
      <w:pPr>
        <w:rPr>
          <w:sz w:val="20"/>
          <w:szCs w:val="20"/>
          <w:lang w:val="fr-CA"/>
        </w:rPr>
      </w:pPr>
    </w:p>
    <w:p w:rsidR="00102792" w:rsidRPr="005B107F" w:rsidRDefault="005B107F" w:rsidP="00102792">
      <w:pPr>
        <w:rPr>
          <w:sz w:val="20"/>
          <w:szCs w:val="20"/>
          <w:lang w:val="fr-CA"/>
        </w:rPr>
      </w:pPr>
      <w:hyperlink r:id="rId27" w:history="1">
        <w:r w:rsidR="00506BE1" w:rsidRPr="005B107F">
          <w:rPr>
            <w:rStyle w:val="Hyperlink"/>
            <w:sz w:val="20"/>
            <w:szCs w:val="20"/>
            <w:lang w:val="fr-CA"/>
          </w:rPr>
          <w:t xml:space="preserve">LINK TO </w:t>
        </w:r>
        <w:r w:rsidR="00D82BFF" w:rsidRPr="005B107F">
          <w:rPr>
            <w:rStyle w:val="Hyperlink"/>
            <w:sz w:val="20"/>
            <w:szCs w:val="20"/>
            <w:lang w:val="fr-CA"/>
          </w:rPr>
          <w:t>REASONS</w:t>
        </w:r>
      </w:hyperlink>
      <w:r w:rsidR="00102792" w:rsidRPr="005B107F">
        <w:rPr>
          <w:sz w:val="20"/>
          <w:szCs w:val="20"/>
          <w:lang w:val="fr-CA"/>
        </w:rPr>
        <w:t xml:space="preserve"> / </w:t>
      </w:r>
      <w:hyperlink r:id="rId28" w:history="1">
        <w:r w:rsidR="00D82BFF" w:rsidRPr="005B107F">
          <w:rPr>
            <w:rStyle w:val="Hyperlink"/>
            <w:sz w:val="20"/>
            <w:szCs w:val="20"/>
            <w:lang w:val="fr-CA"/>
          </w:rPr>
          <w:t>LIEN VERS LES MOTIFS</w:t>
        </w:r>
      </w:hyperlink>
    </w:p>
    <w:p w:rsidR="00102792" w:rsidRPr="005B107F" w:rsidRDefault="00102792" w:rsidP="00102792">
      <w:pPr>
        <w:rPr>
          <w:sz w:val="20"/>
          <w:szCs w:val="20"/>
          <w:lang w:val="fr-CA"/>
        </w:rPr>
      </w:pPr>
    </w:p>
    <w:p w:rsidR="00D004FC" w:rsidRPr="005B107F" w:rsidRDefault="005B107F" w:rsidP="00102792">
      <w:pPr>
        <w:jc w:val="both"/>
        <w:rPr>
          <w:rFonts w:cs="Times New Roman"/>
          <w:b/>
          <w:sz w:val="20"/>
          <w:szCs w:val="20"/>
        </w:rPr>
      </w:pPr>
      <w:r w:rsidRPr="005B107F">
        <w:rPr>
          <w:b/>
          <w:sz w:val="20"/>
          <w:szCs w:val="20"/>
        </w:rPr>
        <w:pict>
          <v:rect id="_x0000_i1043" style="width:144.3pt;height:1pt" o:hrpct="300" o:hralign="center" o:hrstd="t" o:hrnoshade="t" o:hr="t" fillcolor="black [3213]" stroked="f"/>
        </w:pict>
      </w:r>
    </w:p>
    <w:p w:rsidR="00522A2F" w:rsidRPr="005B107F" w:rsidRDefault="00522A2F" w:rsidP="00D004FC">
      <w:pPr>
        <w:jc w:val="both"/>
        <w:rPr>
          <w:rFonts w:cs="Times New Roman"/>
          <w:sz w:val="20"/>
          <w:szCs w:val="20"/>
        </w:rPr>
      </w:pPr>
    </w:p>
    <w:p w:rsidR="00281DA2" w:rsidRPr="005B107F" w:rsidRDefault="00281DA2" w:rsidP="00D004FC">
      <w:pPr>
        <w:jc w:val="both"/>
        <w:rPr>
          <w:rFonts w:cs="Times New Roman"/>
          <w:sz w:val="20"/>
          <w:szCs w:val="20"/>
        </w:rPr>
      </w:pPr>
    </w:p>
    <w:p w:rsidR="0056248C" w:rsidRPr="005B107F" w:rsidRDefault="0056248C" w:rsidP="00091BA6">
      <w:pPr>
        <w:rPr>
          <w:sz w:val="20"/>
          <w:szCs w:val="20"/>
          <w:lang w:val="fr-CA"/>
        </w:rPr>
      </w:pPr>
    </w:p>
    <w:p w:rsidR="00102926" w:rsidRPr="005B107F" w:rsidRDefault="00102926" w:rsidP="00782AE4">
      <w:pPr>
        <w:jc w:val="both"/>
        <w:rPr>
          <w:sz w:val="20"/>
          <w:szCs w:val="20"/>
        </w:rPr>
        <w:sectPr w:rsidR="00102926" w:rsidRPr="005B107F" w:rsidSect="00782AE4">
          <w:headerReference w:type="even" r:id="rId29"/>
          <w:headerReference w:type="default" r:id="rId30"/>
          <w:footerReference w:type="even" r:id="rId31"/>
          <w:footerReference w:type="default" r:id="rId32"/>
          <w:headerReference w:type="first" r:id="rId33"/>
          <w:footerReference w:type="first" r:id="rId34"/>
          <w:pgSz w:w="12240" w:h="15840"/>
          <w:pgMar w:top="720" w:right="965" w:bottom="1080" w:left="1656" w:header="576" w:footer="960" w:gutter="0"/>
          <w:cols w:space="720"/>
          <w:titlePg/>
          <w:docGrid w:linePitch="272"/>
        </w:sectPr>
      </w:pPr>
    </w:p>
    <w:p w:rsidR="003F414B" w:rsidRPr="005B107F" w:rsidRDefault="003F414B" w:rsidP="003F414B">
      <w:pPr>
        <w:tabs>
          <w:tab w:val="center" w:pos="5220"/>
          <w:tab w:val="right" w:pos="10800"/>
        </w:tabs>
        <w:jc w:val="center"/>
        <w:rPr>
          <w:rFonts w:ascii="Arial" w:hAnsi="Arial" w:cs="Arial"/>
          <w:szCs w:val="24"/>
          <w:lang w:val="fr-CA"/>
        </w:rPr>
      </w:pPr>
      <w:bookmarkStart w:id="6" w:name="1"/>
      <w:bookmarkStart w:id="7" w:name="QuickMark"/>
      <w:bookmarkEnd w:id="6"/>
      <w:bookmarkEnd w:id="7"/>
      <w:r w:rsidRPr="005B107F">
        <w:rPr>
          <w:rFonts w:ascii="Arial" w:hAnsi="Arial" w:cs="Arial"/>
          <w:b/>
          <w:szCs w:val="24"/>
          <w:lang w:val="fr-FR"/>
        </w:rPr>
        <w:lastRenderedPageBreak/>
        <w:t>- 2021 -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3F414B" w:rsidRPr="005B107F" w:rsidTr="00E8642A">
        <w:trPr>
          <w:trHeight w:val="176"/>
        </w:trPr>
        <w:tc>
          <w:tcPr>
            <w:tcW w:w="158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3F414B" w:rsidRPr="005B107F" w:rsidRDefault="003F414B" w:rsidP="00E8642A">
            <w:pPr>
              <w:tabs>
                <w:tab w:val="center" w:pos="5220"/>
                <w:tab w:val="right" w:pos="10440"/>
              </w:tabs>
              <w:jc w:val="center"/>
              <w:rPr>
                <w:rFonts w:ascii="Arial" w:hAnsi="Arial" w:cs="Arial"/>
                <w:b/>
                <w:sz w:val="13"/>
                <w:szCs w:val="13"/>
                <w:lang w:val="fr-FR"/>
              </w:rPr>
            </w:pPr>
            <w:r w:rsidRPr="005B107F">
              <w:rPr>
                <w:rFonts w:ascii="Arial" w:eastAsia="Arial" w:hAnsi="Arial"/>
                <w:b/>
                <w:color w:val="000000"/>
                <w:sz w:val="13"/>
              </w:rPr>
              <w:t>OCTOBER – OCTOBRE</w:t>
            </w:r>
          </w:p>
        </w:tc>
        <w:tc>
          <w:tcPr>
            <w:tcW w:w="140"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3F414B" w:rsidRPr="005B107F" w:rsidRDefault="003F414B" w:rsidP="00E8642A">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3F414B" w:rsidRPr="005B107F" w:rsidRDefault="003F414B" w:rsidP="00E8642A">
            <w:pPr>
              <w:tabs>
                <w:tab w:val="center" w:pos="5220"/>
                <w:tab w:val="right" w:pos="10440"/>
              </w:tabs>
              <w:jc w:val="center"/>
              <w:rPr>
                <w:rFonts w:ascii="Arial" w:hAnsi="Arial" w:cs="Arial"/>
                <w:b/>
                <w:sz w:val="13"/>
                <w:szCs w:val="13"/>
                <w:lang w:val="fr-FR"/>
              </w:rPr>
            </w:pPr>
            <w:r w:rsidRPr="005B107F">
              <w:rPr>
                <w:rFonts w:ascii="Arial" w:eastAsia="Arial" w:hAnsi="Arial"/>
                <w:b/>
                <w:color w:val="000000"/>
                <w:sz w:val="13"/>
              </w:rPr>
              <w:t>NOVEMBER – NOVEMBRE</w:t>
            </w:r>
          </w:p>
        </w:tc>
        <w:tc>
          <w:tcPr>
            <w:tcW w:w="141"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3F414B" w:rsidRPr="005B107F" w:rsidRDefault="003F414B" w:rsidP="00E8642A">
            <w:pPr>
              <w:tabs>
                <w:tab w:val="center" w:pos="5220"/>
                <w:tab w:val="right" w:pos="10440"/>
              </w:tabs>
              <w:jc w:val="center"/>
              <w:rPr>
                <w:rFonts w:ascii="Arial" w:hAnsi="Arial" w:cs="Arial"/>
                <w:b/>
                <w:sz w:val="13"/>
                <w:szCs w:val="13"/>
                <w:lang w:val="fr-FR"/>
              </w:rPr>
            </w:pPr>
          </w:p>
        </w:tc>
        <w:tc>
          <w:tcPr>
            <w:tcW w:w="156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3F414B" w:rsidRPr="005B107F" w:rsidRDefault="003F414B" w:rsidP="00E8642A">
            <w:pPr>
              <w:tabs>
                <w:tab w:val="center" w:pos="5220"/>
                <w:tab w:val="right" w:pos="10440"/>
              </w:tabs>
              <w:jc w:val="center"/>
              <w:rPr>
                <w:rFonts w:ascii="Arial" w:hAnsi="Arial" w:cs="Arial"/>
                <w:b/>
                <w:sz w:val="13"/>
                <w:szCs w:val="13"/>
                <w:lang w:val="fr-FR"/>
              </w:rPr>
            </w:pPr>
            <w:r w:rsidRPr="005B107F">
              <w:rPr>
                <w:rFonts w:ascii="Arial" w:eastAsia="Arial" w:hAnsi="Arial"/>
                <w:b/>
                <w:color w:val="000000"/>
                <w:sz w:val="13"/>
              </w:rPr>
              <w:t>DECEMBER – DÉCEMBRE</w:t>
            </w:r>
          </w:p>
        </w:tc>
      </w:tr>
      <w:tr w:rsidR="003F414B" w:rsidRPr="005B107F" w:rsidTr="00E8642A">
        <w:trPr>
          <w:trHeight w:val="331"/>
        </w:trPr>
        <w:tc>
          <w:tcPr>
            <w:tcW w:w="224"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ascii="Arial" w:eastAsia="Arial" w:hAnsi="Arial"/>
                <w:b/>
                <w:color w:val="000000"/>
                <w:sz w:val="13"/>
                <w:szCs w:val="13"/>
              </w:rPr>
            </w:pPr>
            <w:r w:rsidRPr="005B107F">
              <w:rPr>
                <w:rFonts w:ascii="Arial" w:eastAsia="Arial" w:hAnsi="Arial"/>
                <w:b/>
                <w:color w:val="000000"/>
                <w:sz w:val="13"/>
                <w:szCs w:val="13"/>
              </w:rPr>
              <w:t>S</w:t>
            </w:r>
          </w:p>
          <w:p w:rsidR="003F414B" w:rsidRPr="005B107F" w:rsidRDefault="003F414B" w:rsidP="00E8642A">
            <w:pPr>
              <w:jc w:val="center"/>
              <w:textAlignment w:val="baseline"/>
              <w:rPr>
                <w:rFonts w:ascii="Arial" w:eastAsia="Arial" w:hAnsi="Arial"/>
                <w:b/>
                <w:color w:val="000000"/>
                <w:sz w:val="13"/>
                <w:szCs w:val="13"/>
              </w:rPr>
            </w:pPr>
            <w:r w:rsidRPr="005B107F">
              <w:rPr>
                <w:rFonts w:ascii="Arial" w:eastAsia="Arial" w:hAnsi="Arial"/>
                <w:b/>
                <w:color w:val="000000"/>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ascii="Arial" w:eastAsia="Arial" w:hAnsi="Arial"/>
                <w:b/>
                <w:color w:val="000000"/>
                <w:sz w:val="13"/>
                <w:szCs w:val="13"/>
              </w:rPr>
            </w:pPr>
            <w:r w:rsidRPr="005B107F">
              <w:rPr>
                <w:rFonts w:ascii="Arial" w:eastAsia="Arial" w:hAnsi="Arial"/>
                <w:b/>
                <w:color w:val="000000"/>
                <w:sz w:val="13"/>
                <w:szCs w:val="13"/>
              </w:rPr>
              <w:t>M</w:t>
            </w:r>
          </w:p>
          <w:p w:rsidR="003F414B" w:rsidRPr="005B107F" w:rsidRDefault="003F414B" w:rsidP="00E8642A">
            <w:pPr>
              <w:jc w:val="center"/>
              <w:textAlignment w:val="baseline"/>
              <w:rPr>
                <w:rFonts w:ascii="Arial" w:eastAsia="Arial" w:hAnsi="Arial"/>
                <w:b/>
                <w:color w:val="000000"/>
                <w:sz w:val="13"/>
                <w:szCs w:val="13"/>
              </w:rPr>
            </w:pPr>
            <w:r w:rsidRPr="005B107F">
              <w:rPr>
                <w:rFonts w:ascii="Arial" w:eastAsia="Arial" w:hAnsi="Arial"/>
                <w:b/>
                <w:color w:val="000000"/>
                <w:sz w:val="13"/>
                <w:szCs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ascii="Arial" w:eastAsia="Arial" w:hAnsi="Arial"/>
                <w:b/>
                <w:color w:val="000000"/>
                <w:sz w:val="13"/>
                <w:szCs w:val="13"/>
              </w:rPr>
            </w:pPr>
            <w:r w:rsidRPr="005B107F">
              <w:rPr>
                <w:rFonts w:ascii="Arial" w:eastAsia="Arial" w:hAnsi="Arial"/>
                <w:b/>
                <w:color w:val="000000"/>
                <w:sz w:val="13"/>
                <w:szCs w:val="13"/>
              </w:rPr>
              <w:t>T</w:t>
            </w:r>
          </w:p>
          <w:p w:rsidR="003F414B" w:rsidRPr="005B107F" w:rsidRDefault="003F414B" w:rsidP="00E8642A">
            <w:pPr>
              <w:jc w:val="center"/>
              <w:textAlignment w:val="baseline"/>
              <w:rPr>
                <w:rFonts w:ascii="Arial" w:eastAsia="Arial" w:hAnsi="Arial"/>
                <w:b/>
                <w:color w:val="000000"/>
                <w:sz w:val="13"/>
                <w:szCs w:val="13"/>
              </w:rPr>
            </w:pPr>
            <w:r w:rsidRPr="005B107F">
              <w:rPr>
                <w:rFonts w:ascii="Arial" w:eastAsia="Arial" w:hAnsi="Arial"/>
                <w:b/>
                <w:color w:val="000000"/>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ascii="Arial" w:eastAsia="Arial" w:hAnsi="Arial"/>
                <w:b/>
                <w:color w:val="000000"/>
                <w:sz w:val="13"/>
                <w:szCs w:val="13"/>
              </w:rPr>
            </w:pPr>
            <w:r w:rsidRPr="005B107F">
              <w:rPr>
                <w:rFonts w:ascii="Arial" w:eastAsia="Arial" w:hAnsi="Arial"/>
                <w:b/>
                <w:color w:val="000000"/>
                <w:sz w:val="13"/>
                <w:szCs w:val="13"/>
              </w:rPr>
              <w:t>W</w:t>
            </w:r>
          </w:p>
          <w:p w:rsidR="003F414B" w:rsidRPr="005B107F" w:rsidRDefault="003F414B" w:rsidP="00E8642A">
            <w:pPr>
              <w:jc w:val="center"/>
              <w:textAlignment w:val="baseline"/>
              <w:rPr>
                <w:rFonts w:ascii="Arial" w:eastAsia="Arial" w:hAnsi="Arial"/>
                <w:b/>
                <w:color w:val="000000"/>
                <w:sz w:val="13"/>
                <w:szCs w:val="13"/>
              </w:rPr>
            </w:pPr>
            <w:r w:rsidRPr="005B107F">
              <w:rPr>
                <w:rFonts w:ascii="Arial" w:eastAsia="Arial" w:hAnsi="Arial"/>
                <w:b/>
                <w:color w:val="000000"/>
                <w:sz w:val="13"/>
                <w:szCs w:val="13"/>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ascii="Arial" w:eastAsia="Arial" w:hAnsi="Arial"/>
                <w:b/>
                <w:color w:val="000000"/>
                <w:sz w:val="13"/>
                <w:szCs w:val="13"/>
              </w:rPr>
            </w:pPr>
            <w:r w:rsidRPr="005B107F">
              <w:rPr>
                <w:rFonts w:ascii="Arial" w:eastAsia="Arial" w:hAnsi="Arial"/>
                <w:b/>
                <w:color w:val="000000"/>
                <w:sz w:val="13"/>
                <w:szCs w:val="13"/>
              </w:rPr>
              <w:t>T</w:t>
            </w:r>
          </w:p>
          <w:p w:rsidR="003F414B" w:rsidRPr="005B107F" w:rsidRDefault="003F414B" w:rsidP="00E8642A">
            <w:pPr>
              <w:jc w:val="center"/>
              <w:textAlignment w:val="baseline"/>
              <w:rPr>
                <w:rFonts w:ascii="Arial" w:eastAsia="Arial" w:hAnsi="Arial"/>
                <w:b/>
                <w:color w:val="000000"/>
                <w:sz w:val="13"/>
                <w:szCs w:val="13"/>
              </w:rPr>
            </w:pPr>
            <w:r w:rsidRPr="005B107F">
              <w:rPr>
                <w:rFonts w:ascii="Arial" w:eastAsia="Arial" w:hAnsi="Arial"/>
                <w:b/>
                <w:color w:val="000000"/>
                <w:sz w:val="13"/>
                <w:szCs w:val="13"/>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ascii="Arial" w:eastAsia="Arial" w:hAnsi="Arial"/>
                <w:b/>
                <w:color w:val="000000"/>
                <w:sz w:val="13"/>
                <w:szCs w:val="13"/>
              </w:rPr>
            </w:pPr>
            <w:r w:rsidRPr="005B107F">
              <w:rPr>
                <w:rFonts w:ascii="Arial" w:eastAsia="Arial" w:hAnsi="Arial"/>
                <w:b/>
                <w:color w:val="000000"/>
                <w:sz w:val="13"/>
                <w:szCs w:val="13"/>
              </w:rPr>
              <w:t>F</w:t>
            </w:r>
          </w:p>
          <w:p w:rsidR="003F414B" w:rsidRPr="005B107F" w:rsidRDefault="003F414B" w:rsidP="00E8642A">
            <w:pPr>
              <w:jc w:val="center"/>
              <w:textAlignment w:val="baseline"/>
              <w:rPr>
                <w:rFonts w:ascii="Arial" w:eastAsia="Arial" w:hAnsi="Arial"/>
                <w:b/>
                <w:color w:val="000000"/>
                <w:sz w:val="13"/>
                <w:szCs w:val="13"/>
              </w:rPr>
            </w:pPr>
            <w:r w:rsidRPr="005B107F">
              <w:rPr>
                <w:rFonts w:ascii="Arial" w:eastAsia="Arial" w:hAnsi="Arial"/>
                <w:b/>
                <w:color w:val="000000"/>
                <w:sz w:val="13"/>
                <w:szCs w:val="13"/>
              </w:rPr>
              <w:t>V</w:t>
            </w:r>
          </w:p>
        </w:tc>
        <w:tc>
          <w:tcPr>
            <w:tcW w:w="233"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ascii="Arial" w:eastAsia="Arial" w:hAnsi="Arial"/>
                <w:b/>
                <w:color w:val="000000"/>
                <w:sz w:val="13"/>
                <w:szCs w:val="13"/>
              </w:rPr>
            </w:pPr>
            <w:r w:rsidRPr="005B107F">
              <w:rPr>
                <w:rFonts w:ascii="Arial" w:eastAsia="Arial" w:hAnsi="Arial"/>
                <w:b/>
                <w:color w:val="000000"/>
                <w:sz w:val="13"/>
                <w:szCs w:val="13"/>
              </w:rPr>
              <w:t>S</w:t>
            </w:r>
          </w:p>
          <w:p w:rsidR="003F414B" w:rsidRPr="005B107F" w:rsidRDefault="003F414B" w:rsidP="00E8642A">
            <w:pPr>
              <w:jc w:val="center"/>
              <w:textAlignment w:val="baseline"/>
              <w:rPr>
                <w:rFonts w:ascii="Arial" w:eastAsia="Arial" w:hAnsi="Arial"/>
                <w:b/>
                <w:color w:val="000000"/>
                <w:sz w:val="13"/>
                <w:szCs w:val="13"/>
              </w:rPr>
            </w:pPr>
            <w:r w:rsidRPr="005B107F">
              <w:rPr>
                <w:rFonts w:ascii="Arial" w:eastAsia="Arial" w:hAnsi="Arial"/>
                <w:b/>
                <w:color w:val="000000"/>
                <w:sz w:val="13"/>
                <w:szCs w:val="13"/>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3F414B" w:rsidRPr="005B107F" w:rsidRDefault="003F414B" w:rsidP="00E8642A">
            <w:pPr>
              <w:tabs>
                <w:tab w:val="center" w:pos="5220"/>
                <w:tab w:val="right" w:pos="10440"/>
              </w:tabs>
              <w:jc w:val="center"/>
              <w:rPr>
                <w:rFonts w:ascii="Arial" w:hAnsi="Arial" w:cs="Arial"/>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S</w:t>
            </w:r>
          </w:p>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M</w:t>
            </w:r>
          </w:p>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T</w:t>
            </w:r>
          </w:p>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W</w:t>
            </w:r>
          </w:p>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T</w:t>
            </w:r>
          </w:p>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F</w:t>
            </w:r>
          </w:p>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V</w:t>
            </w:r>
          </w:p>
        </w:tc>
        <w:tc>
          <w:tcPr>
            <w:tcW w:w="225"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S</w:t>
            </w:r>
          </w:p>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3F414B" w:rsidRPr="005B107F" w:rsidRDefault="003F414B" w:rsidP="00E8642A">
            <w:pPr>
              <w:tabs>
                <w:tab w:val="center" w:pos="5220"/>
                <w:tab w:val="right" w:pos="10440"/>
              </w:tabs>
              <w:jc w:val="center"/>
              <w:rPr>
                <w:rFonts w:ascii="Arial" w:hAnsi="Arial" w:cs="Arial"/>
                <w:b/>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S</w:t>
            </w:r>
          </w:p>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M</w:t>
            </w:r>
          </w:p>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T</w:t>
            </w:r>
          </w:p>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W</w:t>
            </w:r>
          </w:p>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T</w:t>
            </w:r>
          </w:p>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F</w:t>
            </w:r>
          </w:p>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V</w:t>
            </w:r>
          </w:p>
        </w:tc>
        <w:tc>
          <w:tcPr>
            <w:tcW w:w="211" w:type="pct"/>
            <w:tcBorders>
              <w:top w:val="double" w:sz="6"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S</w:t>
            </w:r>
          </w:p>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S</w:t>
            </w:r>
          </w:p>
        </w:tc>
      </w:tr>
      <w:tr w:rsidR="003F414B" w:rsidRPr="005B107F" w:rsidTr="00E8642A">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center"/>
          </w:tcPr>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CC</w:t>
            </w:r>
          </w:p>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6</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3</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4</w:t>
            </w:r>
          </w:p>
        </w:tc>
      </w:tr>
      <w:tr w:rsidR="003F414B" w:rsidRPr="005B107F" w:rsidTr="00E8642A">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w:t>
            </w:r>
          </w:p>
        </w:tc>
        <w:tc>
          <w:tcPr>
            <w:tcW w:w="2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szCs w:val="13"/>
              </w:rPr>
            </w:pPr>
            <w:r w:rsidRPr="005B107F">
              <w:rPr>
                <w:rFonts w:ascii="Arial" w:eastAsia="Arial" w:hAnsi="Arial" w:cs="Arial"/>
                <w:b/>
                <w:color w:val="000000"/>
                <w:sz w:val="13"/>
                <w:szCs w:val="13"/>
              </w:rPr>
              <w:t>CC</w:t>
            </w:r>
          </w:p>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4</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6</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7</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8</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9</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7</w:t>
            </w:r>
          </w:p>
        </w:tc>
        <w:tc>
          <w:tcPr>
            <w:tcW w:w="22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9</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10</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H</w:t>
            </w:r>
          </w:p>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11</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12</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13</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5</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10</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11</w:t>
            </w:r>
          </w:p>
        </w:tc>
      </w:tr>
      <w:tr w:rsidR="003F414B" w:rsidRPr="005B107F" w:rsidTr="00E8642A">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10</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szCs w:val="13"/>
              </w:rPr>
            </w:pPr>
            <w:r w:rsidRPr="005B107F">
              <w:rPr>
                <w:rFonts w:ascii="Arial" w:eastAsia="Arial" w:hAnsi="Arial" w:cs="Arial"/>
                <w:b/>
                <w:color w:val="000000"/>
                <w:sz w:val="13"/>
                <w:szCs w:val="13"/>
              </w:rPr>
              <w:t>H</w:t>
            </w:r>
          </w:p>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11</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15</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16</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14</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15</w:t>
            </w:r>
          </w:p>
        </w:tc>
        <w:tc>
          <w:tcPr>
            <w:tcW w:w="225" w:type="pct"/>
            <w:tcBorders>
              <w:top w:val="single" w:sz="4" w:space="0" w:color="000000" w:themeColor="text1"/>
              <w:left w:val="single" w:sz="4" w:space="0" w:color="auto"/>
              <w:bottom w:val="single" w:sz="4" w:space="0" w:color="auto"/>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16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17</w:t>
            </w:r>
          </w:p>
        </w:tc>
        <w:tc>
          <w:tcPr>
            <w:tcW w:w="225"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18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19</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20</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16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17</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18</w:t>
            </w:r>
          </w:p>
        </w:tc>
      </w:tr>
      <w:tr w:rsidR="003F414B" w:rsidRPr="005B107F" w:rsidTr="00E8642A">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17</w:t>
            </w:r>
          </w:p>
        </w:tc>
        <w:tc>
          <w:tcPr>
            <w:tcW w:w="224"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20</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21</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22</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23</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21</w:t>
            </w:r>
          </w:p>
        </w:tc>
        <w:tc>
          <w:tcPr>
            <w:tcW w:w="225"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23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24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25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26</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27</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24</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25</w:t>
            </w:r>
          </w:p>
        </w:tc>
      </w:tr>
      <w:tr w:rsidR="003F414B" w:rsidRPr="005B107F" w:rsidTr="00E8642A">
        <w:trPr>
          <w:trHeight w:val="331"/>
        </w:trPr>
        <w:tc>
          <w:tcPr>
            <w:tcW w:w="224"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center"/>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 xml:space="preserve">  24 /</w:t>
            </w:r>
          </w:p>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31</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25</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26</w:t>
            </w:r>
          </w:p>
        </w:tc>
        <w:tc>
          <w:tcPr>
            <w:tcW w:w="225" w:type="pct"/>
            <w:tcBorders>
              <w:top w:val="single" w:sz="4" w:space="0" w:color="000000" w:themeColor="text1"/>
              <w:left w:val="single" w:sz="4" w:space="0" w:color="000000" w:themeColor="text1"/>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27</w:t>
            </w:r>
          </w:p>
        </w:tc>
        <w:tc>
          <w:tcPr>
            <w:tcW w:w="226" w:type="pct"/>
            <w:tcBorders>
              <w:top w:val="single" w:sz="4" w:space="0" w:color="000000" w:themeColor="text1"/>
              <w:left w:val="single" w:sz="4" w:space="0" w:color="auto"/>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28</w:t>
            </w:r>
          </w:p>
        </w:tc>
        <w:tc>
          <w:tcPr>
            <w:tcW w:w="226" w:type="pct"/>
            <w:tcBorders>
              <w:top w:val="single" w:sz="4" w:space="0" w:color="000000" w:themeColor="text1"/>
              <w:left w:val="single" w:sz="4"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29</w:t>
            </w:r>
          </w:p>
        </w:tc>
        <w:tc>
          <w:tcPr>
            <w:tcW w:w="233"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30</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rPr>
            </w:pPr>
            <w:r w:rsidRPr="005B107F">
              <w:rPr>
                <w:rFonts w:ascii="Arial" w:eastAsia="Arial" w:hAnsi="Arial" w:cs="Arial"/>
                <w:b/>
                <w:color w:val="000000"/>
                <w:sz w:val="13"/>
              </w:rPr>
              <w:t>CC</w:t>
            </w:r>
          </w:p>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rPr>
            </w:pPr>
            <w:r w:rsidRPr="005B107F">
              <w:rPr>
                <w:rFonts w:ascii="Arial" w:eastAsia="Arial" w:hAnsi="Arial" w:cs="Arial"/>
                <w:color w:val="000000"/>
                <w:sz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auto"/>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26</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rPr>
                <w:rFonts w:ascii="Arial" w:hAnsi="Arial" w:cs="Arial"/>
                <w:b/>
                <w:sz w:val="13"/>
                <w:szCs w:val="13"/>
              </w:rPr>
            </w:pPr>
            <w:r w:rsidRPr="005B107F">
              <w:rPr>
                <w:rFonts w:ascii="Arial" w:hAnsi="Arial" w:cs="Arial"/>
                <w:b/>
                <w:sz w:val="13"/>
                <w:szCs w:val="13"/>
              </w:rPr>
              <w:t>H</w:t>
            </w:r>
          </w:p>
          <w:p w:rsidR="003F414B" w:rsidRPr="005B107F" w:rsidRDefault="003F414B" w:rsidP="00E8642A">
            <w:pPr>
              <w:jc w:val="center"/>
              <w:rPr>
                <w:rFonts w:ascii="Arial" w:hAnsi="Arial" w:cs="Arial"/>
                <w:sz w:val="13"/>
                <w:szCs w:val="13"/>
              </w:rPr>
            </w:pPr>
            <w:r w:rsidRPr="005B107F">
              <w:rPr>
                <w:rFonts w:ascii="Arial" w:hAnsi="Arial" w:cs="Arial"/>
                <w:sz w:val="13"/>
                <w:szCs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rPr>
                <w:rFonts w:ascii="Arial" w:hAnsi="Arial" w:cs="Arial"/>
                <w:b/>
                <w:sz w:val="13"/>
                <w:szCs w:val="13"/>
              </w:rPr>
            </w:pPr>
            <w:r w:rsidRPr="005B107F">
              <w:rPr>
                <w:rFonts w:ascii="Arial" w:hAnsi="Arial" w:cs="Arial"/>
                <w:b/>
                <w:sz w:val="13"/>
                <w:szCs w:val="13"/>
              </w:rPr>
              <w:t>H</w:t>
            </w:r>
          </w:p>
          <w:p w:rsidR="003F414B" w:rsidRPr="005B107F" w:rsidRDefault="003F414B" w:rsidP="00E8642A">
            <w:pPr>
              <w:jc w:val="center"/>
              <w:rPr>
                <w:rFonts w:ascii="Arial" w:hAnsi="Arial" w:cs="Arial"/>
                <w:sz w:val="13"/>
                <w:szCs w:val="13"/>
              </w:rPr>
            </w:pPr>
            <w:r w:rsidRPr="005B107F">
              <w:rPr>
                <w:rFonts w:ascii="Arial" w:hAnsi="Arial" w:cs="Arial"/>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r w:rsidRPr="005B107F">
              <w:rPr>
                <w:rFonts w:ascii="Arial" w:hAnsi="Arial" w:cs="Arial"/>
                <w:sz w:val="13"/>
                <w:szCs w:val="13"/>
              </w:rPr>
              <w:t>31</w:t>
            </w:r>
          </w:p>
        </w:tc>
        <w:tc>
          <w:tcPr>
            <w:tcW w:w="211" w:type="pct"/>
            <w:tcBorders>
              <w:top w:val="single" w:sz="4" w:space="0" w:color="000000" w:themeColor="text1"/>
              <w:left w:val="single" w:sz="4" w:space="0" w:color="000000" w:themeColor="text1"/>
              <w:bottom w:val="doub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rPr>
                <w:rFonts w:ascii="Arial" w:hAnsi="Arial" w:cs="Arial"/>
                <w:sz w:val="13"/>
                <w:szCs w:val="13"/>
              </w:rPr>
            </w:pPr>
          </w:p>
        </w:tc>
      </w:tr>
    </w:tbl>
    <w:p w:rsidR="003F414B" w:rsidRPr="005B107F" w:rsidRDefault="003F414B" w:rsidP="003F414B">
      <w:pPr>
        <w:tabs>
          <w:tab w:val="center" w:pos="5220"/>
          <w:tab w:val="right" w:pos="10440"/>
        </w:tabs>
        <w:spacing w:before="120"/>
        <w:jc w:val="center"/>
        <w:rPr>
          <w:rFonts w:ascii="Arial" w:hAnsi="Arial" w:cs="Arial"/>
          <w:szCs w:val="24"/>
        </w:rPr>
      </w:pPr>
      <w:r w:rsidRPr="005B107F">
        <w:rPr>
          <w:rFonts w:ascii="Arial" w:hAnsi="Arial" w:cs="Arial"/>
          <w:b/>
          <w:szCs w:val="24"/>
        </w:rPr>
        <w:t>- 2022 -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1"/>
        <w:gridCol w:w="462"/>
        <w:gridCol w:w="40"/>
        <w:gridCol w:w="422"/>
        <w:gridCol w:w="119"/>
        <w:gridCol w:w="343"/>
        <w:gridCol w:w="474"/>
        <w:gridCol w:w="283"/>
        <w:gridCol w:w="474"/>
        <w:gridCol w:w="474"/>
        <w:gridCol w:w="474"/>
        <w:gridCol w:w="474"/>
        <w:gridCol w:w="474"/>
        <w:gridCol w:w="58"/>
        <w:gridCol w:w="416"/>
        <w:gridCol w:w="489"/>
        <w:gridCol w:w="293"/>
        <w:gridCol w:w="466"/>
        <w:gridCol w:w="466"/>
        <w:gridCol w:w="466"/>
        <w:gridCol w:w="98"/>
        <w:gridCol w:w="368"/>
        <w:gridCol w:w="466"/>
        <w:gridCol w:w="466"/>
        <w:gridCol w:w="449"/>
      </w:tblGrid>
      <w:tr w:rsidR="003F414B" w:rsidRPr="005B107F" w:rsidTr="00E8642A">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JANUARY – JANVIER</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3F414B" w:rsidRPr="005B107F" w:rsidRDefault="003F414B" w:rsidP="00E8642A">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FEBRUARY – FÉVRIER</w:t>
            </w:r>
          </w:p>
        </w:tc>
        <w:tc>
          <w:tcPr>
            <w:tcW w:w="141"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3F414B" w:rsidRPr="005B107F" w:rsidRDefault="003F414B" w:rsidP="00E8642A">
            <w:pPr>
              <w:tabs>
                <w:tab w:val="center" w:pos="5220"/>
                <w:tab w:val="right" w:pos="10440"/>
              </w:tabs>
              <w:jc w:val="center"/>
              <w:rPr>
                <w:rFonts w:ascii="Arial" w:hAnsi="Arial" w:cs="Arial"/>
                <w:b/>
                <w:sz w:val="13"/>
                <w:szCs w:val="13"/>
              </w:rPr>
            </w:pPr>
          </w:p>
        </w:tc>
        <w:tc>
          <w:tcPr>
            <w:tcW w:w="1561"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MARCH – MARS</w:t>
            </w:r>
          </w:p>
        </w:tc>
      </w:tr>
      <w:tr w:rsidR="003F414B" w:rsidRPr="005B107F" w:rsidTr="00E8642A">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T</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W</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T</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F</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3F414B" w:rsidRPr="005B107F" w:rsidRDefault="003F414B" w:rsidP="00E8642A">
            <w:pPr>
              <w:tabs>
                <w:tab w:val="center" w:pos="5220"/>
                <w:tab w:val="right" w:pos="10440"/>
              </w:tabs>
              <w:jc w:val="center"/>
              <w:rPr>
                <w:rFonts w:ascii="Arial" w:hAnsi="Arial" w:cs="Arial"/>
                <w:b/>
                <w:sz w:val="13"/>
                <w:szCs w:val="13"/>
              </w:rPr>
            </w:pPr>
          </w:p>
        </w:tc>
        <w:tc>
          <w:tcPr>
            <w:tcW w:w="228"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T</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W</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T</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J</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F</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V</w:t>
            </w:r>
          </w:p>
        </w:tc>
        <w:tc>
          <w:tcPr>
            <w:tcW w:w="235"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3F414B" w:rsidRPr="005B107F" w:rsidRDefault="003F414B" w:rsidP="00E8642A">
            <w:pPr>
              <w:tabs>
                <w:tab w:val="center" w:pos="5220"/>
                <w:tab w:val="right" w:pos="10440"/>
              </w:tabs>
              <w:jc w:val="center"/>
              <w:rPr>
                <w:rFonts w:ascii="Arial" w:hAnsi="Arial" w:cs="Arial"/>
                <w:b/>
                <w:sz w:val="13"/>
                <w:szCs w:val="13"/>
              </w:rPr>
            </w:pPr>
          </w:p>
        </w:tc>
        <w:tc>
          <w:tcPr>
            <w:tcW w:w="224"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L</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T</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tc>
        <w:tc>
          <w:tcPr>
            <w:tcW w:w="224"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W</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T</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F</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V</w:t>
            </w:r>
          </w:p>
        </w:tc>
        <w:tc>
          <w:tcPr>
            <w:tcW w:w="216"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tc>
      </w:tr>
      <w:tr w:rsidR="003F414B" w:rsidRPr="005B107F" w:rsidTr="00E8642A">
        <w:trPr>
          <w:trHeight w:val="319"/>
        </w:trPr>
        <w:tc>
          <w:tcPr>
            <w:tcW w:w="222"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2" w:type="pct"/>
            <w:gridSpan w:val="2"/>
            <w:tcBorders>
              <w:top w:val="single" w:sz="4" w:space="0" w:color="auto"/>
              <w:left w:val="single" w:sz="4" w:space="0" w:color="auto"/>
              <w:bottom w:val="single" w:sz="4"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w:t>
            </w:r>
          </w:p>
        </w:tc>
        <w:tc>
          <w:tcPr>
            <w:tcW w:w="2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4</w:t>
            </w:r>
          </w:p>
        </w:tc>
        <w:tc>
          <w:tcPr>
            <w:tcW w:w="216"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5</w:t>
            </w:r>
          </w:p>
        </w:tc>
      </w:tr>
      <w:tr w:rsidR="003F414B" w:rsidRPr="005B107F" w:rsidTr="00E8642A">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spacing w:before="241" w:after="34" w:line="147" w:lineRule="exact"/>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tcPr>
          <w:p w:rsidR="003F414B" w:rsidRPr="005B107F" w:rsidRDefault="003F414B" w:rsidP="00E8642A">
            <w:pPr>
              <w:spacing w:before="91" w:line="148" w:lineRule="exact"/>
              <w:jc w:val="center"/>
              <w:textAlignment w:val="baseline"/>
              <w:rPr>
                <w:rFonts w:ascii="Arial" w:eastAsia="Arial" w:hAnsi="Arial" w:cs="Arial"/>
                <w:b/>
                <w:color w:val="000000"/>
                <w:sz w:val="13"/>
                <w:szCs w:val="13"/>
              </w:rPr>
            </w:pPr>
            <w:r w:rsidRPr="005B107F">
              <w:rPr>
                <w:rFonts w:ascii="Arial" w:eastAsia="Arial" w:hAnsi="Arial" w:cs="Arial"/>
                <w:b/>
                <w:color w:val="000000"/>
                <w:sz w:val="13"/>
                <w:szCs w:val="13"/>
              </w:rPr>
              <w:t>H</w:t>
            </w:r>
          </w:p>
          <w:p w:rsidR="003F414B" w:rsidRPr="005B107F" w:rsidRDefault="003F414B" w:rsidP="00E8642A">
            <w:pPr>
              <w:spacing w:before="2" w:after="34" w:line="147" w:lineRule="exact"/>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4</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8</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6</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szCs w:val="13"/>
              </w:rPr>
            </w:pPr>
            <w:r w:rsidRPr="005B107F">
              <w:rPr>
                <w:rFonts w:ascii="Arial" w:eastAsia="Arial" w:hAnsi="Arial" w:cs="Arial"/>
                <w:b/>
                <w:color w:val="000000"/>
                <w:sz w:val="13"/>
                <w:szCs w:val="13"/>
              </w:rPr>
              <w:t>CC</w:t>
            </w:r>
          </w:p>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10</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8</w:t>
            </w:r>
          </w:p>
        </w:tc>
        <w:tc>
          <w:tcPr>
            <w:tcW w:w="2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11</w:t>
            </w:r>
          </w:p>
        </w:tc>
        <w:tc>
          <w:tcPr>
            <w:tcW w:w="216"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12</w:t>
            </w:r>
          </w:p>
        </w:tc>
      </w:tr>
      <w:tr w:rsidR="003F414B" w:rsidRPr="005B107F" w:rsidTr="00E8642A">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spacing w:before="240" w:after="30" w:line="147" w:lineRule="exact"/>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center"/>
          </w:tcPr>
          <w:p w:rsidR="003F414B" w:rsidRPr="005B107F" w:rsidRDefault="003F414B" w:rsidP="00E8642A">
            <w:pPr>
              <w:spacing w:before="91" w:line="148" w:lineRule="exact"/>
              <w:jc w:val="center"/>
              <w:textAlignment w:val="baseline"/>
              <w:rPr>
                <w:rFonts w:ascii="Arial" w:eastAsia="Arial" w:hAnsi="Arial" w:cs="Arial"/>
                <w:b/>
                <w:color w:val="000000"/>
                <w:sz w:val="13"/>
                <w:szCs w:val="13"/>
              </w:rPr>
            </w:pPr>
            <w:r w:rsidRPr="005B107F">
              <w:rPr>
                <w:rFonts w:ascii="Arial" w:eastAsia="Arial" w:hAnsi="Arial" w:cs="Arial"/>
                <w:b/>
                <w:color w:val="000000"/>
                <w:sz w:val="13"/>
                <w:szCs w:val="13"/>
              </w:rPr>
              <w:t>CC</w:t>
            </w:r>
          </w:p>
          <w:p w:rsidR="003F414B" w:rsidRPr="005B107F" w:rsidRDefault="003F414B" w:rsidP="00E8642A">
            <w:pPr>
              <w:spacing w:before="1" w:after="30" w:line="147" w:lineRule="exact"/>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15</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18</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19</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13</w:t>
            </w:r>
          </w:p>
        </w:tc>
        <w:tc>
          <w:tcPr>
            <w:tcW w:w="224"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szCs w:val="13"/>
              </w:rPr>
            </w:pPr>
            <w:r w:rsidRPr="005B107F">
              <w:rPr>
                <w:rFonts w:ascii="Arial" w:eastAsia="Arial" w:hAnsi="Arial" w:cs="Arial"/>
                <w:b/>
                <w:color w:val="000000"/>
                <w:sz w:val="13"/>
                <w:szCs w:val="13"/>
              </w:rPr>
              <w:t>CC</w:t>
            </w:r>
          </w:p>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15</w:t>
            </w:r>
          </w:p>
        </w:tc>
        <w:tc>
          <w:tcPr>
            <w:tcW w:w="2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18</w:t>
            </w:r>
          </w:p>
        </w:tc>
        <w:tc>
          <w:tcPr>
            <w:tcW w:w="216"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19</w:t>
            </w:r>
          </w:p>
        </w:tc>
      </w:tr>
      <w:tr w:rsidR="003F414B" w:rsidRPr="005B107F" w:rsidTr="00E8642A">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spacing w:before="212" w:after="30" w:line="147" w:lineRule="exact"/>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spacing w:before="212" w:after="30" w:line="147" w:lineRule="exact"/>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17</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20</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22</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25</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26</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22</w:t>
            </w:r>
          </w:p>
        </w:tc>
        <w:tc>
          <w:tcPr>
            <w:tcW w:w="2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25</w:t>
            </w:r>
          </w:p>
        </w:tc>
        <w:tc>
          <w:tcPr>
            <w:tcW w:w="216"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26</w:t>
            </w:r>
          </w:p>
        </w:tc>
      </w:tr>
      <w:tr w:rsidR="003F414B" w:rsidRPr="005B107F" w:rsidTr="00E8642A">
        <w:trPr>
          <w:trHeight w:val="319"/>
        </w:trPr>
        <w:tc>
          <w:tcPr>
            <w:tcW w:w="222"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center"/>
          </w:tcPr>
          <w:p w:rsidR="003F414B" w:rsidRPr="005B107F" w:rsidRDefault="003F414B" w:rsidP="00E8642A">
            <w:pPr>
              <w:spacing w:before="77" w:after="35" w:line="147" w:lineRule="exact"/>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 xml:space="preserve">  23 /</w:t>
            </w:r>
          </w:p>
          <w:p w:rsidR="003F414B" w:rsidRPr="005B107F" w:rsidRDefault="003F414B" w:rsidP="00E8642A">
            <w:pPr>
              <w:spacing w:before="39" w:after="30" w:line="147" w:lineRule="exact"/>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30</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center"/>
          </w:tcPr>
          <w:p w:rsidR="003F414B" w:rsidRPr="005B107F" w:rsidRDefault="003F414B" w:rsidP="00E8642A">
            <w:pPr>
              <w:spacing w:before="77" w:after="35" w:line="147" w:lineRule="exact"/>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 xml:space="preserve">  24 /</w:t>
            </w:r>
          </w:p>
          <w:p w:rsidR="003F414B" w:rsidRPr="005B107F" w:rsidRDefault="003F414B" w:rsidP="00E8642A">
            <w:pPr>
              <w:spacing w:before="39" w:after="30" w:line="147" w:lineRule="exact"/>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31</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25</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26</w:t>
            </w: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27</w:t>
            </w: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28</w:t>
            </w:r>
          </w:p>
        </w:tc>
        <w:tc>
          <w:tcPr>
            <w:tcW w:w="228"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28</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28</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29</w:t>
            </w:r>
          </w:p>
        </w:tc>
        <w:tc>
          <w:tcPr>
            <w:tcW w:w="224" w:type="pct"/>
            <w:gridSpan w:val="2"/>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30</w:t>
            </w:r>
          </w:p>
        </w:tc>
        <w:tc>
          <w:tcPr>
            <w:tcW w:w="224" w:type="pct"/>
            <w:tcBorders>
              <w:top w:val="single" w:sz="4" w:space="0" w:color="000000" w:themeColor="text1"/>
              <w:left w:val="single" w:sz="4" w:space="0" w:color="000000" w:themeColor="text1"/>
              <w:bottom w:val="double" w:sz="4" w:space="0" w:color="000000" w:themeColor="text1"/>
              <w:right w:val="single" w:sz="4" w:space="0" w:color="auto"/>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31</w:t>
            </w:r>
          </w:p>
        </w:tc>
        <w:tc>
          <w:tcPr>
            <w:tcW w:w="224" w:type="pct"/>
            <w:tcBorders>
              <w:top w:val="single" w:sz="4" w:space="0" w:color="000000" w:themeColor="text1"/>
              <w:left w:val="single" w:sz="4" w:space="0" w:color="auto"/>
              <w:bottom w:val="double" w:sz="4" w:space="0" w:color="000000" w:themeColor="text1"/>
              <w:right w:val="single" w:sz="4" w:space="0" w:color="auto"/>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16" w:type="pct"/>
            <w:tcBorders>
              <w:top w:val="single" w:sz="4" w:space="0" w:color="000000" w:themeColor="text1"/>
              <w:left w:val="single" w:sz="4" w:space="0" w:color="auto"/>
              <w:bottom w:val="double" w:sz="4" w:space="0" w:color="000000" w:themeColor="text1"/>
              <w:right w:val="double" w:sz="6" w:space="0" w:color="auto"/>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r>
      <w:tr w:rsidR="003F414B" w:rsidRPr="005B107F" w:rsidTr="00E8642A">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APRIL – AVRIL</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3F414B" w:rsidRPr="005B107F" w:rsidRDefault="003F414B" w:rsidP="00E8642A">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MAY – MAI</w:t>
            </w:r>
          </w:p>
        </w:tc>
        <w:tc>
          <w:tcPr>
            <w:tcW w:w="141" w:type="pct"/>
            <w:tcBorders>
              <w:top w:val="nil"/>
              <w:left w:val="double" w:sz="6" w:space="0" w:color="000000" w:themeColor="text1"/>
              <w:bottom w:val="nil"/>
              <w:right w:val="double" w:sz="6" w:space="0" w:color="auto"/>
            </w:tcBorders>
            <w:tcMar>
              <w:top w:w="43" w:type="dxa"/>
              <w:left w:w="29" w:type="dxa"/>
              <w:bottom w:w="43" w:type="dxa"/>
              <w:right w:w="29" w:type="dxa"/>
            </w:tcMar>
            <w:vAlign w:val="center"/>
          </w:tcPr>
          <w:p w:rsidR="003F414B" w:rsidRPr="005B107F" w:rsidRDefault="003F414B" w:rsidP="00E8642A">
            <w:pPr>
              <w:tabs>
                <w:tab w:val="center" w:pos="5220"/>
                <w:tab w:val="right" w:pos="10440"/>
              </w:tabs>
              <w:jc w:val="center"/>
              <w:rPr>
                <w:rFonts w:ascii="Arial" w:hAnsi="Arial" w:cs="Arial"/>
                <w:b/>
                <w:sz w:val="13"/>
                <w:szCs w:val="13"/>
              </w:rPr>
            </w:pPr>
          </w:p>
        </w:tc>
        <w:tc>
          <w:tcPr>
            <w:tcW w:w="1561" w:type="pct"/>
            <w:gridSpan w:val="8"/>
            <w:tcBorders>
              <w:top w:val="double" w:sz="4" w:space="0" w:color="000000" w:themeColor="text1"/>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JUNE – JUIN</w:t>
            </w:r>
          </w:p>
        </w:tc>
      </w:tr>
      <w:tr w:rsidR="003F414B" w:rsidRPr="005B107F" w:rsidTr="00E8642A">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T</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W</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T</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F</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3F414B" w:rsidRPr="005B107F" w:rsidRDefault="003F414B" w:rsidP="00E8642A">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T</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W</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T</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J</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F</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3F414B" w:rsidRPr="005B107F" w:rsidRDefault="003F414B" w:rsidP="00E8642A">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L</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T</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tc>
        <w:tc>
          <w:tcPr>
            <w:tcW w:w="224"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W</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T</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F</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V</w:t>
            </w:r>
          </w:p>
        </w:tc>
        <w:tc>
          <w:tcPr>
            <w:tcW w:w="216"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tc>
      </w:tr>
      <w:tr w:rsidR="003F414B" w:rsidRPr="005B107F" w:rsidTr="00E8642A">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2" w:type="pct"/>
            <w:gridSpan w:val="2"/>
            <w:tcBorders>
              <w:top w:val="single" w:sz="4" w:space="0" w:color="000000" w:themeColor="text1"/>
              <w:left w:val="single" w:sz="4" w:space="0" w:color="000000" w:themeColor="text1"/>
              <w:bottom w:val="single" w:sz="4" w:space="0" w:color="auto"/>
              <w:right w:val="single" w:sz="4" w:space="0" w:color="auto"/>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5</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eastAsia="Times New Roman"/>
                <w:color w:val="000000"/>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eastAsia="Times New Roman"/>
                <w:color w:val="000000"/>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3F414B" w:rsidRPr="005B107F" w:rsidRDefault="003F414B" w:rsidP="00E8642A">
            <w:pPr>
              <w:jc w:val="center"/>
              <w:textAlignment w:val="baseline"/>
              <w:rPr>
                <w:rFonts w:eastAsia="Times New Roman"/>
                <w:color w:val="000000"/>
              </w:rPr>
            </w:pPr>
          </w:p>
        </w:tc>
        <w:tc>
          <w:tcPr>
            <w:tcW w:w="2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3</w:t>
            </w:r>
          </w:p>
        </w:tc>
        <w:tc>
          <w:tcPr>
            <w:tcW w:w="216"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4</w:t>
            </w:r>
          </w:p>
        </w:tc>
      </w:tr>
      <w:tr w:rsidR="003F414B" w:rsidRPr="005B107F" w:rsidTr="00E8642A">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4</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5</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6</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7</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8</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szCs w:val="13"/>
              </w:rPr>
            </w:pPr>
            <w:r w:rsidRPr="005B107F">
              <w:rPr>
                <w:rFonts w:ascii="Arial" w:eastAsia="Arial" w:hAnsi="Arial" w:cs="Arial"/>
                <w:b/>
                <w:color w:val="000000"/>
                <w:sz w:val="13"/>
                <w:szCs w:val="13"/>
              </w:rPr>
              <w:t>CC</w:t>
            </w:r>
          </w:p>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12</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5</w:t>
            </w:r>
          </w:p>
        </w:tc>
        <w:tc>
          <w:tcPr>
            <w:tcW w:w="224"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tcPr>
          <w:p w:rsidR="003F414B" w:rsidRPr="005B107F" w:rsidRDefault="003F414B" w:rsidP="00E8642A">
            <w:pPr>
              <w:jc w:val="center"/>
              <w:textAlignment w:val="baseline"/>
              <w:rPr>
                <w:rFonts w:ascii="Arial" w:eastAsia="Arial" w:hAnsi="Arial"/>
                <w:b/>
                <w:color w:val="000000"/>
                <w:sz w:val="13"/>
              </w:rPr>
            </w:pPr>
            <w:r w:rsidRPr="005B107F">
              <w:rPr>
                <w:rFonts w:ascii="Arial" w:eastAsia="Arial" w:hAnsi="Arial"/>
                <w:b/>
                <w:color w:val="000000"/>
                <w:sz w:val="13"/>
              </w:rPr>
              <w:t>CC</w:t>
            </w:r>
          </w:p>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7</w:t>
            </w:r>
          </w:p>
        </w:tc>
        <w:tc>
          <w:tcPr>
            <w:tcW w:w="2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10</w:t>
            </w:r>
          </w:p>
        </w:tc>
        <w:tc>
          <w:tcPr>
            <w:tcW w:w="216"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11</w:t>
            </w:r>
          </w:p>
        </w:tc>
      </w:tr>
      <w:tr w:rsidR="003F414B" w:rsidRPr="005B107F" w:rsidTr="00E8642A">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10</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center"/>
          </w:tcPr>
          <w:p w:rsidR="003F414B" w:rsidRPr="005B107F" w:rsidRDefault="003F414B" w:rsidP="00E8642A">
            <w:pPr>
              <w:jc w:val="center"/>
              <w:textAlignment w:val="baseline"/>
              <w:rPr>
                <w:rFonts w:ascii="Arial" w:eastAsia="Arial" w:hAnsi="Arial" w:cs="Arial"/>
                <w:b/>
                <w:color w:val="000000"/>
                <w:sz w:val="13"/>
                <w:szCs w:val="13"/>
              </w:rPr>
            </w:pPr>
            <w:r w:rsidRPr="005B107F">
              <w:rPr>
                <w:rFonts w:ascii="Arial" w:eastAsia="Arial" w:hAnsi="Arial" w:cs="Arial"/>
                <w:b/>
                <w:color w:val="000000"/>
                <w:sz w:val="13"/>
                <w:szCs w:val="13"/>
              </w:rPr>
              <w:t>CC</w:t>
            </w:r>
          </w:p>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11</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12</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13</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14</w:t>
            </w:r>
          </w:p>
        </w:tc>
        <w:tc>
          <w:tcPr>
            <w:tcW w:w="222" w:type="pct"/>
            <w:gridSpan w:val="2"/>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43" w:type="dxa"/>
              <w:right w:w="29" w:type="dxa"/>
            </w:tcMar>
            <w:vAlign w:val="center"/>
          </w:tcPr>
          <w:p w:rsidR="003F414B" w:rsidRPr="005B107F" w:rsidRDefault="003F414B" w:rsidP="00E8642A">
            <w:pPr>
              <w:jc w:val="center"/>
              <w:textAlignment w:val="baseline"/>
              <w:rPr>
                <w:rFonts w:ascii="Arial" w:eastAsia="Arial" w:hAnsi="Arial" w:cs="Arial"/>
                <w:b/>
                <w:color w:val="000000"/>
                <w:sz w:val="13"/>
                <w:szCs w:val="13"/>
              </w:rPr>
            </w:pPr>
            <w:r w:rsidRPr="005B107F">
              <w:rPr>
                <w:rFonts w:ascii="Arial" w:eastAsia="Arial" w:hAnsi="Arial" w:cs="Arial"/>
                <w:b/>
                <w:color w:val="000000"/>
                <w:sz w:val="13"/>
                <w:szCs w:val="13"/>
              </w:rPr>
              <w:t>H</w:t>
            </w:r>
          </w:p>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15</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19</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20</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14</w:t>
            </w:r>
          </w:p>
        </w:tc>
        <w:tc>
          <w:tcPr>
            <w:tcW w:w="2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15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16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17</w:t>
            </w:r>
          </w:p>
        </w:tc>
        <w:tc>
          <w:tcPr>
            <w:tcW w:w="216"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18</w:t>
            </w:r>
          </w:p>
        </w:tc>
      </w:tr>
      <w:tr w:rsidR="003F414B" w:rsidRPr="005B107F" w:rsidTr="00E8642A">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17</w:t>
            </w:r>
          </w:p>
        </w:tc>
        <w:tc>
          <w:tcPr>
            <w:tcW w:w="222"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43" w:type="dxa"/>
              <w:right w:w="29" w:type="dxa"/>
            </w:tcMar>
            <w:vAlign w:val="center"/>
          </w:tcPr>
          <w:p w:rsidR="003F414B" w:rsidRPr="005B107F" w:rsidRDefault="003F414B" w:rsidP="00E8642A">
            <w:pPr>
              <w:jc w:val="center"/>
              <w:textAlignment w:val="baseline"/>
              <w:rPr>
                <w:rFonts w:ascii="Arial" w:eastAsia="Arial" w:hAnsi="Arial" w:cs="Arial"/>
                <w:b/>
                <w:color w:val="000000"/>
                <w:sz w:val="13"/>
                <w:szCs w:val="13"/>
              </w:rPr>
            </w:pPr>
            <w:r w:rsidRPr="005B107F">
              <w:rPr>
                <w:rFonts w:ascii="Arial" w:eastAsia="Arial" w:hAnsi="Arial" w:cs="Arial"/>
                <w:b/>
                <w:color w:val="000000"/>
                <w:sz w:val="13"/>
                <w:szCs w:val="13"/>
              </w:rPr>
              <w:t>H</w:t>
            </w:r>
          </w:p>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18</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19</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20</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21</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center"/>
          </w:tcPr>
          <w:p w:rsidR="003F414B" w:rsidRPr="005B107F" w:rsidRDefault="003F414B" w:rsidP="00E8642A">
            <w:pPr>
              <w:jc w:val="center"/>
              <w:textAlignment w:val="baseline"/>
              <w:rPr>
                <w:rFonts w:ascii="Arial" w:eastAsia="Arial" w:hAnsi="Arial" w:cs="Arial"/>
                <w:b/>
                <w:color w:val="000000"/>
                <w:sz w:val="13"/>
                <w:szCs w:val="13"/>
              </w:rPr>
            </w:pPr>
            <w:r w:rsidRPr="005B107F">
              <w:rPr>
                <w:rFonts w:ascii="Arial" w:eastAsia="Arial" w:hAnsi="Arial" w:cs="Arial"/>
                <w:b/>
                <w:color w:val="000000"/>
                <w:sz w:val="13"/>
                <w:szCs w:val="13"/>
              </w:rPr>
              <w:t>OR</w:t>
            </w:r>
          </w:p>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22</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center"/>
          </w:tcPr>
          <w:p w:rsidR="003F414B" w:rsidRPr="005B107F" w:rsidRDefault="003F414B" w:rsidP="00E8642A">
            <w:pPr>
              <w:jc w:val="center"/>
              <w:textAlignment w:val="baseline"/>
              <w:rPr>
                <w:rFonts w:ascii="Arial" w:eastAsia="Arial" w:hAnsi="Arial" w:cs="Arial"/>
                <w:b/>
                <w:color w:val="000000"/>
                <w:sz w:val="13"/>
                <w:szCs w:val="13"/>
              </w:rPr>
            </w:pPr>
            <w:r w:rsidRPr="005B107F">
              <w:rPr>
                <w:rFonts w:ascii="Arial" w:eastAsia="Arial" w:hAnsi="Arial" w:cs="Arial"/>
                <w:b/>
                <w:color w:val="000000"/>
                <w:sz w:val="13"/>
                <w:szCs w:val="13"/>
              </w:rPr>
              <w:t>OR</w:t>
            </w:r>
          </w:p>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center"/>
          </w:tcPr>
          <w:p w:rsidR="003F414B" w:rsidRPr="005B107F" w:rsidRDefault="003F414B" w:rsidP="00E8642A">
            <w:pPr>
              <w:jc w:val="center"/>
              <w:textAlignment w:val="baseline"/>
              <w:rPr>
                <w:rFonts w:ascii="Arial" w:eastAsia="Arial" w:hAnsi="Arial" w:cs="Arial"/>
                <w:b/>
                <w:color w:val="000000"/>
                <w:sz w:val="13"/>
                <w:szCs w:val="13"/>
              </w:rPr>
            </w:pPr>
            <w:r w:rsidRPr="005B107F">
              <w:rPr>
                <w:rFonts w:ascii="Arial" w:eastAsia="Arial" w:hAnsi="Arial" w:cs="Arial"/>
                <w:b/>
                <w:color w:val="000000"/>
                <w:sz w:val="13"/>
                <w:szCs w:val="13"/>
              </w:rPr>
              <w:t>H</w:t>
            </w:r>
          </w:p>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26</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21</w:t>
            </w:r>
          </w:p>
        </w:tc>
        <w:tc>
          <w:tcPr>
            <w:tcW w:w="2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22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23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24</w:t>
            </w:r>
          </w:p>
        </w:tc>
        <w:tc>
          <w:tcPr>
            <w:tcW w:w="216"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25</w:t>
            </w:r>
          </w:p>
        </w:tc>
      </w:tr>
      <w:tr w:rsidR="003F414B" w:rsidRPr="005B107F" w:rsidTr="00E8642A">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center"/>
          </w:tcPr>
          <w:p w:rsidR="003F414B" w:rsidRPr="005B107F" w:rsidRDefault="003F414B" w:rsidP="00E8642A">
            <w:pPr>
              <w:jc w:val="center"/>
              <w:textAlignment w:val="baseline"/>
              <w:rPr>
                <w:rFonts w:ascii="Arial" w:eastAsia="Arial" w:hAnsi="Arial" w:cs="Arial"/>
                <w:b/>
                <w:color w:val="000000"/>
                <w:sz w:val="13"/>
                <w:szCs w:val="13"/>
              </w:rPr>
            </w:pPr>
            <w:r w:rsidRPr="005B107F">
              <w:rPr>
                <w:rFonts w:ascii="Arial" w:eastAsia="Arial" w:hAnsi="Arial" w:cs="Arial"/>
                <w:b/>
                <w:color w:val="000000"/>
                <w:sz w:val="13"/>
                <w:szCs w:val="13"/>
              </w:rPr>
              <w:t>OR</w:t>
            </w:r>
          </w:p>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24</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center"/>
          </w:tcPr>
          <w:p w:rsidR="003F414B" w:rsidRPr="005B107F" w:rsidRDefault="003F414B" w:rsidP="00E8642A">
            <w:pPr>
              <w:jc w:val="center"/>
              <w:textAlignment w:val="baseline"/>
              <w:rPr>
                <w:rFonts w:ascii="Arial" w:eastAsia="Arial" w:hAnsi="Arial" w:cs="Arial"/>
                <w:b/>
                <w:color w:val="000000"/>
                <w:sz w:val="13"/>
                <w:szCs w:val="13"/>
              </w:rPr>
            </w:pPr>
            <w:r w:rsidRPr="005B107F">
              <w:rPr>
                <w:rFonts w:ascii="Arial" w:eastAsia="Arial" w:hAnsi="Arial" w:cs="Arial"/>
                <w:b/>
                <w:color w:val="000000"/>
                <w:sz w:val="13"/>
                <w:szCs w:val="13"/>
              </w:rPr>
              <w:t>OR</w:t>
            </w:r>
          </w:p>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25</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26</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27</w:t>
            </w: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28</w:t>
            </w: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30</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31</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26</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27</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28</w:t>
            </w:r>
          </w:p>
        </w:tc>
        <w:tc>
          <w:tcPr>
            <w:tcW w:w="224" w:type="pct"/>
            <w:gridSpan w:val="2"/>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29</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olor w:val="000000"/>
                <w:sz w:val="13"/>
              </w:rPr>
            </w:pPr>
            <w:r w:rsidRPr="005B107F">
              <w:rPr>
                <w:rFonts w:ascii="Arial" w:eastAsia="Arial" w:hAnsi="Arial"/>
                <w:color w:val="000000"/>
                <w:sz w:val="13"/>
              </w:rPr>
              <w:t>30</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eastAsia="Times New Roman"/>
                <w:color w:val="000000"/>
              </w:rPr>
            </w:pPr>
          </w:p>
        </w:tc>
        <w:tc>
          <w:tcPr>
            <w:tcW w:w="216" w:type="pct"/>
            <w:tcBorders>
              <w:top w:val="single" w:sz="4" w:space="0" w:color="000000" w:themeColor="text1"/>
              <w:left w:val="single" w:sz="4" w:space="0" w:color="000000" w:themeColor="text1"/>
              <w:bottom w:val="double" w:sz="4" w:space="0" w:color="000000" w:themeColor="text1"/>
              <w:right w:val="double" w:sz="6"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eastAsia="Times New Roman"/>
                <w:color w:val="000000"/>
              </w:rPr>
            </w:pPr>
          </w:p>
        </w:tc>
      </w:tr>
      <w:tr w:rsidR="003F414B" w:rsidRPr="005B107F" w:rsidTr="00E8642A">
        <w:trPr>
          <w:trHeight w:val="176"/>
        </w:trPr>
        <w:tc>
          <w:tcPr>
            <w:tcW w:w="1560" w:type="pct"/>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JULY – JUILLET</w:t>
            </w:r>
          </w:p>
        </w:tc>
        <w:tc>
          <w:tcPr>
            <w:tcW w:w="136" w:type="pct"/>
            <w:tcBorders>
              <w:top w:val="nil"/>
              <w:left w:val="double" w:sz="6" w:space="0" w:color="auto"/>
              <w:bottom w:val="nil"/>
              <w:right w:val="double" w:sz="6" w:space="0" w:color="000000" w:themeColor="text1"/>
            </w:tcBorders>
            <w:tcMar>
              <w:top w:w="43" w:type="dxa"/>
              <w:left w:w="29" w:type="dxa"/>
              <w:bottom w:w="43" w:type="dxa"/>
              <w:right w:w="29" w:type="dxa"/>
            </w:tcMar>
            <w:vAlign w:val="center"/>
          </w:tcPr>
          <w:p w:rsidR="003F414B" w:rsidRPr="005B107F" w:rsidRDefault="003F414B" w:rsidP="00E8642A">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AUGUST – AOÛT</w:t>
            </w:r>
          </w:p>
        </w:tc>
        <w:tc>
          <w:tcPr>
            <w:tcW w:w="141" w:type="pct"/>
            <w:tcBorders>
              <w:top w:val="nil"/>
              <w:left w:val="double" w:sz="6" w:space="0" w:color="000000" w:themeColor="text1"/>
              <w:bottom w:val="nil"/>
              <w:right w:val="double" w:sz="4" w:space="0" w:color="000000" w:themeColor="text1"/>
            </w:tcBorders>
            <w:tcMar>
              <w:top w:w="43" w:type="dxa"/>
              <w:left w:w="29" w:type="dxa"/>
              <w:bottom w:w="43" w:type="dxa"/>
              <w:right w:w="29" w:type="dxa"/>
            </w:tcMar>
            <w:vAlign w:val="center"/>
          </w:tcPr>
          <w:p w:rsidR="003F414B" w:rsidRPr="005B107F" w:rsidRDefault="003F414B" w:rsidP="00E8642A">
            <w:pPr>
              <w:tabs>
                <w:tab w:val="center" w:pos="5220"/>
                <w:tab w:val="right" w:pos="10440"/>
              </w:tabs>
              <w:jc w:val="center"/>
              <w:rPr>
                <w:rFonts w:ascii="Arial" w:hAnsi="Arial" w:cs="Arial"/>
                <w:b/>
                <w:sz w:val="13"/>
                <w:szCs w:val="13"/>
              </w:rPr>
            </w:pPr>
          </w:p>
        </w:tc>
        <w:tc>
          <w:tcPr>
            <w:tcW w:w="1561" w:type="pct"/>
            <w:gridSpan w:val="8"/>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Mar>
              <w:top w:w="43"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SEPTEMBER – SEPTEMBRE</w:t>
            </w:r>
          </w:p>
        </w:tc>
      </w:tr>
      <w:tr w:rsidR="003F414B" w:rsidRPr="005B107F" w:rsidTr="00E8642A">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p w:rsidR="003F414B" w:rsidRPr="005B107F" w:rsidRDefault="003F414B" w:rsidP="00E8642A">
            <w:pPr>
              <w:tabs>
                <w:tab w:val="center" w:pos="5220"/>
                <w:tab w:val="right" w:pos="10440"/>
              </w:tabs>
              <w:jc w:val="center"/>
              <w:rPr>
                <w:rFonts w:ascii="Arial" w:hAnsi="Arial" w:cs="Arial"/>
                <w:b/>
                <w:sz w:val="16"/>
                <w:szCs w:val="16"/>
              </w:rPr>
            </w:pPr>
            <w:r w:rsidRPr="005B107F">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T</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W</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T</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F</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3F414B" w:rsidRPr="005B107F" w:rsidRDefault="003F414B" w:rsidP="00E8642A">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T</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W</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T</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J</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F</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3F414B" w:rsidRPr="005B107F" w:rsidRDefault="003F414B" w:rsidP="00E8642A">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L</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T</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tc>
        <w:tc>
          <w:tcPr>
            <w:tcW w:w="224"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W</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T</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F</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V</w:t>
            </w:r>
          </w:p>
        </w:tc>
        <w:tc>
          <w:tcPr>
            <w:tcW w:w="216"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p w:rsidR="003F414B" w:rsidRPr="005B107F" w:rsidRDefault="003F414B" w:rsidP="00E8642A">
            <w:pPr>
              <w:tabs>
                <w:tab w:val="center" w:pos="5220"/>
                <w:tab w:val="right" w:pos="10440"/>
              </w:tabs>
              <w:jc w:val="center"/>
              <w:rPr>
                <w:rFonts w:ascii="Arial" w:hAnsi="Arial" w:cs="Arial"/>
                <w:b/>
                <w:sz w:val="13"/>
                <w:szCs w:val="13"/>
              </w:rPr>
            </w:pPr>
            <w:r w:rsidRPr="005B107F">
              <w:rPr>
                <w:rFonts w:ascii="Arial" w:hAnsi="Arial" w:cs="Arial"/>
                <w:b/>
                <w:sz w:val="13"/>
                <w:szCs w:val="13"/>
              </w:rPr>
              <w:t>S</w:t>
            </w:r>
          </w:p>
        </w:tc>
      </w:tr>
      <w:tr w:rsidR="003F414B" w:rsidRPr="005B107F" w:rsidTr="00E8642A">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auto"/>
              <w:bottom w:val="single" w:sz="4" w:space="0" w:color="000000" w:themeColor="text1"/>
              <w:right w:val="single" w:sz="4" w:space="0" w:color="auto"/>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2" w:type="pct"/>
            <w:gridSpan w:val="2"/>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center"/>
          </w:tcPr>
          <w:p w:rsidR="003F414B" w:rsidRPr="005B107F" w:rsidRDefault="003F414B" w:rsidP="00E8642A">
            <w:pPr>
              <w:jc w:val="center"/>
              <w:textAlignment w:val="baseline"/>
              <w:rPr>
                <w:rFonts w:ascii="Arial" w:eastAsia="Arial" w:hAnsi="Arial" w:cs="Arial"/>
                <w:b/>
                <w:color w:val="000000"/>
                <w:sz w:val="13"/>
                <w:szCs w:val="13"/>
              </w:rPr>
            </w:pPr>
            <w:r w:rsidRPr="005B107F">
              <w:rPr>
                <w:rFonts w:ascii="Arial" w:eastAsia="Arial" w:hAnsi="Arial" w:cs="Arial"/>
                <w:b/>
                <w:color w:val="000000"/>
                <w:sz w:val="13"/>
                <w:szCs w:val="13"/>
              </w:rPr>
              <w:t>H</w:t>
            </w:r>
          </w:p>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tcPr>
          <w:p w:rsidR="003F414B" w:rsidRPr="005B107F" w:rsidRDefault="003F414B" w:rsidP="00E8642A">
            <w:pPr>
              <w:jc w:val="center"/>
              <w:textAlignment w:val="baseline"/>
              <w:rPr>
                <w:rFonts w:ascii="Arial" w:eastAsia="Arial" w:hAnsi="Arial" w:cs="Arial"/>
                <w:b/>
                <w:color w:val="000000"/>
                <w:sz w:val="13"/>
                <w:szCs w:val="13"/>
              </w:rPr>
            </w:pPr>
            <w:r w:rsidRPr="005B107F">
              <w:rPr>
                <w:rFonts w:ascii="Arial" w:eastAsia="Arial" w:hAnsi="Arial" w:cs="Arial"/>
                <w:b/>
                <w:color w:val="000000"/>
                <w:sz w:val="13"/>
                <w:szCs w:val="13"/>
              </w:rPr>
              <w:t>H</w:t>
            </w:r>
          </w:p>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5</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6</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w:t>
            </w:r>
          </w:p>
        </w:tc>
        <w:tc>
          <w:tcPr>
            <w:tcW w:w="216"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w:t>
            </w:r>
          </w:p>
        </w:tc>
      </w:tr>
      <w:tr w:rsidR="003F414B" w:rsidRPr="005B107F" w:rsidTr="00E8642A">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w:t>
            </w: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5</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7</w:t>
            </w:r>
          </w:p>
        </w:tc>
        <w:tc>
          <w:tcPr>
            <w:tcW w:w="222" w:type="pct"/>
            <w:gridSpan w:val="2"/>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8</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tcPr>
          <w:p w:rsidR="003F414B" w:rsidRPr="005B107F" w:rsidRDefault="003F414B" w:rsidP="00E8642A">
            <w:pPr>
              <w:jc w:val="center"/>
              <w:textAlignment w:val="baseline"/>
              <w:rPr>
                <w:rFonts w:ascii="Arial" w:eastAsia="Arial" w:hAnsi="Arial" w:cs="Arial"/>
                <w:b/>
                <w:color w:val="000000"/>
                <w:sz w:val="13"/>
                <w:szCs w:val="13"/>
              </w:rPr>
            </w:pPr>
            <w:r w:rsidRPr="005B107F">
              <w:rPr>
                <w:rFonts w:ascii="Arial" w:eastAsia="Arial" w:hAnsi="Arial" w:cs="Arial"/>
                <w:b/>
                <w:color w:val="000000"/>
                <w:sz w:val="13"/>
                <w:szCs w:val="13"/>
              </w:rPr>
              <w:t>H</w:t>
            </w:r>
          </w:p>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6</w:t>
            </w:r>
          </w:p>
        </w:tc>
        <w:tc>
          <w:tcPr>
            <w:tcW w:w="2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9</w:t>
            </w:r>
          </w:p>
        </w:tc>
        <w:tc>
          <w:tcPr>
            <w:tcW w:w="216"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10</w:t>
            </w:r>
          </w:p>
        </w:tc>
      </w:tr>
      <w:tr w:rsidR="003F414B" w:rsidRPr="005B107F" w:rsidTr="00E8642A">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18</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11</w:t>
            </w: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13</w:t>
            </w:r>
          </w:p>
        </w:tc>
        <w:tc>
          <w:tcPr>
            <w:tcW w:w="2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16</w:t>
            </w:r>
          </w:p>
        </w:tc>
        <w:tc>
          <w:tcPr>
            <w:tcW w:w="216"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17</w:t>
            </w:r>
          </w:p>
        </w:tc>
      </w:tr>
      <w:tr w:rsidR="003F414B" w:rsidRPr="005B107F" w:rsidTr="00E8642A">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17</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20</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21</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25</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18</w:t>
            </w:r>
          </w:p>
        </w:tc>
        <w:tc>
          <w:tcPr>
            <w:tcW w:w="224"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20</w:t>
            </w:r>
          </w:p>
        </w:tc>
        <w:tc>
          <w:tcPr>
            <w:tcW w:w="2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23</w:t>
            </w:r>
          </w:p>
        </w:tc>
        <w:tc>
          <w:tcPr>
            <w:tcW w:w="216"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24</w:t>
            </w:r>
          </w:p>
        </w:tc>
      </w:tr>
      <w:tr w:rsidR="003F414B" w:rsidRPr="005B107F" w:rsidTr="00E8642A">
        <w:trPr>
          <w:trHeight w:val="375"/>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center"/>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 xml:space="preserve">  24 /</w:t>
            </w:r>
          </w:p>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31</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25</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26</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27</w:t>
            </w: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28</w:t>
            </w: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28</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30</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31</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235"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3F414B" w:rsidRPr="005B107F" w:rsidRDefault="003F414B" w:rsidP="00E8642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6" w:space="0" w:color="auto"/>
              <w:right w:val="single" w:sz="4" w:space="0" w:color="auto"/>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25</w:t>
            </w:r>
          </w:p>
        </w:tc>
        <w:tc>
          <w:tcPr>
            <w:tcW w:w="224" w:type="pct"/>
            <w:tcBorders>
              <w:top w:val="single" w:sz="4" w:space="0" w:color="auto"/>
              <w:left w:val="single" w:sz="4" w:space="0" w:color="auto"/>
              <w:bottom w:val="double" w:sz="4" w:space="0" w:color="auto"/>
              <w:right w:val="single" w:sz="4" w:space="0" w:color="auto"/>
            </w:tcBorders>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szCs w:val="13"/>
              </w:rPr>
            </w:pPr>
            <w:r w:rsidRPr="005B107F">
              <w:rPr>
                <w:rFonts w:ascii="Arial" w:eastAsia="Arial" w:hAnsi="Arial" w:cs="Arial"/>
                <w:b/>
                <w:color w:val="000000"/>
                <w:sz w:val="13"/>
                <w:szCs w:val="13"/>
              </w:rPr>
              <w:t>RH</w:t>
            </w:r>
          </w:p>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26</w:t>
            </w:r>
          </w:p>
        </w:tc>
        <w:tc>
          <w:tcPr>
            <w:tcW w:w="224" w:type="pct"/>
            <w:tcBorders>
              <w:top w:val="single" w:sz="4" w:space="0" w:color="000000" w:themeColor="text1"/>
              <w:left w:val="single" w:sz="4" w:space="0" w:color="auto"/>
              <w:bottom w:val="double" w:sz="6" w:space="0" w:color="auto"/>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szCs w:val="13"/>
              </w:rPr>
            </w:pPr>
            <w:r w:rsidRPr="005B107F">
              <w:rPr>
                <w:rFonts w:ascii="Arial" w:eastAsia="Arial" w:hAnsi="Arial" w:cs="Arial"/>
                <w:b/>
                <w:color w:val="000000"/>
                <w:sz w:val="13"/>
                <w:szCs w:val="13"/>
              </w:rPr>
              <w:t>RH</w:t>
            </w:r>
          </w:p>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27</w:t>
            </w:r>
          </w:p>
        </w:tc>
        <w:tc>
          <w:tcPr>
            <w:tcW w:w="224"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28</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29</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Arial" w:hAnsi="Arial" w:cs="Arial"/>
                <w:b/>
                <w:color w:val="000000"/>
                <w:sz w:val="13"/>
                <w:szCs w:val="13"/>
              </w:rPr>
            </w:pPr>
            <w:r w:rsidRPr="005B107F">
              <w:rPr>
                <w:rFonts w:ascii="Arial" w:eastAsia="Arial" w:hAnsi="Arial" w:cs="Arial"/>
                <w:b/>
                <w:color w:val="000000"/>
                <w:sz w:val="13"/>
                <w:szCs w:val="13"/>
              </w:rPr>
              <w:t>H</w:t>
            </w:r>
          </w:p>
          <w:p w:rsidR="003F414B" w:rsidRPr="005B107F" w:rsidRDefault="003F414B" w:rsidP="00E8642A">
            <w:pPr>
              <w:jc w:val="center"/>
              <w:textAlignment w:val="baseline"/>
              <w:rPr>
                <w:rFonts w:ascii="Arial" w:eastAsia="Arial" w:hAnsi="Arial" w:cs="Arial"/>
                <w:color w:val="000000"/>
                <w:sz w:val="13"/>
                <w:szCs w:val="13"/>
              </w:rPr>
            </w:pPr>
            <w:r w:rsidRPr="005B107F">
              <w:rPr>
                <w:rFonts w:ascii="Arial" w:eastAsia="Arial" w:hAnsi="Arial" w:cs="Arial"/>
                <w:color w:val="000000"/>
                <w:sz w:val="13"/>
                <w:szCs w:val="13"/>
              </w:rPr>
              <w:t>30</w:t>
            </w:r>
          </w:p>
        </w:tc>
        <w:tc>
          <w:tcPr>
            <w:tcW w:w="216" w:type="pct"/>
            <w:tcBorders>
              <w:top w:val="single" w:sz="4" w:space="0" w:color="000000" w:themeColor="text1"/>
              <w:left w:val="single" w:sz="4" w:space="0" w:color="000000" w:themeColor="text1"/>
              <w:bottom w:val="double" w:sz="6" w:space="0" w:color="auto"/>
              <w:right w:val="double" w:sz="6" w:space="0" w:color="000000" w:themeColor="text1"/>
            </w:tcBorders>
            <w:tcMar>
              <w:top w:w="29" w:type="dxa"/>
              <w:left w:w="29" w:type="dxa"/>
              <w:bottom w:w="43" w:type="dxa"/>
              <w:right w:w="29" w:type="dxa"/>
            </w:tcMar>
          </w:tcPr>
          <w:p w:rsidR="003F414B" w:rsidRPr="005B107F" w:rsidRDefault="003F414B" w:rsidP="00E8642A">
            <w:pPr>
              <w:jc w:val="center"/>
              <w:textAlignment w:val="baseline"/>
              <w:rPr>
                <w:rFonts w:ascii="Arial" w:eastAsia="Times New Roman" w:hAnsi="Arial" w:cs="Arial"/>
                <w:color w:val="000000"/>
                <w:sz w:val="13"/>
                <w:szCs w:val="13"/>
              </w:rPr>
            </w:pPr>
          </w:p>
        </w:tc>
      </w:tr>
      <w:tr w:rsidR="003F414B" w:rsidRPr="005B107F" w:rsidTr="00E86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1" w:type="pct"/>
          <w:trHeight w:val="477"/>
        </w:trPr>
        <w:tc>
          <w:tcPr>
            <w:tcW w:w="907" w:type="pct"/>
            <w:gridSpan w:val="5"/>
            <w:tcBorders>
              <w:top w:val="nil"/>
              <w:left w:val="nil"/>
              <w:bottom w:val="nil"/>
              <w:right w:val="single" w:sz="4" w:space="0" w:color="000000" w:themeColor="text1"/>
            </w:tcBorders>
            <w:vAlign w:val="center"/>
            <w:hideMark/>
          </w:tcPr>
          <w:p w:rsidR="003F414B" w:rsidRPr="005B107F" w:rsidRDefault="003F414B" w:rsidP="00E8642A">
            <w:pPr>
              <w:spacing w:before="40"/>
              <w:jc w:val="right"/>
              <w:rPr>
                <w:rFonts w:ascii="Arial" w:hAnsi="Arial" w:cs="Arial"/>
                <w:b/>
                <w:sz w:val="13"/>
                <w:szCs w:val="13"/>
              </w:rPr>
            </w:pPr>
            <w:r w:rsidRPr="005B107F">
              <w:rPr>
                <w:rFonts w:ascii="Arial" w:hAnsi="Arial" w:cs="Arial"/>
                <w:b/>
                <w:sz w:val="13"/>
                <w:szCs w:val="13"/>
              </w:rPr>
              <w:t>Sitting of the Court /</w:t>
            </w:r>
          </w:p>
          <w:p w:rsidR="003F414B" w:rsidRPr="005B107F" w:rsidRDefault="003F414B" w:rsidP="00E8642A">
            <w:pPr>
              <w:jc w:val="right"/>
              <w:rPr>
                <w:rFonts w:ascii="Arial" w:hAnsi="Arial" w:cs="Arial"/>
                <w:b/>
                <w:sz w:val="13"/>
                <w:szCs w:val="13"/>
              </w:rPr>
            </w:pPr>
            <w:r w:rsidRPr="005B107F">
              <w:rPr>
                <w:rFonts w:ascii="Arial" w:hAnsi="Arial" w:cs="Arial"/>
                <w:b/>
                <w:sz w:val="13"/>
                <w:szCs w:val="13"/>
              </w:rPr>
              <w:t>Séance de la Cour</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3F414B" w:rsidRPr="005B107F" w:rsidRDefault="003F414B" w:rsidP="00E8642A">
            <w:pPr>
              <w:jc w:val="center"/>
              <w:rPr>
                <w:rFonts w:ascii="Arial" w:hAnsi="Arial" w:cs="Arial"/>
                <w:b/>
                <w:sz w:val="13"/>
                <w:szCs w:val="13"/>
              </w:rPr>
            </w:pPr>
          </w:p>
        </w:tc>
        <w:tc>
          <w:tcPr>
            <w:tcW w:w="1697" w:type="pct"/>
            <w:gridSpan w:val="9"/>
            <w:tcBorders>
              <w:top w:val="nil"/>
              <w:left w:val="single" w:sz="4" w:space="0" w:color="000000" w:themeColor="text1"/>
              <w:bottom w:val="nil"/>
              <w:right w:val="nil"/>
            </w:tcBorders>
            <w:hideMark/>
          </w:tcPr>
          <w:p w:rsidR="003F414B" w:rsidRPr="005B107F" w:rsidRDefault="003F414B" w:rsidP="00E8642A">
            <w:pPr>
              <w:tabs>
                <w:tab w:val="left" w:pos="203"/>
              </w:tabs>
              <w:spacing w:before="40" w:after="120"/>
              <w:rPr>
                <w:rFonts w:ascii="Arial" w:hAnsi="Arial" w:cs="Arial"/>
                <w:b/>
                <w:sz w:val="13"/>
                <w:szCs w:val="13"/>
                <w:lang w:val="fr-CA"/>
              </w:rPr>
            </w:pPr>
            <w:r w:rsidRPr="005B107F">
              <w:rPr>
                <w:rFonts w:ascii="Arial" w:hAnsi="Arial" w:cs="Arial"/>
                <w:b/>
                <w:sz w:val="13"/>
                <w:szCs w:val="13"/>
                <w:lang w:val="fr-CA"/>
              </w:rPr>
              <w:t>18</w:t>
            </w:r>
            <w:r w:rsidRPr="005B107F">
              <w:rPr>
                <w:rFonts w:ascii="Arial" w:hAnsi="Arial" w:cs="Arial"/>
                <w:b/>
                <w:sz w:val="13"/>
                <w:szCs w:val="13"/>
                <w:lang w:val="fr-CA"/>
              </w:rPr>
              <w:tab/>
              <w:t xml:space="preserve"> sitting weeks / semaines séances de la Cour</w:t>
            </w:r>
          </w:p>
          <w:p w:rsidR="003F414B" w:rsidRPr="005B107F" w:rsidRDefault="003F414B" w:rsidP="00E8642A">
            <w:pPr>
              <w:tabs>
                <w:tab w:val="left" w:pos="203"/>
              </w:tabs>
              <w:rPr>
                <w:rFonts w:ascii="Arial" w:hAnsi="Arial" w:cs="Arial"/>
                <w:b/>
                <w:sz w:val="13"/>
                <w:szCs w:val="13"/>
                <w:lang w:val="fr-CA"/>
              </w:rPr>
            </w:pPr>
            <w:r w:rsidRPr="005B107F">
              <w:rPr>
                <w:rFonts w:ascii="Arial" w:hAnsi="Arial" w:cs="Arial"/>
                <w:b/>
                <w:sz w:val="13"/>
                <w:szCs w:val="13"/>
                <w:lang w:val="fr-CA"/>
              </w:rPr>
              <w:t>88</w:t>
            </w:r>
            <w:r w:rsidRPr="005B107F">
              <w:rPr>
                <w:rFonts w:ascii="Arial" w:hAnsi="Arial" w:cs="Arial"/>
                <w:b/>
                <w:sz w:val="13"/>
                <w:szCs w:val="13"/>
                <w:lang w:val="fr-CA"/>
              </w:rPr>
              <w:tab/>
              <w:t xml:space="preserve"> sitting days / journées séances de la Cour</w:t>
            </w:r>
          </w:p>
        </w:tc>
        <w:tc>
          <w:tcPr>
            <w:tcW w:w="1024" w:type="pct"/>
            <w:gridSpan w:val="5"/>
            <w:tcMar>
              <w:top w:w="0" w:type="dxa"/>
              <w:left w:w="58" w:type="dxa"/>
              <w:bottom w:w="0" w:type="dxa"/>
              <w:right w:w="58" w:type="dxa"/>
            </w:tcMar>
            <w:hideMark/>
          </w:tcPr>
          <w:p w:rsidR="003F414B" w:rsidRPr="005B107F" w:rsidRDefault="003F414B" w:rsidP="00E8642A">
            <w:pPr>
              <w:spacing w:before="40" w:after="120"/>
              <w:jc w:val="right"/>
              <w:rPr>
                <w:rFonts w:ascii="Arial" w:hAnsi="Arial" w:cs="Arial"/>
                <w:b/>
                <w:sz w:val="13"/>
                <w:szCs w:val="13"/>
                <w:lang w:val="fr-FR"/>
              </w:rPr>
            </w:pPr>
            <w:r w:rsidRPr="005B107F">
              <w:rPr>
                <w:rFonts w:ascii="Arial" w:hAnsi="Arial" w:cs="Arial"/>
                <w:b/>
                <w:sz w:val="13"/>
                <w:szCs w:val="13"/>
                <w:lang w:val="fr-FR"/>
              </w:rPr>
              <w:t>Rosh Hashanah / Nouvel An juif</w:t>
            </w:r>
          </w:p>
          <w:p w:rsidR="003F414B" w:rsidRPr="005B107F" w:rsidRDefault="003F414B" w:rsidP="00E8642A">
            <w:pPr>
              <w:jc w:val="right"/>
              <w:rPr>
                <w:rFonts w:ascii="Arial" w:hAnsi="Arial" w:cs="Arial"/>
                <w:b/>
                <w:sz w:val="13"/>
                <w:szCs w:val="13"/>
                <w:lang w:val="fr-CA"/>
              </w:rPr>
            </w:pPr>
            <w:r w:rsidRPr="005B107F">
              <w:rPr>
                <w:rFonts w:ascii="Arial" w:hAnsi="Arial" w:cs="Arial"/>
                <w:b/>
                <w:sz w:val="13"/>
                <w:szCs w:val="13"/>
                <w:lang w:val="fr-FR"/>
              </w:rPr>
              <w:t>Yom Kippur / Yom Kippour</w:t>
            </w:r>
          </w:p>
        </w:tc>
        <w:tc>
          <w:tcPr>
            <w:tcW w:w="271" w:type="pct"/>
            <w:gridSpan w:val="2"/>
            <w:hideMark/>
          </w:tcPr>
          <w:p w:rsidR="003F414B" w:rsidRPr="005B107F" w:rsidRDefault="003F414B" w:rsidP="00E8642A">
            <w:pPr>
              <w:spacing w:before="40" w:after="120"/>
              <w:jc w:val="center"/>
              <w:rPr>
                <w:rFonts w:ascii="Arial" w:hAnsi="Arial" w:cs="Arial"/>
                <w:b/>
                <w:sz w:val="13"/>
                <w:szCs w:val="13"/>
                <w:lang w:val="fr-CA"/>
              </w:rPr>
            </w:pPr>
            <w:r w:rsidRPr="005B107F">
              <w:rPr>
                <w:rFonts w:ascii="Arial" w:hAnsi="Arial" w:cs="Arial"/>
                <w:b/>
                <w:sz w:val="13"/>
                <w:szCs w:val="13"/>
                <w:lang w:val="fr-CA"/>
              </w:rPr>
              <w:t>RH</w:t>
            </w:r>
          </w:p>
          <w:p w:rsidR="003F414B" w:rsidRPr="005B107F" w:rsidRDefault="003F414B" w:rsidP="00E8642A">
            <w:pPr>
              <w:jc w:val="center"/>
              <w:rPr>
                <w:rFonts w:ascii="Arial" w:hAnsi="Arial" w:cs="Arial"/>
                <w:b/>
                <w:sz w:val="13"/>
                <w:szCs w:val="13"/>
                <w:lang w:val="fr-CA"/>
              </w:rPr>
            </w:pPr>
            <w:r w:rsidRPr="005B107F">
              <w:rPr>
                <w:rFonts w:ascii="Arial" w:hAnsi="Arial" w:cs="Arial"/>
                <w:b/>
                <w:sz w:val="13"/>
                <w:szCs w:val="13"/>
                <w:lang w:val="fr-CA"/>
              </w:rPr>
              <w:t>YK</w:t>
            </w:r>
          </w:p>
        </w:tc>
      </w:tr>
      <w:tr w:rsidR="003F414B" w:rsidRPr="005B107F" w:rsidTr="00E86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1" w:type="pct"/>
          <w:trHeight w:val="420"/>
        </w:trPr>
        <w:tc>
          <w:tcPr>
            <w:tcW w:w="907" w:type="pct"/>
            <w:gridSpan w:val="5"/>
            <w:tcBorders>
              <w:top w:val="nil"/>
              <w:left w:val="nil"/>
              <w:bottom w:val="nil"/>
              <w:right w:val="single" w:sz="4" w:space="0" w:color="auto"/>
            </w:tcBorders>
            <w:vAlign w:val="center"/>
            <w:hideMark/>
          </w:tcPr>
          <w:p w:rsidR="003F414B" w:rsidRPr="005B107F" w:rsidRDefault="003F414B" w:rsidP="00E8642A">
            <w:pPr>
              <w:jc w:val="right"/>
              <w:rPr>
                <w:rFonts w:ascii="Arial" w:hAnsi="Arial" w:cs="Arial"/>
                <w:b/>
                <w:sz w:val="13"/>
                <w:szCs w:val="13"/>
                <w:lang w:val="fr-CA"/>
              </w:rPr>
            </w:pPr>
            <w:r w:rsidRPr="005B107F">
              <w:rPr>
                <w:rFonts w:ascii="Arial" w:hAnsi="Arial" w:cs="Arial"/>
                <w:b/>
                <w:sz w:val="13"/>
                <w:szCs w:val="13"/>
                <w:lang w:val="fr-CA"/>
              </w:rPr>
              <w:t>Court conference /</w:t>
            </w:r>
          </w:p>
          <w:p w:rsidR="003F414B" w:rsidRPr="005B107F" w:rsidRDefault="003F414B" w:rsidP="00E8642A">
            <w:pPr>
              <w:jc w:val="right"/>
              <w:rPr>
                <w:rFonts w:ascii="Arial" w:hAnsi="Arial" w:cs="Arial"/>
                <w:b/>
                <w:sz w:val="13"/>
                <w:szCs w:val="13"/>
                <w:lang w:val="fr-CA"/>
              </w:rPr>
            </w:pPr>
            <w:r w:rsidRPr="005B107F">
              <w:rPr>
                <w:rFonts w:ascii="Arial" w:hAnsi="Arial" w:cs="Arial"/>
                <w:b/>
                <w:sz w:val="13"/>
                <w:szCs w:val="13"/>
                <w:lang w:val="fr-CA"/>
              </w:rPr>
              <w:t>Conférence de la Cour</w:t>
            </w:r>
          </w:p>
        </w:tc>
        <w:tc>
          <w:tcPr>
            <w:tcW w:w="26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F414B" w:rsidRPr="005B107F" w:rsidRDefault="003F414B" w:rsidP="00E8642A">
            <w:pPr>
              <w:jc w:val="center"/>
              <w:rPr>
                <w:rFonts w:ascii="Arial" w:hAnsi="Arial" w:cs="Arial"/>
                <w:b/>
                <w:sz w:val="13"/>
                <w:szCs w:val="13"/>
                <w:lang w:val="fr-FR"/>
              </w:rPr>
            </w:pPr>
            <w:r w:rsidRPr="005B107F">
              <w:rPr>
                <w:rFonts w:ascii="Arial" w:hAnsi="Arial" w:cs="Arial"/>
                <w:b/>
                <w:sz w:val="13"/>
                <w:szCs w:val="13"/>
                <w:lang w:val="fr-FR"/>
              </w:rPr>
              <w:t>CC</w:t>
            </w:r>
          </w:p>
        </w:tc>
        <w:tc>
          <w:tcPr>
            <w:tcW w:w="1697" w:type="pct"/>
            <w:gridSpan w:val="9"/>
            <w:tcBorders>
              <w:top w:val="nil"/>
              <w:left w:val="single" w:sz="4" w:space="0" w:color="auto"/>
              <w:bottom w:val="nil"/>
              <w:right w:val="nil"/>
            </w:tcBorders>
            <w:hideMark/>
          </w:tcPr>
          <w:p w:rsidR="003F414B" w:rsidRPr="005B107F" w:rsidRDefault="003F414B" w:rsidP="00E8642A">
            <w:pPr>
              <w:tabs>
                <w:tab w:val="left" w:pos="203"/>
              </w:tabs>
              <w:rPr>
                <w:rFonts w:ascii="Arial" w:hAnsi="Arial" w:cs="Arial"/>
                <w:b/>
                <w:sz w:val="13"/>
                <w:szCs w:val="13"/>
                <w:lang w:val="fr-CA"/>
              </w:rPr>
            </w:pPr>
            <w:r w:rsidRPr="005B107F">
              <w:rPr>
                <w:rFonts w:ascii="Arial" w:hAnsi="Arial" w:cs="Arial"/>
                <w:b/>
                <w:sz w:val="13"/>
                <w:szCs w:val="13"/>
                <w:lang w:val="fr-CA"/>
              </w:rPr>
              <w:t>9</w:t>
            </w:r>
            <w:r w:rsidRPr="005B107F">
              <w:rPr>
                <w:rFonts w:ascii="Arial" w:hAnsi="Arial" w:cs="Arial"/>
                <w:b/>
                <w:sz w:val="13"/>
                <w:szCs w:val="13"/>
                <w:lang w:val="fr-CA"/>
              </w:rPr>
              <w:tab/>
              <w:t>Court conference days /</w:t>
            </w:r>
          </w:p>
          <w:p w:rsidR="003F414B" w:rsidRPr="005B107F" w:rsidRDefault="003F414B" w:rsidP="00E8642A">
            <w:pPr>
              <w:tabs>
                <w:tab w:val="left" w:pos="203"/>
              </w:tabs>
              <w:rPr>
                <w:rFonts w:ascii="Arial" w:hAnsi="Arial" w:cs="Arial"/>
                <w:b/>
                <w:sz w:val="13"/>
                <w:szCs w:val="13"/>
                <w:lang w:val="fr-CA"/>
              </w:rPr>
            </w:pPr>
            <w:r w:rsidRPr="005B107F">
              <w:rPr>
                <w:rFonts w:ascii="Arial" w:hAnsi="Arial" w:cs="Arial"/>
                <w:b/>
                <w:sz w:val="13"/>
                <w:szCs w:val="13"/>
                <w:lang w:val="fr-CA"/>
              </w:rPr>
              <w:tab/>
              <w:t>jours de conférence de la Cour</w:t>
            </w:r>
          </w:p>
        </w:tc>
        <w:tc>
          <w:tcPr>
            <w:tcW w:w="1024" w:type="pct"/>
            <w:gridSpan w:val="5"/>
            <w:tcMar>
              <w:top w:w="0" w:type="dxa"/>
              <w:left w:w="58" w:type="dxa"/>
              <w:bottom w:w="0" w:type="dxa"/>
              <w:right w:w="58" w:type="dxa"/>
            </w:tcMar>
          </w:tcPr>
          <w:p w:rsidR="003F414B" w:rsidRPr="005B107F" w:rsidRDefault="003F414B" w:rsidP="00E8642A">
            <w:pPr>
              <w:rPr>
                <w:rFonts w:ascii="Arial" w:hAnsi="Arial" w:cs="Arial"/>
                <w:b/>
                <w:sz w:val="13"/>
                <w:szCs w:val="13"/>
                <w:lang w:val="fr-CA"/>
              </w:rPr>
            </w:pPr>
          </w:p>
        </w:tc>
        <w:tc>
          <w:tcPr>
            <w:tcW w:w="271" w:type="pct"/>
            <w:gridSpan w:val="2"/>
          </w:tcPr>
          <w:p w:rsidR="003F414B" w:rsidRPr="005B107F" w:rsidRDefault="003F414B" w:rsidP="00E8642A">
            <w:pPr>
              <w:jc w:val="center"/>
              <w:rPr>
                <w:rFonts w:ascii="Arial" w:hAnsi="Arial" w:cs="Arial"/>
                <w:b/>
                <w:sz w:val="13"/>
                <w:szCs w:val="13"/>
                <w:lang w:val="fr-CA"/>
              </w:rPr>
            </w:pPr>
          </w:p>
        </w:tc>
      </w:tr>
      <w:tr w:rsidR="003F414B" w:rsidTr="00E86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1" w:type="pct"/>
          <w:trHeight w:val="35"/>
        </w:trPr>
        <w:tc>
          <w:tcPr>
            <w:tcW w:w="907" w:type="pct"/>
            <w:gridSpan w:val="5"/>
            <w:tcBorders>
              <w:top w:val="nil"/>
              <w:left w:val="nil"/>
              <w:bottom w:val="nil"/>
              <w:right w:val="single" w:sz="4" w:space="0" w:color="auto"/>
            </w:tcBorders>
            <w:vAlign w:val="center"/>
            <w:hideMark/>
          </w:tcPr>
          <w:p w:rsidR="003F414B" w:rsidRPr="005B107F" w:rsidRDefault="003F414B" w:rsidP="00E8642A">
            <w:pPr>
              <w:jc w:val="right"/>
              <w:rPr>
                <w:rFonts w:ascii="Arial" w:hAnsi="Arial" w:cs="Arial"/>
                <w:b/>
                <w:sz w:val="13"/>
                <w:szCs w:val="13"/>
              </w:rPr>
            </w:pPr>
            <w:r w:rsidRPr="005B107F">
              <w:rPr>
                <w:rFonts w:ascii="Arial" w:hAnsi="Arial" w:cs="Arial"/>
                <w:b/>
                <w:sz w:val="13"/>
                <w:szCs w:val="13"/>
              </w:rPr>
              <w:t xml:space="preserve">Holiday / </w:t>
            </w:r>
            <w:r w:rsidRPr="005B107F">
              <w:rPr>
                <w:rFonts w:ascii="Arial" w:hAnsi="Arial" w:cs="Arial"/>
                <w:b/>
                <w:sz w:val="13"/>
                <w:szCs w:val="13"/>
                <w:lang w:val="fr-CA"/>
              </w:rPr>
              <w:t>Jour férié</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3F414B" w:rsidRPr="005B107F" w:rsidRDefault="003F414B" w:rsidP="00E8642A">
            <w:pPr>
              <w:jc w:val="center"/>
              <w:rPr>
                <w:rFonts w:ascii="Arial" w:hAnsi="Arial" w:cs="Arial"/>
                <w:b/>
                <w:sz w:val="13"/>
                <w:szCs w:val="13"/>
              </w:rPr>
            </w:pPr>
            <w:r w:rsidRPr="005B107F">
              <w:rPr>
                <w:rFonts w:ascii="Arial" w:hAnsi="Arial" w:cs="Arial"/>
                <w:b/>
                <w:sz w:val="13"/>
                <w:szCs w:val="13"/>
              </w:rPr>
              <w:t>H</w:t>
            </w:r>
          </w:p>
        </w:tc>
        <w:tc>
          <w:tcPr>
            <w:tcW w:w="1697" w:type="pct"/>
            <w:gridSpan w:val="9"/>
            <w:tcBorders>
              <w:top w:val="nil"/>
              <w:left w:val="single" w:sz="4" w:space="0" w:color="auto"/>
              <w:bottom w:val="nil"/>
              <w:right w:val="nil"/>
            </w:tcBorders>
            <w:hideMark/>
          </w:tcPr>
          <w:p w:rsidR="003F414B" w:rsidRPr="005B107F" w:rsidRDefault="003F414B" w:rsidP="00E8642A">
            <w:pPr>
              <w:tabs>
                <w:tab w:val="left" w:pos="203"/>
              </w:tabs>
              <w:rPr>
                <w:rFonts w:ascii="Arial" w:hAnsi="Arial" w:cs="Arial"/>
                <w:b/>
                <w:sz w:val="13"/>
                <w:szCs w:val="13"/>
              </w:rPr>
            </w:pPr>
            <w:r w:rsidRPr="005B107F">
              <w:rPr>
                <w:rFonts w:ascii="Arial" w:hAnsi="Arial" w:cs="Arial"/>
                <w:b/>
                <w:sz w:val="13"/>
                <w:szCs w:val="13"/>
              </w:rPr>
              <w:t>2</w:t>
            </w:r>
            <w:r w:rsidRPr="005B107F">
              <w:rPr>
                <w:rFonts w:ascii="Arial" w:hAnsi="Arial" w:cs="Arial"/>
                <w:b/>
                <w:sz w:val="13"/>
                <w:szCs w:val="13"/>
              </w:rPr>
              <w:tab/>
              <w:t xml:space="preserve">holidays during sitting days / </w:t>
            </w:r>
          </w:p>
          <w:p w:rsidR="003F414B" w:rsidRPr="000778A3" w:rsidRDefault="003F414B" w:rsidP="00E8642A">
            <w:pPr>
              <w:tabs>
                <w:tab w:val="left" w:pos="203"/>
              </w:tabs>
              <w:rPr>
                <w:rFonts w:ascii="Arial" w:hAnsi="Arial" w:cs="Arial"/>
                <w:b/>
                <w:sz w:val="13"/>
                <w:szCs w:val="13"/>
                <w:lang w:val="fr-CA"/>
              </w:rPr>
            </w:pPr>
            <w:r w:rsidRPr="005B107F">
              <w:rPr>
                <w:rFonts w:ascii="Arial" w:hAnsi="Arial" w:cs="Arial"/>
                <w:b/>
                <w:sz w:val="13"/>
                <w:szCs w:val="13"/>
              </w:rPr>
              <w:tab/>
            </w:r>
            <w:r w:rsidRPr="005B107F">
              <w:rPr>
                <w:rFonts w:ascii="Arial" w:hAnsi="Arial" w:cs="Arial"/>
                <w:b/>
                <w:sz w:val="13"/>
                <w:szCs w:val="13"/>
                <w:lang w:val="fr-CA"/>
              </w:rPr>
              <w:t>jours fériés durant les séances</w:t>
            </w:r>
          </w:p>
        </w:tc>
        <w:tc>
          <w:tcPr>
            <w:tcW w:w="1024" w:type="pct"/>
            <w:gridSpan w:val="5"/>
            <w:tcMar>
              <w:top w:w="0" w:type="dxa"/>
              <w:left w:w="58" w:type="dxa"/>
              <w:bottom w:w="0" w:type="dxa"/>
              <w:right w:w="58" w:type="dxa"/>
            </w:tcMar>
          </w:tcPr>
          <w:p w:rsidR="003F414B" w:rsidRPr="000778A3" w:rsidRDefault="003F414B" w:rsidP="00E8642A">
            <w:pPr>
              <w:rPr>
                <w:rFonts w:ascii="Arial" w:hAnsi="Arial" w:cs="Arial"/>
                <w:b/>
                <w:sz w:val="13"/>
                <w:szCs w:val="13"/>
                <w:lang w:val="fr-FR"/>
              </w:rPr>
            </w:pPr>
          </w:p>
        </w:tc>
        <w:tc>
          <w:tcPr>
            <w:tcW w:w="271" w:type="pct"/>
            <w:gridSpan w:val="2"/>
          </w:tcPr>
          <w:p w:rsidR="003F414B" w:rsidRPr="000778A3" w:rsidRDefault="003F414B" w:rsidP="00E8642A">
            <w:pPr>
              <w:jc w:val="center"/>
              <w:rPr>
                <w:rFonts w:ascii="Arial" w:hAnsi="Arial" w:cs="Arial"/>
                <w:b/>
                <w:sz w:val="13"/>
                <w:szCs w:val="13"/>
                <w:lang w:val="fr-FR"/>
              </w:rPr>
            </w:pPr>
          </w:p>
        </w:tc>
      </w:tr>
    </w:tbl>
    <w:p w:rsidR="002410B8" w:rsidRPr="0022323B" w:rsidRDefault="002410B8" w:rsidP="003F414B">
      <w:pPr>
        <w:tabs>
          <w:tab w:val="center" w:pos="5220"/>
          <w:tab w:val="right" w:pos="10800"/>
        </w:tabs>
        <w:rPr>
          <w:lang w:val="fr-CA"/>
        </w:rPr>
      </w:pPr>
    </w:p>
    <w:sectPr w:rsidR="002410B8" w:rsidRPr="0022323B" w:rsidSect="00B4618C">
      <w:headerReference w:type="default" r:id="rId35"/>
      <w:footerReference w:type="default" r:id="rId36"/>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6F5" w:rsidRDefault="00C356F5" w:rsidP="00A87207">
      <w:r>
        <w:separator/>
      </w:r>
    </w:p>
  </w:endnote>
  <w:endnote w:type="continuationSeparator" w:id="0">
    <w:p w:rsidR="00C356F5" w:rsidRDefault="00C356F5"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F5" w:rsidRDefault="00C356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C356F5" w:rsidRDefault="00C356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C356F5" w:rsidRDefault="00C356F5">
    <w:pPr>
      <w:tabs>
        <w:tab w:val="center" w:pos="4740"/>
      </w:tabs>
    </w:pPr>
    <w:r>
      <w:tab/>
      <w:t xml:space="preserve">- </w:t>
    </w:r>
    <w:r>
      <w:pgNum/>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F5" w:rsidRPr="00924065" w:rsidRDefault="00C356F5"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F5" w:rsidRDefault="005B10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35" style="width:480.95pt;height:1pt" o:hralign="center" o:hrstd="t" o:hrnoshade="t" o:hr="t" fillcolor="black [3213]" stroked="f"/>
      </w:pict>
    </w:r>
  </w:p>
  <w:p w:rsidR="00C356F5" w:rsidRPr="0009648D" w:rsidRDefault="00C356F5" w:rsidP="00ED7E83">
    <w:pPr>
      <w:tabs>
        <w:tab w:val="center" w:pos="4680"/>
      </w:tabs>
    </w:pPr>
    <w:r>
      <w:tab/>
    </w:r>
    <w:r w:rsidRPr="0009648D">
      <w:t xml:space="preserve">- </w:t>
    </w:r>
    <w:r>
      <w:fldChar w:fldCharType="begin"/>
    </w:r>
    <w:r>
      <w:instrText xml:space="preserve"> PAGE   \* MERGEFORMAT </w:instrText>
    </w:r>
    <w:r>
      <w:fldChar w:fldCharType="separate"/>
    </w:r>
    <w:r w:rsidR="005B107F">
      <w:rPr>
        <w:noProof/>
      </w:rPr>
      <w:t>2</w:t>
    </w:r>
    <w:r>
      <w:rPr>
        <w:noProof/>
      </w:rPr>
      <w:fldChar w:fldCharType="end"/>
    </w:r>
    <w:r w:rsidRPr="0009648D">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F5" w:rsidRDefault="005B107F">
    <w:pPr>
      <w:pStyle w:val="Footer"/>
      <w:rPr>
        <w:lang w:val="fr-CA"/>
      </w:rPr>
    </w:pPr>
    <w:r>
      <w:rPr>
        <w:lang w:val="fr-CA"/>
      </w:rPr>
      <w:pict>
        <v:rect id="_x0000_i1036" style="width:480.95pt;height:1pt" o:hralign="center" o:hrstd="t" o:hrnoshade="t" o:hr="t" fillcolor="black [3213]" stroked="f"/>
      </w:pict>
    </w:r>
  </w:p>
  <w:p w:rsidR="00C356F5" w:rsidRDefault="00C356F5" w:rsidP="00245129">
    <w:pPr>
      <w:tabs>
        <w:tab w:val="center" w:pos="4680"/>
      </w:tabs>
    </w:pPr>
    <w:r>
      <w:tab/>
    </w:r>
    <w:r w:rsidRPr="0009648D">
      <w:t xml:space="preserve">- </w:t>
    </w:r>
    <w:r>
      <w:fldChar w:fldCharType="begin"/>
    </w:r>
    <w:r>
      <w:instrText xml:space="preserve"> PAGE   \* MERGEFORMAT </w:instrText>
    </w:r>
    <w:r>
      <w:fldChar w:fldCharType="separate"/>
    </w:r>
    <w:r w:rsidR="005B107F">
      <w:rPr>
        <w:noProof/>
      </w:rPr>
      <w:t>1</w:t>
    </w:r>
    <w:r>
      <w:rPr>
        <w:noProof/>
      </w:rPr>
      <w:fldChar w:fldCharType="end"/>
    </w:r>
    <w:r w:rsidRPr="0009648D">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F5" w:rsidRDefault="00C356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C356F5" w:rsidRDefault="00C356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C356F5" w:rsidRDefault="00C356F5">
    <w:pPr>
      <w:tabs>
        <w:tab w:val="center" w:pos="4740"/>
      </w:tabs>
    </w:pPr>
    <w:r>
      <w:tab/>
      <w:t xml:space="preserve">- </w:t>
    </w:r>
    <w:r>
      <w:pgNum/>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F5" w:rsidRDefault="005B10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41" style="width:480.95pt;height:1pt" o:hralign="center" o:hrstd="t" o:hrnoshade="t" o:hr="t" fillcolor="black [3213]" stroked="f"/>
      </w:pict>
    </w:r>
  </w:p>
  <w:p w:rsidR="00C356F5" w:rsidRDefault="00C356F5" w:rsidP="00EB2B90">
    <w:pPr>
      <w:tabs>
        <w:tab w:val="center" w:pos="4680"/>
      </w:tabs>
    </w:pPr>
    <w:r>
      <w:tab/>
      <w:t xml:space="preserve">- </w:t>
    </w:r>
    <w:r>
      <w:fldChar w:fldCharType="begin"/>
    </w:r>
    <w:r>
      <w:instrText xml:space="preserve"> PAGE   \* MERGEFORMAT </w:instrText>
    </w:r>
    <w:r>
      <w:fldChar w:fldCharType="separate"/>
    </w:r>
    <w:r>
      <w:rPr>
        <w:noProof/>
      </w:rPr>
      <w:t>524</w:t>
    </w:r>
    <w:r>
      <w:rPr>
        <w:noProof/>
      </w:rP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F5" w:rsidRDefault="005B107F">
    <w:pPr>
      <w:pStyle w:val="Footer"/>
      <w:rPr>
        <w:lang w:val="fr-CA"/>
      </w:rPr>
    </w:pPr>
    <w:r>
      <w:rPr>
        <w:lang w:val="fr-CA"/>
      </w:rPr>
      <w:pict>
        <v:rect id="_x0000_i1042" style="width:480.95pt;height:1pt" o:hralign="center" o:hrstd="t" o:hrnoshade="t" o:hr="t" fillcolor="black [3213]" stroked="f"/>
      </w:pict>
    </w:r>
  </w:p>
  <w:p w:rsidR="00C356F5" w:rsidRDefault="00C356F5" w:rsidP="00EB2B90">
    <w:pPr>
      <w:tabs>
        <w:tab w:val="center" w:pos="4680"/>
      </w:tabs>
    </w:pPr>
    <w:r>
      <w:tab/>
      <w:t xml:space="preserve">- </w:t>
    </w:r>
    <w:r>
      <w:fldChar w:fldCharType="begin"/>
    </w:r>
    <w:r>
      <w:instrText xml:space="preserve"> PAGE   \* MERGEFORMAT </w:instrText>
    </w:r>
    <w:r>
      <w:fldChar w:fldCharType="separate"/>
    </w:r>
    <w:r w:rsidR="005B107F">
      <w:rPr>
        <w:noProof/>
      </w:rPr>
      <w:t>3</w:t>
    </w:r>
    <w:r>
      <w:rPr>
        <w:noProof/>
      </w:rP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F5" w:rsidRDefault="00C356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C356F5" w:rsidRDefault="00C356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C356F5" w:rsidRDefault="00C356F5">
    <w:pPr>
      <w:tabs>
        <w:tab w:val="center" w:pos="4740"/>
      </w:tabs>
    </w:pPr>
    <w:r>
      <w:tab/>
      <w:t xml:space="preserve">- </w:t>
    </w:r>
    <w:r>
      <w:pgNum/>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F5" w:rsidRDefault="00C356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C356F5" w:rsidRDefault="005B10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44" style="width:480.95pt;height:1pt" o:hralign="center" o:hrstd="t" o:hrnoshade="t" o:hr="t" fillcolor="black [3213]" stroked="f"/>
      </w:pict>
    </w:r>
  </w:p>
  <w:p w:rsidR="00C356F5" w:rsidRDefault="00C356F5"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Pr>
        <w:noProof/>
        <w:szCs w:val="24"/>
      </w:rPr>
      <w:t>20</w:t>
    </w:r>
    <w:r w:rsidRPr="001775C1">
      <w:rPr>
        <w:szCs w:val="24"/>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F5" w:rsidRDefault="005B107F" w:rsidP="00782AE4">
    <w:pPr>
      <w:tabs>
        <w:tab w:val="center" w:pos="4680"/>
      </w:tabs>
    </w:pPr>
    <w:r>
      <w:pict>
        <v:rect id="_x0000_i1045" style="width:480.95pt;height:1pt" o:hralign="center" o:hrstd="t" o:hrnoshade="t" o:hr="t" fillcolor="black [3213]" stroked="f"/>
      </w:pict>
    </w:r>
  </w:p>
  <w:p w:rsidR="00C356F5" w:rsidRDefault="00C356F5"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5B107F">
      <w:rPr>
        <w:noProof/>
        <w:szCs w:val="24"/>
      </w:rPr>
      <w:t>4</w:t>
    </w:r>
    <w:r w:rsidRPr="001775C1">
      <w:rPr>
        <w:szCs w:val="24"/>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6F5" w:rsidRDefault="00C356F5" w:rsidP="00A87207">
      <w:r>
        <w:separator/>
      </w:r>
    </w:p>
  </w:footnote>
  <w:footnote w:type="continuationSeparator" w:id="0">
    <w:p w:rsidR="00C356F5" w:rsidRDefault="00C356F5"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C356F5" w:rsidRPr="005B107F">
      <w:tc>
        <w:tcPr>
          <w:tcW w:w="4200" w:type="dxa"/>
          <w:tcMar>
            <w:left w:w="0" w:type="dxa"/>
            <w:right w:w="0" w:type="dxa"/>
          </w:tcMar>
        </w:tcPr>
        <w:p w:rsidR="00C356F5" w:rsidRDefault="00C356F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C356F5" w:rsidRDefault="00C356F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C356F5" w:rsidRDefault="00C356F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C356F5" w:rsidRPr="00FF6BA5" w:rsidRDefault="00C356F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C356F5" w:rsidRPr="00FF6BA5" w:rsidRDefault="00C356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C356F5" w:rsidRPr="00FF6BA5" w:rsidRDefault="00C356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C356F5" w:rsidRPr="00FF6BA5" w:rsidRDefault="00C356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F5" w:rsidRDefault="00C356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C356F5" w:rsidRPr="005B107F" w:rsidTr="00245129">
      <w:tc>
        <w:tcPr>
          <w:tcW w:w="4200" w:type="dxa"/>
          <w:tcMar>
            <w:left w:w="0" w:type="dxa"/>
            <w:right w:w="0" w:type="dxa"/>
          </w:tcMar>
        </w:tcPr>
        <w:p w:rsidR="00C356F5" w:rsidRPr="00634F42" w:rsidRDefault="00C356F5" w:rsidP="00634F42">
          <w:pPr>
            <w:keepNext/>
            <w:keepLines/>
            <w:tabs>
              <w:tab w:val="left" w:pos="-1440"/>
              <w:tab w:val="left" w:pos="-720"/>
              <w:tab w:val="left" w:pos="0"/>
              <w:tab w:val="left" w:pos="720"/>
              <w:tab w:val="center" w:pos="2100"/>
            </w:tabs>
            <w:rPr>
              <w:sz w:val="20"/>
              <w:szCs w:val="20"/>
              <w:lang w:val="en-US"/>
            </w:rPr>
          </w:pPr>
          <w:r w:rsidRPr="00634F42">
            <w:rPr>
              <w:sz w:val="20"/>
              <w:szCs w:val="20"/>
              <w:lang w:val="en-US"/>
            </w:rPr>
            <w:t>Judgments on applications for leave</w:t>
          </w:r>
        </w:p>
      </w:tc>
      <w:tc>
        <w:tcPr>
          <w:tcW w:w="1200" w:type="dxa"/>
          <w:tcMar>
            <w:left w:w="0" w:type="dxa"/>
            <w:right w:w="0" w:type="dxa"/>
          </w:tcMar>
        </w:tcPr>
        <w:p w:rsidR="00C356F5" w:rsidRPr="00755F22" w:rsidRDefault="00C356F5"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C356F5" w:rsidRPr="00755F22" w:rsidRDefault="00C356F5"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C356F5" w:rsidRPr="00755F22" w:rsidRDefault="00C356F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rendus sur les demandes d’autorisation</w:t>
          </w:r>
        </w:p>
      </w:tc>
    </w:tr>
  </w:tbl>
  <w:p w:rsidR="00C356F5" w:rsidRPr="00FF6BA5" w:rsidRDefault="00C356F5" w:rsidP="00755F22">
    <w:pPr>
      <w:tabs>
        <w:tab w:val="left" w:pos="-1440"/>
        <w:tab w:val="left" w:pos="-720"/>
      </w:tabs>
      <w:rPr>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F5" w:rsidRDefault="00C356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C356F5" w:rsidRPr="005B107F">
      <w:tc>
        <w:tcPr>
          <w:tcW w:w="4200" w:type="dxa"/>
          <w:tcMar>
            <w:left w:w="0" w:type="dxa"/>
            <w:right w:w="0" w:type="dxa"/>
          </w:tcMar>
        </w:tcPr>
        <w:p w:rsidR="00C356F5" w:rsidRDefault="00C356F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C356F5" w:rsidRDefault="00C356F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C356F5" w:rsidRPr="00B01A03" w:rsidRDefault="00C356F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C356F5" w:rsidRPr="00B01A03" w:rsidRDefault="00C356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C356F5" w:rsidRPr="00B01A03" w:rsidRDefault="00C356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C356F5" w:rsidRPr="005B107F" w:rsidTr="00245129">
      <w:tc>
        <w:tcPr>
          <w:tcW w:w="4200" w:type="dxa"/>
          <w:tcMar>
            <w:left w:w="0" w:type="dxa"/>
            <w:right w:w="0" w:type="dxa"/>
          </w:tcMar>
        </w:tcPr>
        <w:p w:rsidR="00C356F5" w:rsidRPr="00F40249" w:rsidRDefault="00C356F5"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C356F5" w:rsidRDefault="00C356F5" w:rsidP="00102926">
          <w:pPr>
            <w:keepNext/>
            <w:keepLines/>
            <w:tabs>
              <w:tab w:val="left" w:pos="-1440"/>
              <w:tab w:val="left" w:pos="-720"/>
            </w:tabs>
            <w:jc w:val="center"/>
            <w:rPr>
              <w:sz w:val="20"/>
              <w:szCs w:val="20"/>
            </w:rPr>
          </w:pPr>
        </w:p>
        <w:p w:rsidR="00C356F5" w:rsidRDefault="00C356F5" w:rsidP="00102926">
          <w:pPr>
            <w:keepNext/>
            <w:keepLines/>
            <w:tabs>
              <w:tab w:val="left" w:pos="-1440"/>
              <w:tab w:val="left" w:pos="-720"/>
            </w:tabs>
            <w:jc w:val="center"/>
            <w:rPr>
              <w:sz w:val="20"/>
              <w:szCs w:val="20"/>
            </w:rPr>
          </w:pPr>
        </w:p>
        <w:p w:rsidR="00C356F5" w:rsidRPr="00F40249" w:rsidRDefault="00C356F5" w:rsidP="00102926">
          <w:pPr>
            <w:keepNext/>
            <w:keepLines/>
            <w:tabs>
              <w:tab w:val="left" w:pos="-1440"/>
              <w:tab w:val="left" w:pos="-720"/>
            </w:tabs>
            <w:jc w:val="center"/>
            <w:rPr>
              <w:sz w:val="20"/>
              <w:szCs w:val="20"/>
            </w:rPr>
          </w:pPr>
        </w:p>
      </w:tc>
      <w:tc>
        <w:tcPr>
          <w:tcW w:w="4230" w:type="dxa"/>
          <w:tcMar>
            <w:left w:w="0" w:type="dxa"/>
            <w:right w:w="0" w:type="dxa"/>
          </w:tcMar>
        </w:tcPr>
        <w:p w:rsidR="00C356F5" w:rsidRPr="00F40249" w:rsidRDefault="00C356F5"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C356F5" w:rsidRPr="00B01A03" w:rsidRDefault="00C356F5"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F5" w:rsidRDefault="00C356F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C356F5">
      <w:tc>
        <w:tcPr>
          <w:tcW w:w="4230" w:type="dxa"/>
          <w:tcMar>
            <w:left w:w="0" w:type="dxa"/>
            <w:right w:w="0" w:type="dxa"/>
          </w:tcMar>
        </w:tcPr>
        <w:p w:rsidR="00C356F5" w:rsidRDefault="00C356F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C356F5" w:rsidRDefault="00C356F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C356F5" w:rsidRDefault="00C356F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C356F5" w:rsidRDefault="00C356F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C356F5" w:rsidRDefault="00C356F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C356F5" w:rsidRDefault="00C356F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C356F5" w:rsidRDefault="00C356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C356F5" w:rsidRDefault="00C356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C356F5" w:rsidRPr="00782AE4" w:rsidTr="00245129">
      <w:tc>
        <w:tcPr>
          <w:tcW w:w="4230" w:type="dxa"/>
          <w:tcMar>
            <w:left w:w="0" w:type="dxa"/>
            <w:right w:w="0" w:type="dxa"/>
          </w:tcMar>
        </w:tcPr>
        <w:p w:rsidR="00C356F5" w:rsidRPr="00782AE4" w:rsidRDefault="00C356F5" w:rsidP="00102926">
          <w:pPr>
            <w:keepNext/>
            <w:keepLines/>
            <w:tabs>
              <w:tab w:val="left" w:pos="-1440"/>
              <w:tab w:val="left" w:pos="-720"/>
            </w:tabs>
            <w:rPr>
              <w:sz w:val="20"/>
              <w:szCs w:val="20"/>
            </w:rPr>
          </w:pPr>
          <w:r w:rsidRPr="00782AE4">
            <w:rPr>
              <w:sz w:val="20"/>
              <w:szCs w:val="20"/>
            </w:rPr>
            <w:t xml:space="preserve">HEADNOTES OF RECENT </w:t>
          </w:r>
        </w:p>
        <w:p w:rsidR="00C356F5" w:rsidRPr="00782AE4" w:rsidRDefault="00C356F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82AE4">
            <w:rPr>
              <w:sz w:val="20"/>
              <w:szCs w:val="20"/>
            </w:rPr>
            <w:t>JUDGMENTS</w:t>
          </w:r>
        </w:p>
      </w:tc>
      <w:tc>
        <w:tcPr>
          <w:tcW w:w="1170" w:type="dxa"/>
          <w:tcMar>
            <w:left w:w="0" w:type="dxa"/>
            <w:right w:w="0" w:type="dxa"/>
          </w:tcMar>
        </w:tcPr>
        <w:p w:rsidR="00C356F5" w:rsidRDefault="00C356F5" w:rsidP="00102926">
          <w:pPr>
            <w:keepNext/>
            <w:keepLines/>
            <w:tabs>
              <w:tab w:val="left" w:pos="-1440"/>
              <w:tab w:val="left" w:pos="-720"/>
            </w:tabs>
            <w:jc w:val="center"/>
            <w:rPr>
              <w:sz w:val="20"/>
              <w:szCs w:val="20"/>
            </w:rPr>
          </w:pPr>
        </w:p>
        <w:p w:rsidR="00C356F5" w:rsidRDefault="00C356F5" w:rsidP="00102926">
          <w:pPr>
            <w:keepNext/>
            <w:keepLines/>
            <w:tabs>
              <w:tab w:val="left" w:pos="-1440"/>
              <w:tab w:val="left" w:pos="-720"/>
            </w:tabs>
            <w:jc w:val="center"/>
            <w:rPr>
              <w:sz w:val="20"/>
              <w:szCs w:val="20"/>
            </w:rPr>
          </w:pPr>
        </w:p>
        <w:p w:rsidR="00C356F5" w:rsidRPr="00782AE4" w:rsidRDefault="00C356F5" w:rsidP="00102926">
          <w:pPr>
            <w:keepNext/>
            <w:keepLines/>
            <w:tabs>
              <w:tab w:val="left" w:pos="-1440"/>
              <w:tab w:val="left" w:pos="-720"/>
            </w:tabs>
            <w:jc w:val="center"/>
            <w:rPr>
              <w:sz w:val="20"/>
              <w:szCs w:val="20"/>
            </w:rPr>
          </w:pPr>
        </w:p>
      </w:tc>
      <w:tc>
        <w:tcPr>
          <w:tcW w:w="4080" w:type="dxa"/>
          <w:tcMar>
            <w:left w:w="0" w:type="dxa"/>
            <w:right w:w="0" w:type="dxa"/>
          </w:tcMar>
        </w:tcPr>
        <w:p w:rsidR="00C356F5" w:rsidRPr="00102926" w:rsidRDefault="00C356F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102926">
            <w:rPr>
              <w:sz w:val="20"/>
              <w:szCs w:val="20"/>
              <w:lang w:val="fr-CA"/>
            </w:rPr>
            <w:t xml:space="preserve">SOMMAIRES DE JUGEMENTS </w:t>
          </w:r>
        </w:p>
        <w:p w:rsidR="00C356F5" w:rsidRPr="00782AE4" w:rsidRDefault="00C356F5" w:rsidP="00102926">
          <w:pPr>
            <w:keepLines/>
            <w:tabs>
              <w:tab w:val="left" w:pos="-1440"/>
              <w:tab w:val="left" w:pos="-720"/>
            </w:tabs>
            <w:rPr>
              <w:sz w:val="20"/>
              <w:szCs w:val="20"/>
            </w:rPr>
          </w:pPr>
          <w:r w:rsidRPr="00102926">
            <w:rPr>
              <w:sz w:val="20"/>
              <w:szCs w:val="20"/>
              <w:lang w:val="fr-CA"/>
            </w:rPr>
            <w:t>RÉCENTS</w:t>
          </w:r>
        </w:p>
      </w:tc>
    </w:tr>
  </w:tbl>
  <w:p w:rsidR="00C356F5" w:rsidRDefault="00C356F5"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F5" w:rsidRDefault="00C35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225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4F9"/>
    <w:rsid w:val="00002704"/>
    <w:rsid w:val="00020DC3"/>
    <w:rsid w:val="0003223B"/>
    <w:rsid w:val="000327B2"/>
    <w:rsid w:val="00033A57"/>
    <w:rsid w:val="0004528B"/>
    <w:rsid w:val="00045DE3"/>
    <w:rsid w:val="00064FBA"/>
    <w:rsid w:val="00091BA6"/>
    <w:rsid w:val="00091FA6"/>
    <w:rsid w:val="0009686C"/>
    <w:rsid w:val="00096BD9"/>
    <w:rsid w:val="000B3C9A"/>
    <w:rsid w:val="000B40A2"/>
    <w:rsid w:val="000B4624"/>
    <w:rsid w:val="000C0ACD"/>
    <w:rsid w:val="000C0D2A"/>
    <w:rsid w:val="000C1D9D"/>
    <w:rsid w:val="000C5CE8"/>
    <w:rsid w:val="000E27A5"/>
    <w:rsid w:val="000E2959"/>
    <w:rsid w:val="000F0B60"/>
    <w:rsid w:val="000F2CA3"/>
    <w:rsid w:val="00102792"/>
    <w:rsid w:val="00102926"/>
    <w:rsid w:val="0010587F"/>
    <w:rsid w:val="00111C6B"/>
    <w:rsid w:val="00113336"/>
    <w:rsid w:val="0012102B"/>
    <w:rsid w:val="00124D41"/>
    <w:rsid w:val="00125B8F"/>
    <w:rsid w:val="0013369E"/>
    <w:rsid w:val="0013595D"/>
    <w:rsid w:val="001434B9"/>
    <w:rsid w:val="00143EF6"/>
    <w:rsid w:val="00152E76"/>
    <w:rsid w:val="00164E6D"/>
    <w:rsid w:val="0016538E"/>
    <w:rsid w:val="00172473"/>
    <w:rsid w:val="00180CBA"/>
    <w:rsid w:val="00183454"/>
    <w:rsid w:val="0019203D"/>
    <w:rsid w:val="00195F99"/>
    <w:rsid w:val="001B157C"/>
    <w:rsid w:val="001B1994"/>
    <w:rsid w:val="001B4006"/>
    <w:rsid w:val="001B5C23"/>
    <w:rsid w:val="001D0D5F"/>
    <w:rsid w:val="001D6B8C"/>
    <w:rsid w:val="001F1F83"/>
    <w:rsid w:val="001F40DF"/>
    <w:rsid w:val="001F43F8"/>
    <w:rsid w:val="001F6B2D"/>
    <w:rsid w:val="002021A9"/>
    <w:rsid w:val="002139A7"/>
    <w:rsid w:val="00215574"/>
    <w:rsid w:val="00215F7C"/>
    <w:rsid w:val="00221DEF"/>
    <w:rsid w:val="0022323B"/>
    <w:rsid w:val="002410B8"/>
    <w:rsid w:val="00242AEE"/>
    <w:rsid w:val="00245129"/>
    <w:rsid w:val="00245879"/>
    <w:rsid w:val="00253236"/>
    <w:rsid w:val="002534CE"/>
    <w:rsid w:val="00267FD5"/>
    <w:rsid w:val="00271E1E"/>
    <w:rsid w:val="00274D34"/>
    <w:rsid w:val="00281DA2"/>
    <w:rsid w:val="00283AFF"/>
    <w:rsid w:val="00283ED8"/>
    <w:rsid w:val="002868D0"/>
    <w:rsid w:val="0028760B"/>
    <w:rsid w:val="002A008C"/>
    <w:rsid w:val="002A1BA5"/>
    <w:rsid w:val="002A27D1"/>
    <w:rsid w:val="002A4AFA"/>
    <w:rsid w:val="002B2610"/>
    <w:rsid w:val="002B516C"/>
    <w:rsid w:val="002B5D82"/>
    <w:rsid w:val="002C4FA4"/>
    <w:rsid w:val="002D72EB"/>
    <w:rsid w:val="002E2327"/>
    <w:rsid w:val="002E3583"/>
    <w:rsid w:val="002E5576"/>
    <w:rsid w:val="0030050B"/>
    <w:rsid w:val="003008F5"/>
    <w:rsid w:val="00304081"/>
    <w:rsid w:val="003308AA"/>
    <w:rsid w:val="00331B52"/>
    <w:rsid w:val="00333403"/>
    <w:rsid w:val="003359D3"/>
    <w:rsid w:val="0034657E"/>
    <w:rsid w:val="00351475"/>
    <w:rsid w:val="00352B57"/>
    <w:rsid w:val="00355967"/>
    <w:rsid w:val="00382C47"/>
    <w:rsid w:val="00384384"/>
    <w:rsid w:val="003866AE"/>
    <w:rsid w:val="00393AB2"/>
    <w:rsid w:val="003B3977"/>
    <w:rsid w:val="003D49B1"/>
    <w:rsid w:val="003E1D4C"/>
    <w:rsid w:val="003E5F3E"/>
    <w:rsid w:val="003F414B"/>
    <w:rsid w:val="00407C5D"/>
    <w:rsid w:val="0041245B"/>
    <w:rsid w:val="004137A0"/>
    <w:rsid w:val="00422D9A"/>
    <w:rsid w:val="004317DE"/>
    <w:rsid w:val="00432989"/>
    <w:rsid w:val="004342A0"/>
    <w:rsid w:val="004406DE"/>
    <w:rsid w:val="00440E24"/>
    <w:rsid w:val="0044776A"/>
    <w:rsid w:val="00460AFC"/>
    <w:rsid w:val="0047471F"/>
    <w:rsid w:val="004B195E"/>
    <w:rsid w:val="004B2E86"/>
    <w:rsid w:val="004B654A"/>
    <w:rsid w:val="004B66B4"/>
    <w:rsid w:val="004B7F60"/>
    <w:rsid w:val="004C1AAC"/>
    <w:rsid w:val="004C1C35"/>
    <w:rsid w:val="004E1E0A"/>
    <w:rsid w:val="004E44A7"/>
    <w:rsid w:val="004E5524"/>
    <w:rsid w:val="004F090E"/>
    <w:rsid w:val="00501F3C"/>
    <w:rsid w:val="00506BE1"/>
    <w:rsid w:val="00520F9E"/>
    <w:rsid w:val="0052229C"/>
    <w:rsid w:val="00522A2F"/>
    <w:rsid w:val="00527CC7"/>
    <w:rsid w:val="00560DF1"/>
    <w:rsid w:val="0056248C"/>
    <w:rsid w:val="00564B09"/>
    <w:rsid w:val="00567602"/>
    <w:rsid w:val="00567680"/>
    <w:rsid w:val="00571CA4"/>
    <w:rsid w:val="00573AF2"/>
    <w:rsid w:val="00582136"/>
    <w:rsid w:val="005967EF"/>
    <w:rsid w:val="005B107F"/>
    <w:rsid w:val="005B2EA9"/>
    <w:rsid w:val="005B6826"/>
    <w:rsid w:val="005C6840"/>
    <w:rsid w:val="005D091C"/>
    <w:rsid w:val="005F1ED8"/>
    <w:rsid w:val="005F263E"/>
    <w:rsid w:val="00600252"/>
    <w:rsid w:val="00612A40"/>
    <w:rsid w:val="0062714A"/>
    <w:rsid w:val="00634F42"/>
    <w:rsid w:val="00645947"/>
    <w:rsid w:val="006615F4"/>
    <w:rsid w:val="00675479"/>
    <w:rsid w:val="00680709"/>
    <w:rsid w:val="00681F61"/>
    <w:rsid w:val="00684F23"/>
    <w:rsid w:val="00691D1D"/>
    <w:rsid w:val="00693C38"/>
    <w:rsid w:val="00696BF9"/>
    <w:rsid w:val="00697C62"/>
    <w:rsid w:val="006A329B"/>
    <w:rsid w:val="006A7EB8"/>
    <w:rsid w:val="006B6926"/>
    <w:rsid w:val="006C3F47"/>
    <w:rsid w:val="006C5F7A"/>
    <w:rsid w:val="006E06AF"/>
    <w:rsid w:val="006E1CB0"/>
    <w:rsid w:val="006F350F"/>
    <w:rsid w:val="00717608"/>
    <w:rsid w:val="00727571"/>
    <w:rsid w:val="00732DB7"/>
    <w:rsid w:val="0074238B"/>
    <w:rsid w:val="00745EF7"/>
    <w:rsid w:val="00755F22"/>
    <w:rsid w:val="007638C0"/>
    <w:rsid w:val="00766E4A"/>
    <w:rsid w:val="007820CE"/>
    <w:rsid w:val="00782AE4"/>
    <w:rsid w:val="0079724F"/>
    <w:rsid w:val="007A3EAE"/>
    <w:rsid w:val="007B09D6"/>
    <w:rsid w:val="007B4DFF"/>
    <w:rsid w:val="007C04FC"/>
    <w:rsid w:val="007C3D5F"/>
    <w:rsid w:val="007C3DB0"/>
    <w:rsid w:val="007C47C2"/>
    <w:rsid w:val="007D3E0F"/>
    <w:rsid w:val="007E4282"/>
    <w:rsid w:val="007F387B"/>
    <w:rsid w:val="00802863"/>
    <w:rsid w:val="008112A9"/>
    <w:rsid w:val="0081473A"/>
    <w:rsid w:val="00815B3C"/>
    <w:rsid w:val="0081610A"/>
    <w:rsid w:val="008277C4"/>
    <w:rsid w:val="0082783A"/>
    <w:rsid w:val="00831CA9"/>
    <w:rsid w:val="00842B6B"/>
    <w:rsid w:val="00844E40"/>
    <w:rsid w:val="00845C2A"/>
    <w:rsid w:val="00850E1F"/>
    <w:rsid w:val="0085476B"/>
    <w:rsid w:val="0086340B"/>
    <w:rsid w:val="00873743"/>
    <w:rsid w:val="00877592"/>
    <w:rsid w:val="008859F1"/>
    <w:rsid w:val="008902B1"/>
    <w:rsid w:val="00890FEB"/>
    <w:rsid w:val="00893449"/>
    <w:rsid w:val="00895E7E"/>
    <w:rsid w:val="008961FD"/>
    <w:rsid w:val="008A5C1A"/>
    <w:rsid w:val="008C2318"/>
    <w:rsid w:val="008C2D9E"/>
    <w:rsid w:val="008D085E"/>
    <w:rsid w:val="008D292F"/>
    <w:rsid w:val="008D3D4B"/>
    <w:rsid w:val="008E03DC"/>
    <w:rsid w:val="00902E51"/>
    <w:rsid w:val="009058B9"/>
    <w:rsid w:val="00924065"/>
    <w:rsid w:val="00930B8A"/>
    <w:rsid w:val="00930D68"/>
    <w:rsid w:val="00932DB4"/>
    <w:rsid w:val="00941A4B"/>
    <w:rsid w:val="00946242"/>
    <w:rsid w:val="0095096B"/>
    <w:rsid w:val="00955827"/>
    <w:rsid w:val="00957556"/>
    <w:rsid w:val="00961C83"/>
    <w:rsid w:val="00970CD3"/>
    <w:rsid w:val="009723FA"/>
    <w:rsid w:val="00984546"/>
    <w:rsid w:val="009921E9"/>
    <w:rsid w:val="00996510"/>
    <w:rsid w:val="009A75CF"/>
    <w:rsid w:val="009B36BA"/>
    <w:rsid w:val="009C4E23"/>
    <w:rsid w:val="009D1F15"/>
    <w:rsid w:val="009D555E"/>
    <w:rsid w:val="009F3024"/>
    <w:rsid w:val="009F39BA"/>
    <w:rsid w:val="00A0355E"/>
    <w:rsid w:val="00A067B5"/>
    <w:rsid w:val="00A2015F"/>
    <w:rsid w:val="00A234E1"/>
    <w:rsid w:val="00A242F4"/>
    <w:rsid w:val="00A375D1"/>
    <w:rsid w:val="00A41D2B"/>
    <w:rsid w:val="00A51D10"/>
    <w:rsid w:val="00A52A83"/>
    <w:rsid w:val="00A61252"/>
    <w:rsid w:val="00A6552C"/>
    <w:rsid w:val="00A744AF"/>
    <w:rsid w:val="00A760C7"/>
    <w:rsid w:val="00A81DCF"/>
    <w:rsid w:val="00A87207"/>
    <w:rsid w:val="00A935AA"/>
    <w:rsid w:val="00A956D3"/>
    <w:rsid w:val="00AB2201"/>
    <w:rsid w:val="00AC3CBD"/>
    <w:rsid w:val="00AD1D34"/>
    <w:rsid w:val="00AD3259"/>
    <w:rsid w:val="00AE043C"/>
    <w:rsid w:val="00AF1715"/>
    <w:rsid w:val="00AF3904"/>
    <w:rsid w:val="00B00A0B"/>
    <w:rsid w:val="00B010C0"/>
    <w:rsid w:val="00B15CBE"/>
    <w:rsid w:val="00B40FD9"/>
    <w:rsid w:val="00B4618C"/>
    <w:rsid w:val="00B4740D"/>
    <w:rsid w:val="00B61629"/>
    <w:rsid w:val="00B624D0"/>
    <w:rsid w:val="00B635E0"/>
    <w:rsid w:val="00B67395"/>
    <w:rsid w:val="00B7374B"/>
    <w:rsid w:val="00B85342"/>
    <w:rsid w:val="00B90DC0"/>
    <w:rsid w:val="00B91DFE"/>
    <w:rsid w:val="00BA116A"/>
    <w:rsid w:val="00BA5582"/>
    <w:rsid w:val="00BA6468"/>
    <w:rsid w:val="00BB15A8"/>
    <w:rsid w:val="00BB1D44"/>
    <w:rsid w:val="00BC680C"/>
    <w:rsid w:val="00BD06DA"/>
    <w:rsid w:val="00BD264E"/>
    <w:rsid w:val="00BD4217"/>
    <w:rsid w:val="00BE34F7"/>
    <w:rsid w:val="00BE5B3E"/>
    <w:rsid w:val="00BF25F3"/>
    <w:rsid w:val="00C01FCB"/>
    <w:rsid w:val="00C1697B"/>
    <w:rsid w:val="00C21644"/>
    <w:rsid w:val="00C21CB5"/>
    <w:rsid w:val="00C257CD"/>
    <w:rsid w:val="00C27015"/>
    <w:rsid w:val="00C356F5"/>
    <w:rsid w:val="00C406CA"/>
    <w:rsid w:val="00C46376"/>
    <w:rsid w:val="00C50A5C"/>
    <w:rsid w:val="00C50FDF"/>
    <w:rsid w:val="00C63381"/>
    <w:rsid w:val="00C73D06"/>
    <w:rsid w:val="00C73D76"/>
    <w:rsid w:val="00C73E1B"/>
    <w:rsid w:val="00C73EE8"/>
    <w:rsid w:val="00C7556C"/>
    <w:rsid w:val="00C759B4"/>
    <w:rsid w:val="00C77713"/>
    <w:rsid w:val="00C8528C"/>
    <w:rsid w:val="00C85BB7"/>
    <w:rsid w:val="00C86E0F"/>
    <w:rsid w:val="00CA2DEA"/>
    <w:rsid w:val="00CB3520"/>
    <w:rsid w:val="00CB43D5"/>
    <w:rsid w:val="00CC4D84"/>
    <w:rsid w:val="00CE198A"/>
    <w:rsid w:val="00CF08C8"/>
    <w:rsid w:val="00D004FC"/>
    <w:rsid w:val="00D04577"/>
    <w:rsid w:val="00D22BC0"/>
    <w:rsid w:val="00D31809"/>
    <w:rsid w:val="00D4247B"/>
    <w:rsid w:val="00D6331A"/>
    <w:rsid w:val="00D64901"/>
    <w:rsid w:val="00D76BDF"/>
    <w:rsid w:val="00D812DE"/>
    <w:rsid w:val="00D818B6"/>
    <w:rsid w:val="00D82A57"/>
    <w:rsid w:val="00D82BFF"/>
    <w:rsid w:val="00D8443D"/>
    <w:rsid w:val="00D862C1"/>
    <w:rsid w:val="00D93A6C"/>
    <w:rsid w:val="00D93B50"/>
    <w:rsid w:val="00D94028"/>
    <w:rsid w:val="00D94670"/>
    <w:rsid w:val="00DA1D48"/>
    <w:rsid w:val="00DA46F6"/>
    <w:rsid w:val="00DA756F"/>
    <w:rsid w:val="00DC0577"/>
    <w:rsid w:val="00DC6B2E"/>
    <w:rsid w:val="00DD0B49"/>
    <w:rsid w:val="00DD0BDC"/>
    <w:rsid w:val="00DE0502"/>
    <w:rsid w:val="00DE349D"/>
    <w:rsid w:val="00E0270C"/>
    <w:rsid w:val="00E06DFA"/>
    <w:rsid w:val="00E06F20"/>
    <w:rsid w:val="00E20A0A"/>
    <w:rsid w:val="00E240C2"/>
    <w:rsid w:val="00E356C7"/>
    <w:rsid w:val="00E363EA"/>
    <w:rsid w:val="00E414CA"/>
    <w:rsid w:val="00E41A5A"/>
    <w:rsid w:val="00E45FE4"/>
    <w:rsid w:val="00E64FA7"/>
    <w:rsid w:val="00E65960"/>
    <w:rsid w:val="00E664DA"/>
    <w:rsid w:val="00E670F7"/>
    <w:rsid w:val="00E71254"/>
    <w:rsid w:val="00E75CFD"/>
    <w:rsid w:val="00E770CB"/>
    <w:rsid w:val="00E80D6C"/>
    <w:rsid w:val="00E8544A"/>
    <w:rsid w:val="00E8642A"/>
    <w:rsid w:val="00E864F9"/>
    <w:rsid w:val="00E903A1"/>
    <w:rsid w:val="00E92A37"/>
    <w:rsid w:val="00E940EB"/>
    <w:rsid w:val="00E942C2"/>
    <w:rsid w:val="00E9703F"/>
    <w:rsid w:val="00E97984"/>
    <w:rsid w:val="00EB2B90"/>
    <w:rsid w:val="00EC6816"/>
    <w:rsid w:val="00ED078F"/>
    <w:rsid w:val="00ED7E83"/>
    <w:rsid w:val="00EE091F"/>
    <w:rsid w:val="00EF4B63"/>
    <w:rsid w:val="00F0068D"/>
    <w:rsid w:val="00F0576D"/>
    <w:rsid w:val="00F138C1"/>
    <w:rsid w:val="00F14E6D"/>
    <w:rsid w:val="00F15EA8"/>
    <w:rsid w:val="00F16063"/>
    <w:rsid w:val="00F16C8D"/>
    <w:rsid w:val="00F253CC"/>
    <w:rsid w:val="00F26C61"/>
    <w:rsid w:val="00F33CCE"/>
    <w:rsid w:val="00F40249"/>
    <w:rsid w:val="00F526C8"/>
    <w:rsid w:val="00F554B5"/>
    <w:rsid w:val="00F663FF"/>
    <w:rsid w:val="00F74A97"/>
    <w:rsid w:val="00F75954"/>
    <w:rsid w:val="00F761A3"/>
    <w:rsid w:val="00F9272D"/>
    <w:rsid w:val="00F9518C"/>
    <w:rsid w:val="00FA316E"/>
    <w:rsid w:val="00FA3373"/>
    <w:rsid w:val="00FA59EF"/>
    <w:rsid w:val="00FA7B17"/>
    <w:rsid w:val="00FB19A2"/>
    <w:rsid w:val="00FB1DB6"/>
    <w:rsid w:val="00FB4A2E"/>
    <w:rsid w:val="00FD053D"/>
    <w:rsid w:val="00FF22BA"/>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paragraph" w:customStyle="1" w:styleId="SCCBanSummary0">
    <w:name w:val="SCC.BanSummary"/>
    <w:basedOn w:val="Normal"/>
    <w:next w:val="Normal"/>
    <w:link w:val="SCCBanSummaryChar"/>
    <w:rsid w:val="00A2015F"/>
    <w:pPr>
      <w:jc w:val="both"/>
    </w:pPr>
    <w:rPr>
      <w:rFonts w:eastAsia="Calibri" w:cs="Times New Roman"/>
      <w:smallCaps/>
    </w:rPr>
  </w:style>
  <w:style w:type="character" w:customStyle="1" w:styleId="SCCBanSummaryChar">
    <w:name w:val="SCC.BanSummary Char"/>
    <w:basedOn w:val="DefaultParagraphFont"/>
    <w:link w:val="SCCBanSummary0"/>
    <w:rsid w:val="00A2015F"/>
    <w:rPr>
      <w:rFonts w:eastAsia="Calibri" w:cs="Times New Roman"/>
      <w:smallCap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nlii.ca/t/j308s"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s://canlii.ca/t/jlttp"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lii.ca/t/j308s" TargetMode="Externa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decisions.scc-csc.ca/scc-csc/scc-csc/fr/item/19441/index.do" TargetMode="External"/><Relationship Id="rId36" Type="http://schemas.openxmlformats.org/officeDocument/2006/relationships/footer" Target="footer10.xml"/><Relationship Id="rId10" Type="http://schemas.openxmlformats.org/officeDocument/2006/relationships/hyperlink" Target="https://www.scc-csc.ca" TargetMode="Externa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www.scc-csc.ca" TargetMode="External"/><Relationship Id="rId14" Type="http://schemas.openxmlformats.org/officeDocument/2006/relationships/hyperlink" Target="https://canlii.ca/t/jlttp" TargetMode="External"/><Relationship Id="rId22" Type="http://schemas.openxmlformats.org/officeDocument/2006/relationships/header" Target="header5.xml"/><Relationship Id="rId27" Type="http://schemas.openxmlformats.org/officeDocument/2006/relationships/hyperlink" Target="https://decisions.scc-csc.ca/scc-csc/scc-csc/en/item/19441/index.do" TargetMode="External"/><Relationship Id="rId30" Type="http://schemas.openxmlformats.org/officeDocument/2006/relationships/header" Target="header8.xml"/><Relationship Id="rId35"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20for%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60CFF-4941-4C9B-AE68-64172E46C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for 2022.dotx</Template>
  <TotalTime>0</TotalTime>
  <Pages>7</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2022-06-06T14:29:00Z</dcterms:created>
  <dcterms:modified xsi:type="dcterms:W3CDTF">2022-07-15T11:38:00Z</dcterms:modified>
</cp:coreProperties>
</file>