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76602A" w:rsidTr="00F138C1">
        <w:tc>
          <w:tcPr>
            <w:tcW w:w="9648" w:type="dxa"/>
            <w:gridSpan w:val="3"/>
          </w:tcPr>
          <w:p w:rsidR="008C2D9E" w:rsidRPr="0076602A" w:rsidRDefault="008C2D9E" w:rsidP="00F138C1">
            <w:pPr>
              <w:tabs>
                <w:tab w:val="left" w:pos="6075"/>
              </w:tabs>
              <w:jc w:val="center"/>
              <w:rPr>
                <w:b/>
                <w:sz w:val="32"/>
                <w:szCs w:val="32"/>
                <w:lang w:val="fr-CA"/>
              </w:rPr>
            </w:pPr>
            <w:r w:rsidRPr="0076602A">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76602A" w:rsidRDefault="008C2D9E" w:rsidP="00F138C1">
            <w:pPr>
              <w:tabs>
                <w:tab w:val="left" w:pos="6075"/>
              </w:tabs>
              <w:jc w:val="center"/>
              <w:rPr>
                <w:b/>
                <w:sz w:val="32"/>
                <w:szCs w:val="32"/>
                <w:lang w:val="fr-CA"/>
              </w:rPr>
            </w:pPr>
          </w:p>
        </w:tc>
      </w:tr>
      <w:tr w:rsidR="00F138C1" w:rsidRPr="0076602A" w:rsidTr="00F138C1">
        <w:tc>
          <w:tcPr>
            <w:tcW w:w="4599" w:type="dxa"/>
            <w:tcMar>
              <w:top w:w="284" w:type="dxa"/>
            </w:tcMar>
          </w:tcPr>
          <w:p w:rsidR="00F138C1" w:rsidRPr="0076602A" w:rsidRDefault="00F138C1" w:rsidP="00F138C1">
            <w:pPr>
              <w:tabs>
                <w:tab w:val="left" w:pos="6075"/>
              </w:tabs>
              <w:jc w:val="center"/>
              <w:rPr>
                <w:b/>
                <w:sz w:val="32"/>
                <w:szCs w:val="32"/>
              </w:rPr>
            </w:pPr>
            <w:r w:rsidRPr="0076602A">
              <w:rPr>
                <w:b/>
                <w:sz w:val="32"/>
                <w:szCs w:val="32"/>
              </w:rPr>
              <w:t>SUPREME COURT OF CANADA</w:t>
            </w:r>
          </w:p>
        </w:tc>
        <w:tc>
          <w:tcPr>
            <w:tcW w:w="483" w:type="dxa"/>
          </w:tcPr>
          <w:p w:rsidR="00F138C1" w:rsidRPr="0076602A" w:rsidRDefault="00F138C1" w:rsidP="00F138C1">
            <w:pPr>
              <w:tabs>
                <w:tab w:val="left" w:pos="6075"/>
              </w:tabs>
              <w:jc w:val="center"/>
              <w:rPr>
                <w:sz w:val="32"/>
                <w:szCs w:val="32"/>
              </w:rPr>
            </w:pPr>
          </w:p>
        </w:tc>
        <w:tc>
          <w:tcPr>
            <w:tcW w:w="4566" w:type="dxa"/>
            <w:tcMar>
              <w:top w:w="284" w:type="dxa"/>
            </w:tcMar>
          </w:tcPr>
          <w:p w:rsidR="00F138C1" w:rsidRPr="0076602A" w:rsidRDefault="00F138C1" w:rsidP="00F138C1">
            <w:pPr>
              <w:tabs>
                <w:tab w:val="left" w:pos="6075"/>
              </w:tabs>
              <w:jc w:val="center"/>
              <w:rPr>
                <w:b/>
                <w:sz w:val="32"/>
                <w:szCs w:val="32"/>
                <w:lang w:val="fr-CA"/>
              </w:rPr>
            </w:pPr>
            <w:r w:rsidRPr="0076602A">
              <w:rPr>
                <w:b/>
                <w:sz w:val="32"/>
                <w:szCs w:val="32"/>
                <w:lang w:val="fr-CA"/>
              </w:rPr>
              <w:t>COUR SUPRÊME DU CANADA</w:t>
            </w:r>
          </w:p>
        </w:tc>
      </w:tr>
      <w:tr w:rsidR="00F138C1" w:rsidRPr="0076602A" w:rsidTr="00F138C1">
        <w:tc>
          <w:tcPr>
            <w:tcW w:w="4599" w:type="dxa"/>
            <w:tcMar>
              <w:top w:w="567" w:type="dxa"/>
            </w:tcMar>
          </w:tcPr>
          <w:p w:rsidR="00F138C1" w:rsidRPr="0076602A" w:rsidRDefault="00F138C1" w:rsidP="00F138C1">
            <w:pPr>
              <w:tabs>
                <w:tab w:val="left" w:pos="6075"/>
              </w:tabs>
              <w:jc w:val="center"/>
              <w:rPr>
                <w:sz w:val="28"/>
                <w:szCs w:val="28"/>
              </w:rPr>
            </w:pPr>
            <w:r w:rsidRPr="0076602A">
              <w:rPr>
                <w:sz w:val="28"/>
                <w:szCs w:val="28"/>
              </w:rPr>
              <w:t>BULLETIN OF</w:t>
            </w:r>
            <w:r w:rsidRPr="0076602A">
              <w:rPr>
                <w:sz w:val="28"/>
                <w:szCs w:val="28"/>
              </w:rPr>
              <w:br/>
              <w:t xml:space="preserve"> PROCEEDINGS</w:t>
            </w:r>
          </w:p>
        </w:tc>
        <w:tc>
          <w:tcPr>
            <w:tcW w:w="483" w:type="dxa"/>
          </w:tcPr>
          <w:p w:rsidR="00F138C1" w:rsidRPr="0076602A" w:rsidRDefault="00F138C1" w:rsidP="00F138C1">
            <w:pPr>
              <w:tabs>
                <w:tab w:val="left" w:pos="6075"/>
              </w:tabs>
            </w:pPr>
          </w:p>
        </w:tc>
        <w:tc>
          <w:tcPr>
            <w:tcW w:w="4566" w:type="dxa"/>
            <w:tcMar>
              <w:top w:w="567" w:type="dxa"/>
            </w:tcMar>
          </w:tcPr>
          <w:p w:rsidR="00F138C1" w:rsidRPr="0076602A" w:rsidRDefault="00F138C1" w:rsidP="00F138C1">
            <w:pPr>
              <w:tabs>
                <w:tab w:val="left" w:pos="6075"/>
              </w:tabs>
              <w:jc w:val="center"/>
              <w:rPr>
                <w:sz w:val="28"/>
                <w:szCs w:val="28"/>
                <w:lang w:val="fr-CA"/>
              </w:rPr>
            </w:pPr>
            <w:r w:rsidRPr="0076602A">
              <w:rPr>
                <w:sz w:val="28"/>
                <w:szCs w:val="28"/>
                <w:lang w:val="fr-CA"/>
              </w:rPr>
              <w:t>BULLETIN DES</w:t>
            </w:r>
            <w:r w:rsidRPr="0076602A">
              <w:rPr>
                <w:sz w:val="28"/>
                <w:szCs w:val="28"/>
                <w:lang w:val="fr-CA"/>
              </w:rPr>
              <w:br/>
              <w:t xml:space="preserve"> PROCÉDURES</w:t>
            </w:r>
          </w:p>
        </w:tc>
      </w:tr>
      <w:tr w:rsidR="00F138C1" w:rsidRPr="00CF2ACD" w:rsidTr="00F138C1">
        <w:tc>
          <w:tcPr>
            <w:tcW w:w="4599" w:type="dxa"/>
            <w:tcMar>
              <w:top w:w="567" w:type="dxa"/>
            </w:tcMar>
          </w:tcPr>
          <w:p w:rsidR="00F138C1" w:rsidRPr="0076602A" w:rsidRDefault="00F138C1" w:rsidP="00F138C1">
            <w:pPr>
              <w:tabs>
                <w:tab w:val="left" w:pos="6075"/>
              </w:tabs>
              <w:jc w:val="both"/>
              <w:rPr>
                <w:rFonts w:ascii="Arial" w:hAnsi="Arial" w:cs="Arial"/>
                <w:i/>
                <w:sz w:val="20"/>
                <w:szCs w:val="20"/>
              </w:rPr>
            </w:pPr>
            <w:r w:rsidRPr="0076602A">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76602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6602A" w:rsidRDefault="00F138C1" w:rsidP="00F138C1">
            <w:pPr>
              <w:tabs>
                <w:tab w:val="left" w:pos="6075"/>
              </w:tabs>
              <w:jc w:val="both"/>
              <w:rPr>
                <w:rFonts w:ascii="Arial" w:hAnsi="Arial" w:cs="Arial"/>
                <w:i/>
                <w:sz w:val="20"/>
                <w:szCs w:val="20"/>
                <w:lang w:val="fr-CA"/>
              </w:rPr>
            </w:pPr>
            <w:r w:rsidRPr="0076602A">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CF2ACD" w:rsidTr="00F138C1">
        <w:tc>
          <w:tcPr>
            <w:tcW w:w="4599" w:type="dxa"/>
            <w:tcMar>
              <w:top w:w="567" w:type="dxa"/>
            </w:tcMar>
          </w:tcPr>
          <w:p w:rsidR="00F138C1" w:rsidRPr="0076602A" w:rsidRDefault="00F138C1" w:rsidP="00F138C1">
            <w:pPr>
              <w:tabs>
                <w:tab w:val="left" w:pos="6075"/>
              </w:tabs>
              <w:jc w:val="both"/>
              <w:rPr>
                <w:rFonts w:ascii="Arial" w:hAnsi="Arial" w:cs="Arial"/>
                <w:i/>
                <w:sz w:val="20"/>
                <w:szCs w:val="20"/>
              </w:rPr>
            </w:pPr>
            <w:r w:rsidRPr="0076602A">
              <w:rPr>
                <w:rFonts w:ascii="Arial" w:hAnsi="Arial" w:cs="Arial"/>
                <w:i/>
                <w:sz w:val="20"/>
                <w:szCs w:val="20"/>
              </w:rPr>
              <w:t>During Court sessions, the Bulletin is usually issued weekly.</w:t>
            </w:r>
          </w:p>
        </w:tc>
        <w:tc>
          <w:tcPr>
            <w:tcW w:w="483" w:type="dxa"/>
          </w:tcPr>
          <w:p w:rsidR="00F138C1" w:rsidRPr="0076602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6602A" w:rsidRDefault="00F138C1" w:rsidP="00F138C1">
            <w:pPr>
              <w:tabs>
                <w:tab w:val="left" w:pos="6075"/>
              </w:tabs>
              <w:jc w:val="both"/>
              <w:rPr>
                <w:rFonts w:ascii="Arial" w:hAnsi="Arial" w:cs="Arial"/>
                <w:i/>
                <w:sz w:val="20"/>
                <w:szCs w:val="20"/>
                <w:lang w:val="fr-CA"/>
              </w:rPr>
            </w:pPr>
            <w:r w:rsidRPr="0076602A">
              <w:rPr>
                <w:rFonts w:ascii="Arial" w:hAnsi="Arial" w:cs="Arial"/>
                <w:i/>
                <w:sz w:val="20"/>
                <w:szCs w:val="20"/>
                <w:lang w:val="fr-CA"/>
              </w:rPr>
              <w:t>Le Bulletin paraît en principe toutes les semaines pendant les sessions de la Cour.</w:t>
            </w:r>
          </w:p>
        </w:tc>
      </w:tr>
      <w:tr w:rsidR="00F138C1" w:rsidRPr="00CF2ACD" w:rsidTr="00F138C1">
        <w:tc>
          <w:tcPr>
            <w:tcW w:w="4599" w:type="dxa"/>
            <w:tcMar>
              <w:top w:w="567" w:type="dxa"/>
            </w:tcMar>
          </w:tcPr>
          <w:p w:rsidR="00F138C1" w:rsidRPr="0076602A" w:rsidRDefault="00F138C1" w:rsidP="00F138C1">
            <w:pPr>
              <w:tabs>
                <w:tab w:val="left" w:pos="6075"/>
              </w:tabs>
              <w:jc w:val="both"/>
              <w:rPr>
                <w:rFonts w:ascii="Arial" w:hAnsi="Arial" w:cs="Arial"/>
                <w:i/>
                <w:sz w:val="20"/>
                <w:szCs w:val="20"/>
              </w:rPr>
            </w:pPr>
            <w:r w:rsidRPr="0076602A">
              <w:rPr>
                <w:rFonts w:ascii="Arial" w:hAnsi="Arial" w:cs="Arial"/>
                <w:i/>
                <w:sz w:val="20"/>
                <w:szCs w:val="20"/>
              </w:rPr>
              <w:fldChar w:fldCharType="begin"/>
            </w:r>
            <w:r w:rsidRPr="0076602A">
              <w:rPr>
                <w:rFonts w:ascii="Arial" w:hAnsi="Arial" w:cs="Arial"/>
                <w:i/>
                <w:sz w:val="20"/>
                <w:szCs w:val="20"/>
              </w:rPr>
              <w:instrText xml:space="preserve"> SEQ CHAPTER \h \r 1</w:instrText>
            </w:r>
            <w:r w:rsidRPr="0076602A">
              <w:rPr>
                <w:rFonts w:ascii="Arial" w:hAnsi="Arial" w:cs="Arial"/>
                <w:i/>
                <w:sz w:val="20"/>
                <w:szCs w:val="20"/>
              </w:rPr>
              <w:fldChar w:fldCharType="end"/>
            </w:r>
            <w:r w:rsidRPr="0076602A">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76602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6602A" w:rsidRDefault="00F138C1" w:rsidP="00F138C1">
            <w:pPr>
              <w:tabs>
                <w:tab w:val="left" w:pos="6075"/>
              </w:tabs>
              <w:jc w:val="both"/>
              <w:rPr>
                <w:rFonts w:ascii="Arial" w:hAnsi="Arial" w:cs="Arial"/>
                <w:i/>
                <w:sz w:val="20"/>
                <w:szCs w:val="20"/>
                <w:lang w:val="fr-CA"/>
              </w:rPr>
            </w:pPr>
            <w:r w:rsidRPr="0076602A">
              <w:rPr>
                <w:rFonts w:ascii="Arial" w:hAnsi="Arial" w:cs="Arial"/>
                <w:i/>
                <w:sz w:val="20"/>
                <w:szCs w:val="20"/>
                <w:lang w:val="fr-CA"/>
              </w:rPr>
              <w:fldChar w:fldCharType="begin"/>
            </w:r>
            <w:r w:rsidRPr="0076602A">
              <w:rPr>
                <w:rFonts w:ascii="Arial" w:hAnsi="Arial" w:cs="Arial"/>
                <w:i/>
                <w:sz w:val="20"/>
                <w:szCs w:val="20"/>
                <w:lang w:val="fr-CA"/>
              </w:rPr>
              <w:instrText xml:space="preserve"> SEQ CHAPTER \h \r 1</w:instrText>
            </w:r>
            <w:r w:rsidRPr="0076602A">
              <w:rPr>
                <w:rFonts w:ascii="Arial" w:hAnsi="Arial" w:cs="Arial"/>
                <w:i/>
                <w:sz w:val="20"/>
                <w:szCs w:val="20"/>
                <w:lang w:val="fr-CA"/>
              </w:rPr>
              <w:fldChar w:fldCharType="end"/>
            </w:r>
            <w:r w:rsidRPr="0076602A">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CF2ACD" w:rsidTr="00F138C1">
        <w:tc>
          <w:tcPr>
            <w:tcW w:w="4599" w:type="dxa"/>
            <w:tcMar>
              <w:top w:w="567" w:type="dxa"/>
            </w:tcMar>
          </w:tcPr>
          <w:p w:rsidR="00F138C1" w:rsidRPr="0076602A" w:rsidRDefault="00F138C1" w:rsidP="00F138C1">
            <w:pPr>
              <w:tabs>
                <w:tab w:val="left" w:pos="6075"/>
              </w:tabs>
              <w:jc w:val="both"/>
              <w:rPr>
                <w:rFonts w:ascii="Arial" w:hAnsi="Arial" w:cs="Arial"/>
                <w:i/>
                <w:sz w:val="20"/>
                <w:szCs w:val="20"/>
              </w:rPr>
            </w:pPr>
            <w:r w:rsidRPr="0076602A">
              <w:rPr>
                <w:rFonts w:ascii="Arial" w:hAnsi="Arial" w:cs="Arial"/>
                <w:i/>
                <w:sz w:val="20"/>
                <w:szCs w:val="20"/>
                <w:lang w:val="en-US"/>
              </w:rPr>
              <w:t>Please c</w:t>
            </w:r>
            <w:r w:rsidRPr="0076602A">
              <w:rPr>
                <w:rFonts w:ascii="Arial" w:hAnsi="Arial" w:cs="Arial"/>
                <w:i/>
                <w:sz w:val="20"/>
                <w:szCs w:val="20"/>
              </w:rPr>
              <w:t xml:space="preserve">onsult the Supreme Court of Canada website at </w:t>
            </w:r>
            <w:hyperlink r:id="rId9" w:history="1">
              <w:r w:rsidRPr="0076602A">
                <w:rPr>
                  <w:rStyle w:val="Hyperlink"/>
                  <w:rFonts w:ascii="Arial" w:hAnsi="Arial" w:cs="Arial"/>
                  <w:i/>
                  <w:sz w:val="20"/>
                  <w:szCs w:val="20"/>
                </w:rPr>
                <w:t>www.scc-csc.ca</w:t>
              </w:r>
            </w:hyperlink>
            <w:r w:rsidRPr="0076602A">
              <w:rPr>
                <w:rFonts w:ascii="Arial" w:hAnsi="Arial" w:cs="Arial"/>
                <w:i/>
                <w:sz w:val="20"/>
                <w:szCs w:val="20"/>
              </w:rPr>
              <w:t xml:space="preserve"> for more information.</w:t>
            </w:r>
          </w:p>
        </w:tc>
        <w:tc>
          <w:tcPr>
            <w:tcW w:w="483" w:type="dxa"/>
          </w:tcPr>
          <w:p w:rsidR="00F138C1" w:rsidRPr="0076602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6602A" w:rsidRDefault="00F138C1" w:rsidP="00F138C1">
            <w:pPr>
              <w:tabs>
                <w:tab w:val="left" w:pos="6075"/>
              </w:tabs>
              <w:jc w:val="both"/>
              <w:rPr>
                <w:rFonts w:ascii="Arial" w:hAnsi="Arial" w:cs="Arial"/>
                <w:i/>
                <w:sz w:val="20"/>
                <w:szCs w:val="20"/>
                <w:lang w:val="fr-CA"/>
              </w:rPr>
            </w:pPr>
            <w:r w:rsidRPr="0076602A">
              <w:rPr>
                <w:rFonts w:ascii="Arial" w:hAnsi="Arial" w:cs="Arial"/>
                <w:i/>
                <w:sz w:val="20"/>
                <w:szCs w:val="20"/>
                <w:lang w:val="fr-CA"/>
              </w:rPr>
              <w:t xml:space="preserve">Pour de plus amples informations, veuillez consulter le site Web de la Cour suprême du Canada à l’adresse suivante : </w:t>
            </w:r>
            <w:hyperlink r:id="rId10" w:history="1">
              <w:r w:rsidRPr="0076602A">
                <w:rPr>
                  <w:rStyle w:val="Hyperlink"/>
                  <w:rFonts w:ascii="Arial" w:hAnsi="Arial" w:cs="Arial"/>
                  <w:i/>
                  <w:sz w:val="20"/>
                  <w:szCs w:val="20"/>
                  <w:lang w:val="fr-CA"/>
                </w:rPr>
                <w:t>www.scc-csc.ca</w:t>
              </w:r>
            </w:hyperlink>
            <w:r w:rsidRPr="0076602A">
              <w:rPr>
                <w:rFonts w:ascii="Arial" w:hAnsi="Arial" w:cs="Arial"/>
                <w:i/>
                <w:sz w:val="20"/>
                <w:szCs w:val="20"/>
                <w:lang w:val="fr-CA"/>
              </w:rPr>
              <w:t xml:space="preserve"> </w:t>
            </w:r>
          </w:p>
        </w:tc>
      </w:tr>
    </w:tbl>
    <w:p w:rsidR="00F138C1" w:rsidRPr="0076602A"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76602A" w:rsidTr="00F138C1">
        <w:tc>
          <w:tcPr>
            <w:tcW w:w="2250" w:type="pct"/>
            <w:tcBorders>
              <w:top w:val="single" w:sz="4" w:space="0" w:color="auto"/>
            </w:tcBorders>
            <w:tcMar>
              <w:top w:w="284" w:type="dxa"/>
              <w:bottom w:w="284" w:type="dxa"/>
            </w:tcMar>
          </w:tcPr>
          <w:p w:rsidR="00F138C1" w:rsidRPr="0076602A" w:rsidRDefault="002C13E1" w:rsidP="001D18A5">
            <w:pPr>
              <w:tabs>
                <w:tab w:val="left" w:pos="6075"/>
              </w:tabs>
              <w:rPr>
                <w:rFonts w:ascii="Arial" w:hAnsi="Arial" w:cs="Arial"/>
                <w:i/>
                <w:sz w:val="20"/>
                <w:szCs w:val="20"/>
              </w:rPr>
            </w:pPr>
            <w:r w:rsidRPr="0076602A">
              <w:rPr>
                <w:lang w:val="fr-CA"/>
              </w:rPr>
              <w:t>September</w:t>
            </w:r>
            <w:r w:rsidR="00F138C1" w:rsidRPr="0076602A">
              <w:rPr>
                <w:lang w:val="fr-CA"/>
              </w:rPr>
              <w:t xml:space="preserve"> </w:t>
            </w:r>
            <w:r w:rsidR="001D18A5" w:rsidRPr="0076602A">
              <w:rPr>
                <w:lang w:val="fr-CA"/>
              </w:rPr>
              <w:t>23</w:t>
            </w:r>
            <w:r w:rsidR="00F138C1" w:rsidRPr="0076602A">
              <w:rPr>
                <w:lang w:val="fr-CA"/>
              </w:rPr>
              <w:t>, 20</w:t>
            </w:r>
            <w:r w:rsidR="009B36BA" w:rsidRPr="0076602A">
              <w:rPr>
                <w:lang w:val="fr-CA"/>
              </w:rPr>
              <w:t>2</w:t>
            </w:r>
            <w:r w:rsidR="00E8642A" w:rsidRPr="0076602A">
              <w:rPr>
                <w:lang w:val="fr-CA"/>
              </w:rPr>
              <w:t>2</w:t>
            </w:r>
          </w:p>
        </w:tc>
        <w:tc>
          <w:tcPr>
            <w:tcW w:w="500" w:type="pct"/>
            <w:tcBorders>
              <w:top w:val="single" w:sz="4" w:space="0" w:color="auto"/>
            </w:tcBorders>
            <w:tcMar>
              <w:top w:w="284" w:type="dxa"/>
              <w:bottom w:w="284" w:type="dxa"/>
            </w:tcMar>
          </w:tcPr>
          <w:p w:rsidR="00F138C1" w:rsidRPr="0076602A" w:rsidRDefault="00F138C1" w:rsidP="0076602A">
            <w:pPr>
              <w:tabs>
                <w:tab w:val="left" w:pos="6075"/>
              </w:tabs>
              <w:jc w:val="center"/>
              <w:rPr>
                <w:rFonts w:ascii="Arial" w:hAnsi="Arial" w:cs="Arial"/>
                <w:i/>
                <w:sz w:val="20"/>
                <w:szCs w:val="20"/>
              </w:rPr>
            </w:pPr>
            <w:r w:rsidRPr="0076602A">
              <w:rPr>
                <w:lang w:val="fr-CA"/>
              </w:rPr>
              <w:t xml:space="preserve">1 - </w:t>
            </w:r>
            <w:r w:rsidR="00B56A04" w:rsidRPr="0076602A">
              <w:rPr>
                <w:lang w:val="fr-CA"/>
              </w:rPr>
              <w:t>1</w:t>
            </w:r>
            <w:r w:rsidR="0076602A" w:rsidRPr="0076602A">
              <w:rPr>
                <w:lang w:val="fr-CA"/>
              </w:rPr>
              <w:t>2</w:t>
            </w:r>
          </w:p>
        </w:tc>
        <w:tc>
          <w:tcPr>
            <w:tcW w:w="2250" w:type="pct"/>
            <w:tcBorders>
              <w:top w:val="single" w:sz="4" w:space="0" w:color="auto"/>
            </w:tcBorders>
            <w:tcMar>
              <w:top w:w="284" w:type="dxa"/>
              <w:bottom w:w="284" w:type="dxa"/>
            </w:tcMar>
          </w:tcPr>
          <w:p w:rsidR="00F138C1" w:rsidRPr="0076602A" w:rsidRDefault="00F138C1" w:rsidP="001D18A5">
            <w:pPr>
              <w:tabs>
                <w:tab w:val="left" w:pos="6075"/>
              </w:tabs>
              <w:jc w:val="right"/>
              <w:rPr>
                <w:rFonts w:ascii="Arial" w:hAnsi="Arial" w:cs="Arial"/>
                <w:i/>
                <w:sz w:val="20"/>
                <w:szCs w:val="20"/>
                <w:lang w:val="fr-CA"/>
              </w:rPr>
            </w:pPr>
            <w:r w:rsidRPr="0076602A">
              <w:rPr>
                <w:lang w:val="fr-CA"/>
              </w:rPr>
              <w:t xml:space="preserve">Le </w:t>
            </w:r>
            <w:r w:rsidR="001D18A5" w:rsidRPr="0076602A">
              <w:rPr>
                <w:lang w:val="fr-CA"/>
              </w:rPr>
              <w:t>23</w:t>
            </w:r>
            <w:r w:rsidRPr="0076602A">
              <w:rPr>
                <w:lang w:val="fr-CA"/>
              </w:rPr>
              <w:t xml:space="preserve"> </w:t>
            </w:r>
            <w:r w:rsidR="002C13E1" w:rsidRPr="0076602A">
              <w:rPr>
                <w:lang w:val="fr-CA"/>
              </w:rPr>
              <w:t>septembre</w:t>
            </w:r>
            <w:r w:rsidR="00BE5B3E" w:rsidRPr="0076602A">
              <w:rPr>
                <w:lang w:val="fr-CA"/>
              </w:rPr>
              <w:t xml:space="preserve"> </w:t>
            </w:r>
            <w:r w:rsidRPr="0076602A">
              <w:rPr>
                <w:lang w:val="fr-CA"/>
              </w:rPr>
              <w:t>202</w:t>
            </w:r>
            <w:r w:rsidR="00E8642A" w:rsidRPr="0076602A">
              <w:rPr>
                <w:lang w:val="fr-CA"/>
              </w:rPr>
              <w:t>2</w:t>
            </w:r>
          </w:p>
        </w:tc>
      </w:tr>
      <w:tr w:rsidR="00F138C1" w:rsidRPr="00CF2ACD" w:rsidTr="00F138C1">
        <w:tc>
          <w:tcPr>
            <w:tcW w:w="2250" w:type="pct"/>
            <w:tcBorders>
              <w:bottom w:val="single" w:sz="4" w:space="0" w:color="auto"/>
            </w:tcBorders>
            <w:tcMar>
              <w:top w:w="284" w:type="dxa"/>
              <w:bottom w:w="284" w:type="dxa"/>
            </w:tcMar>
          </w:tcPr>
          <w:p w:rsidR="00F138C1" w:rsidRPr="0076602A" w:rsidRDefault="00F138C1" w:rsidP="00E8642A">
            <w:pPr>
              <w:tabs>
                <w:tab w:val="left" w:pos="6075"/>
              </w:tabs>
              <w:rPr>
                <w:rFonts w:ascii="Arial" w:hAnsi="Arial" w:cs="Arial"/>
                <w:i/>
                <w:sz w:val="20"/>
                <w:szCs w:val="20"/>
              </w:rPr>
            </w:pPr>
            <w:r w:rsidRPr="0076602A">
              <w:rPr>
                <w:sz w:val="18"/>
                <w:szCs w:val="18"/>
                <w:lang w:val="en-US"/>
              </w:rPr>
              <w:t>© Supreme Court of Canada (202</w:t>
            </w:r>
            <w:r w:rsidR="00E8642A" w:rsidRPr="0076602A">
              <w:rPr>
                <w:sz w:val="18"/>
                <w:szCs w:val="18"/>
                <w:lang w:val="en-US"/>
              </w:rPr>
              <w:t>2</w:t>
            </w:r>
            <w:r w:rsidRPr="0076602A">
              <w:rPr>
                <w:sz w:val="18"/>
                <w:szCs w:val="18"/>
                <w:lang w:val="en-US"/>
              </w:rPr>
              <w:t>)</w:t>
            </w:r>
            <w:r w:rsidRPr="0076602A">
              <w:rPr>
                <w:sz w:val="18"/>
                <w:szCs w:val="18"/>
                <w:lang w:val="en-US"/>
              </w:rPr>
              <w:br/>
              <w:t>ISSN 1918-8358 (Online)</w:t>
            </w:r>
          </w:p>
        </w:tc>
        <w:tc>
          <w:tcPr>
            <w:tcW w:w="500" w:type="pct"/>
            <w:tcBorders>
              <w:bottom w:val="single" w:sz="4" w:space="0" w:color="auto"/>
            </w:tcBorders>
            <w:tcMar>
              <w:top w:w="284" w:type="dxa"/>
              <w:bottom w:w="284" w:type="dxa"/>
            </w:tcMar>
          </w:tcPr>
          <w:p w:rsidR="00F138C1" w:rsidRPr="0076602A"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76602A" w:rsidRDefault="00F138C1" w:rsidP="00E8642A">
            <w:pPr>
              <w:tabs>
                <w:tab w:val="left" w:pos="6075"/>
              </w:tabs>
              <w:jc w:val="right"/>
              <w:rPr>
                <w:rFonts w:ascii="Arial" w:hAnsi="Arial" w:cs="Arial"/>
                <w:i/>
                <w:sz w:val="20"/>
                <w:szCs w:val="20"/>
                <w:lang w:val="fr-CA"/>
              </w:rPr>
            </w:pPr>
            <w:r w:rsidRPr="0076602A">
              <w:rPr>
                <w:sz w:val="18"/>
                <w:szCs w:val="18"/>
                <w:lang w:val="fr-CA"/>
              </w:rPr>
              <w:t>© Cour suprême du Canada (202</w:t>
            </w:r>
            <w:r w:rsidR="00E8642A" w:rsidRPr="0076602A">
              <w:rPr>
                <w:sz w:val="18"/>
                <w:szCs w:val="18"/>
                <w:lang w:val="fr-CA"/>
              </w:rPr>
              <w:t>2</w:t>
            </w:r>
            <w:proofErr w:type="gramStart"/>
            <w:r w:rsidRPr="0076602A">
              <w:rPr>
                <w:sz w:val="18"/>
                <w:szCs w:val="18"/>
                <w:lang w:val="fr-CA"/>
              </w:rPr>
              <w:t>)</w:t>
            </w:r>
            <w:proofErr w:type="gramEnd"/>
            <w:r w:rsidRPr="0076602A">
              <w:rPr>
                <w:sz w:val="18"/>
                <w:szCs w:val="18"/>
                <w:lang w:val="fr-CA"/>
              </w:rPr>
              <w:br/>
              <w:t>ISSN 1918-8358 (En ligne)</w:t>
            </w:r>
          </w:p>
        </w:tc>
      </w:tr>
    </w:tbl>
    <w:p w:rsidR="0030050B" w:rsidRPr="0076602A" w:rsidRDefault="0030050B" w:rsidP="00F138C1">
      <w:pPr>
        <w:tabs>
          <w:tab w:val="left" w:pos="6075"/>
        </w:tabs>
        <w:rPr>
          <w:lang w:val="fr-CA"/>
        </w:rPr>
      </w:pPr>
    </w:p>
    <w:p w:rsidR="00560DF1" w:rsidRPr="0076602A" w:rsidRDefault="00560DF1" w:rsidP="0095096B">
      <w:pPr>
        <w:tabs>
          <w:tab w:val="right" w:pos="9360"/>
        </w:tabs>
        <w:rPr>
          <w:lang w:val="fr-CA"/>
        </w:rPr>
      </w:pPr>
    </w:p>
    <w:p w:rsidR="00F138C1" w:rsidRPr="0076602A"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76602A" w:rsidRDefault="00DC6B2E" w:rsidP="00693C38">
          <w:pPr>
            <w:pStyle w:val="Title"/>
            <w:jc w:val="center"/>
            <w:rPr>
              <w:rFonts w:ascii="Times New Roman" w:hAnsi="Times New Roman" w:cs="Times New Roman"/>
              <w:b/>
              <w:sz w:val="24"/>
              <w:szCs w:val="28"/>
              <w:lang w:val="fr-CA"/>
            </w:rPr>
          </w:pPr>
          <w:r w:rsidRPr="0076602A">
            <w:rPr>
              <w:rFonts w:ascii="Times New Roman" w:hAnsi="Times New Roman" w:cs="Times New Roman"/>
              <w:b/>
              <w:sz w:val="24"/>
              <w:szCs w:val="28"/>
              <w:lang w:val="fr-CA"/>
            </w:rPr>
            <w:t>Contents</w:t>
          </w:r>
        </w:p>
        <w:p w:rsidR="00693C38" w:rsidRPr="0076602A" w:rsidRDefault="00DC6B2E" w:rsidP="00693C38">
          <w:pPr>
            <w:jc w:val="center"/>
            <w:rPr>
              <w:b/>
              <w:szCs w:val="28"/>
              <w:lang w:val="fr-CA"/>
            </w:rPr>
          </w:pPr>
          <w:r w:rsidRPr="0076602A">
            <w:rPr>
              <w:b/>
              <w:szCs w:val="28"/>
              <w:lang w:val="fr-CA"/>
            </w:rPr>
            <w:t>Table des matières</w:t>
          </w:r>
        </w:p>
        <w:p w:rsidR="00693C38" w:rsidRPr="0076602A" w:rsidRDefault="00693C38" w:rsidP="00693C38">
          <w:pPr>
            <w:rPr>
              <w:lang w:val="fr-CA"/>
            </w:rPr>
          </w:pPr>
        </w:p>
        <w:p w:rsidR="0076602A" w:rsidRPr="0076602A" w:rsidRDefault="00DC6B2E">
          <w:pPr>
            <w:pStyle w:val="TOC1"/>
            <w:tabs>
              <w:tab w:val="right" w:leader="dot" w:pos="9638"/>
            </w:tabs>
            <w:rPr>
              <w:rFonts w:asciiTheme="minorHAnsi" w:eastAsiaTheme="minorEastAsia" w:hAnsiTheme="minorHAnsi"/>
              <w:noProof/>
              <w:sz w:val="22"/>
              <w:lang w:val="en-US"/>
            </w:rPr>
          </w:pPr>
          <w:r w:rsidRPr="0076602A">
            <w:rPr>
              <w:b/>
              <w:bCs/>
              <w:noProof/>
            </w:rPr>
            <w:fldChar w:fldCharType="begin"/>
          </w:r>
          <w:r w:rsidRPr="0076602A">
            <w:rPr>
              <w:b/>
              <w:bCs/>
              <w:noProof/>
            </w:rPr>
            <w:instrText xml:space="preserve"> TOC \o "1-3" \h \z \u </w:instrText>
          </w:r>
          <w:r w:rsidRPr="0076602A">
            <w:rPr>
              <w:b/>
              <w:bCs/>
              <w:noProof/>
            </w:rPr>
            <w:fldChar w:fldCharType="separate"/>
          </w:r>
          <w:hyperlink w:anchor="_Toc114810704" w:history="1">
            <w:r w:rsidR="0076602A" w:rsidRPr="0076602A">
              <w:rPr>
                <w:rStyle w:val="Hyperlink"/>
                <w:noProof/>
                <w:lang w:val="fr-CA"/>
              </w:rPr>
              <w:t>Applications for leave to appeal filed /  Demandes d’autorisation d’appel déposées</w:t>
            </w:r>
            <w:r w:rsidR="0076602A" w:rsidRPr="0076602A">
              <w:rPr>
                <w:noProof/>
                <w:webHidden/>
              </w:rPr>
              <w:tab/>
            </w:r>
            <w:r w:rsidR="0076602A" w:rsidRPr="0076602A">
              <w:rPr>
                <w:noProof/>
                <w:webHidden/>
              </w:rPr>
              <w:fldChar w:fldCharType="begin"/>
            </w:r>
            <w:r w:rsidR="0076602A" w:rsidRPr="0076602A">
              <w:rPr>
                <w:noProof/>
                <w:webHidden/>
              </w:rPr>
              <w:instrText xml:space="preserve"> PAGEREF _Toc114810704 \h </w:instrText>
            </w:r>
            <w:r w:rsidR="0076602A" w:rsidRPr="0076602A">
              <w:rPr>
                <w:noProof/>
                <w:webHidden/>
              </w:rPr>
            </w:r>
            <w:r w:rsidR="0076602A" w:rsidRPr="0076602A">
              <w:rPr>
                <w:noProof/>
                <w:webHidden/>
              </w:rPr>
              <w:fldChar w:fldCharType="separate"/>
            </w:r>
            <w:r w:rsidR="0076602A" w:rsidRPr="0076602A">
              <w:rPr>
                <w:noProof/>
                <w:webHidden/>
              </w:rPr>
              <w:t>1</w:t>
            </w:r>
            <w:r w:rsidR="0076602A" w:rsidRPr="0076602A">
              <w:rPr>
                <w:noProof/>
                <w:webHidden/>
              </w:rPr>
              <w:fldChar w:fldCharType="end"/>
            </w:r>
          </w:hyperlink>
        </w:p>
        <w:p w:rsidR="0076602A" w:rsidRPr="0076602A" w:rsidRDefault="00CF2ACD">
          <w:pPr>
            <w:pStyle w:val="TOC1"/>
            <w:tabs>
              <w:tab w:val="right" w:leader="dot" w:pos="9638"/>
            </w:tabs>
            <w:rPr>
              <w:rFonts w:asciiTheme="minorHAnsi" w:eastAsiaTheme="minorEastAsia" w:hAnsiTheme="minorHAnsi"/>
              <w:noProof/>
              <w:sz w:val="22"/>
              <w:lang w:val="en-US"/>
            </w:rPr>
          </w:pPr>
          <w:hyperlink w:anchor="_Toc114810705" w:history="1">
            <w:r w:rsidR="0076602A" w:rsidRPr="0076602A">
              <w:rPr>
                <w:rStyle w:val="Hyperlink"/>
                <w:noProof/>
                <w:lang w:val="fr-CA"/>
              </w:rPr>
              <w:t>Motions /  Requêtes</w:t>
            </w:r>
            <w:r w:rsidR="0076602A" w:rsidRPr="0076602A">
              <w:rPr>
                <w:noProof/>
                <w:webHidden/>
              </w:rPr>
              <w:tab/>
            </w:r>
            <w:r w:rsidR="0076602A" w:rsidRPr="0076602A">
              <w:rPr>
                <w:noProof/>
                <w:webHidden/>
              </w:rPr>
              <w:fldChar w:fldCharType="begin"/>
            </w:r>
            <w:r w:rsidR="0076602A" w:rsidRPr="0076602A">
              <w:rPr>
                <w:noProof/>
                <w:webHidden/>
              </w:rPr>
              <w:instrText xml:space="preserve"> PAGEREF _Toc114810705 \h </w:instrText>
            </w:r>
            <w:r w:rsidR="0076602A" w:rsidRPr="0076602A">
              <w:rPr>
                <w:noProof/>
                <w:webHidden/>
              </w:rPr>
            </w:r>
            <w:r w:rsidR="0076602A" w:rsidRPr="0076602A">
              <w:rPr>
                <w:noProof/>
                <w:webHidden/>
              </w:rPr>
              <w:fldChar w:fldCharType="separate"/>
            </w:r>
            <w:r w:rsidR="0076602A" w:rsidRPr="0076602A">
              <w:rPr>
                <w:noProof/>
                <w:webHidden/>
              </w:rPr>
              <w:t>2</w:t>
            </w:r>
            <w:r w:rsidR="0076602A" w:rsidRPr="0076602A">
              <w:rPr>
                <w:noProof/>
                <w:webHidden/>
              </w:rPr>
              <w:fldChar w:fldCharType="end"/>
            </w:r>
          </w:hyperlink>
        </w:p>
        <w:p w:rsidR="0076602A" w:rsidRPr="0076602A" w:rsidRDefault="00CF2ACD">
          <w:pPr>
            <w:pStyle w:val="TOC1"/>
            <w:tabs>
              <w:tab w:val="right" w:leader="dot" w:pos="9638"/>
            </w:tabs>
            <w:rPr>
              <w:rFonts w:asciiTheme="minorHAnsi" w:eastAsiaTheme="minorEastAsia" w:hAnsiTheme="minorHAnsi"/>
              <w:noProof/>
              <w:sz w:val="22"/>
              <w:lang w:val="en-US"/>
            </w:rPr>
          </w:pPr>
          <w:hyperlink w:anchor="_Toc114810706" w:history="1">
            <w:r w:rsidR="0076602A" w:rsidRPr="0076602A">
              <w:rPr>
                <w:rStyle w:val="Hyperlink"/>
                <w:noProof/>
                <w:lang w:val="fr-CA"/>
              </w:rPr>
              <w:t>Agenda and case summaries for October 2022 /  Calendrier et sommaires des causes d’octobre 2022</w:t>
            </w:r>
            <w:r w:rsidR="0076602A" w:rsidRPr="0076602A">
              <w:rPr>
                <w:noProof/>
                <w:webHidden/>
              </w:rPr>
              <w:tab/>
            </w:r>
            <w:r w:rsidR="0076602A" w:rsidRPr="0076602A">
              <w:rPr>
                <w:noProof/>
                <w:webHidden/>
              </w:rPr>
              <w:fldChar w:fldCharType="begin"/>
            </w:r>
            <w:r w:rsidR="0076602A" w:rsidRPr="0076602A">
              <w:rPr>
                <w:noProof/>
                <w:webHidden/>
              </w:rPr>
              <w:instrText xml:space="preserve"> PAGEREF _Toc114810706 \h </w:instrText>
            </w:r>
            <w:r w:rsidR="0076602A" w:rsidRPr="0076602A">
              <w:rPr>
                <w:noProof/>
                <w:webHidden/>
              </w:rPr>
            </w:r>
            <w:r w:rsidR="0076602A" w:rsidRPr="0076602A">
              <w:rPr>
                <w:noProof/>
                <w:webHidden/>
              </w:rPr>
              <w:fldChar w:fldCharType="separate"/>
            </w:r>
            <w:r w:rsidR="0076602A" w:rsidRPr="0076602A">
              <w:rPr>
                <w:noProof/>
                <w:webHidden/>
              </w:rPr>
              <w:t>6</w:t>
            </w:r>
            <w:r w:rsidR="0076602A" w:rsidRPr="0076602A">
              <w:rPr>
                <w:noProof/>
                <w:webHidden/>
              </w:rPr>
              <w:fldChar w:fldCharType="end"/>
            </w:r>
          </w:hyperlink>
        </w:p>
        <w:p w:rsidR="00560DF1" w:rsidRPr="0076602A" w:rsidRDefault="00DC6B2E">
          <w:r w:rsidRPr="0076602A">
            <w:rPr>
              <w:b/>
              <w:bCs/>
              <w:noProof/>
              <w:sz w:val="20"/>
            </w:rPr>
            <w:fldChar w:fldCharType="end"/>
          </w:r>
        </w:p>
      </w:sdtContent>
    </w:sdt>
    <w:p w:rsidR="00560DF1" w:rsidRPr="0076602A"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CF2ACD" w:rsidTr="00F138C1">
        <w:trPr>
          <w:jc w:val="center"/>
        </w:trPr>
        <w:tc>
          <w:tcPr>
            <w:tcW w:w="9638" w:type="dxa"/>
          </w:tcPr>
          <w:p w:rsidR="00F138C1" w:rsidRPr="0076602A" w:rsidRDefault="00F138C1" w:rsidP="00F138C1">
            <w:pPr>
              <w:keepNext/>
              <w:tabs>
                <w:tab w:val="right" w:pos="9360"/>
              </w:tabs>
              <w:spacing w:after="120"/>
              <w:jc w:val="center"/>
              <w:rPr>
                <w:szCs w:val="24"/>
              </w:rPr>
            </w:pPr>
            <w:r w:rsidRPr="0076602A">
              <w:rPr>
                <w:szCs w:val="24"/>
              </w:rPr>
              <w:t>NOTICE</w:t>
            </w:r>
          </w:p>
          <w:p w:rsidR="00F138C1" w:rsidRPr="0076602A" w:rsidRDefault="00F138C1" w:rsidP="00F138C1">
            <w:pPr>
              <w:keepNext/>
              <w:tabs>
                <w:tab w:val="right" w:pos="9360"/>
              </w:tabs>
              <w:spacing w:after="120"/>
              <w:jc w:val="both"/>
              <w:rPr>
                <w:szCs w:val="24"/>
              </w:rPr>
            </w:pPr>
            <w:r w:rsidRPr="0076602A">
              <w:rPr>
                <w:szCs w:val="24"/>
              </w:rPr>
              <w:t>Case summaries included in the Bulletin are prepared by the Office of the Registrar of the Supreme Court of Canada (Law Branch) for information purposes only.</w:t>
            </w:r>
          </w:p>
          <w:p w:rsidR="00F138C1" w:rsidRPr="0076602A" w:rsidRDefault="00F138C1" w:rsidP="00F138C1">
            <w:pPr>
              <w:keepNext/>
              <w:tabs>
                <w:tab w:val="right" w:pos="9360"/>
              </w:tabs>
              <w:spacing w:after="120"/>
              <w:jc w:val="center"/>
              <w:rPr>
                <w:szCs w:val="24"/>
                <w:lang w:val="fr-CA"/>
              </w:rPr>
            </w:pPr>
            <w:r w:rsidRPr="0076602A">
              <w:rPr>
                <w:szCs w:val="24"/>
                <w:lang w:val="fr-CA"/>
              </w:rPr>
              <w:t>AVIS</w:t>
            </w:r>
          </w:p>
          <w:p w:rsidR="00F138C1" w:rsidRPr="0076602A" w:rsidRDefault="00F138C1" w:rsidP="00F138C1">
            <w:pPr>
              <w:keepNext/>
              <w:tabs>
                <w:tab w:val="right" w:pos="9360"/>
              </w:tabs>
              <w:spacing w:after="120"/>
              <w:jc w:val="both"/>
              <w:rPr>
                <w:sz w:val="20"/>
                <w:szCs w:val="20"/>
                <w:lang w:val="fr-CA"/>
              </w:rPr>
            </w:pPr>
            <w:r w:rsidRPr="0076602A">
              <w:rPr>
                <w:szCs w:val="24"/>
                <w:lang w:val="fr-CA"/>
              </w:rPr>
              <w:t>Les résumés des causes publiés dans le bulletin sont préparés par le Bureau du registraire (Direction générale du droit) uniquement à titre d’information.</w:t>
            </w:r>
          </w:p>
        </w:tc>
      </w:tr>
    </w:tbl>
    <w:p w:rsidR="00F138C1" w:rsidRPr="0076602A" w:rsidRDefault="00F138C1" w:rsidP="00F138C1">
      <w:pPr>
        <w:tabs>
          <w:tab w:val="right" w:pos="9360"/>
        </w:tabs>
        <w:rPr>
          <w:lang w:val="fr-CA"/>
        </w:rPr>
      </w:pPr>
    </w:p>
    <w:p w:rsidR="00F138C1" w:rsidRPr="0076602A" w:rsidRDefault="00F138C1" w:rsidP="00F138C1">
      <w:pPr>
        <w:tabs>
          <w:tab w:val="right" w:pos="9360"/>
        </w:tabs>
        <w:rPr>
          <w:lang w:val="fr-CA"/>
        </w:rPr>
      </w:pPr>
    </w:p>
    <w:p w:rsidR="00C01FCB" w:rsidRPr="0076602A" w:rsidRDefault="00C01FCB" w:rsidP="0095096B">
      <w:pPr>
        <w:tabs>
          <w:tab w:val="right" w:pos="9360"/>
        </w:tabs>
        <w:rPr>
          <w:lang w:val="fr-CA"/>
        </w:rPr>
      </w:pPr>
    </w:p>
    <w:p w:rsidR="00A87207" w:rsidRPr="0076602A" w:rsidRDefault="00A87207" w:rsidP="0095096B">
      <w:pPr>
        <w:tabs>
          <w:tab w:val="right" w:pos="9360"/>
        </w:tabs>
        <w:rPr>
          <w:lang w:val="fr-CA"/>
        </w:rPr>
        <w:sectPr w:rsidR="00A87207" w:rsidRPr="0076602A" w:rsidSect="0044776A">
          <w:pgSz w:w="12240" w:h="15840"/>
          <w:pgMar w:top="720" w:right="1152" w:bottom="1080" w:left="1440" w:header="706" w:footer="706" w:gutter="0"/>
          <w:cols w:space="708"/>
          <w:titlePg/>
          <w:docGrid w:linePitch="360"/>
        </w:sectPr>
      </w:pPr>
    </w:p>
    <w:p w:rsidR="00560DF1" w:rsidRPr="0076602A" w:rsidRDefault="00DD0BDC" w:rsidP="00567602">
      <w:pPr>
        <w:pStyle w:val="Header1StyleE"/>
        <w:pBdr>
          <w:bottom w:val="single" w:sz="12" w:space="1" w:color="auto"/>
        </w:pBdr>
        <w:rPr>
          <w:lang w:val="fr-CA"/>
        </w:rPr>
      </w:pPr>
      <w:bookmarkStart w:id="0" w:name="_Toc114810704"/>
      <w:r w:rsidRPr="0076602A">
        <w:rPr>
          <w:lang w:val="fr-CA"/>
        </w:rPr>
        <w:lastRenderedPageBreak/>
        <w:t>Applications for leave to appeal filed</w:t>
      </w:r>
      <w:r w:rsidR="00271E1E" w:rsidRPr="0076602A">
        <w:rPr>
          <w:lang w:val="fr-CA"/>
        </w:rPr>
        <w:t xml:space="preserve"> / </w:t>
      </w:r>
      <w:r w:rsidR="00727571" w:rsidRPr="0076602A">
        <w:rPr>
          <w:lang w:val="fr-CA"/>
        </w:rPr>
        <w:br/>
      </w:r>
      <w:r w:rsidRPr="0076602A">
        <w:rPr>
          <w:lang w:val="fr-CA"/>
        </w:rPr>
        <w:t>Demandes d’autorisation d’appel déposées</w:t>
      </w:r>
      <w:bookmarkEnd w:id="0"/>
    </w:p>
    <w:p w:rsidR="00F138C1" w:rsidRPr="0076602A"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76602A" w:rsidTr="00F138C1">
        <w:tc>
          <w:tcPr>
            <w:tcW w:w="4239" w:type="dxa"/>
            <w:shd w:val="clear" w:color="auto" w:fill="auto"/>
          </w:tcPr>
          <w:p w:rsidR="00F138C1" w:rsidRPr="0076602A" w:rsidRDefault="00A05694" w:rsidP="00F138C1">
            <w:pPr>
              <w:rPr>
                <w:sz w:val="20"/>
                <w:szCs w:val="20"/>
                <w:lang w:val="fr-CA"/>
              </w:rPr>
            </w:pPr>
            <w:r w:rsidRPr="0076602A">
              <w:rPr>
                <w:b/>
                <w:sz w:val="20"/>
                <w:szCs w:val="20"/>
                <w:lang w:val="fr-CA"/>
              </w:rPr>
              <w:t>Kathleen Ann Jenkins</w:t>
            </w:r>
          </w:p>
          <w:p w:rsidR="00F138C1" w:rsidRPr="0076602A" w:rsidRDefault="00F138C1" w:rsidP="00F138C1">
            <w:pPr>
              <w:tabs>
                <w:tab w:val="left" w:pos="-1440"/>
                <w:tab w:val="left" w:pos="-720"/>
              </w:tabs>
              <w:rPr>
                <w:sz w:val="20"/>
                <w:szCs w:val="20"/>
                <w:lang w:val="fr-CA"/>
              </w:rPr>
            </w:pPr>
            <w:r w:rsidRPr="0076602A">
              <w:rPr>
                <w:sz w:val="20"/>
                <w:szCs w:val="20"/>
                <w:lang w:val="fr-CA"/>
              </w:rPr>
              <w:tab/>
            </w:r>
            <w:r w:rsidR="00A05694" w:rsidRPr="0076602A">
              <w:rPr>
                <w:sz w:val="20"/>
                <w:szCs w:val="20"/>
                <w:lang w:val="fr-CA"/>
              </w:rPr>
              <w:t>Collette, Guy J.</w:t>
            </w:r>
          </w:p>
          <w:p w:rsidR="00F138C1" w:rsidRPr="0076602A" w:rsidRDefault="00EC6816" w:rsidP="00F138C1">
            <w:pPr>
              <w:tabs>
                <w:tab w:val="left" w:pos="-1440"/>
                <w:tab w:val="left" w:pos="-720"/>
              </w:tabs>
              <w:rPr>
                <w:sz w:val="20"/>
                <w:szCs w:val="20"/>
                <w:lang w:val="fr-CA"/>
              </w:rPr>
            </w:pPr>
            <w:r w:rsidRPr="0076602A">
              <w:rPr>
                <w:sz w:val="20"/>
                <w:szCs w:val="20"/>
                <w:lang w:val="fr-CA"/>
              </w:rPr>
              <w:tab/>
            </w:r>
            <w:r w:rsidR="00A05694" w:rsidRPr="0076602A">
              <w:rPr>
                <w:sz w:val="20"/>
                <w:szCs w:val="20"/>
                <w:lang w:val="fr-CA"/>
              </w:rPr>
              <w:t>Collette Parsons Corrin LLP</w:t>
            </w:r>
          </w:p>
          <w:p w:rsidR="00EC6816" w:rsidRPr="0076602A" w:rsidRDefault="00EC6816" w:rsidP="00F138C1">
            <w:pPr>
              <w:tabs>
                <w:tab w:val="left" w:pos="-1440"/>
                <w:tab w:val="left" w:pos="-720"/>
              </w:tabs>
              <w:rPr>
                <w:sz w:val="20"/>
                <w:szCs w:val="20"/>
                <w:lang w:val="fr-CA"/>
              </w:rPr>
            </w:pPr>
          </w:p>
          <w:p w:rsidR="00F138C1" w:rsidRPr="0076602A" w:rsidRDefault="00A05694" w:rsidP="00F138C1">
            <w:pPr>
              <w:tabs>
                <w:tab w:val="left" w:pos="-1440"/>
                <w:tab w:val="left" w:pos="-720"/>
              </w:tabs>
              <w:rPr>
                <w:sz w:val="20"/>
                <w:szCs w:val="20"/>
                <w:lang w:val="fr-CA"/>
              </w:rPr>
            </w:pPr>
            <w:r w:rsidRPr="0076602A">
              <w:rPr>
                <w:sz w:val="20"/>
                <w:szCs w:val="20"/>
                <w:lang w:val="fr-CA"/>
              </w:rPr>
              <w:tab/>
              <w:t>v. (40203</w:t>
            </w:r>
            <w:r w:rsidR="00F138C1" w:rsidRPr="0076602A">
              <w:rPr>
                <w:sz w:val="20"/>
                <w:szCs w:val="20"/>
                <w:lang w:val="fr-CA"/>
              </w:rPr>
              <w:t>)</w:t>
            </w:r>
          </w:p>
          <w:p w:rsidR="00F138C1" w:rsidRPr="0076602A" w:rsidRDefault="00F138C1" w:rsidP="00F138C1">
            <w:pPr>
              <w:tabs>
                <w:tab w:val="left" w:pos="-1440"/>
                <w:tab w:val="left" w:pos="-720"/>
              </w:tabs>
              <w:rPr>
                <w:sz w:val="20"/>
                <w:szCs w:val="20"/>
                <w:lang w:val="fr-CA"/>
              </w:rPr>
            </w:pPr>
          </w:p>
          <w:p w:rsidR="00F138C1" w:rsidRPr="0076602A" w:rsidRDefault="00A05694" w:rsidP="00F138C1">
            <w:pPr>
              <w:tabs>
                <w:tab w:val="left" w:pos="-1440"/>
                <w:tab w:val="left" w:pos="-720"/>
              </w:tabs>
              <w:rPr>
                <w:b/>
                <w:sz w:val="20"/>
                <w:szCs w:val="20"/>
                <w:lang w:val="fr-CA"/>
              </w:rPr>
            </w:pPr>
            <w:r w:rsidRPr="0076602A">
              <w:rPr>
                <w:b/>
                <w:sz w:val="20"/>
                <w:szCs w:val="20"/>
                <w:lang w:val="fr-CA"/>
              </w:rPr>
              <w:t>Dennis Casey, et al.</w:t>
            </w:r>
            <w:r w:rsidR="00F138C1" w:rsidRPr="0076602A">
              <w:rPr>
                <w:b/>
                <w:sz w:val="20"/>
                <w:szCs w:val="20"/>
                <w:lang w:val="fr-CA"/>
              </w:rPr>
              <w:t xml:space="preserve"> (</w:t>
            </w:r>
            <w:r w:rsidRPr="0076602A">
              <w:rPr>
                <w:b/>
                <w:sz w:val="20"/>
                <w:szCs w:val="20"/>
                <w:lang w:val="fr-CA"/>
              </w:rPr>
              <w:t>B.C</w:t>
            </w:r>
            <w:r w:rsidR="00F138C1" w:rsidRPr="0076602A">
              <w:rPr>
                <w:b/>
                <w:sz w:val="20"/>
                <w:szCs w:val="20"/>
                <w:lang w:val="fr-CA"/>
              </w:rPr>
              <w:t>.)</w:t>
            </w:r>
          </w:p>
          <w:p w:rsidR="00F138C1" w:rsidRPr="0076602A" w:rsidRDefault="00F138C1" w:rsidP="00F138C1">
            <w:pPr>
              <w:tabs>
                <w:tab w:val="left" w:pos="-1440"/>
                <w:tab w:val="left" w:pos="-720"/>
              </w:tabs>
              <w:rPr>
                <w:sz w:val="20"/>
                <w:szCs w:val="20"/>
                <w:lang w:val="fr-CA"/>
              </w:rPr>
            </w:pPr>
            <w:r w:rsidRPr="0076602A">
              <w:rPr>
                <w:sz w:val="20"/>
                <w:szCs w:val="20"/>
                <w:lang w:val="fr-CA"/>
              </w:rPr>
              <w:tab/>
            </w:r>
            <w:r w:rsidR="00A05694" w:rsidRPr="0076602A">
              <w:rPr>
                <w:sz w:val="20"/>
                <w:szCs w:val="20"/>
                <w:lang w:val="fr-CA"/>
              </w:rPr>
              <w:t>Gunn, Q.C., Angus M.</w:t>
            </w:r>
          </w:p>
          <w:p w:rsidR="00F138C1" w:rsidRPr="0076602A" w:rsidRDefault="00F138C1" w:rsidP="00F138C1">
            <w:pPr>
              <w:tabs>
                <w:tab w:val="left" w:pos="-1440"/>
                <w:tab w:val="left" w:pos="-720"/>
              </w:tabs>
              <w:rPr>
                <w:sz w:val="20"/>
                <w:szCs w:val="20"/>
              </w:rPr>
            </w:pPr>
            <w:r w:rsidRPr="0076602A">
              <w:rPr>
                <w:sz w:val="20"/>
                <w:szCs w:val="20"/>
                <w:lang w:val="fr-CA"/>
              </w:rPr>
              <w:tab/>
            </w:r>
            <w:r w:rsidR="00A05694" w:rsidRPr="0076602A">
              <w:rPr>
                <w:sz w:val="20"/>
                <w:szCs w:val="20"/>
              </w:rPr>
              <w:t>Eyford Partners LLP</w:t>
            </w:r>
          </w:p>
          <w:p w:rsidR="00F138C1" w:rsidRPr="0076602A" w:rsidRDefault="00F138C1" w:rsidP="00F138C1">
            <w:pPr>
              <w:tabs>
                <w:tab w:val="left" w:pos="-1440"/>
                <w:tab w:val="left" w:pos="-720"/>
              </w:tabs>
              <w:rPr>
                <w:sz w:val="20"/>
                <w:szCs w:val="20"/>
              </w:rPr>
            </w:pPr>
          </w:p>
          <w:p w:rsidR="00F138C1" w:rsidRPr="0076602A" w:rsidRDefault="00F138C1" w:rsidP="00F138C1">
            <w:pPr>
              <w:rPr>
                <w:sz w:val="20"/>
                <w:szCs w:val="20"/>
              </w:rPr>
            </w:pPr>
            <w:r w:rsidRPr="0076602A">
              <w:rPr>
                <w:sz w:val="20"/>
                <w:szCs w:val="20"/>
              </w:rPr>
              <w:t xml:space="preserve">FILING DATE: </w:t>
            </w:r>
            <w:r w:rsidR="00DA1D48" w:rsidRPr="0076602A">
              <w:rPr>
                <w:sz w:val="20"/>
                <w:szCs w:val="20"/>
              </w:rPr>
              <w:t>Ju</w:t>
            </w:r>
            <w:r w:rsidR="00A05694" w:rsidRPr="0076602A">
              <w:rPr>
                <w:sz w:val="20"/>
                <w:szCs w:val="20"/>
              </w:rPr>
              <w:t>ne</w:t>
            </w:r>
            <w:r w:rsidRPr="0076602A">
              <w:rPr>
                <w:sz w:val="20"/>
                <w:szCs w:val="20"/>
              </w:rPr>
              <w:t xml:space="preserve"> </w:t>
            </w:r>
            <w:r w:rsidR="00A05694" w:rsidRPr="0076602A">
              <w:rPr>
                <w:sz w:val="20"/>
                <w:szCs w:val="20"/>
              </w:rPr>
              <w:t>10</w:t>
            </w:r>
            <w:r w:rsidRPr="0076602A">
              <w:rPr>
                <w:sz w:val="20"/>
                <w:szCs w:val="20"/>
              </w:rPr>
              <w:t>, 20</w:t>
            </w:r>
            <w:r w:rsidR="00DA1D48" w:rsidRPr="0076602A">
              <w:rPr>
                <w:sz w:val="20"/>
                <w:szCs w:val="20"/>
              </w:rPr>
              <w:t>2</w:t>
            </w:r>
            <w:r w:rsidR="00E8642A" w:rsidRPr="0076602A">
              <w:rPr>
                <w:sz w:val="20"/>
                <w:szCs w:val="20"/>
              </w:rPr>
              <w:t>2</w:t>
            </w:r>
          </w:p>
          <w:p w:rsidR="004B2E86" w:rsidRPr="0076602A" w:rsidRDefault="004B2E86" w:rsidP="00F138C1">
            <w:pPr>
              <w:rPr>
                <w:sz w:val="20"/>
                <w:szCs w:val="20"/>
              </w:rPr>
            </w:pPr>
          </w:p>
          <w:p w:rsidR="00F138C1" w:rsidRPr="0076602A" w:rsidRDefault="00CF2ACD"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76602A" w:rsidRDefault="00F138C1" w:rsidP="00F138C1">
            <w:pPr>
              <w:jc w:val="center"/>
              <w:rPr>
                <w:sz w:val="20"/>
                <w:szCs w:val="20"/>
              </w:rPr>
            </w:pPr>
          </w:p>
          <w:p w:rsidR="00F138C1" w:rsidRPr="0076602A" w:rsidRDefault="00F138C1" w:rsidP="00F138C1">
            <w:pPr>
              <w:jc w:val="center"/>
              <w:rPr>
                <w:sz w:val="20"/>
                <w:szCs w:val="20"/>
              </w:rPr>
            </w:pPr>
          </w:p>
          <w:p w:rsidR="00F138C1" w:rsidRPr="0076602A" w:rsidRDefault="00F138C1" w:rsidP="00F138C1">
            <w:pPr>
              <w:jc w:val="center"/>
              <w:rPr>
                <w:sz w:val="20"/>
                <w:szCs w:val="20"/>
              </w:rPr>
            </w:pPr>
          </w:p>
          <w:p w:rsidR="00F138C1" w:rsidRPr="0076602A" w:rsidRDefault="00F138C1" w:rsidP="00F138C1">
            <w:pPr>
              <w:jc w:val="center"/>
              <w:rPr>
                <w:sz w:val="20"/>
                <w:szCs w:val="20"/>
              </w:rPr>
            </w:pPr>
          </w:p>
          <w:p w:rsidR="00F138C1" w:rsidRPr="0076602A" w:rsidRDefault="00F138C1" w:rsidP="00F138C1">
            <w:pPr>
              <w:jc w:val="center"/>
              <w:rPr>
                <w:sz w:val="20"/>
                <w:szCs w:val="20"/>
              </w:rPr>
            </w:pPr>
          </w:p>
          <w:p w:rsidR="00F138C1" w:rsidRPr="0076602A" w:rsidRDefault="00F138C1" w:rsidP="00F138C1">
            <w:pPr>
              <w:jc w:val="center"/>
              <w:rPr>
                <w:sz w:val="20"/>
                <w:szCs w:val="20"/>
              </w:rPr>
            </w:pPr>
          </w:p>
          <w:p w:rsidR="00F138C1" w:rsidRPr="0076602A" w:rsidRDefault="00F138C1" w:rsidP="00F138C1">
            <w:pPr>
              <w:jc w:val="center"/>
              <w:rPr>
                <w:sz w:val="20"/>
                <w:szCs w:val="20"/>
              </w:rPr>
            </w:pPr>
          </w:p>
          <w:p w:rsidR="00F138C1" w:rsidRPr="0076602A" w:rsidRDefault="00F138C1" w:rsidP="00F138C1">
            <w:pPr>
              <w:jc w:val="center"/>
              <w:rPr>
                <w:sz w:val="20"/>
                <w:szCs w:val="20"/>
              </w:rPr>
            </w:pPr>
          </w:p>
          <w:p w:rsidR="00F138C1" w:rsidRPr="0076602A" w:rsidRDefault="00F138C1" w:rsidP="00F138C1">
            <w:pPr>
              <w:jc w:val="center"/>
              <w:rPr>
                <w:sz w:val="20"/>
                <w:szCs w:val="20"/>
              </w:rPr>
            </w:pPr>
          </w:p>
          <w:p w:rsidR="00F138C1" w:rsidRPr="0076602A" w:rsidRDefault="00F138C1" w:rsidP="00F138C1">
            <w:pPr>
              <w:jc w:val="center"/>
              <w:rPr>
                <w:sz w:val="20"/>
                <w:szCs w:val="20"/>
              </w:rPr>
            </w:pPr>
          </w:p>
          <w:p w:rsidR="00F138C1" w:rsidRPr="0076602A" w:rsidRDefault="00F138C1" w:rsidP="00F138C1">
            <w:pPr>
              <w:jc w:val="center"/>
              <w:rPr>
                <w:sz w:val="20"/>
                <w:szCs w:val="20"/>
              </w:rPr>
            </w:pPr>
          </w:p>
          <w:p w:rsidR="00F138C1" w:rsidRPr="0076602A" w:rsidRDefault="00F138C1" w:rsidP="00F138C1">
            <w:pPr>
              <w:jc w:val="center"/>
              <w:rPr>
                <w:sz w:val="20"/>
                <w:szCs w:val="20"/>
              </w:rPr>
            </w:pPr>
          </w:p>
          <w:p w:rsidR="004B2E86" w:rsidRPr="0076602A" w:rsidRDefault="004B2E86" w:rsidP="00F138C1">
            <w:pPr>
              <w:jc w:val="center"/>
              <w:rPr>
                <w:sz w:val="20"/>
                <w:szCs w:val="20"/>
              </w:rPr>
            </w:pPr>
          </w:p>
          <w:p w:rsidR="00F138C1" w:rsidRPr="0076602A" w:rsidRDefault="00F138C1" w:rsidP="00F138C1">
            <w:pPr>
              <w:jc w:val="center"/>
              <w:rPr>
                <w:sz w:val="20"/>
                <w:szCs w:val="20"/>
              </w:rPr>
            </w:pPr>
          </w:p>
        </w:tc>
        <w:tc>
          <w:tcPr>
            <w:tcW w:w="4239" w:type="dxa"/>
            <w:shd w:val="clear" w:color="auto" w:fill="auto"/>
          </w:tcPr>
          <w:p w:rsidR="00F138C1" w:rsidRPr="0076602A" w:rsidRDefault="00F138C1" w:rsidP="00F138C1">
            <w:pPr>
              <w:rPr>
                <w:sz w:val="20"/>
                <w:szCs w:val="20"/>
                <w:lang w:val="fr-CA"/>
              </w:rPr>
            </w:pPr>
          </w:p>
        </w:tc>
      </w:tr>
    </w:tbl>
    <w:p w:rsidR="00F138C1" w:rsidRPr="0076602A" w:rsidRDefault="00F138C1" w:rsidP="00F138C1">
      <w:pPr>
        <w:tabs>
          <w:tab w:val="right" w:pos="9360"/>
        </w:tabs>
        <w:rPr>
          <w:sz w:val="20"/>
          <w:szCs w:val="20"/>
          <w:lang w:val="fr-CA"/>
        </w:rPr>
      </w:pPr>
    </w:p>
    <w:p w:rsidR="00F138C1" w:rsidRPr="0076602A" w:rsidRDefault="00F138C1" w:rsidP="00F138C1">
      <w:pPr>
        <w:tabs>
          <w:tab w:val="right" w:pos="9360"/>
        </w:tabs>
        <w:rPr>
          <w:sz w:val="20"/>
          <w:szCs w:val="20"/>
          <w:lang w:val="fr-CA"/>
        </w:rPr>
      </w:pPr>
    </w:p>
    <w:p w:rsidR="00C01FCB" w:rsidRPr="0076602A" w:rsidRDefault="00C01FCB" w:rsidP="0095096B">
      <w:pPr>
        <w:tabs>
          <w:tab w:val="right" w:pos="9360"/>
        </w:tabs>
        <w:rPr>
          <w:sz w:val="20"/>
          <w:szCs w:val="20"/>
          <w:lang w:val="fr-CA"/>
        </w:rPr>
      </w:pPr>
    </w:p>
    <w:p w:rsidR="00242AEE" w:rsidRPr="0076602A" w:rsidRDefault="00242AEE" w:rsidP="0095096B">
      <w:pPr>
        <w:tabs>
          <w:tab w:val="right" w:pos="9360"/>
        </w:tabs>
        <w:rPr>
          <w:sz w:val="20"/>
          <w:szCs w:val="20"/>
          <w:lang w:val="fr-CA"/>
        </w:rPr>
        <w:sectPr w:rsidR="00242AEE" w:rsidRPr="0076602A"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76602A" w:rsidRDefault="00DD0BDC" w:rsidP="00567602">
      <w:pPr>
        <w:pStyle w:val="Header1StyleE"/>
        <w:pBdr>
          <w:bottom w:val="single" w:sz="12" w:space="1" w:color="auto"/>
        </w:pBdr>
        <w:rPr>
          <w:lang w:val="fr-CA"/>
        </w:rPr>
      </w:pPr>
      <w:bookmarkStart w:id="1" w:name="QuickMark_1"/>
      <w:bookmarkStart w:id="2" w:name="_Toc114810705"/>
      <w:bookmarkEnd w:id="1"/>
      <w:r w:rsidRPr="0076602A">
        <w:rPr>
          <w:lang w:val="fr-CA"/>
        </w:rPr>
        <w:lastRenderedPageBreak/>
        <w:t>Motions</w:t>
      </w:r>
      <w:r w:rsidR="00271E1E" w:rsidRPr="0076602A">
        <w:rPr>
          <w:lang w:val="fr-CA"/>
        </w:rPr>
        <w:t xml:space="preserve"> / </w:t>
      </w:r>
      <w:r w:rsidR="00693C38" w:rsidRPr="0076602A">
        <w:rPr>
          <w:lang w:val="fr-CA"/>
        </w:rPr>
        <w:br/>
      </w:r>
      <w:r w:rsidRPr="0076602A">
        <w:rPr>
          <w:lang w:val="fr-CA"/>
        </w:rPr>
        <w:t>Requêtes</w:t>
      </w:r>
      <w:bookmarkEnd w:id="2"/>
    </w:p>
    <w:p w:rsidR="00890FEB" w:rsidRPr="0076602A" w:rsidRDefault="00890FEB" w:rsidP="00890FEB">
      <w:pPr>
        <w:rPr>
          <w:sz w:val="20"/>
          <w:szCs w:val="20"/>
          <w:lang w:val="fr-CA"/>
        </w:rPr>
      </w:pPr>
    </w:p>
    <w:p w:rsidR="008859F1" w:rsidRPr="0076602A" w:rsidRDefault="002C13E1" w:rsidP="008859F1">
      <w:pPr>
        <w:rPr>
          <w:b/>
          <w:sz w:val="20"/>
          <w:szCs w:val="20"/>
          <w:lang w:val="fr-CA"/>
        </w:rPr>
      </w:pPr>
      <w:r w:rsidRPr="0076602A">
        <w:rPr>
          <w:b/>
          <w:sz w:val="20"/>
          <w:szCs w:val="20"/>
          <w:lang w:val="fr-CA"/>
        </w:rPr>
        <w:t>SEPTEMBER</w:t>
      </w:r>
      <w:r w:rsidR="008859F1" w:rsidRPr="0076602A">
        <w:rPr>
          <w:b/>
          <w:sz w:val="20"/>
          <w:szCs w:val="20"/>
          <w:lang w:val="fr-CA"/>
        </w:rPr>
        <w:t xml:space="preserve"> </w:t>
      </w:r>
      <w:r w:rsidRPr="0076602A">
        <w:rPr>
          <w:b/>
          <w:sz w:val="20"/>
          <w:szCs w:val="20"/>
          <w:lang w:val="fr-CA"/>
        </w:rPr>
        <w:t>2</w:t>
      </w:r>
      <w:r w:rsidR="00B353AA" w:rsidRPr="0076602A">
        <w:rPr>
          <w:b/>
          <w:sz w:val="20"/>
          <w:szCs w:val="20"/>
          <w:lang w:val="fr-CA"/>
        </w:rPr>
        <w:t>0</w:t>
      </w:r>
      <w:r w:rsidR="008859F1" w:rsidRPr="0076602A">
        <w:rPr>
          <w:b/>
          <w:sz w:val="20"/>
          <w:szCs w:val="20"/>
          <w:lang w:val="fr-CA"/>
        </w:rPr>
        <w:t>, 20</w:t>
      </w:r>
      <w:r w:rsidR="005967EF" w:rsidRPr="0076602A">
        <w:rPr>
          <w:b/>
          <w:sz w:val="20"/>
          <w:szCs w:val="20"/>
          <w:lang w:val="fr-CA"/>
        </w:rPr>
        <w:t>2</w:t>
      </w:r>
      <w:r w:rsidR="00E8642A" w:rsidRPr="0076602A">
        <w:rPr>
          <w:b/>
          <w:sz w:val="20"/>
          <w:szCs w:val="20"/>
          <w:lang w:val="fr-CA"/>
        </w:rPr>
        <w:t>2</w:t>
      </w:r>
      <w:r w:rsidR="008859F1" w:rsidRPr="0076602A">
        <w:rPr>
          <w:b/>
          <w:sz w:val="20"/>
          <w:szCs w:val="20"/>
          <w:lang w:val="fr-CA"/>
        </w:rPr>
        <w:t xml:space="preserve"> / LE </w:t>
      </w:r>
      <w:r w:rsidRPr="0076602A">
        <w:rPr>
          <w:b/>
          <w:sz w:val="20"/>
          <w:szCs w:val="20"/>
          <w:lang w:val="fr-CA"/>
        </w:rPr>
        <w:t>2</w:t>
      </w:r>
      <w:r w:rsidR="00B353AA" w:rsidRPr="0076602A">
        <w:rPr>
          <w:b/>
          <w:sz w:val="20"/>
          <w:szCs w:val="20"/>
          <w:lang w:val="fr-CA"/>
        </w:rPr>
        <w:t>0</w:t>
      </w:r>
      <w:r w:rsidR="008859F1" w:rsidRPr="0076602A">
        <w:rPr>
          <w:b/>
          <w:sz w:val="20"/>
          <w:szCs w:val="20"/>
          <w:lang w:val="fr-CA"/>
        </w:rPr>
        <w:t xml:space="preserve"> </w:t>
      </w:r>
      <w:r w:rsidRPr="0076602A">
        <w:rPr>
          <w:b/>
          <w:sz w:val="20"/>
          <w:szCs w:val="20"/>
          <w:lang w:val="fr-CA"/>
        </w:rPr>
        <w:t>SEPTEMBRE</w:t>
      </w:r>
      <w:r w:rsidR="008859F1" w:rsidRPr="0076602A">
        <w:rPr>
          <w:b/>
          <w:sz w:val="20"/>
          <w:szCs w:val="20"/>
          <w:lang w:val="fr-CA"/>
        </w:rPr>
        <w:t xml:space="preserve"> 20</w:t>
      </w:r>
      <w:r w:rsidR="005967EF" w:rsidRPr="0076602A">
        <w:rPr>
          <w:b/>
          <w:sz w:val="20"/>
          <w:szCs w:val="20"/>
          <w:lang w:val="fr-CA"/>
        </w:rPr>
        <w:t>2</w:t>
      </w:r>
      <w:r w:rsidR="00E8642A" w:rsidRPr="0076602A">
        <w:rPr>
          <w:b/>
          <w:sz w:val="20"/>
          <w:szCs w:val="20"/>
          <w:lang w:val="fr-CA"/>
        </w:rPr>
        <w:t>2</w:t>
      </w:r>
    </w:p>
    <w:p w:rsidR="00102792" w:rsidRPr="0076602A"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76602A" w:rsidTr="00691D1D">
        <w:tc>
          <w:tcPr>
            <w:tcW w:w="4410" w:type="dxa"/>
            <w:tcBorders>
              <w:top w:val="nil"/>
              <w:left w:val="nil"/>
              <w:bottom w:val="nil"/>
              <w:right w:val="nil"/>
            </w:tcBorders>
          </w:tcPr>
          <w:p w:rsidR="00D93A6C" w:rsidRPr="0076602A" w:rsidRDefault="00D93A6C" w:rsidP="00B353AA">
            <w:pPr>
              <w:jc w:val="both"/>
              <w:rPr>
                <w:rFonts w:cs="Times New Roman"/>
                <w:b/>
                <w:bCs/>
                <w:sz w:val="20"/>
                <w:szCs w:val="20"/>
                <w:lang w:val="en-US"/>
              </w:rPr>
            </w:pPr>
            <w:r w:rsidRPr="0076602A">
              <w:rPr>
                <w:rFonts w:eastAsia="Times New Roman" w:cs="Times New Roman"/>
                <w:b/>
                <w:sz w:val="20"/>
                <w:szCs w:val="20"/>
                <w:lang w:val="en-US" w:eastAsia="en-CA"/>
              </w:rPr>
              <w:t xml:space="preserve">Motion </w:t>
            </w:r>
            <w:r w:rsidR="00B353AA" w:rsidRPr="0076602A">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76602A"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76602A" w:rsidRDefault="00D93A6C" w:rsidP="00691D1D">
            <w:pPr>
              <w:jc w:val="both"/>
              <w:rPr>
                <w:rFonts w:cs="Times New Roman"/>
                <w:b/>
                <w:bCs/>
                <w:sz w:val="20"/>
                <w:szCs w:val="20"/>
                <w:lang w:val="fr-CA"/>
              </w:rPr>
            </w:pPr>
            <w:r w:rsidRPr="0076602A">
              <w:rPr>
                <w:rFonts w:eastAsia="Times New Roman" w:cs="Times New Roman"/>
                <w:b/>
                <w:sz w:val="20"/>
                <w:szCs w:val="20"/>
                <w:lang w:val="fr-CA" w:eastAsia="en-CA"/>
              </w:rPr>
              <w:t xml:space="preserve">Requête </w:t>
            </w:r>
            <w:r w:rsidR="00B353AA" w:rsidRPr="0076602A">
              <w:rPr>
                <w:rFonts w:eastAsia="Times New Roman" w:cs="Times New Roman"/>
                <w:b/>
                <w:sz w:val="20"/>
                <w:szCs w:val="20"/>
                <w:lang w:val="fr-CA" w:eastAsia="en-CA"/>
              </w:rPr>
              <w:t>en autorisation d’intervention</w:t>
            </w:r>
          </w:p>
        </w:tc>
      </w:tr>
    </w:tbl>
    <w:p w:rsidR="00D93A6C" w:rsidRPr="0076602A" w:rsidRDefault="00D93A6C" w:rsidP="00102792">
      <w:pPr>
        <w:tabs>
          <w:tab w:val="left" w:pos="-1440"/>
          <w:tab w:val="left" w:pos="-720"/>
        </w:tabs>
        <w:jc w:val="both"/>
        <w:rPr>
          <w:rFonts w:eastAsia="Times New Roman" w:cs="Times New Roman"/>
          <w:sz w:val="20"/>
          <w:szCs w:val="20"/>
          <w:lang w:val="fr-CA" w:eastAsia="en-CA"/>
        </w:rPr>
      </w:pPr>
    </w:p>
    <w:p w:rsidR="00D93A6C" w:rsidRPr="0076602A" w:rsidRDefault="00D93A6C" w:rsidP="00102792">
      <w:pPr>
        <w:tabs>
          <w:tab w:val="left" w:pos="-1440"/>
          <w:tab w:val="left" w:pos="-720"/>
        </w:tabs>
        <w:jc w:val="both"/>
        <w:rPr>
          <w:rFonts w:eastAsia="Times New Roman" w:cs="Times New Roman"/>
          <w:sz w:val="20"/>
          <w:szCs w:val="20"/>
          <w:lang w:val="fr-CA" w:eastAsia="en-CA"/>
        </w:rPr>
      </w:pPr>
    </w:p>
    <w:p w:rsidR="00B353AA" w:rsidRPr="0076602A" w:rsidRDefault="00B353AA" w:rsidP="00B353AA">
      <w:pPr>
        <w:pStyle w:val="scclsocparty1"/>
        <w:jc w:val="both"/>
        <w:rPr>
          <w:b/>
          <w:bCs/>
          <w:sz w:val="20"/>
          <w:szCs w:val="20"/>
        </w:rPr>
      </w:pPr>
      <w:r w:rsidRPr="0076602A">
        <w:rPr>
          <w:b/>
          <w:bCs/>
          <w:caps/>
          <w:sz w:val="20"/>
          <w:szCs w:val="20"/>
        </w:rPr>
        <w:t xml:space="preserve">AHMED ABDULLAHI </w:t>
      </w:r>
      <w:r w:rsidRPr="0076602A">
        <w:rPr>
          <w:b/>
          <w:bCs/>
          <w:sz w:val="20"/>
          <w:szCs w:val="20"/>
        </w:rPr>
        <w:t>v. HIS MAJESTY THE KING</w:t>
      </w:r>
    </w:p>
    <w:p w:rsidR="00B353AA" w:rsidRPr="0076602A" w:rsidRDefault="00B353AA" w:rsidP="00B353AA">
      <w:pPr>
        <w:rPr>
          <w:rFonts w:cs="Times New Roman"/>
          <w:bCs/>
          <w:sz w:val="20"/>
          <w:szCs w:val="20"/>
        </w:rPr>
      </w:pPr>
      <w:r w:rsidRPr="0076602A">
        <w:rPr>
          <w:rFonts w:cs="Times New Roman"/>
          <w:bCs/>
          <w:sz w:val="20"/>
          <w:szCs w:val="20"/>
        </w:rPr>
        <w:t xml:space="preserve">(Ont.) (40049) </w:t>
      </w:r>
    </w:p>
    <w:p w:rsidR="00B353AA" w:rsidRPr="0076602A" w:rsidRDefault="00B353AA" w:rsidP="00B353AA">
      <w:pPr>
        <w:rPr>
          <w:rFonts w:cs="Times New Roman"/>
          <w:sz w:val="20"/>
          <w:szCs w:val="20"/>
        </w:rPr>
      </w:pPr>
    </w:p>
    <w:p w:rsidR="00B353AA" w:rsidRPr="0076602A" w:rsidRDefault="00B353AA" w:rsidP="00B353AA">
      <w:pPr>
        <w:rPr>
          <w:rFonts w:eastAsia="Times New Roman" w:cs="Times New Roman"/>
          <w:sz w:val="20"/>
          <w:szCs w:val="20"/>
          <w:lang w:eastAsia="en-CA"/>
        </w:rPr>
      </w:pPr>
      <w:r w:rsidRPr="0076602A">
        <w:rPr>
          <w:rFonts w:eastAsia="Times New Roman" w:cs="Times New Roman"/>
          <w:b/>
          <w:bCs/>
          <w:caps/>
          <w:sz w:val="20"/>
          <w:szCs w:val="20"/>
          <w:u w:val="single"/>
          <w:lang w:eastAsia="en-CA"/>
        </w:rPr>
        <w:t>CÔTÉ J.</w:t>
      </w:r>
      <w:r w:rsidRPr="0076602A">
        <w:rPr>
          <w:rFonts w:eastAsia="Times New Roman" w:cs="Times New Roman"/>
          <w:b/>
          <w:bCs/>
          <w:sz w:val="20"/>
          <w:szCs w:val="20"/>
          <w:lang w:eastAsia="en-CA"/>
        </w:rPr>
        <w:t>:</w:t>
      </w:r>
    </w:p>
    <w:p w:rsidR="00B353AA" w:rsidRPr="0076602A" w:rsidRDefault="00B353AA" w:rsidP="00B353AA">
      <w:pPr>
        <w:rPr>
          <w:rFonts w:cs="Times New Roman"/>
          <w:sz w:val="20"/>
          <w:szCs w:val="20"/>
        </w:rPr>
      </w:pPr>
    </w:p>
    <w:p w:rsidR="00B353AA" w:rsidRPr="0076602A" w:rsidRDefault="00B353AA" w:rsidP="00B353AA">
      <w:pPr>
        <w:rPr>
          <w:rFonts w:eastAsia="Times New Roman" w:cs="Times New Roman"/>
          <w:sz w:val="20"/>
          <w:szCs w:val="20"/>
          <w:lang w:eastAsia="en-CA"/>
        </w:rPr>
      </w:pPr>
      <w:r w:rsidRPr="0076602A">
        <w:rPr>
          <w:rFonts w:eastAsia="Times New Roman" w:cs="Times New Roman"/>
          <w:b/>
          <w:bCs/>
          <w:sz w:val="20"/>
          <w:szCs w:val="20"/>
          <w:lang w:eastAsia="en-CA"/>
        </w:rPr>
        <w:t>UPON APPLICATION</w:t>
      </w:r>
      <w:r w:rsidRPr="0076602A">
        <w:rPr>
          <w:rFonts w:eastAsia="Times New Roman" w:cs="Times New Roman"/>
          <w:sz w:val="20"/>
          <w:szCs w:val="20"/>
          <w:lang w:eastAsia="en-CA"/>
        </w:rPr>
        <w:t xml:space="preserve"> by the Criminal Lawyers’ Association of Ontario for leave to intervene in the above appeal;</w:t>
      </w:r>
    </w:p>
    <w:p w:rsidR="00B353AA" w:rsidRPr="0076602A" w:rsidRDefault="00B353AA" w:rsidP="00B353AA">
      <w:pPr>
        <w:rPr>
          <w:rFonts w:eastAsia="Times New Roman" w:cs="Times New Roman"/>
          <w:sz w:val="20"/>
          <w:szCs w:val="20"/>
          <w:lang w:eastAsia="en-CA"/>
        </w:rPr>
      </w:pPr>
    </w:p>
    <w:p w:rsidR="00B353AA" w:rsidRPr="0076602A" w:rsidRDefault="00B353AA" w:rsidP="00B353AA">
      <w:pPr>
        <w:spacing w:line="233" w:lineRule="auto"/>
        <w:rPr>
          <w:rFonts w:cs="Times New Roman"/>
          <w:sz w:val="20"/>
          <w:szCs w:val="20"/>
        </w:rPr>
      </w:pPr>
      <w:r w:rsidRPr="0076602A">
        <w:rPr>
          <w:rFonts w:cs="Times New Roman"/>
          <w:b/>
          <w:bCs/>
          <w:sz w:val="20"/>
          <w:szCs w:val="20"/>
        </w:rPr>
        <w:t>AND THE MATERIAL FILED</w:t>
      </w:r>
      <w:r w:rsidRPr="0076602A">
        <w:rPr>
          <w:rFonts w:cs="Times New Roman"/>
          <w:sz w:val="20"/>
          <w:szCs w:val="20"/>
        </w:rPr>
        <w:t xml:space="preserve"> having been read;</w:t>
      </w:r>
    </w:p>
    <w:p w:rsidR="00B353AA" w:rsidRPr="0076602A" w:rsidRDefault="00B353AA" w:rsidP="00B353AA">
      <w:pPr>
        <w:spacing w:line="233" w:lineRule="auto"/>
        <w:rPr>
          <w:rFonts w:cs="Times New Roman"/>
          <w:sz w:val="20"/>
          <w:szCs w:val="20"/>
        </w:rPr>
      </w:pPr>
    </w:p>
    <w:p w:rsidR="00B353AA" w:rsidRPr="0076602A" w:rsidRDefault="00B353AA" w:rsidP="00B353AA">
      <w:pPr>
        <w:spacing w:line="233" w:lineRule="auto"/>
        <w:rPr>
          <w:rFonts w:cs="Times New Roman"/>
          <w:b/>
          <w:bCs/>
          <w:sz w:val="20"/>
          <w:szCs w:val="20"/>
        </w:rPr>
      </w:pPr>
      <w:r w:rsidRPr="0076602A">
        <w:rPr>
          <w:rFonts w:cs="Times New Roman"/>
          <w:b/>
          <w:bCs/>
          <w:sz w:val="20"/>
          <w:szCs w:val="20"/>
        </w:rPr>
        <w:t>IT IS HEREBY ORDERED THAT:</w:t>
      </w:r>
    </w:p>
    <w:p w:rsidR="00B353AA" w:rsidRPr="0076602A" w:rsidRDefault="00B353AA" w:rsidP="00B353AA">
      <w:pPr>
        <w:spacing w:line="233" w:lineRule="auto"/>
        <w:rPr>
          <w:rFonts w:cs="Times New Roman"/>
          <w:sz w:val="20"/>
          <w:szCs w:val="20"/>
        </w:rPr>
      </w:pPr>
    </w:p>
    <w:p w:rsidR="00B353AA" w:rsidRPr="0076602A" w:rsidRDefault="00B353AA" w:rsidP="00B353AA">
      <w:pPr>
        <w:rPr>
          <w:rFonts w:cs="Times New Roman"/>
          <w:sz w:val="20"/>
          <w:szCs w:val="20"/>
        </w:rPr>
      </w:pPr>
      <w:r w:rsidRPr="0076602A">
        <w:rPr>
          <w:rFonts w:cs="Times New Roman"/>
          <w:sz w:val="20"/>
          <w:szCs w:val="20"/>
        </w:rPr>
        <w:t>The motion for leave to intervene is granted and the said one (1) intervener shall be entitled to serve and file a factum not to exceed ten (10) pages in length, and book of authorities, if any, on or before November 1</w:t>
      </w:r>
      <w:r w:rsidRPr="0076602A">
        <w:rPr>
          <w:rFonts w:cs="Times New Roman"/>
          <w:sz w:val="20"/>
          <w:szCs w:val="20"/>
          <w:vertAlign w:val="superscript"/>
        </w:rPr>
        <w:t>st</w:t>
      </w:r>
      <w:r w:rsidRPr="0076602A">
        <w:rPr>
          <w:rFonts w:cs="Times New Roman"/>
          <w:sz w:val="20"/>
          <w:szCs w:val="20"/>
        </w:rPr>
        <w:t>, 2022.</w:t>
      </w:r>
    </w:p>
    <w:p w:rsidR="00B353AA" w:rsidRPr="0076602A" w:rsidRDefault="00B353AA" w:rsidP="00B353AA">
      <w:pPr>
        <w:rPr>
          <w:rFonts w:cs="Times New Roman"/>
          <w:sz w:val="20"/>
          <w:szCs w:val="20"/>
        </w:rPr>
      </w:pPr>
    </w:p>
    <w:p w:rsidR="00B353AA" w:rsidRPr="0076602A" w:rsidRDefault="00B353AA" w:rsidP="00B353AA">
      <w:pPr>
        <w:rPr>
          <w:rFonts w:cs="Times New Roman"/>
          <w:sz w:val="20"/>
          <w:szCs w:val="20"/>
        </w:rPr>
      </w:pPr>
      <w:r w:rsidRPr="0076602A">
        <w:rPr>
          <w:rFonts w:cs="Times New Roman"/>
          <w:sz w:val="20"/>
          <w:szCs w:val="20"/>
        </w:rPr>
        <w:t>The said one (1) intervener is granted permission to present oral argument not exceeding five (5) minutes at the hearing of the appeal.</w:t>
      </w:r>
    </w:p>
    <w:p w:rsidR="00B353AA" w:rsidRPr="0076602A" w:rsidRDefault="00B353AA" w:rsidP="00B353AA">
      <w:pPr>
        <w:rPr>
          <w:rFonts w:cs="Times New Roman"/>
          <w:sz w:val="20"/>
          <w:szCs w:val="20"/>
        </w:rPr>
      </w:pPr>
    </w:p>
    <w:p w:rsidR="00B353AA" w:rsidRPr="0076602A" w:rsidRDefault="00B353AA" w:rsidP="00B353AA">
      <w:pPr>
        <w:rPr>
          <w:rFonts w:cs="Times New Roman"/>
          <w:b/>
          <w:sz w:val="20"/>
          <w:szCs w:val="20"/>
        </w:rPr>
      </w:pPr>
      <w:r w:rsidRPr="0076602A">
        <w:rPr>
          <w:rFonts w:cs="Times New Roman"/>
          <w:b/>
          <w:sz w:val="20"/>
          <w:szCs w:val="20"/>
        </w:rPr>
        <w:fldChar w:fldCharType="begin"/>
      </w:r>
      <w:r w:rsidRPr="0076602A">
        <w:rPr>
          <w:rFonts w:cs="Times New Roman"/>
          <w:b/>
          <w:sz w:val="20"/>
          <w:szCs w:val="20"/>
        </w:rPr>
        <w:instrText xml:space="preserve"> SEQ CHAPTER \h \r 1</w:instrText>
      </w:r>
      <w:r w:rsidRPr="0076602A">
        <w:rPr>
          <w:rFonts w:cs="Times New Roman"/>
          <w:b/>
          <w:sz w:val="20"/>
          <w:szCs w:val="20"/>
        </w:rPr>
        <w:fldChar w:fldCharType="end"/>
      </w:r>
      <w:r w:rsidRPr="0076602A">
        <w:rPr>
          <w:rFonts w:cs="Times New Roman"/>
          <w:b/>
          <w:sz w:val="20"/>
          <w:szCs w:val="20"/>
        </w:rPr>
        <w:t>The intervener is not entitled to raise new issues or to adduce further evidence or otherwise to supplement the record of the parties.</w:t>
      </w:r>
    </w:p>
    <w:p w:rsidR="00B353AA" w:rsidRPr="0076602A" w:rsidRDefault="00B353AA" w:rsidP="00B353AA">
      <w:pPr>
        <w:rPr>
          <w:rFonts w:cs="Times New Roman"/>
          <w:sz w:val="20"/>
          <w:szCs w:val="20"/>
        </w:rPr>
      </w:pPr>
    </w:p>
    <w:p w:rsidR="00B353AA" w:rsidRPr="0076602A" w:rsidRDefault="00B353AA" w:rsidP="00B353AA">
      <w:pPr>
        <w:rPr>
          <w:rFonts w:cs="Times New Roman"/>
          <w:sz w:val="20"/>
          <w:szCs w:val="20"/>
        </w:rPr>
      </w:pPr>
      <w:r w:rsidRPr="0076602A">
        <w:rPr>
          <w:rFonts w:cs="Times New Roman"/>
          <w:sz w:val="20"/>
          <w:szCs w:val="20"/>
        </w:rPr>
        <w:t xml:space="preserve">Pursuant to Rule 59(1)(a) of the </w:t>
      </w:r>
      <w:r w:rsidRPr="0076602A">
        <w:rPr>
          <w:rFonts w:cs="Times New Roman"/>
          <w:i/>
          <w:sz w:val="20"/>
          <w:szCs w:val="20"/>
        </w:rPr>
        <w:t>Rules of the Supreme Court of Canada</w:t>
      </w:r>
      <w:r w:rsidRPr="0076602A">
        <w:rPr>
          <w:rFonts w:cs="Times New Roman"/>
          <w:sz w:val="20"/>
          <w:szCs w:val="20"/>
        </w:rPr>
        <w:t>, the intervener shall pay to the appellant and the respondent any additional disbursements resulting from their intervention.</w:t>
      </w:r>
    </w:p>
    <w:p w:rsidR="00B353AA" w:rsidRPr="0076602A" w:rsidRDefault="00B353AA" w:rsidP="00B353AA">
      <w:pPr>
        <w:spacing w:line="228" w:lineRule="auto"/>
        <w:rPr>
          <w:rFonts w:cs="Times New Roman"/>
          <w:sz w:val="20"/>
          <w:szCs w:val="20"/>
        </w:rPr>
      </w:pPr>
    </w:p>
    <w:p w:rsidR="00B353AA" w:rsidRPr="0076602A" w:rsidRDefault="00B353AA" w:rsidP="00B353AA">
      <w:pPr>
        <w:rPr>
          <w:rFonts w:cs="Times New Roman"/>
          <w:sz w:val="20"/>
          <w:szCs w:val="20"/>
        </w:rPr>
      </w:pPr>
    </w:p>
    <w:p w:rsidR="00B353AA" w:rsidRPr="0076602A" w:rsidRDefault="00B353AA" w:rsidP="00B353AA">
      <w:pPr>
        <w:rPr>
          <w:rFonts w:cs="Times New Roman"/>
          <w:sz w:val="20"/>
          <w:szCs w:val="20"/>
          <w:lang w:val="fr-CA"/>
        </w:rPr>
      </w:pPr>
      <w:r w:rsidRPr="0076602A">
        <w:rPr>
          <w:rFonts w:cs="Times New Roman"/>
          <w:b/>
          <w:sz w:val="20"/>
          <w:szCs w:val="20"/>
          <w:lang w:val="fr-CA"/>
        </w:rPr>
        <w:t>À LA SUITE DE LA DEMANDE</w:t>
      </w:r>
      <w:r w:rsidRPr="0076602A">
        <w:rPr>
          <w:rFonts w:cs="Times New Roman"/>
          <w:sz w:val="20"/>
          <w:szCs w:val="20"/>
          <w:lang w:val="fr-CA"/>
        </w:rPr>
        <w:t xml:space="preserve"> présentée par la </w:t>
      </w:r>
      <w:r w:rsidRPr="0076602A">
        <w:rPr>
          <w:rFonts w:eastAsia="Times New Roman" w:cs="Times New Roman"/>
          <w:sz w:val="20"/>
          <w:szCs w:val="20"/>
          <w:lang w:val="fr-CA" w:eastAsia="en-CA"/>
        </w:rPr>
        <w:t>Criminal Lawyers’ Association of Ontario</w:t>
      </w:r>
      <w:r w:rsidRPr="0076602A">
        <w:rPr>
          <w:rFonts w:cs="Times New Roman"/>
          <w:sz w:val="20"/>
          <w:szCs w:val="20"/>
          <w:lang w:val="fr-CA"/>
        </w:rPr>
        <w:t>, en vue d’intervenir dans l’appel;</w:t>
      </w:r>
    </w:p>
    <w:p w:rsidR="00B353AA" w:rsidRPr="0076602A" w:rsidRDefault="00B353AA" w:rsidP="00B353AA">
      <w:pPr>
        <w:rPr>
          <w:rFonts w:cs="Times New Roman"/>
          <w:sz w:val="20"/>
          <w:szCs w:val="20"/>
          <w:lang w:val="fr-CA"/>
        </w:rPr>
      </w:pPr>
    </w:p>
    <w:p w:rsidR="00B353AA" w:rsidRPr="0076602A" w:rsidRDefault="00B353AA" w:rsidP="00B353AA">
      <w:pPr>
        <w:rPr>
          <w:rFonts w:cs="Times New Roman"/>
          <w:sz w:val="20"/>
          <w:szCs w:val="20"/>
          <w:lang w:val="fr-CA"/>
        </w:rPr>
      </w:pPr>
      <w:r w:rsidRPr="0076602A">
        <w:rPr>
          <w:rFonts w:cs="Times New Roman"/>
          <w:b/>
          <w:sz w:val="20"/>
          <w:szCs w:val="20"/>
          <w:lang w:val="fr-CA"/>
        </w:rPr>
        <w:t>ET APRÈS EXAMEN</w:t>
      </w:r>
      <w:r w:rsidRPr="0076602A">
        <w:rPr>
          <w:rFonts w:cs="Times New Roman"/>
          <w:sz w:val="20"/>
          <w:szCs w:val="20"/>
          <w:lang w:val="fr-CA"/>
        </w:rPr>
        <w:t xml:space="preserve"> des documents déposés;</w:t>
      </w:r>
    </w:p>
    <w:p w:rsidR="00B353AA" w:rsidRPr="0076602A" w:rsidRDefault="00B353AA" w:rsidP="00B353AA">
      <w:pPr>
        <w:rPr>
          <w:rFonts w:cs="Times New Roman"/>
          <w:sz w:val="20"/>
          <w:szCs w:val="20"/>
          <w:lang w:val="fr-CA"/>
        </w:rPr>
      </w:pPr>
    </w:p>
    <w:p w:rsidR="00B353AA" w:rsidRPr="0076602A" w:rsidRDefault="00B353AA" w:rsidP="00B353AA">
      <w:pPr>
        <w:rPr>
          <w:rFonts w:cs="Times New Roman"/>
          <w:b/>
          <w:sz w:val="20"/>
          <w:szCs w:val="20"/>
          <w:lang w:val="fr-CA"/>
        </w:rPr>
      </w:pPr>
      <w:r w:rsidRPr="0076602A">
        <w:rPr>
          <w:rFonts w:cs="Times New Roman"/>
          <w:b/>
          <w:sz w:val="20"/>
          <w:szCs w:val="20"/>
          <w:lang w:val="fr-CA"/>
        </w:rPr>
        <w:t>IL EST ORDONNÉ CE QUI SUIT :</w:t>
      </w:r>
    </w:p>
    <w:p w:rsidR="00B353AA" w:rsidRPr="0076602A" w:rsidRDefault="00B353AA" w:rsidP="00B353AA">
      <w:pPr>
        <w:rPr>
          <w:rFonts w:cs="Times New Roman"/>
          <w:sz w:val="20"/>
          <w:szCs w:val="20"/>
          <w:lang w:val="fr-CA"/>
        </w:rPr>
      </w:pPr>
    </w:p>
    <w:p w:rsidR="00B353AA" w:rsidRPr="0076602A" w:rsidRDefault="00B353AA" w:rsidP="00B353AA">
      <w:pPr>
        <w:rPr>
          <w:rFonts w:cs="Times New Roman"/>
          <w:sz w:val="20"/>
          <w:szCs w:val="20"/>
          <w:lang w:val="fr-CA"/>
        </w:rPr>
      </w:pPr>
      <w:r w:rsidRPr="0076602A">
        <w:rPr>
          <w:rFonts w:cs="Times New Roman"/>
          <w:sz w:val="20"/>
          <w:szCs w:val="20"/>
          <w:lang w:val="fr-CA"/>
        </w:rPr>
        <w:t>La requête en autorisation d’intervenir est accueillie et cette intervenante pourra signifier et déposer un mémoire d’au plus dix (10) pages ainsi que son recueil de sources, le cas échéant, au plus tard le 1</w:t>
      </w:r>
      <w:r w:rsidRPr="0076602A">
        <w:rPr>
          <w:rFonts w:cs="Times New Roman"/>
          <w:sz w:val="20"/>
          <w:szCs w:val="20"/>
          <w:vertAlign w:val="superscript"/>
          <w:lang w:val="fr-CA"/>
        </w:rPr>
        <w:t>er</w:t>
      </w:r>
      <w:r w:rsidRPr="0076602A">
        <w:rPr>
          <w:rFonts w:cs="Times New Roman"/>
          <w:sz w:val="20"/>
          <w:szCs w:val="20"/>
          <w:lang w:val="fr-CA"/>
        </w:rPr>
        <w:t xml:space="preserve"> novembre 2022.</w:t>
      </w:r>
    </w:p>
    <w:p w:rsidR="00B353AA" w:rsidRPr="0076602A" w:rsidRDefault="00B353AA" w:rsidP="00B353AA">
      <w:pPr>
        <w:rPr>
          <w:rFonts w:cs="Times New Roman"/>
          <w:sz w:val="20"/>
          <w:szCs w:val="20"/>
          <w:lang w:val="fr-CA"/>
        </w:rPr>
      </w:pPr>
    </w:p>
    <w:p w:rsidR="00B353AA" w:rsidRPr="0076602A" w:rsidRDefault="00B353AA" w:rsidP="00B353AA">
      <w:pPr>
        <w:rPr>
          <w:rFonts w:cs="Times New Roman"/>
          <w:sz w:val="20"/>
          <w:szCs w:val="20"/>
          <w:lang w:val="fr-CA"/>
        </w:rPr>
      </w:pPr>
      <w:r w:rsidRPr="0076602A">
        <w:rPr>
          <w:rFonts w:cs="Times New Roman"/>
          <w:sz w:val="20"/>
          <w:szCs w:val="20"/>
          <w:lang w:val="fr-CA"/>
        </w:rPr>
        <w:t>L’intervenante est autorisée à présenter une plaidoirie orale d’au plus cinq (5) minutes lors de l’audition de l’appel.</w:t>
      </w:r>
    </w:p>
    <w:p w:rsidR="00B353AA" w:rsidRPr="0076602A" w:rsidRDefault="00B353AA" w:rsidP="00B353AA">
      <w:pPr>
        <w:rPr>
          <w:rFonts w:cs="Times New Roman"/>
          <w:sz w:val="20"/>
          <w:szCs w:val="20"/>
          <w:lang w:val="fr-CA"/>
        </w:rPr>
      </w:pPr>
    </w:p>
    <w:p w:rsidR="00B353AA" w:rsidRPr="0076602A" w:rsidRDefault="00B353AA" w:rsidP="00B353AA">
      <w:pPr>
        <w:rPr>
          <w:rFonts w:cs="Times New Roman"/>
          <w:b/>
          <w:sz w:val="20"/>
          <w:szCs w:val="20"/>
          <w:lang w:val="fr-CA"/>
        </w:rPr>
      </w:pPr>
      <w:r w:rsidRPr="0076602A">
        <w:rPr>
          <w:rFonts w:cs="Times New Roman"/>
          <w:b/>
          <w:sz w:val="20"/>
          <w:szCs w:val="20"/>
          <w:lang w:val="fr-CA"/>
        </w:rPr>
        <w:t>L’intervenante n’a pas le droit de soulever de nouvelles questions, de produire d’autres éléments de preuve, ni de compléter de quelque autre façon le dossier des parties.</w:t>
      </w:r>
    </w:p>
    <w:p w:rsidR="00B353AA" w:rsidRPr="0076602A" w:rsidRDefault="00B353AA" w:rsidP="00B353AA">
      <w:pPr>
        <w:rPr>
          <w:rFonts w:cs="Times New Roman"/>
          <w:sz w:val="20"/>
          <w:szCs w:val="20"/>
          <w:lang w:val="fr-CA"/>
        </w:rPr>
      </w:pPr>
    </w:p>
    <w:p w:rsidR="00B353AA" w:rsidRPr="0076602A" w:rsidRDefault="00B353AA" w:rsidP="00B353AA">
      <w:pPr>
        <w:rPr>
          <w:rFonts w:cs="Times New Roman"/>
          <w:sz w:val="20"/>
          <w:szCs w:val="20"/>
          <w:lang w:val="fr-CA"/>
        </w:rPr>
      </w:pPr>
      <w:r w:rsidRPr="0076602A">
        <w:rPr>
          <w:rFonts w:cs="Times New Roman"/>
          <w:sz w:val="20"/>
          <w:szCs w:val="20"/>
          <w:lang w:val="fr-CA"/>
        </w:rPr>
        <w:t>Conformément à l’alinéa 59(1)</w:t>
      </w:r>
      <w:r w:rsidRPr="0076602A">
        <w:rPr>
          <w:rFonts w:cs="Times New Roman"/>
          <w:i/>
          <w:sz w:val="20"/>
          <w:szCs w:val="20"/>
          <w:lang w:val="fr-CA"/>
        </w:rPr>
        <w:t>a</w:t>
      </w:r>
      <w:r w:rsidRPr="0076602A">
        <w:rPr>
          <w:rFonts w:cs="Times New Roman"/>
          <w:sz w:val="20"/>
          <w:szCs w:val="20"/>
          <w:lang w:val="fr-CA"/>
        </w:rPr>
        <w:t xml:space="preserve">) des </w:t>
      </w:r>
      <w:r w:rsidRPr="0076602A">
        <w:rPr>
          <w:rFonts w:cs="Times New Roman"/>
          <w:i/>
          <w:sz w:val="20"/>
          <w:szCs w:val="20"/>
          <w:lang w:val="fr-CA"/>
        </w:rPr>
        <w:t>Règles de la Cour suprême du Canada</w:t>
      </w:r>
      <w:r w:rsidRPr="0076602A">
        <w:rPr>
          <w:rFonts w:cs="Times New Roman"/>
          <w:sz w:val="20"/>
          <w:szCs w:val="20"/>
          <w:lang w:val="fr-CA"/>
        </w:rPr>
        <w:t>, l’intervenante paiera à l’appelant et à l’intimé tous dépens supplémentaires résultant de son intervention.</w:t>
      </w:r>
    </w:p>
    <w:p w:rsidR="00102792" w:rsidRPr="0076602A" w:rsidRDefault="00102792" w:rsidP="00102792">
      <w:pPr>
        <w:spacing w:line="232" w:lineRule="auto"/>
        <w:rPr>
          <w:rFonts w:cs="Times New Roman"/>
          <w:sz w:val="20"/>
          <w:lang w:val="fr-CA"/>
        </w:rPr>
      </w:pPr>
    </w:p>
    <w:p w:rsidR="00102792" w:rsidRPr="0076602A" w:rsidRDefault="00CF2ACD"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28" style="width:2in;height:1pt" o:hrpct="0" o:hralign="center" o:hrstd="t" o:hrnoshade="t" o:hr="t" fillcolor="black [3213]" stroked="f"/>
        </w:pict>
      </w:r>
    </w:p>
    <w:p w:rsidR="005967EF" w:rsidRPr="0076602A" w:rsidRDefault="005967EF" w:rsidP="00102792">
      <w:pPr>
        <w:rPr>
          <w:rFonts w:eastAsia="Times New Roman" w:cs="Times New Roman"/>
          <w:sz w:val="20"/>
          <w:szCs w:val="20"/>
          <w:lang w:val="fr-CA" w:eastAsia="en-CA"/>
        </w:rPr>
      </w:pPr>
    </w:p>
    <w:p w:rsidR="00B353AA" w:rsidRPr="0076602A" w:rsidRDefault="00B353AA" w:rsidP="00102792">
      <w:pPr>
        <w:rPr>
          <w:rFonts w:eastAsia="Times New Roman" w:cs="Times New Roman"/>
          <w:sz w:val="20"/>
          <w:szCs w:val="20"/>
          <w:lang w:val="fr-CA" w:eastAsia="en-CA"/>
        </w:rPr>
      </w:pPr>
    </w:p>
    <w:p w:rsidR="00B353AA" w:rsidRPr="0076602A" w:rsidRDefault="00B353AA">
      <w:pPr>
        <w:rPr>
          <w:rFonts w:eastAsia="Times New Roman" w:cs="Times New Roman"/>
          <w:sz w:val="20"/>
          <w:szCs w:val="20"/>
          <w:lang w:val="fr-CA" w:eastAsia="en-CA"/>
        </w:rPr>
      </w:pPr>
      <w:r w:rsidRPr="0076602A">
        <w:rPr>
          <w:rFonts w:eastAsia="Times New Roman" w:cs="Times New Roman"/>
          <w:sz w:val="20"/>
          <w:szCs w:val="20"/>
          <w:lang w:val="fr-CA" w:eastAsia="en-CA"/>
        </w:rPr>
        <w:br w:type="page"/>
      </w:r>
    </w:p>
    <w:p w:rsidR="00B353AA" w:rsidRPr="0076602A" w:rsidRDefault="00B353AA" w:rsidP="00B353AA">
      <w:pPr>
        <w:rPr>
          <w:b/>
          <w:sz w:val="20"/>
          <w:szCs w:val="20"/>
          <w:lang w:val="fr-CA"/>
        </w:rPr>
      </w:pPr>
      <w:r w:rsidRPr="0076602A">
        <w:rPr>
          <w:b/>
          <w:sz w:val="20"/>
          <w:szCs w:val="20"/>
          <w:lang w:val="fr-CA"/>
        </w:rPr>
        <w:t>SEPTEMBER 16, 2022 / LE 16 SEPTEMBRE 2022</w:t>
      </w:r>
    </w:p>
    <w:p w:rsidR="00B353AA" w:rsidRPr="0076602A" w:rsidRDefault="00B353AA" w:rsidP="00B353AA">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B353AA" w:rsidRPr="00CF2ACD" w:rsidTr="00B353AA">
        <w:tc>
          <w:tcPr>
            <w:tcW w:w="4410" w:type="dxa"/>
            <w:tcBorders>
              <w:top w:val="nil"/>
              <w:left w:val="nil"/>
              <w:bottom w:val="nil"/>
              <w:right w:val="nil"/>
            </w:tcBorders>
          </w:tcPr>
          <w:p w:rsidR="00B353AA" w:rsidRPr="0076602A" w:rsidRDefault="00B353AA" w:rsidP="00B353AA">
            <w:pPr>
              <w:jc w:val="both"/>
              <w:rPr>
                <w:rFonts w:cs="Times New Roman"/>
                <w:b/>
                <w:bCs/>
                <w:sz w:val="20"/>
                <w:szCs w:val="20"/>
                <w:lang w:val="en-US"/>
              </w:rPr>
            </w:pPr>
            <w:r w:rsidRPr="0076602A">
              <w:rPr>
                <w:rFonts w:eastAsia="Times New Roman" w:cs="Times New Roman"/>
                <w:b/>
                <w:sz w:val="20"/>
                <w:szCs w:val="20"/>
                <w:lang w:val="en-US" w:eastAsia="en-CA"/>
              </w:rPr>
              <w:t>Motions for leave to intervene and Motions for an extension of time</w:t>
            </w:r>
          </w:p>
        </w:tc>
        <w:tc>
          <w:tcPr>
            <w:tcW w:w="810" w:type="dxa"/>
            <w:tcBorders>
              <w:top w:val="nil"/>
              <w:left w:val="nil"/>
              <w:bottom w:val="nil"/>
              <w:right w:val="nil"/>
            </w:tcBorders>
          </w:tcPr>
          <w:p w:rsidR="00B353AA" w:rsidRPr="0076602A" w:rsidRDefault="00B353AA" w:rsidP="00B353AA">
            <w:pPr>
              <w:jc w:val="both"/>
              <w:rPr>
                <w:rFonts w:cs="Times New Roman"/>
                <w:b/>
                <w:bCs/>
                <w:sz w:val="20"/>
                <w:szCs w:val="20"/>
                <w:lang w:val="en-US"/>
              </w:rPr>
            </w:pPr>
          </w:p>
        </w:tc>
        <w:tc>
          <w:tcPr>
            <w:tcW w:w="4399" w:type="dxa"/>
            <w:tcBorders>
              <w:top w:val="nil"/>
              <w:left w:val="nil"/>
              <w:bottom w:val="nil"/>
              <w:right w:val="nil"/>
            </w:tcBorders>
          </w:tcPr>
          <w:p w:rsidR="00B353AA" w:rsidRPr="0076602A" w:rsidRDefault="00B353AA" w:rsidP="00B353AA">
            <w:pPr>
              <w:jc w:val="both"/>
              <w:rPr>
                <w:rFonts w:cs="Times New Roman"/>
                <w:b/>
                <w:bCs/>
                <w:sz w:val="20"/>
                <w:szCs w:val="20"/>
                <w:lang w:val="fr-CA"/>
              </w:rPr>
            </w:pPr>
            <w:r w:rsidRPr="0076602A">
              <w:rPr>
                <w:rFonts w:eastAsia="Times New Roman" w:cs="Times New Roman"/>
                <w:b/>
                <w:sz w:val="20"/>
                <w:szCs w:val="20"/>
                <w:lang w:val="fr-CA" w:eastAsia="en-CA"/>
              </w:rPr>
              <w:t>Requêtes en autorisation d’intervention et requêtes en prorogation de délai</w:t>
            </w:r>
          </w:p>
        </w:tc>
      </w:tr>
    </w:tbl>
    <w:p w:rsidR="00B353AA" w:rsidRPr="0076602A" w:rsidRDefault="00B353AA" w:rsidP="00B353AA">
      <w:pPr>
        <w:tabs>
          <w:tab w:val="left" w:pos="-1440"/>
          <w:tab w:val="left" w:pos="-720"/>
        </w:tabs>
        <w:jc w:val="both"/>
        <w:rPr>
          <w:rFonts w:eastAsia="Times New Roman" w:cs="Times New Roman"/>
          <w:sz w:val="20"/>
          <w:szCs w:val="20"/>
          <w:lang w:val="fr-CA" w:eastAsia="en-CA"/>
        </w:rPr>
      </w:pPr>
    </w:p>
    <w:p w:rsidR="00B353AA" w:rsidRPr="0076602A" w:rsidRDefault="00B353AA" w:rsidP="00B353AA">
      <w:pPr>
        <w:tabs>
          <w:tab w:val="left" w:pos="-1440"/>
          <w:tab w:val="left" w:pos="-720"/>
        </w:tabs>
        <w:jc w:val="both"/>
        <w:rPr>
          <w:rFonts w:eastAsia="Times New Roman" w:cs="Times New Roman"/>
          <w:sz w:val="20"/>
          <w:szCs w:val="20"/>
          <w:lang w:val="fr-CA" w:eastAsia="en-CA"/>
        </w:rPr>
      </w:pPr>
    </w:p>
    <w:p w:rsidR="007D351F" w:rsidRPr="0076602A" w:rsidRDefault="007D351F" w:rsidP="007D351F">
      <w:pPr>
        <w:pStyle w:val="SCCSsocParty"/>
        <w:jc w:val="both"/>
        <w:rPr>
          <w:rFonts w:eastAsiaTheme="minorEastAsia"/>
          <w:b/>
          <w:bCs/>
          <w:i w:val="0"/>
          <w:sz w:val="20"/>
          <w:szCs w:val="20"/>
          <w:lang w:val="en-US"/>
        </w:rPr>
      </w:pPr>
      <w:r w:rsidRPr="0076602A">
        <w:rPr>
          <w:rFonts w:eastAsiaTheme="minorEastAsia"/>
          <w:b/>
          <w:bCs/>
          <w:i w:val="0"/>
          <w:caps/>
          <w:sz w:val="20"/>
          <w:szCs w:val="20"/>
          <w:lang w:val="en-US"/>
        </w:rPr>
        <w:t>CINDY DICKSON</w:t>
      </w:r>
      <w:r w:rsidRPr="0076602A">
        <w:rPr>
          <w:rFonts w:eastAsiaTheme="minorEastAsia"/>
          <w:b/>
          <w:bCs/>
          <w:i w:val="0"/>
          <w:sz w:val="20"/>
          <w:szCs w:val="20"/>
          <w:lang w:val="en-US"/>
        </w:rPr>
        <w:t xml:space="preserve"> v. VUNTUT GWITCHIN FIRST NATION</w:t>
      </w:r>
    </w:p>
    <w:p w:rsidR="007D351F" w:rsidRPr="0076602A" w:rsidRDefault="007D351F" w:rsidP="007D351F">
      <w:pPr>
        <w:jc w:val="both"/>
        <w:rPr>
          <w:sz w:val="20"/>
          <w:szCs w:val="20"/>
        </w:rPr>
      </w:pPr>
      <w:r w:rsidRPr="0076602A">
        <w:rPr>
          <w:sz w:val="20"/>
          <w:szCs w:val="20"/>
        </w:rPr>
        <w:t xml:space="preserve">(Y.T.) (39856) </w:t>
      </w:r>
    </w:p>
    <w:p w:rsidR="007D351F" w:rsidRPr="0076602A" w:rsidRDefault="007D351F" w:rsidP="007D351F">
      <w:pPr>
        <w:rPr>
          <w:bCs/>
          <w:sz w:val="20"/>
          <w:szCs w:val="20"/>
        </w:rPr>
      </w:pPr>
    </w:p>
    <w:p w:rsidR="007D351F" w:rsidRPr="0076602A" w:rsidRDefault="007D351F" w:rsidP="007D351F">
      <w:pPr>
        <w:jc w:val="both"/>
        <w:rPr>
          <w:sz w:val="20"/>
          <w:szCs w:val="20"/>
        </w:rPr>
      </w:pPr>
      <w:r w:rsidRPr="0076602A">
        <w:rPr>
          <w:b/>
          <w:bCs/>
          <w:caps/>
          <w:sz w:val="20"/>
          <w:szCs w:val="20"/>
          <w:u w:val="single"/>
        </w:rPr>
        <w:t>CÔTÉ J.</w:t>
      </w:r>
      <w:r w:rsidRPr="0076602A">
        <w:rPr>
          <w:b/>
          <w:bCs/>
          <w:sz w:val="20"/>
          <w:szCs w:val="20"/>
        </w:rPr>
        <w:t>:</w:t>
      </w:r>
    </w:p>
    <w:p w:rsidR="007D351F" w:rsidRPr="0076602A" w:rsidRDefault="007D351F" w:rsidP="007D351F">
      <w:pPr>
        <w:jc w:val="both"/>
        <w:rPr>
          <w:sz w:val="20"/>
          <w:szCs w:val="20"/>
        </w:rPr>
      </w:pPr>
    </w:p>
    <w:p w:rsidR="007D351F" w:rsidRPr="0076602A" w:rsidRDefault="007D351F" w:rsidP="007D351F">
      <w:pPr>
        <w:jc w:val="both"/>
        <w:rPr>
          <w:bCs/>
          <w:sz w:val="20"/>
          <w:szCs w:val="20"/>
        </w:rPr>
      </w:pPr>
      <w:r w:rsidRPr="0076602A">
        <w:rPr>
          <w:b/>
          <w:bCs/>
          <w:sz w:val="20"/>
          <w:szCs w:val="20"/>
        </w:rPr>
        <w:t xml:space="preserve">UPON APPLICATIONS </w:t>
      </w:r>
      <w:r w:rsidRPr="0076602A">
        <w:rPr>
          <w:bCs/>
          <w:sz w:val="20"/>
          <w:szCs w:val="20"/>
        </w:rPr>
        <w:t>by British Columbia Treaty Commission; Métis Nation of Ontario and Métis Nation of Alberta (jointly);  Carcross/Tagish First Nation; Teslin Tlingit Council; shíshálh Nation;</w:t>
      </w:r>
      <w:r w:rsidRPr="0076602A">
        <w:rPr>
          <w:sz w:val="20"/>
          <w:szCs w:val="20"/>
        </w:rPr>
        <w:t xml:space="preserve"> Congress of Aboriginal Peoples; Council of Yukon First Nations; Pan-Canadian Forum on Indigenous Rights and the Constitution; Canadian Constitution Foundation; Band Members Alliance and Advocacy Association of Canada; Swan River First Nation, Sucker Creek First Nation, Whitefish Lake First Nation #128, Driftpile Cree Nation and Horse Lake First Nation (jointly); Te’mexw Treaty Association; Federation of Sovereign Indigenous Nations; and Bruce Charlie, Marilyn Charlie, Emily Kelly, Neta Arnold, Margaret Njootli, Garry Njootli, Tracy Bruce, Teresa Levesque and Kimberly Blake (jointly) </w:t>
      </w:r>
      <w:r w:rsidRPr="0076602A">
        <w:rPr>
          <w:bCs/>
          <w:sz w:val="20"/>
          <w:szCs w:val="20"/>
        </w:rPr>
        <w:t>f</w:t>
      </w:r>
      <w:r w:rsidRPr="0076602A">
        <w:rPr>
          <w:sz w:val="20"/>
          <w:szCs w:val="20"/>
        </w:rPr>
        <w:t>or leave to intervene in the above appeal;</w:t>
      </w:r>
    </w:p>
    <w:p w:rsidR="007D351F" w:rsidRPr="0076602A" w:rsidRDefault="007D351F" w:rsidP="007D351F">
      <w:pPr>
        <w:jc w:val="both"/>
        <w:rPr>
          <w:bCs/>
          <w:sz w:val="20"/>
          <w:szCs w:val="20"/>
        </w:rPr>
      </w:pPr>
    </w:p>
    <w:p w:rsidR="007D351F" w:rsidRPr="0076602A" w:rsidRDefault="007D351F" w:rsidP="007D351F">
      <w:pPr>
        <w:jc w:val="both"/>
        <w:rPr>
          <w:b/>
          <w:bCs/>
          <w:sz w:val="20"/>
          <w:szCs w:val="20"/>
        </w:rPr>
      </w:pPr>
      <w:r w:rsidRPr="0076602A">
        <w:rPr>
          <w:b/>
          <w:sz w:val="20"/>
          <w:szCs w:val="20"/>
        </w:rPr>
        <w:t xml:space="preserve">AND </w:t>
      </w:r>
      <w:r w:rsidRPr="0076602A">
        <w:rPr>
          <w:b/>
          <w:bCs/>
          <w:sz w:val="20"/>
          <w:szCs w:val="20"/>
        </w:rPr>
        <w:t xml:space="preserve">UPON APPLICATIONS </w:t>
      </w:r>
      <w:r w:rsidRPr="0076602A">
        <w:rPr>
          <w:sz w:val="20"/>
          <w:szCs w:val="20"/>
        </w:rPr>
        <w:t xml:space="preserve">by the Council of Yukon First Nations and by Bruce Charlie, Marilyn Charlie, Emily Kelly, Neta Arnold, Margaret Njootli, Garry Njootli, Tracy Bruce, Teresa Levesque and Kimberly Blake (jointly) </w:t>
      </w:r>
      <w:r w:rsidRPr="0076602A">
        <w:rPr>
          <w:bCs/>
          <w:sz w:val="20"/>
          <w:szCs w:val="20"/>
        </w:rPr>
        <w:t>for an order</w:t>
      </w:r>
      <w:r w:rsidRPr="0076602A">
        <w:rPr>
          <w:b/>
          <w:bCs/>
          <w:sz w:val="20"/>
          <w:szCs w:val="20"/>
        </w:rPr>
        <w:t xml:space="preserve"> </w:t>
      </w:r>
      <w:r w:rsidRPr="0076602A">
        <w:rPr>
          <w:bCs/>
          <w:sz w:val="20"/>
          <w:szCs w:val="20"/>
        </w:rPr>
        <w:t>extending the time to serve and file their motions for leave to intervene;</w:t>
      </w:r>
    </w:p>
    <w:p w:rsidR="007D351F" w:rsidRPr="0076602A" w:rsidRDefault="007D351F" w:rsidP="007D351F">
      <w:pPr>
        <w:jc w:val="both"/>
        <w:rPr>
          <w:bCs/>
          <w:sz w:val="20"/>
          <w:szCs w:val="20"/>
        </w:rPr>
      </w:pPr>
    </w:p>
    <w:p w:rsidR="007D351F" w:rsidRPr="0076602A" w:rsidRDefault="007D351F" w:rsidP="007D351F">
      <w:pPr>
        <w:jc w:val="both"/>
        <w:rPr>
          <w:sz w:val="20"/>
          <w:szCs w:val="20"/>
        </w:rPr>
      </w:pPr>
      <w:r w:rsidRPr="0076602A">
        <w:rPr>
          <w:b/>
          <w:bCs/>
          <w:sz w:val="20"/>
          <w:szCs w:val="20"/>
        </w:rPr>
        <w:t>AND THE MATERIAL FILED</w:t>
      </w:r>
      <w:r w:rsidRPr="0076602A">
        <w:rPr>
          <w:sz w:val="20"/>
          <w:szCs w:val="20"/>
        </w:rPr>
        <w:t xml:space="preserve"> having been read;</w:t>
      </w:r>
    </w:p>
    <w:p w:rsidR="007D351F" w:rsidRPr="0076602A" w:rsidRDefault="007D351F" w:rsidP="007D351F">
      <w:pPr>
        <w:jc w:val="both"/>
        <w:rPr>
          <w:sz w:val="20"/>
          <w:szCs w:val="20"/>
        </w:rPr>
      </w:pPr>
    </w:p>
    <w:p w:rsidR="007D351F" w:rsidRPr="0076602A" w:rsidRDefault="007D351F" w:rsidP="007D351F">
      <w:pPr>
        <w:jc w:val="both"/>
        <w:rPr>
          <w:b/>
          <w:bCs/>
          <w:sz w:val="20"/>
          <w:szCs w:val="20"/>
        </w:rPr>
      </w:pPr>
      <w:r w:rsidRPr="0076602A">
        <w:rPr>
          <w:b/>
          <w:bCs/>
          <w:sz w:val="20"/>
          <w:szCs w:val="20"/>
        </w:rPr>
        <w:t>IT IS HEREBY ORDERED THAT:</w:t>
      </w:r>
    </w:p>
    <w:p w:rsidR="007D351F" w:rsidRPr="0076602A" w:rsidRDefault="007D351F" w:rsidP="007D351F">
      <w:pPr>
        <w:jc w:val="both"/>
        <w:rPr>
          <w:sz w:val="20"/>
          <w:szCs w:val="20"/>
        </w:rPr>
      </w:pPr>
    </w:p>
    <w:p w:rsidR="007D351F" w:rsidRPr="0076602A" w:rsidRDefault="007D351F" w:rsidP="007D351F">
      <w:pPr>
        <w:jc w:val="both"/>
        <w:rPr>
          <w:sz w:val="20"/>
          <w:szCs w:val="20"/>
        </w:rPr>
      </w:pPr>
      <w:r w:rsidRPr="0076602A">
        <w:rPr>
          <w:sz w:val="20"/>
          <w:szCs w:val="20"/>
        </w:rPr>
        <w:t>The motion for an extension of time filed by the Council of Yukon First Nations is granted.</w:t>
      </w:r>
    </w:p>
    <w:p w:rsidR="007D351F" w:rsidRPr="0076602A" w:rsidRDefault="007D351F" w:rsidP="007D351F">
      <w:pPr>
        <w:jc w:val="both"/>
        <w:rPr>
          <w:sz w:val="20"/>
          <w:szCs w:val="20"/>
        </w:rPr>
      </w:pPr>
    </w:p>
    <w:p w:rsidR="007D351F" w:rsidRPr="0076602A" w:rsidRDefault="007D351F" w:rsidP="007D351F">
      <w:pPr>
        <w:jc w:val="both"/>
        <w:rPr>
          <w:sz w:val="20"/>
          <w:szCs w:val="20"/>
        </w:rPr>
      </w:pPr>
      <w:r w:rsidRPr="0076602A">
        <w:rPr>
          <w:sz w:val="20"/>
          <w:szCs w:val="20"/>
        </w:rPr>
        <w:t>The motion for an extension of time filed by Bruce Charlie, Marilyn Charlie, Emily Kelly, Neta Arnold, Margaret Njootli, Garry Njootli, Tracy Bruce, Teresa Levesque and Kimberly Blake (jointly) is dismissed. In any event, had the motion for an extension of time been granted, the motion for leave to intervene would have been dismissed.</w:t>
      </w:r>
    </w:p>
    <w:p w:rsidR="007D351F" w:rsidRPr="0076602A" w:rsidRDefault="007D351F" w:rsidP="007D351F">
      <w:pPr>
        <w:jc w:val="both"/>
        <w:rPr>
          <w:sz w:val="20"/>
          <w:szCs w:val="20"/>
        </w:rPr>
      </w:pPr>
    </w:p>
    <w:p w:rsidR="007D351F" w:rsidRPr="0076602A" w:rsidRDefault="007D351F" w:rsidP="007D351F">
      <w:pPr>
        <w:jc w:val="both"/>
        <w:rPr>
          <w:sz w:val="20"/>
          <w:szCs w:val="20"/>
        </w:rPr>
      </w:pPr>
      <w:r w:rsidRPr="0076602A">
        <w:rPr>
          <w:sz w:val="20"/>
          <w:szCs w:val="20"/>
        </w:rPr>
        <w:t>The motions for leave to intervene filed by British Columbia Treaty Commission; Métis Nation of Ontario and Métis Nation of Alberta (jointly); Carcross/Tagish First Nation; Teslin Tlingit Council;  shíshálh Nation; Congress of Aboriginal Peoples; Council of Yukon First Nations; Pan-Canadian Forum on Indigenous Rights and the Constitution; Canadian Constitution Foundation; Band Members Alliance and Advocacy Association of Canada; Swan River First Nation, Sucker Creek First Nation, Whitefish Lake First Nation #128, Driftpile Cree Nation and Horse Lake First Nation (jointly); Te’mexw Treaty Association; and Federation of Sovereign Indigenous Nations are granted and the said thirteen (13) interveners</w:t>
      </w:r>
      <w:r w:rsidRPr="0076602A">
        <w:rPr>
          <w:sz w:val="20"/>
          <w:szCs w:val="20"/>
          <w:lang w:eastAsia="fr-FR"/>
        </w:rPr>
        <w:t xml:space="preserve"> or groups of interveners </w:t>
      </w:r>
      <w:r w:rsidRPr="0076602A">
        <w:rPr>
          <w:sz w:val="20"/>
          <w:szCs w:val="20"/>
        </w:rPr>
        <w:t xml:space="preserve">shall each be entitled to serve and file a factum not to exceed ten (10) pages in length and a book of authorities, if any, on or before October 28, 2022. </w:t>
      </w:r>
    </w:p>
    <w:p w:rsidR="007D351F" w:rsidRPr="0076602A" w:rsidRDefault="007D351F" w:rsidP="007D351F">
      <w:pPr>
        <w:rPr>
          <w:sz w:val="20"/>
          <w:szCs w:val="20"/>
        </w:rPr>
      </w:pPr>
    </w:p>
    <w:p w:rsidR="007D351F" w:rsidRPr="0076602A" w:rsidRDefault="007D351F" w:rsidP="007D351F">
      <w:pPr>
        <w:jc w:val="both"/>
        <w:rPr>
          <w:sz w:val="20"/>
          <w:szCs w:val="20"/>
        </w:rPr>
      </w:pPr>
      <w:r w:rsidRPr="0076602A">
        <w:rPr>
          <w:bCs/>
          <w:sz w:val="20"/>
          <w:szCs w:val="20"/>
        </w:rPr>
        <w:t xml:space="preserve">The said thirteen (13) interveners or groups of interveners </w:t>
      </w:r>
      <w:r w:rsidRPr="0076602A">
        <w:rPr>
          <w:sz w:val="20"/>
          <w:szCs w:val="20"/>
        </w:rPr>
        <w:t>are each granted permission to present oral argument not exceeding five (5) minutes at the hearing of the appeal.</w:t>
      </w:r>
    </w:p>
    <w:p w:rsidR="007D351F" w:rsidRPr="0076602A" w:rsidRDefault="007D351F" w:rsidP="007D351F">
      <w:pPr>
        <w:jc w:val="both"/>
        <w:rPr>
          <w:sz w:val="20"/>
          <w:szCs w:val="20"/>
        </w:rPr>
      </w:pPr>
    </w:p>
    <w:p w:rsidR="007D351F" w:rsidRPr="0076602A" w:rsidRDefault="007D351F" w:rsidP="007D351F">
      <w:pPr>
        <w:jc w:val="both"/>
        <w:rPr>
          <w:sz w:val="20"/>
          <w:szCs w:val="20"/>
        </w:rPr>
      </w:pPr>
      <w:r w:rsidRPr="0076602A">
        <w:rPr>
          <w:sz w:val="20"/>
          <w:szCs w:val="20"/>
        </w:rPr>
        <w:t>The appellant and respondent are each granted permission to serve and file a single factum in reply to all interventions not to exceed five (5) pages in length on or before November 24, 2022.</w:t>
      </w:r>
    </w:p>
    <w:p w:rsidR="007D351F" w:rsidRPr="0076602A" w:rsidRDefault="007D351F" w:rsidP="007D351F">
      <w:pPr>
        <w:jc w:val="both"/>
        <w:rPr>
          <w:sz w:val="20"/>
          <w:szCs w:val="20"/>
        </w:rPr>
      </w:pPr>
    </w:p>
    <w:p w:rsidR="007D351F" w:rsidRPr="0076602A" w:rsidRDefault="007D351F" w:rsidP="007D351F">
      <w:pPr>
        <w:jc w:val="both"/>
        <w:rPr>
          <w:b/>
          <w:sz w:val="20"/>
          <w:szCs w:val="20"/>
        </w:rPr>
      </w:pPr>
      <w:r w:rsidRPr="0076602A">
        <w:rPr>
          <w:b/>
          <w:sz w:val="20"/>
          <w:szCs w:val="20"/>
          <w:lang w:val="fr-CA"/>
        </w:rPr>
        <w:fldChar w:fldCharType="begin"/>
      </w:r>
      <w:r w:rsidRPr="0076602A">
        <w:rPr>
          <w:b/>
          <w:sz w:val="20"/>
          <w:szCs w:val="20"/>
        </w:rPr>
        <w:instrText xml:space="preserve"> SEQ CHAPTER \h \r 1</w:instrText>
      </w:r>
      <w:r w:rsidRPr="0076602A">
        <w:rPr>
          <w:b/>
          <w:sz w:val="20"/>
          <w:szCs w:val="20"/>
          <w:lang w:val="fr-CA"/>
        </w:rPr>
        <w:fldChar w:fldCharType="end"/>
      </w:r>
      <w:r w:rsidRPr="0076602A">
        <w:rPr>
          <w:b/>
          <w:sz w:val="20"/>
          <w:szCs w:val="20"/>
        </w:rPr>
        <w:t>The said interveners or groups of interveners are not entitled to raise new issues or to adduce further evidence or otherwise to supplement the record of the parties.</w:t>
      </w:r>
    </w:p>
    <w:p w:rsidR="007D351F" w:rsidRPr="0076602A" w:rsidRDefault="007D351F" w:rsidP="007D351F">
      <w:pPr>
        <w:jc w:val="both"/>
        <w:rPr>
          <w:sz w:val="20"/>
          <w:szCs w:val="20"/>
        </w:rPr>
      </w:pPr>
    </w:p>
    <w:p w:rsidR="007D351F" w:rsidRPr="0076602A" w:rsidRDefault="007D351F" w:rsidP="007D351F">
      <w:pPr>
        <w:jc w:val="both"/>
        <w:rPr>
          <w:sz w:val="20"/>
          <w:szCs w:val="20"/>
        </w:rPr>
      </w:pPr>
      <w:r w:rsidRPr="0076602A">
        <w:rPr>
          <w:sz w:val="20"/>
          <w:szCs w:val="20"/>
        </w:rPr>
        <w:t>Pursuant to Rule 59(1)(</w:t>
      </w:r>
      <w:r w:rsidRPr="0076602A">
        <w:rPr>
          <w:i/>
          <w:iCs/>
          <w:sz w:val="20"/>
          <w:szCs w:val="20"/>
        </w:rPr>
        <w:t>a</w:t>
      </w:r>
      <w:r w:rsidRPr="0076602A">
        <w:rPr>
          <w:sz w:val="20"/>
          <w:szCs w:val="20"/>
        </w:rPr>
        <w:t xml:space="preserve">) of the </w:t>
      </w:r>
      <w:r w:rsidRPr="0076602A">
        <w:rPr>
          <w:i/>
          <w:iCs/>
          <w:sz w:val="20"/>
          <w:szCs w:val="20"/>
        </w:rPr>
        <w:t>Rules of the Supreme Court of Canada</w:t>
      </w:r>
      <w:r w:rsidRPr="0076602A">
        <w:rPr>
          <w:sz w:val="20"/>
          <w:szCs w:val="20"/>
        </w:rPr>
        <w:t>, the interveners or groups of interveners shall pay to the appellant and the respondent any additional disbursements resulting from their interventions.</w:t>
      </w:r>
    </w:p>
    <w:p w:rsidR="007D351F" w:rsidRPr="0076602A" w:rsidRDefault="007D351F" w:rsidP="007D351F">
      <w:pPr>
        <w:jc w:val="both"/>
        <w:rPr>
          <w:sz w:val="20"/>
          <w:szCs w:val="20"/>
        </w:rPr>
      </w:pPr>
    </w:p>
    <w:p w:rsidR="007D351F" w:rsidRPr="0076602A" w:rsidRDefault="007D351F" w:rsidP="007D351F">
      <w:pPr>
        <w:jc w:val="both"/>
        <w:rPr>
          <w:b/>
          <w:bCs/>
          <w:sz w:val="20"/>
          <w:szCs w:val="20"/>
        </w:rPr>
      </w:pPr>
      <w:r w:rsidRPr="0076602A">
        <w:rPr>
          <w:b/>
          <w:bCs/>
          <w:sz w:val="20"/>
          <w:szCs w:val="20"/>
        </w:rPr>
        <w:t>AND IT IS HEREBY FURTHER ORDERED THAT:</w:t>
      </w:r>
    </w:p>
    <w:p w:rsidR="007D351F" w:rsidRPr="0076602A" w:rsidRDefault="007D351F" w:rsidP="007D351F">
      <w:pPr>
        <w:jc w:val="both"/>
        <w:rPr>
          <w:sz w:val="20"/>
          <w:szCs w:val="20"/>
        </w:rPr>
      </w:pPr>
    </w:p>
    <w:p w:rsidR="007D351F" w:rsidRPr="0076602A" w:rsidRDefault="007D351F" w:rsidP="007D351F">
      <w:pPr>
        <w:jc w:val="both"/>
        <w:rPr>
          <w:sz w:val="20"/>
          <w:szCs w:val="20"/>
        </w:rPr>
      </w:pPr>
      <w:r w:rsidRPr="0076602A">
        <w:rPr>
          <w:sz w:val="20"/>
          <w:szCs w:val="20"/>
        </w:rPr>
        <w:t>The Attorney General of Canada, the Attorney General of Quebec, the Attorney General of Alberta and the Government of Yukon are each granted permission to present oral argument not exceeding ten (10) minutes at the hearing of the appeal.</w:t>
      </w:r>
    </w:p>
    <w:p w:rsidR="00CA2DEA" w:rsidRPr="0076602A" w:rsidRDefault="00CA2DEA" w:rsidP="0010587F">
      <w:pPr>
        <w:tabs>
          <w:tab w:val="left" w:pos="-1440"/>
          <w:tab w:val="left" w:pos="-720"/>
        </w:tabs>
        <w:jc w:val="both"/>
        <w:rPr>
          <w:sz w:val="20"/>
          <w:szCs w:val="20"/>
        </w:rPr>
      </w:pPr>
    </w:p>
    <w:p w:rsidR="00B353AA" w:rsidRPr="0076602A" w:rsidRDefault="00B353AA" w:rsidP="0010587F">
      <w:pPr>
        <w:tabs>
          <w:tab w:val="left" w:pos="-1440"/>
          <w:tab w:val="left" w:pos="-720"/>
        </w:tabs>
        <w:jc w:val="both"/>
        <w:rPr>
          <w:sz w:val="20"/>
          <w:szCs w:val="20"/>
          <w:lang w:val="en-US"/>
        </w:rPr>
      </w:pPr>
    </w:p>
    <w:p w:rsidR="007D351F" w:rsidRPr="0076602A" w:rsidRDefault="007D351F" w:rsidP="007D351F">
      <w:pPr>
        <w:jc w:val="both"/>
        <w:rPr>
          <w:bCs/>
          <w:sz w:val="20"/>
          <w:szCs w:val="20"/>
          <w:lang w:val="en-US"/>
        </w:rPr>
      </w:pPr>
      <w:r w:rsidRPr="0076602A">
        <w:rPr>
          <w:b/>
          <w:bCs/>
          <w:sz w:val="20"/>
          <w:szCs w:val="20"/>
          <w:lang w:val="en-US"/>
        </w:rPr>
        <w:t xml:space="preserve">À LA SUITE DES DEMANDES </w:t>
      </w:r>
      <w:r w:rsidRPr="0076602A">
        <w:rPr>
          <w:sz w:val="20"/>
          <w:szCs w:val="20"/>
          <w:lang w:val="en-US"/>
        </w:rPr>
        <w:t xml:space="preserve">présentées par </w:t>
      </w:r>
      <w:r w:rsidRPr="0076602A">
        <w:rPr>
          <w:bCs/>
          <w:sz w:val="20"/>
          <w:szCs w:val="20"/>
          <w:lang w:val="en-US"/>
        </w:rPr>
        <w:t>British Columbia Treaty Commission; Nation métisse de l’Ontario et Métis Nation of Alberta (conjointement); Carcross/Tagish First Nation; Teslin Tlingit Council; shíshálh Nation;</w:t>
      </w:r>
      <w:r w:rsidRPr="0076602A">
        <w:rPr>
          <w:sz w:val="20"/>
          <w:szCs w:val="20"/>
          <w:lang w:val="en-US"/>
        </w:rPr>
        <w:t xml:space="preserve"> Congrès des peuples autochtones; Council of Yukon First Nations; Forum pancanadien sur les droits autochtones et la Constitution; Canadian Constitution Foundation; Band Members Alliance and Advocacy Association of Canada; Swan River First Nation, Sucker Creek First Nation, Whitefish Lake First Nation #128, Driftpile Cree Nation and Horse Lake First Nation (conjointement); Te’mexw Treaty Association; Federation of Sovereign Indigenous Nations; et Bruce Charlie, Marilyn Charlie, Emily Kelly, Neta Arnold, Margaret Njootli, Garry Njootli, Tracy Bruce, Teresa Levesque et Kimberly Blake (conjointement) en vue d’obtenir la permission d’intervenir dans l’appel;</w:t>
      </w:r>
    </w:p>
    <w:p w:rsidR="007D351F" w:rsidRPr="0076602A" w:rsidRDefault="007D351F" w:rsidP="007D351F">
      <w:pPr>
        <w:rPr>
          <w:color w:val="000000" w:themeColor="text1"/>
          <w:sz w:val="20"/>
          <w:szCs w:val="20"/>
          <w:lang w:val="en-US"/>
        </w:rPr>
      </w:pPr>
    </w:p>
    <w:p w:rsidR="007D351F" w:rsidRPr="0076602A" w:rsidRDefault="007D351F" w:rsidP="007D351F">
      <w:pPr>
        <w:jc w:val="both"/>
        <w:rPr>
          <w:color w:val="000000" w:themeColor="text1"/>
          <w:sz w:val="20"/>
          <w:szCs w:val="20"/>
          <w:lang w:val="fr-CA"/>
        </w:rPr>
      </w:pPr>
      <w:r w:rsidRPr="0076602A">
        <w:rPr>
          <w:b/>
          <w:bCs/>
          <w:sz w:val="20"/>
          <w:szCs w:val="20"/>
          <w:lang w:val="fr-CA"/>
        </w:rPr>
        <w:t>ET À LA SUITE DES DEMANDES</w:t>
      </w:r>
      <w:r w:rsidRPr="0076602A">
        <w:rPr>
          <w:sz w:val="20"/>
          <w:szCs w:val="20"/>
          <w:lang w:val="fr-CA"/>
        </w:rPr>
        <w:t xml:space="preserve"> présentée par le Council of Yukon First Nations et par Bruce Charlie, Marilyn Charlie, Emily Kelly, Neta Arnold, Margaret Njootli, Garry Njootli, Tracy Bruce, Teresa Levesque et Kimberly Blake (conjointement) </w:t>
      </w:r>
      <w:r w:rsidRPr="0076602A">
        <w:rPr>
          <w:bCs/>
          <w:sz w:val="20"/>
          <w:szCs w:val="20"/>
          <w:lang w:val="fr-CA"/>
        </w:rPr>
        <w:t xml:space="preserve">en vue d’obtenir la prorogation du délai de signification et de dépôt de leurs requêtes en autorisation d’intervention; </w:t>
      </w:r>
    </w:p>
    <w:p w:rsidR="007D351F" w:rsidRPr="0076602A" w:rsidRDefault="007D351F" w:rsidP="007D351F">
      <w:pPr>
        <w:rPr>
          <w:color w:val="000000" w:themeColor="text1"/>
          <w:sz w:val="20"/>
          <w:szCs w:val="20"/>
          <w:lang w:val="fr-CA"/>
        </w:rPr>
      </w:pPr>
    </w:p>
    <w:p w:rsidR="007D351F" w:rsidRPr="0076602A" w:rsidRDefault="007D351F" w:rsidP="007D351F">
      <w:pPr>
        <w:jc w:val="both"/>
        <w:rPr>
          <w:sz w:val="20"/>
          <w:szCs w:val="20"/>
          <w:lang w:val="fr-CA"/>
        </w:rPr>
      </w:pPr>
      <w:r w:rsidRPr="0076602A">
        <w:rPr>
          <w:b/>
          <w:bCs/>
          <w:sz w:val="20"/>
          <w:szCs w:val="20"/>
          <w:lang w:val="fr-CA"/>
        </w:rPr>
        <w:t xml:space="preserve">ET APRÈS EXAMEN </w:t>
      </w:r>
      <w:r w:rsidRPr="0076602A">
        <w:rPr>
          <w:bCs/>
          <w:sz w:val="20"/>
          <w:szCs w:val="20"/>
          <w:lang w:val="fr-CA"/>
        </w:rPr>
        <w:t>des documents déposés</w:t>
      </w:r>
      <w:r w:rsidRPr="0076602A">
        <w:rPr>
          <w:sz w:val="20"/>
          <w:szCs w:val="20"/>
          <w:lang w:val="fr-CA"/>
        </w:rPr>
        <w:t>;</w:t>
      </w:r>
    </w:p>
    <w:p w:rsidR="007D351F" w:rsidRPr="0076602A" w:rsidRDefault="007D351F" w:rsidP="007D351F">
      <w:pPr>
        <w:tabs>
          <w:tab w:val="left" w:pos="-1440"/>
        </w:tabs>
        <w:ind w:left="720" w:hanging="720"/>
        <w:jc w:val="both"/>
        <w:rPr>
          <w:sz w:val="20"/>
          <w:szCs w:val="20"/>
          <w:lang w:val="fr-CA"/>
        </w:rPr>
      </w:pPr>
    </w:p>
    <w:p w:rsidR="007D351F" w:rsidRPr="0076602A" w:rsidRDefault="007D351F" w:rsidP="007D351F">
      <w:pPr>
        <w:tabs>
          <w:tab w:val="left" w:pos="-1440"/>
        </w:tabs>
        <w:ind w:left="720" w:hanging="720"/>
        <w:jc w:val="both"/>
        <w:rPr>
          <w:b/>
          <w:sz w:val="20"/>
          <w:szCs w:val="20"/>
          <w:lang w:val="fr-CA"/>
        </w:rPr>
      </w:pPr>
      <w:r w:rsidRPr="0076602A">
        <w:rPr>
          <w:b/>
          <w:sz w:val="20"/>
          <w:szCs w:val="20"/>
          <w:lang w:val="fr-CA"/>
        </w:rPr>
        <w:t xml:space="preserve">IL EST ORDONNÉ CE QUI SUIT : </w:t>
      </w:r>
    </w:p>
    <w:p w:rsidR="007D351F" w:rsidRPr="0076602A" w:rsidRDefault="007D351F" w:rsidP="007D351F">
      <w:pPr>
        <w:tabs>
          <w:tab w:val="left" w:pos="-1440"/>
        </w:tabs>
        <w:ind w:left="720" w:hanging="720"/>
        <w:jc w:val="both"/>
        <w:rPr>
          <w:sz w:val="20"/>
          <w:szCs w:val="20"/>
          <w:lang w:val="fr-CA"/>
        </w:rPr>
      </w:pPr>
    </w:p>
    <w:p w:rsidR="007D351F" w:rsidRPr="0076602A" w:rsidRDefault="007D351F" w:rsidP="007D351F">
      <w:pPr>
        <w:tabs>
          <w:tab w:val="left" w:pos="-1440"/>
        </w:tabs>
        <w:ind w:left="22" w:hanging="22"/>
        <w:jc w:val="both"/>
        <w:rPr>
          <w:sz w:val="20"/>
          <w:szCs w:val="20"/>
          <w:lang w:val="fr-CA"/>
        </w:rPr>
      </w:pPr>
      <w:r w:rsidRPr="0076602A">
        <w:rPr>
          <w:sz w:val="20"/>
          <w:szCs w:val="20"/>
          <w:lang w:val="fr-CA"/>
        </w:rPr>
        <w:t>La requête en prorogation du délai déposée par le Council of Yukon First Nations est accueillie.</w:t>
      </w:r>
    </w:p>
    <w:p w:rsidR="007D351F" w:rsidRPr="0076602A" w:rsidRDefault="007D351F" w:rsidP="007D351F">
      <w:pPr>
        <w:tabs>
          <w:tab w:val="left" w:pos="-1440"/>
        </w:tabs>
        <w:jc w:val="both"/>
        <w:rPr>
          <w:sz w:val="20"/>
          <w:szCs w:val="20"/>
          <w:lang w:val="fr-CA"/>
        </w:rPr>
      </w:pPr>
    </w:p>
    <w:p w:rsidR="007D351F" w:rsidRPr="0076602A" w:rsidRDefault="007D351F" w:rsidP="007D351F">
      <w:pPr>
        <w:tabs>
          <w:tab w:val="left" w:pos="-1440"/>
        </w:tabs>
        <w:ind w:left="22" w:hanging="22"/>
        <w:jc w:val="both"/>
        <w:rPr>
          <w:sz w:val="20"/>
          <w:szCs w:val="20"/>
          <w:lang w:val="fr-CA"/>
        </w:rPr>
      </w:pPr>
      <w:r w:rsidRPr="0076602A">
        <w:rPr>
          <w:sz w:val="20"/>
          <w:szCs w:val="20"/>
          <w:lang w:val="fr-CA"/>
        </w:rPr>
        <w:t>La requête en prorogation du délai déposée par Bruce Charlie, Marilyn Charlie, Emily Kelly, Neta Arnold, Margaret Njootli, Garry Njootli, Tracy Bruce, Teresa Levesque et Kimberly Blake (conjointement) est rejetée. Quoi qu’il en soit, même si la requête en prorogation du délai avait été accueillie, la requête en autorisation d’intervenir aurait été rejetée.</w:t>
      </w:r>
    </w:p>
    <w:p w:rsidR="007D351F" w:rsidRPr="0076602A" w:rsidRDefault="007D351F" w:rsidP="007D351F">
      <w:pPr>
        <w:tabs>
          <w:tab w:val="left" w:pos="-1440"/>
        </w:tabs>
        <w:jc w:val="both"/>
        <w:rPr>
          <w:sz w:val="20"/>
          <w:szCs w:val="20"/>
          <w:lang w:val="fr-CA"/>
        </w:rPr>
      </w:pPr>
    </w:p>
    <w:p w:rsidR="007D351F" w:rsidRPr="0076602A" w:rsidRDefault="007D351F" w:rsidP="007D351F">
      <w:pPr>
        <w:tabs>
          <w:tab w:val="left" w:pos="-1440"/>
        </w:tabs>
        <w:jc w:val="both"/>
        <w:rPr>
          <w:sz w:val="20"/>
          <w:szCs w:val="20"/>
          <w:lang w:val="fr-CA"/>
        </w:rPr>
      </w:pPr>
      <w:r w:rsidRPr="0076602A">
        <w:rPr>
          <w:sz w:val="20"/>
          <w:szCs w:val="20"/>
          <w:lang w:val="fr-CA"/>
        </w:rPr>
        <w:t>Les requêtes en autorisation d’intervenir déposées par la British Columbia Treaty Commission; Nation métisse de l’Ontario et Métis Nation of Alberta (conjointement); Carcross/Tagish First Nation; Teslin Tlingit Council; shíshálh Nation; Congrès des peuples autochtones; Council of Yukon First Nations; Forum pancanadien sur les droits autochtones et la Constitution; Canadian Constitution Foundation; Band Members Alliance and Advocacy Association of Canada; Swan River First Nation, Sucker Creek First Nation, Whitefish Lake First Nation #128, Driftpile Cree Nation and Horse Lake First Nation (conjointement); Te’mexw Treaty Association; et Federation of Sovereign Indigenous Nations sont accueillies et les treize (13) intervenants ou groupes d’intervenants pourront chacun signifier et déposer un mémoire d’au plus dix (10) pages et un recueil de sources, le cas échéant, au plus tard le 28 octobre 2022.</w:t>
      </w:r>
    </w:p>
    <w:p w:rsidR="007D351F" w:rsidRPr="0076602A" w:rsidRDefault="007D351F" w:rsidP="007D351F">
      <w:pPr>
        <w:tabs>
          <w:tab w:val="left" w:pos="-1440"/>
        </w:tabs>
        <w:jc w:val="both"/>
        <w:rPr>
          <w:bCs/>
          <w:sz w:val="20"/>
          <w:szCs w:val="20"/>
          <w:lang w:val="fr-CA"/>
        </w:rPr>
      </w:pPr>
    </w:p>
    <w:p w:rsidR="007D351F" w:rsidRPr="0076602A" w:rsidRDefault="007D351F" w:rsidP="007D351F">
      <w:pPr>
        <w:tabs>
          <w:tab w:val="left" w:pos="-1440"/>
        </w:tabs>
        <w:ind w:left="22" w:hanging="22"/>
        <w:jc w:val="both"/>
        <w:rPr>
          <w:sz w:val="20"/>
          <w:szCs w:val="20"/>
          <w:lang w:val="fr-CA"/>
        </w:rPr>
      </w:pPr>
      <w:r w:rsidRPr="0076602A">
        <w:rPr>
          <w:bCs/>
          <w:sz w:val="20"/>
          <w:szCs w:val="20"/>
          <w:lang w:val="fr-CA"/>
        </w:rPr>
        <w:t xml:space="preserve">Les treize (13) </w:t>
      </w:r>
      <w:r w:rsidRPr="0076602A">
        <w:rPr>
          <w:sz w:val="20"/>
          <w:szCs w:val="20"/>
          <w:lang w:val="fr-CA"/>
        </w:rPr>
        <w:t>intervenants ou groupes d’intervenants auront chacun le droit de présenter une plaidoirie orale d’au plus cinq (5) minutes lors de l’audition de l’appel.</w:t>
      </w:r>
    </w:p>
    <w:p w:rsidR="007D351F" w:rsidRPr="0076602A" w:rsidRDefault="007D351F" w:rsidP="007D351F">
      <w:pPr>
        <w:tabs>
          <w:tab w:val="left" w:pos="-1440"/>
        </w:tabs>
        <w:ind w:left="22" w:hanging="22"/>
        <w:jc w:val="both"/>
        <w:rPr>
          <w:bCs/>
          <w:sz w:val="20"/>
          <w:szCs w:val="20"/>
          <w:lang w:val="fr-CA"/>
        </w:rPr>
      </w:pPr>
    </w:p>
    <w:p w:rsidR="007D351F" w:rsidRPr="0076602A" w:rsidRDefault="007D351F" w:rsidP="007D351F">
      <w:pPr>
        <w:jc w:val="both"/>
        <w:rPr>
          <w:sz w:val="20"/>
          <w:szCs w:val="20"/>
          <w:lang w:val="fr-CA"/>
        </w:rPr>
      </w:pPr>
      <w:r w:rsidRPr="0076602A">
        <w:rPr>
          <w:sz w:val="20"/>
          <w:szCs w:val="20"/>
          <w:lang w:val="fr-CA"/>
        </w:rPr>
        <w:t>L’appelante et l’intimée sont chacun autorisés à signifier et déposer un seul mémoire en réplique à toutes les interventions d’au plus cinq (5) pages au plus tard le 24 novembre 2022.</w:t>
      </w:r>
    </w:p>
    <w:p w:rsidR="007D351F" w:rsidRPr="0076602A" w:rsidRDefault="007D351F" w:rsidP="007D351F">
      <w:pPr>
        <w:tabs>
          <w:tab w:val="left" w:pos="-1440"/>
        </w:tabs>
        <w:jc w:val="both"/>
        <w:rPr>
          <w:bCs/>
          <w:sz w:val="20"/>
          <w:szCs w:val="20"/>
          <w:lang w:val="fr-CA"/>
        </w:rPr>
      </w:pPr>
    </w:p>
    <w:p w:rsidR="007D351F" w:rsidRPr="0076602A" w:rsidRDefault="007D351F" w:rsidP="007D351F">
      <w:pPr>
        <w:jc w:val="both"/>
        <w:rPr>
          <w:b/>
          <w:sz w:val="20"/>
          <w:szCs w:val="20"/>
          <w:lang w:val="fr-CA"/>
        </w:rPr>
      </w:pPr>
      <w:r w:rsidRPr="0076602A">
        <w:rPr>
          <w:b/>
          <w:sz w:val="20"/>
          <w:szCs w:val="20"/>
          <w:lang w:val="fr-CA"/>
        </w:rPr>
        <w:t xml:space="preserve">Les intervenants ou groupes d’intervenants n’ont pas le droit de soulever de nouvelles questions, de produire d’autres éléments de preuve ni de compléter de quelque autre façon le dossier des </w:t>
      </w:r>
      <w:r w:rsidRPr="0076602A">
        <w:rPr>
          <w:b/>
          <w:sz w:val="20"/>
          <w:szCs w:val="20"/>
        </w:rPr>
        <w:fldChar w:fldCharType="begin"/>
      </w:r>
      <w:r w:rsidRPr="0076602A">
        <w:rPr>
          <w:b/>
          <w:sz w:val="20"/>
          <w:szCs w:val="20"/>
          <w:lang w:val="fr-CA"/>
        </w:rPr>
        <w:instrText xml:space="preserve"> SEQ CHAPTER \h \r 1</w:instrText>
      </w:r>
      <w:r w:rsidRPr="0076602A">
        <w:rPr>
          <w:b/>
          <w:sz w:val="20"/>
          <w:szCs w:val="20"/>
        </w:rPr>
        <w:fldChar w:fldCharType="end"/>
      </w:r>
      <w:r w:rsidRPr="0076602A">
        <w:rPr>
          <w:b/>
          <w:sz w:val="20"/>
          <w:szCs w:val="20"/>
          <w:lang w:val="fr-CA"/>
        </w:rPr>
        <w:t>parties.</w:t>
      </w:r>
    </w:p>
    <w:p w:rsidR="007D351F" w:rsidRPr="0076602A" w:rsidRDefault="007D351F" w:rsidP="007D351F">
      <w:pPr>
        <w:jc w:val="both"/>
        <w:rPr>
          <w:sz w:val="20"/>
          <w:szCs w:val="20"/>
          <w:lang w:val="fr-FR"/>
        </w:rPr>
      </w:pPr>
    </w:p>
    <w:p w:rsidR="007D351F" w:rsidRPr="0076602A" w:rsidRDefault="007D351F" w:rsidP="007D351F">
      <w:pPr>
        <w:jc w:val="both"/>
        <w:rPr>
          <w:sz w:val="20"/>
          <w:szCs w:val="20"/>
          <w:lang w:val="fr-FR"/>
        </w:rPr>
      </w:pPr>
      <w:r w:rsidRPr="0076602A">
        <w:rPr>
          <w:sz w:val="20"/>
          <w:szCs w:val="20"/>
          <w:lang w:val="fr-FR"/>
        </w:rPr>
        <w:t>Conformément à l’alinéa 59(1)</w:t>
      </w:r>
      <w:r w:rsidRPr="0076602A">
        <w:rPr>
          <w:i/>
          <w:sz w:val="20"/>
          <w:szCs w:val="20"/>
          <w:lang w:val="fr-FR"/>
        </w:rPr>
        <w:t>a</w:t>
      </w:r>
      <w:r w:rsidRPr="0076602A">
        <w:rPr>
          <w:sz w:val="20"/>
          <w:szCs w:val="20"/>
          <w:lang w:val="fr-FR"/>
        </w:rPr>
        <w:t xml:space="preserve">) des </w:t>
      </w:r>
      <w:r w:rsidRPr="0076602A">
        <w:rPr>
          <w:i/>
          <w:sz w:val="20"/>
          <w:szCs w:val="20"/>
          <w:lang w:val="fr-FR"/>
        </w:rPr>
        <w:t>Règles de la Cour suprême du Canada</w:t>
      </w:r>
      <w:r w:rsidRPr="0076602A">
        <w:rPr>
          <w:sz w:val="20"/>
          <w:szCs w:val="20"/>
          <w:lang w:val="fr-FR"/>
        </w:rPr>
        <w:t>, les intervenants ou groupes d’intervenants paieront à l’appelante et à l’intimée tous débours supplémentaires résultant de leurs interventions.</w:t>
      </w:r>
    </w:p>
    <w:p w:rsidR="007D351F" w:rsidRPr="0076602A" w:rsidRDefault="007D351F" w:rsidP="007D351F">
      <w:pPr>
        <w:jc w:val="both"/>
        <w:rPr>
          <w:sz w:val="20"/>
          <w:szCs w:val="20"/>
          <w:lang w:val="fr-CA"/>
        </w:rPr>
      </w:pPr>
    </w:p>
    <w:p w:rsidR="007D351F" w:rsidRPr="0076602A" w:rsidRDefault="007D351F">
      <w:pPr>
        <w:rPr>
          <w:b/>
          <w:bCs/>
          <w:sz w:val="20"/>
          <w:szCs w:val="20"/>
          <w:lang w:val="fr-CA"/>
        </w:rPr>
      </w:pPr>
      <w:r w:rsidRPr="0076602A">
        <w:rPr>
          <w:b/>
          <w:bCs/>
          <w:sz w:val="20"/>
          <w:szCs w:val="20"/>
          <w:lang w:val="fr-CA"/>
        </w:rPr>
        <w:br w:type="page"/>
      </w:r>
    </w:p>
    <w:p w:rsidR="007D351F" w:rsidRPr="0076602A" w:rsidRDefault="007D351F" w:rsidP="007D351F">
      <w:pPr>
        <w:rPr>
          <w:b/>
          <w:bCs/>
          <w:sz w:val="20"/>
          <w:szCs w:val="20"/>
          <w:lang w:val="fr-CA"/>
        </w:rPr>
      </w:pPr>
      <w:r w:rsidRPr="0076602A">
        <w:rPr>
          <w:b/>
          <w:bCs/>
          <w:sz w:val="20"/>
          <w:szCs w:val="20"/>
          <w:lang w:val="fr-CA"/>
        </w:rPr>
        <w:t>ET IL EST EN OUTRE ORDONNÉ CE QUI SUIT :</w:t>
      </w:r>
    </w:p>
    <w:p w:rsidR="007D351F" w:rsidRPr="0076602A" w:rsidRDefault="007D351F" w:rsidP="007D351F">
      <w:pPr>
        <w:rPr>
          <w:bCs/>
          <w:sz w:val="20"/>
          <w:szCs w:val="20"/>
          <w:lang w:val="fr-CA"/>
        </w:rPr>
      </w:pPr>
    </w:p>
    <w:p w:rsidR="007D351F" w:rsidRPr="0076602A" w:rsidRDefault="007D351F" w:rsidP="007D351F">
      <w:pPr>
        <w:jc w:val="both"/>
        <w:rPr>
          <w:sz w:val="20"/>
          <w:szCs w:val="20"/>
          <w:lang w:val="fr-CA"/>
        </w:rPr>
      </w:pPr>
      <w:r w:rsidRPr="0076602A">
        <w:rPr>
          <w:sz w:val="20"/>
          <w:szCs w:val="20"/>
          <w:lang w:val="fr-CA"/>
        </w:rPr>
        <w:t>Le procureur général du Canada, le procureur général du Québec, le procureur général de l’Alberta et le gouvernement du Yukon auront chacun le droit de présenter une plaidoirie orale d’au plus dix (10) minutes lors de l’audition de l’appel.</w:t>
      </w:r>
    </w:p>
    <w:p w:rsidR="00B353AA" w:rsidRPr="0076602A" w:rsidRDefault="00B353AA" w:rsidP="0010587F">
      <w:pPr>
        <w:tabs>
          <w:tab w:val="left" w:pos="-1440"/>
          <w:tab w:val="left" w:pos="-720"/>
        </w:tabs>
        <w:jc w:val="both"/>
        <w:rPr>
          <w:sz w:val="20"/>
          <w:szCs w:val="20"/>
          <w:lang w:val="fr-CA"/>
        </w:rPr>
      </w:pPr>
    </w:p>
    <w:p w:rsidR="00B353AA" w:rsidRPr="0076602A" w:rsidRDefault="00CF2ACD"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29" style="width:2in;height:1pt" o:hrpct="0" o:hralign="center" o:hrstd="t" o:hrnoshade="t" o:hr="t" fillcolor="black [3213]" stroked="f"/>
        </w:pict>
      </w:r>
    </w:p>
    <w:p w:rsidR="00B353AA" w:rsidRPr="0076602A" w:rsidRDefault="00B353AA" w:rsidP="0010587F">
      <w:pPr>
        <w:tabs>
          <w:tab w:val="left" w:pos="-1440"/>
          <w:tab w:val="left" w:pos="-720"/>
        </w:tabs>
        <w:jc w:val="both"/>
        <w:rPr>
          <w:sz w:val="20"/>
          <w:szCs w:val="20"/>
          <w:lang w:val="fr-CA"/>
        </w:rPr>
      </w:pPr>
    </w:p>
    <w:p w:rsidR="00B353AA" w:rsidRPr="0076602A" w:rsidRDefault="00B353AA" w:rsidP="0010587F">
      <w:pPr>
        <w:tabs>
          <w:tab w:val="left" w:pos="-1440"/>
          <w:tab w:val="left" w:pos="-720"/>
        </w:tabs>
        <w:jc w:val="both"/>
        <w:rPr>
          <w:sz w:val="20"/>
          <w:szCs w:val="20"/>
          <w:lang w:val="fr-CA"/>
        </w:rPr>
      </w:pPr>
    </w:p>
    <w:p w:rsidR="00B353AA" w:rsidRPr="0076602A" w:rsidRDefault="00B353AA" w:rsidP="0010587F">
      <w:pPr>
        <w:tabs>
          <w:tab w:val="left" w:pos="-1440"/>
          <w:tab w:val="left" w:pos="-720"/>
        </w:tabs>
        <w:jc w:val="both"/>
        <w:rPr>
          <w:sz w:val="20"/>
          <w:szCs w:val="20"/>
          <w:lang w:val="fr-CA"/>
        </w:rPr>
      </w:pPr>
    </w:p>
    <w:p w:rsidR="00890FEB" w:rsidRPr="0076602A" w:rsidRDefault="00890FEB" w:rsidP="00831CA9">
      <w:pPr>
        <w:jc w:val="both"/>
        <w:rPr>
          <w:sz w:val="20"/>
          <w:szCs w:val="20"/>
          <w:lang w:val="fr-CA"/>
        </w:rPr>
      </w:pPr>
    </w:p>
    <w:p w:rsidR="00831CA9" w:rsidRPr="0076602A" w:rsidRDefault="00831CA9" w:rsidP="00831CA9">
      <w:pPr>
        <w:jc w:val="both"/>
        <w:rPr>
          <w:sz w:val="20"/>
          <w:szCs w:val="20"/>
          <w:lang w:val="fr-CA"/>
        </w:rPr>
        <w:sectPr w:rsidR="00831CA9" w:rsidRPr="0076602A" w:rsidSect="00831CA9">
          <w:headerReference w:type="even" r:id="rId15"/>
          <w:headerReference w:type="default" r:id="rId16"/>
          <w:footerReference w:type="even" r:id="rId17"/>
          <w:footerReference w:type="default" r:id="rId18"/>
          <w:headerReference w:type="first" r:id="rId19"/>
          <w:footerReference w:type="first" r:id="rId20"/>
          <w:pgSz w:w="12240" w:h="15840"/>
          <w:pgMar w:top="720" w:right="965" w:bottom="1080" w:left="1656" w:header="720" w:footer="965" w:gutter="0"/>
          <w:cols w:space="720"/>
          <w:titlePg/>
          <w:docGrid w:linePitch="326"/>
        </w:sectPr>
      </w:pPr>
    </w:p>
    <w:p w:rsidR="00567602" w:rsidRPr="0076602A" w:rsidRDefault="001434B9" w:rsidP="001434B9">
      <w:pPr>
        <w:pStyle w:val="Header1StyleE"/>
        <w:pBdr>
          <w:bottom w:val="single" w:sz="12" w:space="0" w:color="auto"/>
        </w:pBdr>
        <w:rPr>
          <w:lang w:val="fr-CA"/>
        </w:rPr>
      </w:pPr>
      <w:bookmarkStart w:id="3" w:name="_Toc114810706"/>
      <w:r w:rsidRPr="0076602A">
        <w:rPr>
          <w:lang w:val="fr-CA"/>
        </w:rPr>
        <w:t xml:space="preserve">Agenda and case summaries for </w:t>
      </w:r>
      <w:r w:rsidR="00872EF1" w:rsidRPr="0076602A">
        <w:rPr>
          <w:lang w:val="fr-CA"/>
        </w:rPr>
        <w:t>October</w:t>
      </w:r>
      <w:r w:rsidR="00567602" w:rsidRPr="0076602A">
        <w:rPr>
          <w:lang w:val="fr-CA"/>
        </w:rPr>
        <w:t xml:space="preserve"> </w:t>
      </w:r>
      <w:r w:rsidR="0034657E" w:rsidRPr="0076602A">
        <w:rPr>
          <w:lang w:val="fr-CA"/>
        </w:rPr>
        <w:t>20</w:t>
      </w:r>
      <w:r w:rsidR="00172473" w:rsidRPr="0076602A">
        <w:rPr>
          <w:lang w:val="fr-CA"/>
        </w:rPr>
        <w:t>2</w:t>
      </w:r>
      <w:r w:rsidR="00E8642A" w:rsidRPr="0076602A">
        <w:rPr>
          <w:lang w:val="fr-CA"/>
        </w:rPr>
        <w:t>2</w:t>
      </w:r>
      <w:r w:rsidR="00271E1E" w:rsidRPr="0076602A">
        <w:rPr>
          <w:lang w:val="fr-CA"/>
        </w:rPr>
        <w:t xml:space="preserve"> / </w:t>
      </w:r>
      <w:r w:rsidR="00567602" w:rsidRPr="0076602A">
        <w:rPr>
          <w:lang w:val="fr-CA"/>
        </w:rPr>
        <w:br/>
      </w:r>
      <w:r w:rsidRPr="0076602A">
        <w:rPr>
          <w:lang w:val="fr-CA"/>
        </w:rPr>
        <w:t>Calendrier et sommaires des causes d</w:t>
      </w:r>
      <w:r w:rsidR="00872EF1" w:rsidRPr="0076602A">
        <w:rPr>
          <w:lang w:val="fr-CA"/>
        </w:rPr>
        <w:t>’octobre</w:t>
      </w:r>
      <w:r w:rsidR="00172473" w:rsidRPr="0076602A">
        <w:rPr>
          <w:lang w:val="fr-CA"/>
        </w:rPr>
        <w:t xml:space="preserve"> </w:t>
      </w:r>
      <w:r w:rsidR="0034657E" w:rsidRPr="0076602A">
        <w:rPr>
          <w:lang w:val="fr-CA"/>
        </w:rPr>
        <w:t>20</w:t>
      </w:r>
      <w:r w:rsidR="00172473" w:rsidRPr="0076602A">
        <w:rPr>
          <w:lang w:val="fr-CA"/>
        </w:rPr>
        <w:t>2</w:t>
      </w:r>
      <w:r w:rsidR="00E8642A" w:rsidRPr="0076602A">
        <w:rPr>
          <w:lang w:val="fr-CA"/>
        </w:rPr>
        <w:t>2</w:t>
      </w:r>
      <w:bookmarkEnd w:id="3"/>
    </w:p>
    <w:p w:rsidR="00567602" w:rsidRPr="0076602A" w:rsidRDefault="00567602" w:rsidP="004B66B4">
      <w:pPr>
        <w:rPr>
          <w:sz w:val="20"/>
          <w:szCs w:val="20"/>
          <w:lang w:val="fr-CA"/>
        </w:rPr>
      </w:pPr>
    </w:p>
    <w:p w:rsidR="00102926" w:rsidRPr="0076602A" w:rsidRDefault="002C13E1" w:rsidP="00782AE4">
      <w:pPr>
        <w:jc w:val="both"/>
        <w:rPr>
          <w:b/>
          <w:sz w:val="20"/>
          <w:szCs w:val="20"/>
          <w:lang w:val="fr-CA"/>
        </w:rPr>
      </w:pPr>
      <w:r w:rsidRPr="0076602A">
        <w:rPr>
          <w:b/>
          <w:sz w:val="20"/>
          <w:szCs w:val="20"/>
          <w:lang w:val="fr-CA"/>
        </w:rPr>
        <w:t>SEPTEMBER</w:t>
      </w:r>
      <w:r w:rsidR="00102792" w:rsidRPr="0076602A">
        <w:rPr>
          <w:b/>
          <w:sz w:val="20"/>
          <w:szCs w:val="20"/>
          <w:lang w:val="fr-CA"/>
        </w:rPr>
        <w:t xml:space="preserve"> </w:t>
      </w:r>
      <w:r w:rsidRPr="0076602A">
        <w:rPr>
          <w:b/>
          <w:sz w:val="20"/>
          <w:szCs w:val="20"/>
          <w:lang w:val="fr-CA"/>
        </w:rPr>
        <w:t>2</w:t>
      </w:r>
      <w:r w:rsidR="00872EF1" w:rsidRPr="0076602A">
        <w:rPr>
          <w:b/>
          <w:sz w:val="20"/>
          <w:szCs w:val="20"/>
          <w:lang w:val="fr-CA"/>
        </w:rPr>
        <w:t>3</w:t>
      </w:r>
      <w:r w:rsidR="00102792" w:rsidRPr="0076602A">
        <w:rPr>
          <w:b/>
          <w:sz w:val="20"/>
          <w:szCs w:val="20"/>
          <w:lang w:val="fr-CA"/>
        </w:rPr>
        <w:t xml:space="preserve">, </w:t>
      </w:r>
      <w:r w:rsidR="0034657E" w:rsidRPr="0076602A">
        <w:rPr>
          <w:b/>
          <w:sz w:val="20"/>
          <w:szCs w:val="20"/>
          <w:lang w:val="fr-CA"/>
        </w:rPr>
        <w:t>20</w:t>
      </w:r>
      <w:r w:rsidR="00172473" w:rsidRPr="0076602A">
        <w:rPr>
          <w:b/>
          <w:sz w:val="20"/>
          <w:szCs w:val="20"/>
          <w:lang w:val="fr-CA"/>
        </w:rPr>
        <w:t>2</w:t>
      </w:r>
      <w:r w:rsidR="00E8642A" w:rsidRPr="0076602A">
        <w:rPr>
          <w:b/>
          <w:sz w:val="20"/>
          <w:szCs w:val="20"/>
          <w:lang w:val="fr-CA"/>
        </w:rPr>
        <w:t>2</w:t>
      </w:r>
      <w:r w:rsidR="00102792" w:rsidRPr="0076602A">
        <w:rPr>
          <w:b/>
          <w:sz w:val="20"/>
          <w:szCs w:val="20"/>
          <w:lang w:val="fr-CA"/>
        </w:rPr>
        <w:t xml:space="preserve"> / LE </w:t>
      </w:r>
      <w:r w:rsidRPr="0076602A">
        <w:rPr>
          <w:b/>
          <w:sz w:val="20"/>
          <w:szCs w:val="20"/>
          <w:lang w:val="fr-CA"/>
        </w:rPr>
        <w:t>2</w:t>
      </w:r>
      <w:r w:rsidR="00872EF1" w:rsidRPr="0076602A">
        <w:rPr>
          <w:b/>
          <w:sz w:val="20"/>
          <w:szCs w:val="20"/>
          <w:lang w:val="fr-CA"/>
        </w:rPr>
        <w:t>3</w:t>
      </w:r>
      <w:r w:rsidR="00102792" w:rsidRPr="0076602A">
        <w:rPr>
          <w:b/>
          <w:sz w:val="20"/>
          <w:szCs w:val="20"/>
          <w:lang w:val="fr-CA"/>
        </w:rPr>
        <w:t xml:space="preserve"> </w:t>
      </w:r>
      <w:r w:rsidRPr="0076602A">
        <w:rPr>
          <w:b/>
          <w:sz w:val="20"/>
          <w:szCs w:val="20"/>
          <w:lang w:val="fr-CA"/>
        </w:rPr>
        <w:t>SEPTEMBRE</w:t>
      </w:r>
      <w:r w:rsidR="00102792" w:rsidRPr="0076602A">
        <w:rPr>
          <w:b/>
          <w:sz w:val="20"/>
          <w:szCs w:val="20"/>
          <w:lang w:val="fr-CA"/>
        </w:rPr>
        <w:t xml:space="preserve"> </w:t>
      </w:r>
      <w:r w:rsidR="0034657E" w:rsidRPr="0076602A">
        <w:rPr>
          <w:b/>
          <w:sz w:val="20"/>
          <w:szCs w:val="20"/>
          <w:lang w:val="fr-CA"/>
        </w:rPr>
        <w:t>20</w:t>
      </w:r>
      <w:r w:rsidR="00172473" w:rsidRPr="0076602A">
        <w:rPr>
          <w:b/>
          <w:sz w:val="20"/>
          <w:szCs w:val="20"/>
          <w:lang w:val="fr-CA"/>
        </w:rPr>
        <w:t>2</w:t>
      </w:r>
      <w:r w:rsidR="00E8642A" w:rsidRPr="0076602A">
        <w:rPr>
          <w:b/>
          <w:sz w:val="20"/>
          <w:szCs w:val="20"/>
          <w:lang w:val="fr-CA"/>
        </w:rPr>
        <w:t>2</w:t>
      </w:r>
    </w:p>
    <w:p w:rsidR="00102792" w:rsidRPr="0076602A"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CF2ACD" w:rsidTr="00B56A04">
        <w:tc>
          <w:tcPr>
            <w:tcW w:w="2397" w:type="dxa"/>
            <w:tcMar>
              <w:top w:w="58" w:type="dxa"/>
              <w:left w:w="58" w:type="dxa"/>
              <w:bottom w:w="58" w:type="dxa"/>
              <w:right w:w="58" w:type="dxa"/>
            </w:tcMar>
            <w:hideMark/>
          </w:tcPr>
          <w:p w:rsidR="00102792" w:rsidRPr="0076602A" w:rsidRDefault="00102792">
            <w:pPr>
              <w:rPr>
                <w:b/>
                <w:color w:val="000000"/>
                <w:lang w:val="en-US"/>
              </w:rPr>
            </w:pPr>
            <w:r w:rsidRPr="0076602A">
              <w:rPr>
                <w:b/>
                <w:color w:val="000000"/>
                <w:sz w:val="20"/>
                <w:szCs w:val="20"/>
              </w:rPr>
              <w:t>DATE OF HEARING /</w:t>
            </w:r>
          </w:p>
          <w:p w:rsidR="00102792" w:rsidRPr="0076602A" w:rsidRDefault="00102792">
            <w:pPr>
              <w:rPr>
                <w:color w:val="000000"/>
              </w:rPr>
            </w:pPr>
            <w:r w:rsidRPr="0076602A">
              <w:rPr>
                <w:b/>
                <w:color w:val="000000"/>
                <w:sz w:val="20"/>
                <w:szCs w:val="20"/>
              </w:rPr>
              <w:t>DATE D’AUDITION</w:t>
            </w:r>
          </w:p>
        </w:tc>
        <w:tc>
          <w:tcPr>
            <w:tcW w:w="7173" w:type="dxa"/>
            <w:tcMar>
              <w:top w:w="58" w:type="dxa"/>
              <w:left w:w="58" w:type="dxa"/>
              <w:bottom w:w="58" w:type="dxa"/>
              <w:right w:w="58" w:type="dxa"/>
            </w:tcMar>
            <w:hideMark/>
          </w:tcPr>
          <w:p w:rsidR="00102792" w:rsidRPr="0076602A" w:rsidRDefault="00102792">
            <w:pPr>
              <w:rPr>
                <w:b/>
                <w:color w:val="000000"/>
                <w:lang w:val="fr-CA"/>
              </w:rPr>
            </w:pPr>
            <w:r w:rsidRPr="0076602A">
              <w:rPr>
                <w:b/>
                <w:color w:val="000000"/>
                <w:sz w:val="20"/>
                <w:szCs w:val="20"/>
                <w:lang w:val="fr-CA"/>
              </w:rPr>
              <w:t>NAME AND CASE NUMBER /</w:t>
            </w:r>
          </w:p>
          <w:p w:rsidR="00102792" w:rsidRPr="0076602A" w:rsidRDefault="00102792">
            <w:pPr>
              <w:rPr>
                <w:color w:val="000000"/>
                <w:lang w:val="fr-CA"/>
              </w:rPr>
            </w:pPr>
            <w:r w:rsidRPr="0076602A">
              <w:rPr>
                <w:b/>
                <w:color w:val="000000"/>
                <w:sz w:val="20"/>
                <w:szCs w:val="20"/>
                <w:lang w:val="fr-CA"/>
              </w:rPr>
              <w:t>NOM DE LA CAUSE ET NUMÉRO</w:t>
            </w:r>
          </w:p>
        </w:tc>
      </w:tr>
      <w:tr w:rsidR="00102792" w:rsidRPr="0076602A" w:rsidTr="00B56A04">
        <w:tc>
          <w:tcPr>
            <w:tcW w:w="2397" w:type="dxa"/>
            <w:tcMar>
              <w:top w:w="58" w:type="dxa"/>
              <w:left w:w="58" w:type="dxa"/>
              <w:bottom w:w="58" w:type="dxa"/>
              <w:right w:w="58" w:type="dxa"/>
            </w:tcMar>
            <w:hideMark/>
          </w:tcPr>
          <w:p w:rsidR="00102792" w:rsidRPr="009C3682" w:rsidRDefault="009C3682" w:rsidP="009C3682">
            <w:pPr>
              <w:rPr>
                <w:color w:val="000000"/>
                <w:lang w:val="fr-CA"/>
              </w:rPr>
            </w:pPr>
            <w:r w:rsidRPr="009C3682">
              <w:rPr>
                <w:sz w:val="20"/>
                <w:lang w:val="fr-CA"/>
              </w:rPr>
              <w:t>2022-10-04</w:t>
            </w:r>
          </w:p>
        </w:tc>
        <w:tc>
          <w:tcPr>
            <w:tcW w:w="7173" w:type="dxa"/>
            <w:tcMar>
              <w:top w:w="58" w:type="dxa"/>
              <w:left w:w="58" w:type="dxa"/>
              <w:bottom w:w="58" w:type="dxa"/>
              <w:right w:w="58" w:type="dxa"/>
            </w:tcMar>
            <w:hideMark/>
          </w:tcPr>
          <w:p w:rsidR="00102792" w:rsidRPr="0076602A" w:rsidRDefault="00B56A04" w:rsidP="00BD5768">
            <w:pPr>
              <w:rPr>
                <w:color w:val="000000"/>
              </w:rPr>
            </w:pPr>
            <w:r w:rsidRPr="0076602A">
              <w:rPr>
                <w:i/>
                <w:iCs/>
                <w:sz w:val="20"/>
              </w:rPr>
              <w:t>H</w:t>
            </w:r>
            <w:r w:rsidR="00BD5768" w:rsidRPr="0076602A">
              <w:rPr>
                <w:i/>
                <w:iCs/>
                <w:sz w:val="20"/>
              </w:rPr>
              <w:t>is</w:t>
            </w:r>
            <w:r w:rsidRPr="0076602A">
              <w:rPr>
                <w:i/>
                <w:iCs/>
                <w:sz w:val="20"/>
              </w:rPr>
              <w:t xml:space="preserve"> Majesty the </w:t>
            </w:r>
            <w:r w:rsidR="00BD5768" w:rsidRPr="0076602A">
              <w:rPr>
                <w:i/>
                <w:iCs/>
                <w:sz w:val="20"/>
              </w:rPr>
              <w:t>King</w:t>
            </w:r>
            <w:r w:rsidRPr="0076602A">
              <w:rPr>
                <w:i/>
                <w:iCs/>
                <w:sz w:val="20"/>
              </w:rPr>
              <w:t xml:space="preserve"> v. Matthew James Johnston, et al. </w:t>
            </w:r>
            <w:r w:rsidRPr="0076602A">
              <w:rPr>
                <w:iCs/>
                <w:sz w:val="20"/>
              </w:rPr>
              <w:t>(B.C.) (Criminal) (By Leave) (</w:t>
            </w:r>
            <w:hyperlink r:id="rId21" w:history="1">
              <w:r w:rsidRPr="0076602A">
                <w:rPr>
                  <w:rStyle w:val="Hyperlink"/>
                  <w:iCs/>
                  <w:sz w:val="20"/>
                </w:rPr>
                <w:t>39635</w:t>
              </w:r>
            </w:hyperlink>
            <w:r w:rsidRPr="0076602A">
              <w:rPr>
                <w:iCs/>
                <w:sz w:val="20"/>
              </w:rPr>
              <w:t>)</w:t>
            </w:r>
          </w:p>
        </w:tc>
      </w:tr>
      <w:tr w:rsidR="00102792" w:rsidRPr="0076602A" w:rsidTr="00B56A04">
        <w:tc>
          <w:tcPr>
            <w:tcW w:w="2397" w:type="dxa"/>
            <w:tcMar>
              <w:top w:w="58" w:type="dxa"/>
              <w:left w:w="58" w:type="dxa"/>
              <w:bottom w:w="58" w:type="dxa"/>
              <w:right w:w="58" w:type="dxa"/>
            </w:tcMar>
            <w:hideMark/>
          </w:tcPr>
          <w:p w:rsidR="00102792" w:rsidRPr="0076602A" w:rsidRDefault="00B56A04" w:rsidP="002C13E1">
            <w:pPr>
              <w:rPr>
                <w:color w:val="000000"/>
              </w:rPr>
            </w:pPr>
            <w:r w:rsidRPr="0076602A">
              <w:rPr>
                <w:sz w:val="20"/>
              </w:rPr>
              <w:t>2022-10-06</w:t>
            </w:r>
          </w:p>
        </w:tc>
        <w:tc>
          <w:tcPr>
            <w:tcW w:w="7173" w:type="dxa"/>
            <w:tcMar>
              <w:top w:w="58" w:type="dxa"/>
              <w:left w:w="58" w:type="dxa"/>
              <w:bottom w:w="58" w:type="dxa"/>
              <w:right w:w="58" w:type="dxa"/>
            </w:tcMar>
            <w:hideMark/>
          </w:tcPr>
          <w:p w:rsidR="00102792" w:rsidRPr="0076602A" w:rsidRDefault="00B56A04">
            <w:pPr>
              <w:rPr>
                <w:color w:val="000000"/>
                <w:lang w:val="fr-CA"/>
              </w:rPr>
            </w:pPr>
            <w:r w:rsidRPr="0076602A">
              <w:rPr>
                <w:i/>
                <w:iCs/>
                <w:sz w:val="20"/>
              </w:rPr>
              <w:t>Canadian Council for Refugees, et al. v. Minister of Citizenship and Immigration, et al.</w:t>
            </w:r>
            <w:r w:rsidRPr="0076602A">
              <w:rPr>
                <w:iCs/>
                <w:sz w:val="20"/>
              </w:rPr>
              <w:t xml:space="preserve"> (F.C.) (Civil) (By Leave) (</w:t>
            </w:r>
            <w:hyperlink r:id="rId22" w:history="1">
              <w:r w:rsidRPr="0076602A">
                <w:rPr>
                  <w:rStyle w:val="Hyperlink"/>
                  <w:iCs/>
                  <w:sz w:val="20"/>
                </w:rPr>
                <w:t>39749</w:t>
              </w:r>
            </w:hyperlink>
            <w:r w:rsidRPr="0076602A">
              <w:rPr>
                <w:iCs/>
                <w:sz w:val="20"/>
              </w:rPr>
              <w:t>)</w:t>
            </w:r>
          </w:p>
        </w:tc>
      </w:tr>
      <w:tr w:rsidR="00102792" w:rsidRPr="0076602A" w:rsidTr="00B56A04">
        <w:tc>
          <w:tcPr>
            <w:tcW w:w="2397" w:type="dxa"/>
            <w:tcMar>
              <w:top w:w="58" w:type="dxa"/>
              <w:left w:w="58" w:type="dxa"/>
              <w:bottom w:w="58" w:type="dxa"/>
              <w:right w:w="58" w:type="dxa"/>
            </w:tcMar>
            <w:hideMark/>
          </w:tcPr>
          <w:p w:rsidR="00102792" w:rsidRPr="0076602A" w:rsidRDefault="00B56A04" w:rsidP="002C13E1">
            <w:pPr>
              <w:rPr>
                <w:color w:val="000000"/>
              </w:rPr>
            </w:pPr>
            <w:r w:rsidRPr="0076602A">
              <w:rPr>
                <w:sz w:val="20"/>
              </w:rPr>
              <w:t>2022-10-11</w:t>
            </w:r>
          </w:p>
        </w:tc>
        <w:tc>
          <w:tcPr>
            <w:tcW w:w="7173" w:type="dxa"/>
            <w:tcMar>
              <w:top w:w="58" w:type="dxa"/>
              <w:left w:w="58" w:type="dxa"/>
              <w:bottom w:w="58" w:type="dxa"/>
              <w:right w:w="58" w:type="dxa"/>
            </w:tcMar>
            <w:hideMark/>
          </w:tcPr>
          <w:p w:rsidR="00102792" w:rsidRPr="0076602A" w:rsidRDefault="00B56A04">
            <w:pPr>
              <w:rPr>
                <w:color w:val="000000"/>
              </w:rPr>
            </w:pPr>
            <w:r w:rsidRPr="0076602A">
              <w:rPr>
                <w:i/>
                <w:iCs/>
                <w:sz w:val="20"/>
              </w:rPr>
              <w:t xml:space="preserve">Glen Hansman v. Barry Neufeld </w:t>
            </w:r>
            <w:r w:rsidRPr="0076602A">
              <w:rPr>
                <w:iCs/>
                <w:sz w:val="20"/>
              </w:rPr>
              <w:t>(B.C.) (Civil) (By Leave) (</w:t>
            </w:r>
            <w:hyperlink r:id="rId23" w:history="1">
              <w:r w:rsidRPr="0076602A">
                <w:rPr>
                  <w:rStyle w:val="Hyperlink"/>
                  <w:iCs/>
                  <w:sz w:val="20"/>
                </w:rPr>
                <w:t>39796</w:t>
              </w:r>
            </w:hyperlink>
            <w:r w:rsidRPr="0076602A">
              <w:rPr>
                <w:iCs/>
                <w:sz w:val="20"/>
              </w:rPr>
              <w:t>)</w:t>
            </w:r>
          </w:p>
        </w:tc>
      </w:tr>
      <w:tr w:rsidR="00102792" w:rsidRPr="0076602A" w:rsidTr="00B56A04">
        <w:trPr>
          <w:trHeight w:val="302"/>
        </w:trPr>
        <w:tc>
          <w:tcPr>
            <w:tcW w:w="2397" w:type="dxa"/>
            <w:tcMar>
              <w:top w:w="58" w:type="dxa"/>
              <w:left w:w="58" w:type="dxa"/>
              <w:bottom w:w="58" w:type="dxa"/>
              <w:right w:w="58" w:type="dxa"/>
            </w:tcMar>
            <w:hideMark/>
          </w:tcPr>
          <w:p w:rsidR="00102792" w:rsidRPr="0076602A" w:rsidRDefault="00B56A04" w:rsidP="002C13E1">
            <w:pPr>
              <w:rPr>
                <w:color w:val="000000"/>
              </w:rPr>
            </w:pPr>
            <w:r w:rsidRPr="0076602A">
              <w:rPr>
                <w:sz w:val="20"/>
              </w:rPr>
              <w:t>2022-10-12</w:t>
            </w:r>
          </w:p>
        </w:tc>
        <w:tc>
          <w:tcPr>
            <w:tcW w:w="7173" w:type="dxa"/>
            <w:tcMar>
              <w:top w:w="58" w:type="dxa"/>
              <w:left w:w="58" w:type="dxa"/>
              <w:bottom w:w="58" w:type="dxa"/>
              <w:right w:w="58" w:type="dxa"/>
            </w:tcMar>
            <w:hideMark/>
          </w:tcPr>
          <w:p w:rsidR="00102792" w:rsidRDefault="00B56A04">
            <w:pPr>
              <w:rPr>
                <w:iCs/>
                <w:sz w:val="20"/>
              </w:rPr>
            </w:pPr>
            <w:r w:rsidRPr="0076602A">
              <w:rPr>
                <w:i/>
                <w:iCs/>
                <w:sz w:val="20"/>
              </w:rPr>
              <w:t>Corporation of the City of Greater Sudbury v. Ministry of the Attorney General (Ministry of Labour, Training and Skills Development)</w:t>
            </w:r>
            <w:r w:rsidRPr="0076602A">
              <w:rPr>
                <w:iCs/>
                <w:sz w:val="20"/>
              </w:rPr>
              <w:t xml:space="preserve"> (Ont.) (Civil) (By Leave) (</w:t>
            </w:r>
            <w:hyperlink r:id="rId24" w:history="1">
              <w:r w:rsidRPr="0076602A">
                <w:rPr>
                  <w:rStyle w:val="Hyperlink"/>
                  <w:iCs/>
                  <w:sz w:val="20"/>
                </w:rPr>
                <w:t>39754</w:t>
              </w:r>
            </w:hyperlink>
            <w:r w:rsidRPr="0076602A">
              <w:rPr>
                <w:iCs/>
                <w:sz w:val="20"/>
              </w:rPr>
              <w:t>)</w:t>
            </w:r>
          </w:p>
          <w:p w:rsidR="00CF2ACD" w:rsidRPr="0076602A" w:rsidRDefault="00CF2ACD" w:rsidP="00CF2ACD">
            <w:pPr>
              <w:rPr>
                <w:color w:val="000000"/>
              </w:rPr>
            </w:pPr>
            <w:r w:rsidRPr="00CF2ACD">
              <w:rPr>
                <w:color w:val="333333"/>
                <w:sz w:val="20"/>
                <w:lang w:val="en-US"/>
              </w:rPr>
              <w:t>(Later start time: 10:00 a.m. / Horaire modifié: audience débutant à 10 h)</w:t>
            </w:r>
          </w:p>
        </w:tc>
      </w:tr>
      <w:tr w:rsidR="00102792" w:rsidRPr="00CF2ACD" w:rsidTr="00B56A04">
        <w:tc>
          <w:tcPr>
            <w:tcW w:w="2397" w:type="dxa"/>
            <w:tcMar>
              <w:top w:w="58" w:type="dxa"/>
              <w:left w:w="58" w:type="dxa"/>
              <w:bottom w:w="58" w:type="dxa"/>
              <w:right w:w="58" w:type="dxa"/>
            </w:tcMar>
            <w:hideMark/>
          </w:tcPr>
          <w:p w:rsidR="00102792" w:rsidRPr="0076602A" w:rsidRDefault="00B56A04" w:rsidP="002C13E1">
            <w:pPr>
              <w:rPr>
                <w:color w:val="000000"/>
              </w:rPr>
            </w:pPr>
            <w:r w:rsidRPr="0076602A">
              <w:rPr>
                <w:sz w:val="20"/>
              </w:rPr>
              <w:t>2022-10-13</w:t>
            </w:r>
          </w:p>
        </w:tc>
        <w:tc>
          <w:tcPr>
            <w:tcW w:w="7173" w:type="dxa"/>
            <w:tcMar>
              <w:top w:w="58" w:type="dxa"/>
              <w:left w:w="58" w:type="dxa"/>
              <w:bottom w:w="58" w:type="dxa"/>
              <w:right w:w="58" w:type="dxa"/>
            </w:tcMar>
            <w:hideMark/>
          </w:tcPr>
          <w:p w:rsidR="00102792" w:rsidRDefault="00B56A04" w:rsidP="00BD5768">
            <w:pPr>
              <w:rPr>
                <w:iCs/>
                <w:sz w:val="20"/>
              </w:rPr>
            </w:pPr>
            <w:r w:rsidRPr="0076602A">
              <w:rPr>
                <w:i/>
                <w:iCs/>
                <w:sz w:val="20"/>
              </w:rPr>
              <w:t>H</w:t>
            </w:r>
            <w:r w:rsidR="00BD5768" w:rsidRPr="0076602A">
              <w:rPr>
                <w:i/>
                <w:iCs/>
                <w:sz w:val="20"/>
              </w:rPr>
              <w:t>is</w:t>
            </w:r>
            <w:r w:rsidRPr="0076602A">
              <w:rPr>
                <w:i/>
                <w:iCs/>
                <w:sz w:val="20"/>
              </w:rPr>
              <w:t xml:space="preserve"> Majesty the </w:t>
            </w:r>
            <w:r w:rsidR="00BD5768" w:rsidRPr="0076602A">
              <w:rPr>
                <w:i/>
                <w:iCs/>
                <w:sz w:val="20"/>
              </w:rPr>
              <w:t>King</w:t>
            </w:r>
            <w:r w:rsidRPr="0076602A">
              <w:rPr>
                <w:i/>
                <w:iCs/>
                <w:sz w:val="20"/>
              </w:rPr>
              <w:t xml:space="preserve"> v. Randy William Downes</w:t>
            </w:r>
            <w:r w:rsidRPr="0076602A">
              <w:rPr>
                <w:iCs/>
                <w:sz w:val="20"/>
              </w:rPr>
              <w:t xml:space="preserve"> (B.C.) (Criminal) (As of Right) (</w:t>
            </w:r>
            <w:hyperlink r:id="rId25" w:history="1">
              <w:r w:rsidRPr="0076602A">
                <w:rPr>
                  <w:rStyle w:val="Hyperlink"/>
                  <w:iCs/>
                  <w:sz w:val="20"/>
                </w:rPr>
                <w:t>40045</w:t>
              </w:r>
            </w:hyperlink>
            <w:r w:rsidRPr="0076602A">
              <w:rPr>
                <w:iCs/>
                <w:sz w:val="20"/>
              </w:rPr>
              <w:t>)</w:t>
            </w:r>
          </w:p>
          <w:p w:rsidR="00CF2ACD" w:rsidRPr="00CF2ACD" w:rsidRDefault="00CF2ACD" w:rsidP="00BD5768">
            <w:pPr>
              <w:rPr>
                <w:color w:val="000000"/>
                <w:lang w:val="fr-CA"/>
              </w:rPr>
            </w:pPr>
            <w:r w:rsidRPr="00AC446A">
              <w:rPr>
                <w:color w:val="333333"/>
                <w:sz w:val="20"/>
                <w:lang w:val="fr-CA"/>
              </w:rPr>
              <w:t>(Later start time: 10:000 a.m. / Horaire modifié: audience débutant à 10 h)</w:t>
            </w:r>
            <w:bookmarkStart w:id="4" w:name="_GoBack"/>
            <w:bookmarkEnd w:id="4"/>
          </w:p>
        </w:tc>
      </w:tr>
    </w:tbl>
    <w:p w:rsidR="00102792" w:rsidRPr="00CF2ACD" w:rsidRDefault="00102792" w:rsidP="00102792">
      <w:pPr>
        <w:rPr>
          <w:color w:val="000000"/>
          <w:sz w:val="20"/>
          <w:szCs w:val="20"/>
          <w:lang w:val="fr-CA"/>
        </w:rPr>
      </w:pPr>
    </w:p>
    <w:p w:rsidR="00102792" w:rsidRPr="0076602A" w:rsidRDefault="00102792" w:rsidP="00102792">
      <w:pPr>
        <w:jc w:val="both"/>
        <w:rPr>
          <w:color w:val="000000"/>
          <w:sz w:val="20"/>
          <w:szCs w:val="20"/>
        </w:rPr>
      </w:pPr>
      <w:r w:rsidRPr="0076602A">
        <w:rPr>
          <w:b/>
          <w:bCs/>
          <w:color w:val="000000"/>
          <w:sz w:val="20"/>
          <w:szCs w:val="20"/>
        </w:rPr>
        <w:t>NOTE:</w:t>
      </w:r>
      <w:r w:rsidRPr="0076602A">
        <w:rPr>
          <w:color w:val="000000"/>
          <w:sz w:val="20"/>
          <w:szCs w:val="20"/>
        </w:rPr>
        <w:t> This agenda is subject to change. Hearings normally commence at 9:30 a.m.</w:t>
      </w:r>
      <w:r w:rsidR="00172473" w:rsidRPr="0076602A">
        <w:rPr>
          <w:color w:val="000000"/>
          <w:sz w:val="20"/>
          <w:szCs w:val="20"/>
        </w:rPr>
        <w:t>, ET</w:t>
      </w:r>
      <w:r w:rsidRPr="0076602A">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76602A" w:rsidRDefault="00102792" w:rsidP="00102792">
      <w:pPr>
        <w:jc w:val="both"/>
        <w:rPr>
          <w:color w:val="000000"/>
          <w:sz w:val="20"/>
          <w:szCs w:val="20"/>
        </w:rPr>
      </w:pPr>
    </w:p>
    <w:p w:rsidR="00102792" w:rsidRPr="0076602A" w:rsidRDefault="00102792" w:rsidP="00102792">
      <w:pPr>
        <w:jc w:val="both"/>
        <w:rPr>
          <w:color w:val="000000"/>
          <w:sz w:val="20"/>
          <w:szCs w:val="20"/>
          <w:lang w:val="fr-CA"/>
        </w:rPr>
      </w:pPr>
      <w:r w:rsidRPr="0076602A">
        <w:rPr>
          <w:color w:val="000000"/>
          <w:sz w:val="20"/>
          <w:szCs w:val="20"/>
          <w:lang w:val="fr-CA"/>
        </w:rPr>
        <w:t>Ce calendrier est sujet à modification. Les audiences débutent normalement à 9h30</w:t>
      </w:r>
      <w:r w:rsidR="00172473" w:rsidRPr="0076602A">
        <w:rPr>
          <w:color w:val="000000"/>
          <w:sz w:val="20"/>
          <w:szCs w:val="20"/>
          <w:lang w:val="fr-CA"/>
        </w:rPr>
        <w:t>, HE</w:t>
      </w:r>
      <w:r w:rsidRPr="0076602A">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B56A04" w:rsidRPr="0076602A" w:rsidRDefault="00B56A04" w:rsidP="00B56A04">
      <w:pPr>
        <w:widowControl w:val="0"/>
        <w:jc w:val="both"/>
        <w:rPr>
          <w:sz w:val="20"/>
          <w:lang w:val="fr-CA"/>
        </w:rPr>
      </w:pPr>
    </w:p>
    <w:p w:rsidR="00B56A04" w:rsidRPr="0076602A" w:rsidRDefault="00CF2ACD" w:rsidP="00B56A04">
      <w:pPr>
        <w:widowControl w:val="0"/>
        <w:jc w:val="both"/>
        <w:rPr>
          <w:sz w:val="20"/>
          <w:lang w:val="fr-CA"/>
        </w:rPr>
      </w:pPr>
      <w:r>
        <w:rPr>
          <w:sz w:val="20"/>
        </w:rPr>
        <w:pict>
          <v:rect id="_x0000_i1032" style="width:2in;height:1pt" o:hrpct="0" o:hralign="center" o:hrstd="t" o:hrnoshade="t" o:hr="t" fillcolor="black [3213]" stroked="f"/>
        </w:pict>
      </w:r>
    </w:p>
    <w:p w:rsidR="000A7EB8" w:rsidRPr="0076602A" w:rsidRDefault="000A7EB8" w:rsidP="000A7EB8">
      <w:pPr>
        <w:pStyle w:val="SCCLsocParty"/>
        <w:jc w:val="both"/>
        <w:rPr>
          <w:sz w:val="20"/>
          <w:szCs w:val="20"/>
        </w:rPr>
      </w:pPr>
    </w:p>
    <w:p w:rsidR="000A7EB8" w:rsidRPr="0076602A" w:rsidRDefault="000A7EB8" w:rsidP="000A7EB8">
      <w:pPr>
        <w:widowControl w:val="0"/>
        <w:tabs>
          <w:tab w:val="left" w:pos="900"/>
        </w:tabs>
        <w:ind w:left="1440" w:hanging="1440"/>
        <w:jc w:val="both"/>
        <w:rPr>
          <w:b/>
          <w:i/>
          <w:sz w:val="20"/>
          <w:szCs w:val="20"/>
        </w:rPr>
      </w:pPr>
      <w:r w:rsidRPr="0076602A">
        <w:rPr>
          <w:sz w:val="20"/>
          <w:szCs w:val="20"/>
        </w:rPr>
        <w:fldChar w:fldCharType="begin"/>
      </w:r>
      <w:r w:rsidRPr="0076602A">
        <w:rPr>
          <w:sz w:val="20"/>
          <w:szCs w:val="20"/>
        </w:rPr>
        <w:instrText xml:space="preserve"> SEQ CHAPTER \h \r 1</w:instrText>
      </w:r>
      <w:r w:rsidRPr="0076602A">
        <w:rPr>
          <w:sz w:val="20"/>
          <w:szCs w:val="20"/>
        </w:rPr>
        <w:fldChar w:fldCharType="end"/>
      </w:r>
      <w:r w:rsidRPr="0076602A">
        <w:rPr>
          <w:b/>
          <w:sz w:val="20"/>
          <w:szCs w:val="20"/>
        </w:rPr>
        <w:t>39635</w:t>
      </w:r>
      <w:r w:rsidRPr="0076602A">
        <w:rPr>
          <w:sz w:val="20"/>
          <w:szCs w:val="20"/>
        </w:rPr>
        <w:tab/>
      </w:r>
      <w:r w:rsidRPr="0076602A">
        <w:rPr>
          <w:b/>
          <w:i/>
          <w:sz w:val="20"/>
          <w:szCs w:val="20"/>
        </w:rPr>
        <w:t>His Majesty the King v. Matthew James Johnston, et al.</w:t>
      </w:r>
    </w:p>
    <w:p w:rsidR="000A7EB8" w:rsidRPr="0076602A" w:rsidRDefault="000A7EB8" w:rsidP="000A7EB8">
      <w:pPr>
        <w:widowControl w:val="0"/>
        <w:tabs>
          <w:tab w:val="left" w:pos="900"/>
        </w:tabs>
        <w:ind w:left="1440" w:hanging="1440"/>
        <w:jc w:val="both"/>
        <w:rPr>
          <w:sz w:val="20"/>
          <w:szCs w:val="20"/>
        </w:rPr>
      </w:pPr>
      <w:r w:rsidRPr="0076602A">
        <w:rPr>
          <w:sz w:val="20"/>
          <w:szCs w:val="20"/>
        </w:rPr>
        <w:tab/>
        <w:t>(B.C.) (Criminal) (By Leave)</w:t>
      </w:r>
    </w:p>
    <w:p w:rsidR="000A7EB8" w:rsidRPr="0076602A" w:rsidRDefault="000A7EB8" w:rsidP="000A7EB8">
      <w:pPr>
        <w:widowControl w:val="0"/>
        <w:jc w:val="both"/>
        <w:rPr>
          <w:sz w:val="20"/>
          <w:szCs w:val="20"/>
        </w:rPr>
      </w:pPr>
    </w:p>
    <w:p w:rsidR="000A7EB8" w:rsidRPr="0076602A" w:rsidRDefault="000A7EB8" w:rsidP="000A7EB8">
      <w:pPr>
        <w:widowControl w:val="0"/>
        <w:jc w:val="both"/>
        <w:rPr>
          <w:smallCaps/>
          <w:sz w:val="20"/>
          <w:szCs w:val="20"/>
        </w:rPr>
      </w:pPr>
      <w:r w:rsidRPr="0076602A">
        <w:rPr>
          <w:smallCaps/>
          <w:sz w:val="20"/>
          <w:szCs w:val="20"/>
        </w:rPr>
        <w:t>(Publication ban in case) (Sealing order) (Certain information not available to the public)</w:t>
      </w:r>
    </w:p>
    <w:p w:rsidR="000A7EB8" w:rsidRPr="0076602A" w:rsidRDefault="000A7EB8" w:rsidP="000A7EB8">
      <w:pPr>
        <w:jc w:val="both"/>
        <w:rPr>
          <w:sz w:val="20"/>
          <w:szCs w:val="20"/>
        </w:rPr>
      </w:pPr>
    </w:p>
    <w:p w:rsidR="000A7EB8" w:rsidRPr="0076602A" w:rsidRDefault="000A7EB8" w:rsidP="000A7EB8">
      <w:pPr>
        <w:widowControl w:val="0"/>
        <w:jc w:val="both"/>
        <w:rPr>
          <w:sz w:val="20"/>
          <w:szCs w:val="20"/>
        </w:rPr>
      </w:pPr>
      <w:r w:rsidRPr="0076602A">
        <w:rPr>
          <w:i/>
          <w:sz w:val="20"/>
          <w:szCs w:val="20"/>
        </w:rPr>
        <w:t xml:space="preserve">Charter of Rights </w:t>
      </w:r>
      <w:r w:rsidRPr="0076602A">
        <w:rPr>
          <w:sz w:val="20"/>
          <w:szCs w:val="20"/>
        </w:rPr>
        <w:t>— Criminal law — Stay of proceedings — Abuse of process — Summary dismissal of applications — Whether, and to what extent, a judge is permitted to assess or weigh an applicant’s proposed evidence when determining whether to permit a full evidentiary hearing on an application for a stay of proceedings for abuse of process — Whether the Court of Appeal applied too low a threshold for determining whether a full evidentiary hearing is required on an application for a stay of proceedings for abuse of process.</w:t>
      </w:r>
    </w:p>
    <w:p w:rsidR="000A7EB8" w:rsidRPr="0076602A" w:rsidRDefault="000A7EB8" w:rsidP="000A7EB8">
      <w:pPr>
        <w:jc w:val="both"/>
        <w:rPr>
          <w:sz w:val="20"/>
          <w:szCs w:val="20"/>
        </w:rPr>
      </w:pPr>
    </w:p>
    <w:p w:rsidR="000A7EB8" w:rsidRPr="0076602A" w:rsidRDefault="000A7EB8" w:rsidP="000A7EB8">
      <w:pPr>
        <w:widowControl w:val="0"/>
        <w:jc w:val="both"/>
        <w:rPr>
          <w:sz w:val="20"/>
        </w:rPr>
      </w:pPr>
      <w:r w:rsidRPr="0076602A">
        <w:rPr>
          <w:sz w:val="20"/>
          <w:szCs w:val="20"/>
        </w:rPr>
        <w:t xml:space="preserve">The respondents were found guilty of six counts of first degree murder and one count of conspiracy to commit murder. The respondents filed applications for stays of proceedings pursuant to s. 24(1) of the </w:t>
      </w:r>
      <w:r w:rsidRPr="0076602A">
        <w:rPr>
          <w:i/>
          <w:sz w:val="20"/>
          <w:szCs w:val="20"/>
        </w:rPr>
        <w:t>Charter</w:t>
      </w:r>
      <w:r w:rsidRPr="0076602A">
        <w:rPr>
          <w:sz w:val="20"/>
          <w:szCs w:val="20"/>
        </w:rPr>
        <w:t>, alleging abuses of process due to police misconduct during the investigation, and also because of their conditions while in pre-trial custody. The Crown applied for summary dismissal of the applications. Finding that the serious nature of the offences committed by the respondents could not justify a stay of proceedings, the trial judge allowed the Crown’s applications for summary dismissal, dismissed the respondents’ applications for stays of proceedings, and entered convictions. The Court of Appeal for British Columbia dismissed the respondents’ ground of appeal relating to non-disclosure of evidence, but allowed the respondents’ appeal in part, quashed the convictions but affirmed the verdicts of guilt, and ordered that the matter be remitted to the trial court for an evidentiary hearing on the respondents’ applications for a stay of proceedings for abuse of process.</w:t>
      </w:r>
    </w:p>
    <w:p w:rsidR="000A7EB8" w:rsidRPr="0076602A" w:rsidRDefault="000A7EB8" w:rsidP="000A7EB8">
      <w:pPr>
        <w:widowControl w:val="0"/>
        <w:jc w:val="both"/>
        <w:rPr>
          <w:sz w:val="20"/>
        </w:rPr>
      </w:pPr>
    </w:p>
    <w:p w:rsidR="000A7EB8" w:rsidRPr="0076602A" w:rsidRDefault="00CF2ACD" w:rsidP="000A7EB8">
      <w:pPr>
        <w:widowControl w:val="0"/>
        <w:jc w:val="both"/>
        <w:rPr>
          <w:sz w:val="20"/>
        </w:rPr>
      </w:pPr>
      <w:r>
        <w:rPr>
          <w:sz w:val="20"/>
        </w:rPr>
        <w:pict>
          <v:rect id="_x0000_i1033" style="width:2in;height:1pt" o:hrpct="0" o:hralign="center" o:hrstd="t" o:hrnoshade="t" o:hr="t" fillcolor="black [3213]" stroked="f"/>
        </w:pict>
      </w:r>
    </w:p>
    <w:p w:rsidR="000A7EB8" w:rsidRPr="0076602A" w:rsidRDefault="000A7EB8" w:rsidP="000A7EB8">
      <w:pPr>
        <w:widowControl w:val="0"/>
        <w:jc w:val="both"/>
        <w:rPr>
          <w:sz w:val="20"/>
        </w:rPr>
      </w:pPr>
    </w:p>
    <w:p w:rsidR="000A7EB8" w:rsidRPr="0076602A" w:rsidRDefault="000A7EB8" w:rsidP="000A7EB8">
      <w:pPr>
        <w:pStyle w:val="SCCLsocParty"/>
        <w:jc w:val="both"/>
        <w:rPr>
          <w:b/>
          <w:i/>
          <w:sz w:val="20"/>
          <w:szCs w:val="20"/>
        </w:rPr>
      </w:pPr>
      <w:r w:rsidRPr="0076602A">
        <w:rPr>
          <w:rStyle w:val="SCCFileNumberChar"/>
          <w:sz w:val="20"/>
          <w:szCs w:val="20"/>
          <w:lang w:val="fr-CA"/>
        </w:rPr>
        <w:t>39635</w:t>
      </w:r>
      <w:r w:rsidRPr="0076602A">
        <w:rPr>
          <w:rStyle w:val="SCCFileNumberChar"/>
          <w:sz w:val="20"/>
          <w:szCs w:val="20"/>
          <w:lang w:val="fr-CA"/>
        </w:rPr>
        <w:tab/>
      </w:r>
      <w:r w:rsidRPr="0076602A">
        <w:rPr>
          <w:b/>
          <w:i/>
          <w:sz w:val="20"/>
          <w:szCs w:val="20"/>
        </w:rPr>
        <w:t>Sa Majesté le Roi c. Matthew James Johnston, et al.</w:t>
      </w:r>
    </w:p>
    <w:p w:rsidR="000A7EB8" w:rsidRPr="0076602A" w:rsidRDefault="000A7EB8" w:rsidP="000A7EB8">
      <w:pPr>
        <w:widowControl w:val="0"/>
        <w:ind w:firstLine="720"/>
        <w:jc w:val="both"/>
        <w:rPr>
          <w:sz w:val="20"/>
          <w:lang w:val="fr-CA"/>
        </w:rPr>
      </w:pPr>
      <w:r w:rsidRPr="0076602A">
        <w:rPr>
          <w:sz w:val="20"/>
          <w:szCs w:val="20"/>
          <w:lang w:val="fr-CA"/>
        </w:rPr>
        <w:t>(C.</w:t>
      </w:r>
      <w:r w:rsidRPr="0076602A">
        <w:rPr>
          <w:sz w:val="20"/>
          <w:szCs w:val="20"/>
          <w:lang w:val="fr-CA"/>
        </w:rPr>
        <w:noBreakHyphen/>
        <w:t>B.) (Criminelle) (Autorisation)</w:t>
      </w:r>
    </w:p>
    <w:p w:rsidR="000A7EB8" w:rsidRPr="0076602A" w:rsidRDefault="000A7EB8" w:rsidP="000A7EB8">
      <w:pPr>
        <w:pStyle w:val="SCCBanSummary0"/>
        <w:rPr>
          <w:sz w:val="20"/>
          <w:szCs w:val="20"/>
          <w:lang w:val="fr-CA"/>
        </w:rPr>
      </w:pPr>
    </w:p>
    <w:p w:rsidR="000A7EB8" w:rsidRPr="0076602A" w:rsidRDefault="000A7EB8" w:rsidP="000A7EB8">
      <w:pPr>
        <w:pStyle w:val="SCCBanSummary0"/>
        <w:rPr>
          <w:sz w:val="20"/>
          <w:szCs w:val="20"/>
          <w:lang w:val="fr-CA"/>
        </w:rPr>
      </w:pPr>
      <w:r w:rsidRPr="0076602A">
        <w:rPr>
          <w:sz w:val="20"/>
          <w:szCs w:val="20"/>
          <w:lang w:val="fr-CA"/>
        </w:rPr>
        <w:t>(Ordonnance de non</w:t>
      </w:r>
      <w:r w:rsidRPr="0076602A">
        <w:rPr>
          <w:sz w:val="20"/>
          <w:szCs w:val="20"/>
          <w:lang w:val="fr-CA"/>
        </w:rPr>
        <w:noBreakHyphen/>
        <w:t>publication dans le dossier) (ordonnance de mise sous scellés) (certains renseignements non disponibles pour le public)</w:t>
      </w:r>
    </w:p>
    <w:p w:rsidR="000A7EB8" w:rsidRPr="0076602A" w:rsidRDefault="000A7EB8" w:rsidP="000A7EB8">
      <w:pPr>
        <w:jc w:val="both"/>
        <w:rPr>
          <w:sz w:val="20"/>
          <w:szCs w:val="20"/>
          <w:lang w:val="fr-CA"/>
        </w:rPr>
      </w:pPr>
    </w:p>
    <w:p w:rsidR="000A7EB8" w:rsidRPr="0076602A" w:rsidRDefault="000A7EB8" w:rsidP="000A7EB8">
      <w:pPr>
        <w:widowControl w:val="0"/>
        <w:jc w:val="both"/>
        <w:rPr>
          <w:sz w:val="20"/>
          <w:lang w:val="fr-CA"/>
        </w:rPr>
      </w:pPr>
      <w:r w:rsidRPr="0076602A">
        <w:rPr>
          <w:i/>
          <w:sz w:val="20"/>
          <w:szCs w:val="20"/>
          <w:lang w:val="fr-CA"/>
        </w:rPr>
        <w:t xml:space="preserve">Charte des droits </w:t>
      </w:r>
      <w:r w:rsidRPr="0076602A">
        <w:rPr>
          <w:sz w:val="20"/>
          <w:szCs w:val="20"/>
          <w:lang w:val="fr-CA"/>
        </w:rPr>
        <w:t>— Droit criminel — Suspension de l’instance — Abus de procédures — Rejet sommaire des demandes — Lorsqu’il décide s’il autorise une audition complète de la preuve dans une demande de suspension de l’instance pour abus de procédures, le juge peut</w:t>
      </w:r>
      <w:r w:rsidRPr="0076602A">
        <w:rPr>
          <w:sz w:val="20"/>
          <w:szCs w:val="20"/>
          <w:lang w:val="fr-CA"/>
        </w:rPr>
        <w:noBreakHyphen/>
        <w:t>il évaluer ou soupeser la preuve présentée par le demandeur, et si oui, dans quelle mesure? — La Cour d’appel a</w:t>
      </w:r>
      <w:r w:rsidRPr="0076602A">
        <w:rPr>
          <w:sz w:val="20"/>
          <w:szCs w:val="20"/>
          <w:lang w:val="fr-CA"/>
        </w:rPr>
        <w:noBreakHyphen/>
        <w:t>t</w:t>
      </w:r>
      <w:r w:rsidRPr="0076602A">
        <w:rPr>
          <w:sz w:val="20"/>
          <w:szCs w:val="20"/>
          <w:lang w:val="fr-CA"/>
        </w:rPr>
        <w:noBreakHyphen/>
        <w:t>elle adopté un seuil trop bas pour déterminer si une audition complète de la preuve est nécessaire dans une demande de suspension de l’instance pour abus de procédures?</w:t>
      </w:r>
    </w:p>
    <w:p w:rsidR="000A7EB8" w:rsidRPr="0076602A" w:rsidRDefault="000A7EB8" w:rsidP="000A7EB8">
      <w:pPr>
        <w:widowControl w:val="0"/>
        <w:jc w:val="both"/>
        <w:rPr>
          <w:sz w:val="20"/>
          <w:lang w:val="fr-CA"/>
        </w:rPr>
      </w:pPr>
    </w:p>
    <w:p w:rsidR="000A7EB8" w:rsidRPr="0076602A" w:rsidRDefault="000A7EB8" w:rsidP="000A7EB8">
      <w:pPr>
        <w:jc w:val="both"/>
        <w:rPr>
          <w:sz w:val="20"/>
          <w:szCs w:val="20"/>
          <w:lang w:val="fr-CA"/>
        </w:rPr>
      </w:pPr>
      <w:r w:rsidRPr="0076602A">
        <w:rPr>
          <w:sz w:val="20"/>
          <w:szCs w:val="20"/>
          <w:lang w:val="fr-CA"/>
        </w:rPr>
        <w:t xml:space="preserve">Les intimés ont été déclarés coupables de six chefs d’accusation de meurtre au premier degré et d’un chef d’accusation de complot en vue de commettre un meurtre. Les intimés ont déposé des demandes de suspension de l’instance, au titre du par. 24(1) de la </w:t>
      </w:r>
      <w:r w:rsidRPr="0076602A">
        <w:rPr>
          <w:i/>
          <w:sz w:val="20"/>
          <w:szCs w:val="20"/>
          <w:lang w:val="fr-CA"/>
        </w:rPr>
        <w:t>Charte</w:t>
      </w:r>
      <w:r w:rsidRPr="0076602A">
        <w:rPr>
          <w:sz w:val="20"/>
          <w:szCs w:val="20"/>
          <w:lang w:val="fr-CA"/>
        </w:rPr>
        <w:t>, faisant valoir que des abus de procédures avaient été commis, en raison de la conduite répréhensible des policiers pendant l’enquête et aussi de leurs conditions pendant leur détention avant le procès. La Couronne a sollicité le rejet sommaire des demandes. Concluant que la nature grave des infractions commises par les intimés ne pouvait pas justifier une suspension de l’instance, le juge du procès a accueilli les demandes de la Couronne en vue du rejet sommaire, a rejeté les demandes des intimés visant la suspension de l’instance, et a prononcé les déclarations de culpabilité. La Cour d’appel de la Colombie</w:t>
      </w:r>
      <w:r w:rsidRPr="0076602A">
        <w:rPr>
          <w:sz w:val="20"/>
          <w:szCs w:val="20"/>
          <w:lang w:val="fr-CA"/>
        </w:rPr>
        <w:noBreakHyphen/>
        <w:t>Britannique a rejeté le moyen d’appel lié à la non</w:t>
      </w:r>
      <w:r w:rsidRPr="0076602A">
        <w:rPr>
          <w:sz w:val="20"/>
          <w:szCs w:val="20"/>
          <w:lang w:val="fr-CA"/>
        </w:rPr>
        <w:noBreakHyphen/>
        <w:t>communication de la preuve avancé par les intimés, mais a accueilli en partie l’appel interjeté par les intimés, a écarté les déclarations de culpabilité, mais a confirmé les verdicts de culpabilité et ordonné que l’affaire soit renvoyée au tribunal de première instance pour une audition de la preuve relativement aux demandes des intimés visant la suspension de l’instance pour abus de procédures.</w:t>
      </w:r>
    </w:p>
    <w:p w:rsidR="000A7EB8" w:rsidRPr="0076602A" w:rsidRDefault="000A7EB8" w:rsidP="00B56A04">
      <w:pPr>
        <w:rPr>
          <w:sz w:val="20"/>
          <w:szCs w:val="20"/>
          <w:lang w:val="fr-CA"/>
        </w:rPr>
      </w:pPr>
    </w:p>
    <w:p w:rsidR="000A7EB8" w:rsidRPr="0076602A" w:rsidRDefault="00CF2ACD" w:rsidP="00B56A04">
      <w:pPr>
        <w:rPr>
          <w:sz w:val="20"/>
          <w:szCs w:val="20"/>
          <w:lang w:val="fr-CA"/>
        </w:rPr>
      </w:pPr>
      <w:r>
        <w:rPr>
          <w:sz w:val="20"/>
        </w:rPr>
        <w:pict>
          <v:rect id="_x0000_i1034" style="width:2in;height:1pt" o:hrpct="0" o:hralign="center" o:hrstd="t" o:hrnoshade="t" o:hr="t" fillcolor="black [3213]" stroked="f"/>
        </w:pict>
      </w:r>
    </w:p>
    <w:p w:rsidR="00B56A04" w:rsidRPr="0076602A" w:rsidRDefault="00B56A04" w:rsidP="00B56A04">
      <w:pPr>
        <w:jc w:val="both"/>
        <w:rPr>
          <w:sz w:val="20"/>
          <w:szCs w:val="20"/>
          <w:lang w:val="fr-CA"/>
        </w:rPr>
      </w:pPr>
    </w:p>
    <w:p w:rsidR="00B56A04" w:rsidRPr="0076602A" w:rsidRDefault="00B56A04" w:rsidP="00B56A04">
      <w:pPr>
        <w:pStyle w:val="SCCLsocParty"/>
        <w:tabs>
          <w:tab w:val="left" w:pos="0"/>
        </w:tabs>
        <w:ind w:left="720" w:hanging="720"/>
        <w:jc w:val="both"/>
        <w:rPr>
          <w:b/>
          <w:i/>
          <w:sz w:val="20"/>
          <w:szCs w:val="20"/>
          <w:lang w:val="en-US"/>
        </w:rPr>
      </w:pPr>
      <w:r w:rsidRPr="0076602A">
        <w:rPr>
          <w:b/>
          <w:sz w:val="20"/>
          <w:szCs w:val="20"/>
        </w:rPr>
        <w:fldChar w:fldCharType="begin"/>
      </w:r>
      <w:r w:rsidRPr="0076602A">
        <w:rPr>
          <w:b/>
          <w:sz w:val="20"/>
          <w:szCs w:val="20"/>
          <w:lang w:val="en-US"/>
        </w:rPr>
        <w:instrText xml:space="preserve"> SEQ CHAPTER \h \r 1</w:instrText>
      </w:r>
      <w:r w:rsidRPr="0076602A">
        <w:rPr>
          <w:b/>
          <w:sz w:val="20"/>
          <w:szCs w:val="20"/>
        </w:rPr>
        <w:fldChar w:fldCharType="end"/>
      </w:r>
      <w:r w:rsidRPr="0076602A">
        <w:rPr>
          <w:b/>
          <w:sz w:val="20"/>
          <w:szCs w:val="20"/>
          <w:lang w:val="en-US"/>
        </w:rPr>
        <w:t>39749</w:t>
      </w:r>
      <w:r w:rsidRPr="0076602A">
        <w:rPr>
          <w:sz w:val="20"/>
          <w:szCs w:val="20"/>
          <w:lang w:val="en-US"/>
        </w:rPr>
        <w:tab/>
      </w:r>
      <w:r w:rsidRPr="0076602A">
        <w:rPr>
          <w:b/>
          <w:i/>
          <w:sz w:val="20"/>
          <w:szCs w:val="20"/>
          <w:lang w:val="en-US"/>
        </w:rPr>
        <w:t>Canadian Council for Refugees, Amnesty International, Canadian Council of Churches, ABC, DE [by her litigation guardian ABC], FG [by her litigation guardian ABC], Mohammad Majd Maher Homsi, Hala Maher Homsi, Karam Maher Homsi, Reda Yassin Al Nahass, Nedira Jemal Mustefa v. Minister of Citizenship and Immigration, Minister of Public Safety and Emergency Preparedness</w:t>
      </w:r>
    </w:p>
    <w:p w:rsidR="00B56A04" w:rsidRPr="0076602A" w:rsidRDefault="00B56A04" w:rsidP="00B56A04">
      <w:pPr>
        <w:pStyle w:val="SCCLsocParty"/>
        <w:tabs>
          <w:tab w:val="left" w:pos="0"/>
        </w:tabs>
        <w:ind w:left="720" w:hanging="720"/>
        <w:jc w:val="both"/>
        <w:rPr>
          <w:sz w:val="20"/>
          <w:szCs w:val="20"/>
          <w:lang w:val="en-US"/>
        </w:rPr>
      </w:pPr>
      <w:r w:rsidRPr="0076602A">
        <w:rPr>
          <w:sz w:val="20"/>
          <w:szCs w:val="20"/>
          <w:lang w:val="en-US"/>
        </w:rPr>
        <w:tab/>
        <w:t>(F.C.) (Civil) (By Leave)</w:t>
      </w:r>
    </w:p>
    <w:p w:rsidR="00B56A04" w:rsidRPr="0076602A" w:rsidRDefault="00B56A04" w:rsidP="00B56A04">
      <w:pPr>
        <w:jc w:val="both"/>
        <w:rPr>
          <w:sz w:val="20"/>
          <w:szCs w:val="20"/>
        </w:rPr>
      </w:pPr>
    </w:p>
    <w:p w:rsidR="00B56A04" w:rsidRPr="0076602A" w:rsidRDefault="00B56A04" w:rsidP="00B56A04">
      <w:pPr>
        <w:pStyle w:val="SCCCaseDescriptor0"/>
        <w:jc w:val="both"/>
        <w:rPr>
          <w:sz w:val="20"/>
        </w:rPr>
      </w:pPr>
      <w:r w:rsidRPr="0076602A">
        <w:rPr>
          <w:sz w:val="20"/>
        </w:rPr>
        <w:t>(Publication in case)(Sealing order)</w:t>
      </w:r>
    </w:p>
    <w:p w:rsidR="00B56A04" w:rsidRPr="0076602A" w:rsidRDefault="00B56A04" w:rsidP="00B56A04">
      <w:pPr>
        <w:jc w:val="both"/>
        <w:rPr>
          <w:sz w:val="20"/>
          <w:szCs w:val="20"/>
        </w:rPr>
      </w:pPr>
    </w:p>
    <w:p w:rsidR="00B56A04" w:rsidRPr="0076602A" w:rsidRDefault="00B56A04" w:rsidP="00B56A04">
      <w:pPr>
        <w:jc w:val="both"/>
        <w:rPr>
          <w:sz w:val="20"/>
          <w:szCs w:val="20"/>
        </w:rPr>
      </w:pPr>
      <w:r w:rsidRPr="0076602A">
        <w:rPr>
          <w:sz w:val="20"/>
          <w:szCs w:val="20"/>
        </w:rPr>
        <w:t xml:space="preserve">Constitutional law — </w:t>
      </w:r>
      <w:r w:rsidRPr="0076602A">
        <w:rPr>
          <w:i/>
          <w:sz w:val="20"/>
          <w:szCs w:val="20"/>
        </w:rPr>
        <w:t>Charter of Rights</w:t>
      </w:r>
      <w:r w:rsidRPr="0076602A">
        <w:rPr>
          <w:sz w:val="20"/>
          <w:szCs w:val="20"/>
        </w:rPr>
        <w:t xml:space="preserve"> — Right to security of the person — Fundamental Justice — Right to equality — Reasonable limits — Immigration — Inadmissibility and removal — Judicial review — Appellants seeking judicial review of decisions regarding their ineligibility to claim refugee protections in Canada after arriving at a land port of entry from the United States — Whether the Federal Court of Appeal erred in refusing to determine the constitutionality of the operative provisions — Whether the gender equality claim under s. 15 of the </w:t>
      </w:r>
      <w:r w:rsidRPr="0076602A">
        <w:rPr>
          <w:i/>
          <w:sz w:val="20"/>
          <w:szCs w:val="20"/>
        </w:rPr>
        <w:t>Charter</w:t>
      </w:r>
      <w:r w:rsidRPr="0076602A">
        <w:rPr>
          <w:sz w:val="20"/>
          <w:szCs w:val="20"/>
        </w:rPr>
        <w:t xml:space="preserve"> must be adjudicated — Whether s. 159.3 of the </w:t>
      </w:r>
      <w:r w:rsidRPr="0076602A">
        <w:rPr>
          <w:i/>
          <w:sz w:val="20"/>
          <w:szCs w:val="20"/>
        </w:rPr>
        <w:t>Regulations</w:t>
      </w:r>
      <w:r w:rsidRPr="0076602A">
        <w:rPr>
          <w:sz w:val="20"/>
          <w:szCs w:val="20"/>
        </w:rPr>
        <w:t xml:space="preserve"> is </w:t>
      </w:r>
      <w:r w:rsidRPr="0076602A">
        <w:rPr>
          <w:i/>
          <w:sz w:val="20"/>
          <w:szCs w:val="20"/>
        </w:rPr>
        <w:t>ultra vires</w:t>
      </w:r>
      <w:r w:rsidRPr="0076602A">
        <w:rPr>
          <w:sz w:val="20"/>
          <w:szCs w:val="20"/>
        </w:rPr>
        <w:t xml:space="preserve"> — Whether the combined effect of s. 159.3 of the </w:t>
      </w:r>
      <w:r w:rsidRPr="0076602A">
        <w:rPr>
          <w:i/>
          <w:sz w:val="20"/>
          <w:szCs w:val="20"/>
        </w:rPr>
        <w:t xml:space="preserve">Regulations </w:t>
      </w:r>
      <w:r w:rsidRPr="0076602A">
        <w:rPr>
          <w:sz w:val="20"/>
          <w:szCs w:val="20"/>
        </w:rPr>
        <w:t xml:space="preserve">and s. 101(1)(e) of the </w:t>
      </w:r>
      <w:r w:rsidRPr="0076602A">
        <w:rPr>
          <w:i/>
          <w:sz w:val="20"/>
          <w:szCs w:val="20"/>
        </w:rPr>
        <w:t>Act</w:t>
      </w:r>
      <w:r w:rsidRPr="0076602A">
        <w:rPr>
          <w:sz w:val="20"/>
          <w:szCs w:val="20"/>
        </w:rPr>
        <w:t xml:space="preserve"> infringe s. 7 of the </w:t>
      </w:r>
      <w:r w:rsidRPr="0076602A">
        <w:rPr>
          <w:i/>
          <w:sz w:val="20"/>
          <w:szCs w:val="20"/>
        </w:rPr>
        <w:t>Charter</w:t>
      </w:r>
      <w:r w:rsidRPr="0076602A">
        <w:rPr>
          <w:sz w:val="20"/>
          <w:szCs w:val="20"/>
        </w:rPr>
        <w:t xml:space="preserve"> and violate the s. 7 rights of refugee claimants — If so, is the infringement a reasonable limit prescribed by law as can be demonstrably justified in a free and democratic society under s. 1 of the </w:t>
      </w:r>
      <w:r w:rsidRPr="0076602A">
        <w:rPr>
          <w:i/>
          <w:sz w:val="20"/>
          <w:szCs w:val="20"/>
        </w:rPr>
        <w:t>Charter</w:t>
      </w:r>
      <w:r w:rsidRPr="0076602A">
        <w:rPr>
          <w:sz w:val="20"/>
          <w:szCs w:val="20"/>
        </w:rPr>
        <w:t xml:space="preserve"> — Whether the combined effect of s. 159.3 of the </w:t>
      </w:r>
      <w:r w:rsidRPr="0076602A">
        <w:rPr>
          <w:i/>
          <w:sz w:val="20"/>
          <w:szCs w:val="20"/>
        </w:rPr>
        <w:t xml:space="preserve">Regulations </w:t>
      </w:r>
      <w:r w:rsidRPr="0076602A">
        <w:rPr>
          <w:sz w:val="20"/>
          <w:szCs w:val="20"/>
        </w:rPr>
        <w:t xml:space="preserve">and s. 101(1)(e) of the </w:t>
      </w:r>
      <w:r w:rsidRPr="0076602A">
        <w:rPr>
          <w:i/>
          <w:sz w:val="20"/>
          <w:szCs w:val="20"/>
        </w:rPr>
        <w:t>Act</w:t>
      </w:r>
      <w:r w:rsidRPr="0076602A">
        <w:rPr>
          <w:sz w:val="20"/>
          <w:szCs w:val="20"/>
        </w:rPr>
        <w:t xml:space="preserve"> infringe s. 15 of the </w:t>
      </w:r>
      <w:r w:rsidRPr="0076602A">
        <w:rPr>
          <w:i/>
          <w:sz w:val="20"/>
          <w:szCs w:val="20"/>
        </w:rPr>
        <w:t>Charter</w:t>
      </w:r>
      <w:r w:rsidRPr="0076602A">
        <w:rPr>
          <w:sz w:val="20"/>
          <w:szCs w:val="20"/>
        </w:rPr>
        <w:t xml:space="preserve"> — If so, is the infringement a reasonable limit prescribed by law as can be demonstrably justified in a free and democratic society under s. 1 of the </w:t>
      </w:r>
      <w:r w:rsidRPr="0076602A">
        <w:rPr>
          <w:i/>
          <w:sz w:val="20"/>
          <w:szCs w:val="20"/>
        </w:rPr>
        <w:t xml:space="preserve">Charter </w:t>
      </w:r>
      <w:r w:rsidRPr="0076602A">
        <w:rPr>
          <w:sz w:val="20"/>
          <w:szCs w:val="20"/>
        </w:rPr>
        <w:t xml:space="preserve">— </w:t>
      </w:r>
      <w:r w:rsidRPr="0076602A">
        <w:rPr>
          <w:i/>
          <w:sz w:val="20"/>
          <w:szCs w:val="20"/>
        </w:rPr>
        <w:t>Canadian Charter of Rights and Freedoms</w:t>
      </w:r>
      <w:r w:rsidRPr="0076602A">
        <w:rPr>
          <w:sz w:val="20"/>
          <w:szCs w:val="20"/>
        </w:rPr>
        <w:t xml:space="preserve">, ss. 1, 7 and 15 — </w:t>
      </w:r>
      <w:r w:rsidRPr="0076602A">
        <w:rPr>
          <w:i/>
          <w:sz w:val="20"/>
          <w:szCs w:val="20"/>
        </w:rPr>
        <w:t>Immigration and Refugee Protection Act</w:t>
      </w:r>
      <w:r w:rsidRPr="0076602A">
        <w:rPr>
          <w:sz w:val="20"/>
          <w:szCs w:val="20"/>
        </w:rPr>
        <w:t xml:space="preserve">, S.C. 2001, c. 27, ss. 101(1)(e), 102(2) and 102(3) — </w:t>
      </w:r>
      <w:r w:rsidRPr="0076602A">
        <w:rPr>
          <w:i/>
          <w:sz w:val="20"/>
          <w:szCs w:val="20"/>
        </w:rPr>
        <w:t xml:space="preserve">Immigration and Refugee Protection Regulations, </w:t>
      </w:r>
      <w:r w:rsidRPr="0076602A">
        <w:rPr>
          <w:sz w:val="20"/>
          <w:szCs w:val="20"/>
        </w:rPr>
        <w:t>S.O.R./2002</w:t>
      </w:r>
      <w:r w:rsidRPr="0076602A">
        <w:rPr>
          <w:sz w:val="20"/>
          <w:szCs w:val="20"/>
        </w:rPr>
        <w:noBreakHyphen/>
        <w:t>227, s. 159.3.</w:t>
      </w:r>
    </w:p>
    <w:p w:rsidR="00B56A04" w:rsidRPr="0076602A" w:rsidRDefault="00B56A04" w:rsidP="00B56A04">
      <w:pPr>
        <w:jc w:val="both"/>
        <w:rPr>
          <w:sz w:val="20"/>
          <w:szCs w:val="20"/>
        </w:rPr>
      </w:pPr>
    </w:p>
    <w:p w:rsidR="000A7EB8" w:rsidRPr="0076602A" w:rsidRDefault="000A7EB8">
      <w:pPr>
        <w:rPr>
          <w:sz w:val="20"/>
          <w:szCs w:val="20"/>
        </w:rPr>
      </w:pPr>
      <w:r w:rsidRPr="0076602A">
        <w:rPr>
          <w:sz w:val="20"/>
          <w:szCs w:val="20"/>
        </w:rPr>
        <w:br w:type="page"/>
      </w:r>
    </w:p>
    <w:p w:rsidR="00B56A04" w:rsidRPr="0076602A" w:rsidRDefault="00B56A04" w:rsidP="00B56A04">
      <w:pPr>
        <w:jc w:val="both"/>
        <w:rPr>
          <w:sz w:val="20"/>
          <w:szCs w:val="20"/>
        </w:rPr>
      </w:pPr>
      <w:r w:rsidRPr="0076602A">
        <w:rPr>
          <w:sz w:val="20"/>
          <w:szCs w:val="20"/>
        </w:rPr>
        <w:t xml:space="preserve">Since the 2004 agreement between Canada and the United States known as the Safe Third Country Agreement, the U.S. has been designated a safe country pursuant to s. 159.3 of the </w:t>
      </w:r>
      <w:r w:rsidRPr="0076602A">
        <w:rPr>
          <w:i/>
          <w:sz w:val="20"/>
          <w:szCs w:val="20"/>
        </w:rPr>
        <w:t xml:space="preserve">Immigration and Refugee Protection Regulations, </w:t>
      </w:r>
      <w:r w:rsidRPr="0076602A">
        <w:rPr>
          <w:sz w:val="20"/>
          <w:szCs w:val="20"/>
        </w:rPr>
        <w:t>S.O.R./2002</w:t>
      </w:r>
      <w:r w:rsidRPr="0076602A">
        <w:rPr>
          <w:sz w:val="20"/>
          <w:szCs w:val="20"/>
        </w:rPr>
        <w:noBreakHyphen/>
        <w:t xml:space="preserve">227. As a result, claimants arriving at a land port of entry to Canada from the U.S. are deemed to be ineligible for refugee protection in Canada pursuant to s. 101(1)(e) of the </w:t>
      </w:r>
      <w:r w:rsidRPr="0076602A">
        <w:rPr>
          <w:i/>
          <w:sz w:val="20"/>
          <w:szCs w:val="20"/>
        </w:rPr>
        <w:t>Immigration and Refugee Protection Act</w:t>
      </w:r>
      <w:r w:rsidRPr="0076602A">
        <w:rPr>
          <w:sz w:val="20"/>
          <w:szCs w:val="20"/>
        </w:rPr>
        <w:t>, S.C. 2001, c. 27. The individual appellants are among those claimants who were deemed ineligible. The appellants ABC and her children are from El Salvador, claiming refugee status based on gang violence and gender</w:t>
      </w:r>
      <w:r w:rsidRPr="0076602A">
        <w:rPr>
          <w:sz w:val="20"/>
          <w:szCs w:val="20"/>
        </w:rPr>
        <w:noBreakHyphen/>
        <w:t xml:space="preserve">based persecution. The Homsi/Al Nahass appellants are a Muslim family from Syria who left the U.S. following the issuance of the first travel ban by the U.S. government. The appellant Ms. Mustefa is a Muslim woman from Ethiopia who was detained after her attempt to enter Canada from the U.S. The appellant organizations were granted the right to participate as public interest parties. The collective appellants challenged the Canadian government’s failure to review the ongoing designation of the U.S. under s. 159.3 of the </w:t>
      </w:r>
      <w:r w:rsidRPr="0076602A">
        <w:rPr>
          <w:i/>
          <w:sz w:val="20"/>
          <w:szCs w:val="20"/>
        </w:rPr>
        <w:t>Regulations</w:t>
      </w:r>
      <w:r w:rsidRPr="0076602A">
        <w:rPr>
          <w:sz w:val="20"/>
          <w:szCs w:val="20"/>
        </w:rPr>
        <w:t xml:space="preserve"> as rendering that provision </w:t>
      </w:r>
      <w:r w:rsidRPr="0076602A">
        <w:rPr>
          <w:i/>
          <w:sz w:val="20"/>
          <w:szCs w:val="20"/>
        </w:rPr>
        <w:t>ultra vires</w:t>
      </w:r>
      <w:r w:rsidRPr="0076602A">
        <w:rPr>
          <w:sz w:val="20"/>
          <w:szCs w:val="20"/>
        </w:rPr>
        <w:t xml:space="preserve"> and not in conformity with s. 101(1)(a), 102(2) and 102(3) of the </w:t>
      </w:r>
      <w:r w:rsidRPr="0076602A">
        <w:rPr>
          <w:i/>
          <w:sz w:val="20"/>
          <w:szCs w:val="20"/>
        </w:rPr>
        <w:t>Act</w:t>
      </w:r>
      <w:r w:rsidRPr="0076602A">
        <w:rPr>
          <w:sz w:val="20"/>
          <w:szCs w:val="20"/>
        </w:rPr>
        <w:t xml:space="preserve">. They also claimed that the designation and their ineligibility to claim refugee status infringed their rights guaranteed under sections 7 and 15 of the </w:t>
      </w:r>
      <w:r w:rsidRPr="0076602A">
        <w:rPr>
          <w:i/>
          <w:sz w:val="20"/>
          <w:szCs w:val="20"/>
        </w:rPr>
        <w:t>Canadian Charter of Rights and Freedoms</w:t>
      </w:r>
      <w:r w:rsidRPr="0076602A">
        <w:rPr>
          <w:sz w:val="20"/>
          <w:szCs w:val="20"/>
        </w:rPr>
        <w:t xml:space="preserve"> and were not justified under s. 1.</w:t>
      </w:r>
    </w:p>
    <w:p w:rsidR="00B56A04" w:rsidRPr="0076602A" w:rsidRDefault="00B56A04" w:rsidP="00B56A04">
      <w:pPr>
        <w:jc w:val="both"/>
        <w:rPr>
          <w:sz w:val="20"/>
          <w:szCs w:val="20"/>
        </w:rPr>
      </w:pPr>
    </w:p>
    <w:p w:rsidR="00B56A04" w:rsidRPr="0076602A" w:rsidRDefault="00B56A04" w:rsidP="00B56A04">
      <w:pPr>
        <w:widowControl w:val="0"/>
        <w:jc w:val="both"/>
        <w:rPr>
          <w:sz w:val="20"/>
        </w:rPr>
      </w:pPr>
      <w:r w:rsidRPr="0076602A">
        <w:rPr>
          <w:sz w:val="20"/>
          <w:szCs w:val="20"/>
        </w:rPr>
        <w:t xml:space="preserve">The Federal Court rejected the </w:t>
      </w:r>
      <w:r w:rsidRPr="0076602A">
        <w:rPr>
          <w:i/>
          <w:sz w:val="20"/>
          <w:szCs w:val="20"/>
        </w:rPr>
        <w:t>ultra vires</w:t>
      </w:r>
      <w:r w:rsidRPr="0076602A">
        <w:rPr>
          <w:sz w:val="20"/>
          <w:szCs w:val="20"/>
        </w:rPr>
        <w:t xml:space="preserve"> argument but held that s. 159.3 of the </w:t>
      </w:r>
      <w:r w:rsidRPr="0076602A">
        <w:rPr>
          <w:i/>
          <w:sz w:val="20"/>
          <w:szCs w:val="20"/>
        </w:rPr>
        <w:t>Regulations</w:t>
      </w:r>
      <w:r w:rsidRPr="0076602A">
        <w:rPr>
          <w:sz w:val="20"/>
          <w:szCs w:val="20"/>
        </w:rPr>
        <w:t xml:space="preserve"> and s. 101(1)(e) of the </w:t>
      </w:r>
      <w:r w:rsidRPr="0076602A">
        <w:rPr>
          <w:i/>
          <w:sz w:val="20"/>
          <w:szCs w:val="20"/>
        </w:rPr>
        <w:t xml:space="preserve">Act </w:t>
      </w:r>
      <w:r w:rsidRPr="0076602A">
        <w:rPr>
          <w:sz w:val="20"/>
          <w:szCs w:val="20"/>
        </w:rPr>
        <w:t>infringed s. 7 of the</w:t>
      </w:r>
      <w:r w:rsidRPr="0076602A">
        <w:rPr>
          <w:i/>
          <w:sz w:val="20"/>
          <w:szCs w:val="20"/>
        </w:rPr>
        <w:t xml:space="preserve"> Charter </w:t>
      </w:r>
      <w:r w:rsidRPr="0076602A">
        <w:rPr>
          <w:sz w:val="20"/>
          <w:szCs w:val="20"/>
        </w:rPr>
        <w:t>and were not justified under s. 1</w:t>
      </w:r>
      <w:r w:rsidRPr="0076602A">
        <w:rPr>
          <w:i/>
          <w:sz w:val="20"/>
          <w:szCs w:val="20"/>
        </w:rPr>
        <w:t xml:space="preserve">. </w:t>
      </w:r>
      <w:r w:rsidRPr="0076602A">
        <w:rPr>
          <w:sz w:val="20"/>
          <w:szCs w:val="20"/>
        </w:rPr>
        <w:t>The court found it unnecessary to consider whether the provisions also infringed s. 15. The appellate court allowed the appeal, dismissed a cross</w:t>
      </w:r>
      <w:r w:rsidRPr="0076602A">
        <w:rPr>
          <w:sz w:val="20"/>
          <w:szCs w:val="20"/>
        </w:rPr>
        <w:noBreakHyphen/>
        <w:t xml:space="preserve">appeal on the </w:t>
      </w:r>
      <w:r w:rsidRPr="0076602A">
        <w:rPr>
          <w:i/>
          <w:sz w:val="20"/>
          <w:szCs w:val="20"/>
        </w:rPr>
        <w:t>ultra vires</w:t>
      </w:r>
      <w:r w:rsidRPr="0076602A">
        <w:rPr>
          <w:sz w:val="20"/>
          <w:szCs w:val="20"/>
        </w:rPr>
        <w:t xml:space="preserve"> and s. 15 issues, set aside the Federal Court decisions, and dismissed the applications for judicial review.</w:t>
      </w:r>
    </w:p>
    <w:p w:rsidR="00B56A04" w:rsidRPr="0076602A" w:rsidRDefault="00B56A04" w:rsidP="00B56A04">
      <w:pPr>
        <w:widowControl w:val="0"/>
        <w:jc w:val="both"/>
        <w:rPr>
          <w:sz w:val="20"/>
        </w:rPr>
      </w:pPr>
    </w:p>
    <w:p w:rsidR="00B56A04" w:rsidRPr="0076602A" w:rsidRDefault="00CF2ACD" w:rsidP="00B56A04">
      <w:pPr>
        <w:widowControl w:val="0"/>
        <w:jc w:val="both"/>
        <w:rPr>
          <w:sz w:val="20"/>
        </w:rPr>
      </w:pPr>
      <w:r>
        <w:rPr>
          <w:sz w:val="20"/>
          <w:szCs w:val="20"/>
        </w:rPr>
        <w:pict>
          <v:rect id="_x0000_i1035" style="width:2in;height:1pt" o:hrpct="0" o:hralign="center" o:hrstd="t" o:hrnoshade="t" o:hr="t" fillcolor="black [3213]" stroked="f"/>
        </w:pict>
      </w:r>
    </w:p>
    <w:p w:rsidR="00B56A04" w:rsidRPr="0076602A" w:rsidRDefault="00B56A04" w:rsidP="00B56A04">
      <w:pPr>
        <w:widowControl w:val="0"/>
        <w:jc w:val="both"/>
        <w:rPr>
          <w:sz w:val="20"/>
          <w:szCs w:val="20"/>
        </w:rPr>
      </w:pPr>
    </w:p>
    <w:p w:rsidR="00B56A04" w:rsidRPr="0076602A" w:rsidRDefault="00B56A04" w:rsidP="00B56A04">
      <w:pPr>
        <w:pStyle w:val="SCCLsocParty"/>
        <w:ind w:left="720" w:hanging="720"/>
        <w:jc w:val="both"/>
        <w:rPr>
          <w:i/>
          <w:sz w:val="20"/>
          <w:szCs w:val="20"/>
        </w:rPr>
      </w:pPr>
      <w:r w:rsidRPr="0076602A">
        <w:rPr>
          <w:b/>
          <w:sz w:val="20"/>
          <w:szCs w:val="20"/>
        </w:rPr>
        <w:fldChar w:fldCharType="begin"/>
      </w:r>
      <w:r w:rsidRPr="0076602A">
        <w:rPr>
          <w:b/>
          <w:sz w:val="20"/>
          <w:szCs w:val="20"/>
        </w:rPr>
        <w:instrText xml:space="preserve"> SEQ CHAPTER \h \r 1</w:instrText>
      </w:r>
      <w:r w:rsidRPr="0076602A">
        <w:rPr>
          <w:b/>
          <w:sz w:val="20"/>
          <w:szCs w:val="20"/>
        </w:rPr>
        <w:fldChar w:fldCharType="end"/>
      </w:r>
      <w:r w:rsidRPr="0076602A">
        <w:rPr>
          <w:b/>
          <w:sz w:val="20"/>
          <w:szCs w:val="20"/>
        </w:rPr>
        <w:t>39749</w:t>
      </w:r>
      <w:r w:rsidRPr="0076602A">
        <w:rPr>
          <w:sz w:val="20"/>
          <w:szCs w:val="20"/>
        </w:rPr>
        <w:tab/>
      </w:r>
      <w:r w:rsidRPr="0076602A">
        <w:rPr>
          <w:b/>
          <w:i/>
          <w:sz w:val="20"/>
          <w:szCs w:val="20"/>
        </w:rPr>
        <w:t>Conseil canadien pour les réfugiés, Amnestie Internationale, Conseil canadien des Églises, ABC, DE [représentée par sa tutrice à l’instance ABC], FG [représentée par sa tutrice à l’instance ABC], Mohammad Majd Maher Homsi, Hala Maher Homsi, Karam Maher Homsi, Reda Yassin Al Nahass, Nedira Jemal Mustefa c. Ministre de la Citoyenneté et de l’Immigration, Ministre de la Sécurité publique de la Protection civile</w:t>
      </w:r>
    </w:p>
    <w:p w:rsidR="00B56A04" w:rsidRPr="0076602A" w:rsidRDefault="00B56A04" w:rsidP="00B56A04">
      <w:pPr>
        <w:pStyle w:val="SCCLsocParty"/>
        <w:tabs>
          <w:tab w:val="left" w:pos="0"/>
        </w:tabs>
        <w:jc w:val="both"/>
        <w:rPr>
          <w:sz w:val="20"/>
          <w:szCs w:val="20"/>
        </w:rPr>
      </w:pPr>
      <w:r w:rsidRPr="0076602A">
        <w:rPr>
          <w:sz w:val="20"/>
          <w:szCs w:val="20"/>
        </w:rPr>
        <w:tab/>
        <w:t>(C.F.) (Civile) (Autorisation)</w:t>
      </w:r>
    </w:p>
    <w:p w:rsidR="00B56A04" w:rsidRPr="0076602A" w:rsidRDefault="00B56A04" w:rsidP="00B56A04">
      <w:pPr>
        <w:jc w:val="both"/>
        <w:rPr>
          <w:sz w:val="20"/>
          <w:szCs w:val="20"/>
          <w:lang w:val="fr-CA"/>
        </w:rPr>
      </w:pPr>
    </w:p>
    <w:p w:rsidR="00B56A04" w:rsidRPr="0076602A" w:rsidRDefault="00B56A04" w:rsidP="00B56A04">
      <w:pPr>
        <w:pStyle w:val="SCCCaseDescriptor0"/>
        <w:jc w:val="both"/>
        <w:rPr>
          <w:sz w:val="20"/>
          <w:lang w:val="fr-CA"/>
        </w:rPr>
      </w:pPr>
      <w:r w:rsidRPr="0076602A">
        <w:rPr>
          <w:sz w:val="20"/>
          <w:lang w:val="fr-CA"/>
        </w:rPr>
        <w:t>(Publication dans le dossier) (Ordonnance de mise sous scellés)</w:t>
      </w:r>
    </w:p>
    <w:p w:rsidR="00B56A04" w:rsidRPr="0076602A" w:rsidRDefault="00B56A04" w:rsidP="00B56A04">
      <w:pPr>
        <w:jc w:val="both"/>
        <w:rPr>
          <w:sz w:val="20"/>
          <w:szCs w:val="20"/>
          <w:lang w:val="fr-CA"/>
        </w:rPr>
      </w:pPr>
    </w:p>
    <w:p w:rsidR="00B56A04" w:rsidRPr="0076602A" w:rsidRDefault="00B56A04" w:rsidP="00B56A04">
      <w:pPr>
        <w:jc w:val="both"/>
        <w:rPr>
          <w:sz w:val="20"/>
          <w:szCs w:val="20"/>
          <w:lang w:val="fr-CA"/>
        </w:rPr>
      </w:pPr>
      <w:r w:rsidRPr="0076602A">
        <w:rPr>
          <w:sz w:val="20"/>
          <w:szCs w:val="20"/>
          <w:lang w:val="fr-CA"/>
        </w:rPr>
        <w:t>Droit constitutionnel —</w:t>
      </w:r>
      <w:r w:rsidRPr="0076602A">
        <w:rPr>
          <w:i/>
          <w:sz w:val="20"/>
          <w:szCs w:val="20"/>
          <w:lang w:val="fr-CA"/>
        </w:rPr>
        <w:t xml:space="preserve"> Charte des droits </w:t>
      </w:r>
      <w:r w:rsidRPr="0076602A">
        <w:rPr>
          <w:sz w:val="20"/>
          <w:szCs w:val="20"/>
          <w:lang w:val="fr-CA"/>
        </w:rPr>
        <w:t>— Droit à la sécurité de la personne — Justice fondamentale — Droit à l’égalité — Limites raisonnables — Immigration — Interdiction de territoire et renvoi — Contrôle judiciaire — Appelants sollicitant le contrôle judiciaire de décisions relatives à leur irrecevabilité à présenter des demandes d’asile au Canada après être arrivés à un point d’entrée terrestre en provenant des États</w:t>
      </w:r>
      <w:r w:rsidRPr="0076602A">
        <w:rPr>
          <w:sz w:val="20"/>
          <w:szCs w:val="20"/>
          <w:lang w:val="fr-CA"/>
        </w:rPr>
        <w:noBreakHyphen/>
        <w:t>Unis — La Cour d’appel fédérale a</w:t>
      </w:r>
      <w:r w:rsidRPr="0076602A">
        <w:rPr>
          <w:sz w:val="20"/>
          <w:szCs w:val="20"/>
          <w:lang w:val="fr-CA"/>
        </w:rPr>
        <w:noBreakHyphen/>
        <w:t>t</w:t>
      </w:r>
      <w:r w:rsidRPr="0076602A">
        <w:rPr>
          <w:sz w:val="20"/>
          <w:szCs w:val="20"/>
          <w:lang w:val="fr-CA"/>
        </w:rPr>
        <w:noBreakHyphen/>
        <w:t>elle commis une erreur en refusant de statuer sur la constitutionnalité des dispositions applicables? — Faut</w:t>
      </w:r>
      <w:r w:rsidRPr="0076602A">
        <w:rPr>
          <w:sz w:val="20"/>
          <w:szCs w:val="20"/>
          <w:lang w:val="fr-CA"/>
        </w:rPr>
        <w:noBreakHyphen/>
        <w:t xml:space="preserve">il trancher la revendication fondée sur l’égalité de sexe, au titre de l’art. 15 de la </w:t>
      </w:r>
      <w:r w:rsidRPr="0076602A">
        <w:rPr>
          <w:i/>
          <w:sz w:val="20"/>
          <w:szCs w:val="20"/>
          <w:lang w:val="fr-CA"/>
        </w:rPr>
        <w:t>Charte</w:t>
      </w:r>
      <w:r w:rsidRPr="0076602A">
        <w:rPr>
          <w:sz w:val="20"/>
          <w:szCs w:val="20"/>
          <w:lang w:val="fr-CA"/>
        </w:rPr>
        <w:t xml:space="preserve">? — L’art. 159.3 du </w:t>
      </w:r>
      <w:r w:rsidRPr="0076602A">
        <w:rPr>
          <w:i/>
          <w:sz w:val="20"/>
          <w:szCs w:val="20"/>
          <w:lang w:val="fr-CA"/>
        </w:rPr>
        <w:t>Règlement</w:t>
      </w:r>
      <w:r w:rsidRPr="0076602A">
        <w:rPr>
          <w:sz w:val="20"/>
          <w:szCs w:val="20"/>
          <w:lang w:val="fr-CA"/>
        </w:rPr>
        <w:t xml:space="preserve"> est</w:t>
      </w:r>
      <w:r w:rsidRPr="0076602A">
        <w:rPr>
          <w:sz w:val="20"/>
          <w:szCs w:val="20"/>
          <w:lang w:val="fr-CA"/>
        </w:rPr>
        <w:noBreakHyphen/>
        <w:t xml:space="preserve">il </w:t>
      </w:r>
      <w:r w:rsidRPr="0076602A">
        <w:rPr>
          <w:i/>
          <w:sz w:val="20"/>
          <w:szCs w:val="20"/>
          <w:lang w:val="fr-CA"/>
        </w:rPr>
        <w:t>ultra vires</w:t>
      </w:r>
      <w:r w:rsidRPr="0076602A">
        <w:rPr>
          <w:sz w:val="20"/>
          <w:szCs w:val="20"/>
          <w:lang w:val="fr-CA"/>
        </w:rPr>
        <w:t>? — L’effet combiné de l’art. 159.3 du</w:t>
      </w:r>
      <w:r w:rsidRPr="0076602A">
        <w:rPr>
          <w:i/>
          <w:sz w:val="20"/>
          <w:szCs w:val="20"/>
          <w:lang w:val="fr-CA"/>
        </w:rPr>
        <w:t xml:space="preserve"> Règlement</w:t>
      </w:r>
      <w:r w:rsidRPr="0076602A">
        <w:rPr>
          <w:sz w:val="20"/>
          <w:szCs w:val="20"/>
          <w:lang w:val="fr-CA"/>
        </w:rPr>
        <w:t xml:space="preserve"> et de l’al. 101(1)e) de la </w:t>
      </w:r>
      <w:r w:rsidRPr="0076602A">
        <w:rPr>
          <w:i/>
          <w:sz w:val="20"/>
          <w:szCs w:val="20"/>
          <w:lang w:val="fr-CA"/>
        </w:rPr>
        <w:t>Loi</w:t>
      </w:r>
      <w:r w:rsidRPr="0076602A">
        <w:rPr>
          <w:sz w:val="20"/>
          <w:szCs w:val="20"/>
          <w:lang w:val="fr-CA"/>
        </w:rPr>
        <w:t xml:space="preserve"> viole</w:t>
      </w:r>
      <w:r w:rsidRPr="0076602A">
        <w:rPr>
          <w:sz w:val="20"/>
          <w:szCs w:val="20"/>
          <w:lang w:val="fr-CA"/>
        </w:rPr>
        <w:noBreakHyphen/>
        <w:t>t</w:t>
      </w:r>
      <w:r w:rsidRPr="0076602A">
        <w:rPr>
          <w:sz w:val="20"/>
          <w:szCs w:val="20"/>
          <w:lang w:val="fr-CA"/>
        </w:rPr>
        <w:noBreakHyphen/>
        <w:t xml:space="preserve">il les droits garantis à l’art. 7 de la </w:t>
      </w:r>
      <w:r w:rsidRPr="0076602A">
        <w:rPr>
          <w:i/>
          <w:sz w:val="20"/>
          <w:szCs w:val="20"/>
          <w:lang w:val="fr-CA"/>
        </w:rPr>
        <w:t>Charte</w:t>
      </w:r>
      <w:r w:rsidRPr="0076602A">
        <w:rPr>
          <w:sz w:val="20"/>
          <w:szCs w:val="20"/>
          <w:lang w:val="fr-CA"/>
        </w:rPr>
        <w:t xml:space="preserve"> aux demandeurs d’asile? — Si oui, la violation est</w:t>
      </w:r>
      <w:r w:rsidRPr="0076602A">
        <w:rPr>
          <w:sz w:val="20"/>
          <w:szCs w:val="20"/>
          <w:lang w:val="fr-CA"/>
        </w:rPr>
        <w:noBreakHyphen/>
        <w:t xml:space="preserve">elle une limite raisonnable restreinte par une règle de droit et dont la justification peut se démontrer dans le cadre d’une société libre et démocratique, en vertu de l’article premier de la </w:t>
      </w:r>
      <w:r w:rsidRPr="0076602A">
        <w:rPr>
          <w:i/>
          <w:sz w:val="20"/>
          <w:szCs w:val="20"/>
          <w:lang w:val="fr-CA"/>
        </w:rPr>
        <w:t>Charte</w:t>
      </w:r>
      <w:r w:rsidRPr="0076602A">
        <w:rPr>
          <w:sz w:val="20"/>
          <w:szCs w:val="20"/>
          <w:lang w:val="fr-CA"/>
        </w:rPr>
        <w:t xml:space="preserve">? — L’effet combiné de l’art. 159.3 du </w:t>
      </w:r>
      <w:r w:rsidRPr="0076602A">
        <w:rPr>
          <w:i/>
          <w:sz w:val="20"/>
          <w:szCs w:val="20"/>
          <w:lang w:val="fr-CA"/>
        </w:rPr>
        <w:t>Règlement</w:t>
      </w:r>
      <w:r w:rsidRPr="0076602A">
        <w:rPr>
          <w:sz w:val="20"/>
          <w:szCs w:val="20"/>
          <w:lang w:val="fr-CA"/>
        </w:rPr>
        <w:t xml:space="preserve"> et de l’al. 101(1)e) de la </w:t>
      </w:r>
      <w:r w:rsidRPr="0076602A">
        <w:rPr>
          <w:i/>
          <w:sz w:val="20"/>
          <w:szCs w:val="20"/>
          <w:lang w:val="fr-CA"/>
        </w:rPr>
        <w:t>Loi</w:t>
      </w:r>
      <w:r w:rsidRPr="0076602A">
        <w:rPr>
          <w:sz w:val="20"/>
          <w:szCs w:val="20"/>
          <w:lang w:val="fr-CA"/>
        </w:rPr>
        <w:t xml:space="preserve"> viole</w:t>
      </w:r>
      <w:r w:rsidRPr="0076602A">
        <w:rPr>
          <w:sz w:val="20"/>
          <w:szCs w:val="20"/>
          <w:lang w:val="fr-CA"/>
        </w:rPr>
        <w:noBreakHyphen/>
        <w:t>t</w:t>
      </w:r>
      <w:r w:rsidRPr="0076602A">
        <w:rPr>
          <w:sz w:val="20"/>
          <w:szCs w:val="20"/>
          <w:lang w:val="fr-CA"/>
        </w:rPr>
        <w:noBreakHyphen/>
        <w:t xml:space="preserve">il l’art. 15 de la </w:t>
      </w:r>
      <w:r w:rsidRPr="0076602A">
        <w:rPr>
          <w:i/>
          <w:sz w:val="20"/>
          <w:szCs w:val="20"/>
          <w:lang w:val="fr-CA"/>
        </w:rPr>
        <w:t>Charte</w:t>
      </w:r>
      <w:r w:rsidRPr="0076602A">
        <w:rPr>
          <w:sz w:val="20"/>
          <w:szCs w:val="20"/>
          <w:lang w:val="fr-CA"/>
        </w:rPr>
        <w:t>? — Si oui, la violation est</w:t>
      </w:r>
      <w:r w:rsidRPr="0076602A">
        <w:rPr>
          <w:sz w:val="20"/>
          <w:szCs w:val="20"/>
          <w:lang w:val="fr-CA"/>
        </w:rPr>
        <w:noBreakHyphen/>
        <w:t xml:space="preserve">elle une limite raisonnable restreinte par une règle de droit et dont la justification peut se démontrer dans le cadre d’une société libre et démocratique, en vertu de l’article premier de la </w:t>
      </w:r>
      <w:r w:rsidRPr="0076602A">
        <w:rPr>
          <w:i/>
          <w:sz w:val="20"/>
          <w:szCs w:val="20"/>
          <w:lang w:val="fr-CA"/>
        </w:rPr>
        <w:t>Charte</w:t>
      </w:r>
      <w:r w:rsidRPr="0076602A">
        <w:rPr>
          <w:sz w:val="20"/>
          <w:szCs w:val="20"/>
          <w:lang w:val="fr-CA"/>
        </w:rPr>
        <w:t>? —</w:t>
      </w:r>
      <w:r w:rsidRPr="0076602A">
        <w:rPr>
          <w:i/>
          <w:sz w:val="20"/>
          <w:szCs w:val="20"/>
          <w:lang w:val="fr-CA"/>
        </w:rPr>
        <w:t xml:space="preserve"> Charte canadienne des droits et libertés</w:t>
      </w:r>
      <w:r w:rsidRPr="0076602A">
        <w:rPr>
          <w:sz w:val="20"/>
          <w:szCs w:val="20"/>
          <w:lang w:val="fr-CA"/>
        </w:rPr>
        <w:t>, articles premier, 7 et 15 —</w:t>
      </w:r>
      <w:r w:rsidRPr="0076602A">
        <w:rPr>
          <w:i/>
          <w:sz w:val="20"/>
          <w:szCs w:val="20"/>
          <w:lang w:val="fr-CA"/>
        </w:rPr>
        <w:t xml:space="preserve"> Loi sur l’immigration et la protection des réfugiés</w:t>
      </w:r>
      <w:r w:rsidRPr="0076602A">
        <w:rPr>
          <w:sz w:val="20"/>
          <w:szCs w:val="20"/>
          <w:lang w:val="fr-CA"/>
        </w:rPr>
        <w:t>, L.C. 2001, c. 27, par. 102(2) et 102(3), al. 101(1)e) —</w:t>
      </w:r>
      <w:r w:rsidRPr="0076602A">
        <w:rPr>
          <w:i/>
          <w:sz w:val="20"/>
          <w:szCs w:val="20"/>
          <w:lang w:val="fr-CA"/>
        </w:rPr>
        <w:t xml:space="preserve"> Règlement sur l’immigration et la protection des réfugiés</w:t>
      </w:r>
      <w:r w:rsidRPr="0076602A">
        <w:rPr>
          <w:sz w:val="20"/>
          <w:szCs w:val="20"/>
          <w:lang w:val="fr-CA"/>
        </w:rPr>
        <w:t>, D.O.R.S./2002</w:t>
      </w:r>
      <w:r w:rsidRPr="0076602A">
        <w:rPr>
          <w:sz w:val="20"/>
          <w:szCs w:val="20"/>
          <w:lang w:val="fr-CA"/>
        </w:rPr>
        <w:noBreakHyphen/>
        <w:t>227, art. 159.3.</w:t>
      </w:r>
    </w:p>
    <w:p w:rsidR="00B56A04" w:rsidRPr="0076602A" w:rsidRDefault="00B56A04" w:rsidP="00B56A04">
      <w:pPr>
        <w:jc w:val="both"/>
        <w:rPr>
          <w:sz w:val="20"/>
          <w:szCs w:val="20"/>
          <w:lang w:val="fr-CA"/>
        </w:rPr>
      </w:pPr>
    </w:p>
    <w:p w:rsidR="000A7EB8" w:rsidRPr="0076602A" w:rsidRDefault="000A7EB8">
      <w:pPr>
        <w:rPr>
          <w:sz w:val="20"/>
          <w:szCs w:val="20"/>
          <w:lang w:val="fr-CA"/>
        </w:rPr>
      </w:pPr>
      <w:r w:rsidRPr="0076602A">
        <w:rPr>
          <w:sz w:val="20"/>
          <w:szCs w:val="20"/>
          <w:lang w:val="fr-CA"/>
        </w:rPr>
        <w:br w:type="page"/>
      </w:r>
    </w:p>
    <w:p w:rsidR="00B56A04" w:rsidRPr="0076602A" w:rsidRDefault="00B56A04" w:rsidP="00B56A04">
      <w:pPr>
        <w:jc w:val="both"/>
        <w:rPr>
          <w:sz w:val="20"/>
          <w:szCs w:val="20"/>
          <w:lang w:val="fr-CA"/>
        </w:rPr>
      </w:pPr>
      <w:r w:rsidRPr="0076602A">
        <w:rPr>
          <w:sz w:val="20"/>
          <w:szCs w:val="20"/>
          <w:lang w:val="fr-CA"/>
        </w:rPr>
        <w:t>Depuis l’entente de 2004 entre le Canada et les États</w:t>
      </w:r>
      <w:r w:rsidRPr="0076602A">
        <w:rPr>
          <w:sz w:val="20"/>
          <w:szCs w:val="20"/>
          <w:lang w:val="fr-CA"/>
        </w:rPr>
        <w:noBreakHyphen/>
        <w:t>Unis, communément appelée Entente sur les tiers pays sûrs, les États</w:t>
      </w:r>
      <w:r w:rsidRPr="0076602A">
        <w:rPr>
          <w:sz w:val="20"/>
          <w:szCs w:val="20"/>
          <w:lang w:val="fr-CA"/>
        </w:rPr>
        <w:noBreakHyphen/>
        <w:t xml:space="preserve">Unis ont été désignés tiers pays sûr, au titre de l’art 159.3 du </w:t>
      </w:r>
      <w:r w:rsidRPr="0076602A">
        <w:rPr>
          <w:i/>
          <w:sz w:val="20"/>
          <w:szCs w:val="20"/>
          <w:lang w:val="fr-CA"/>
        </w:rPr>
        <w:t>Règlement sur l’immigration et la protection des réfugiés</w:t>
      </w:r>
      <w:r w:rsidRPr="0076602A">
        <w:rPr>
          <w:sz w:val="20"/>
          <w:szCs w:val="20"/>
          <w:lang w:val="fr-CA"/>
        </w:rPr>
        <w:t>, D.O.R.S./2002 227. Par conséquent, les demandeurs arrivant à un point d’entrée terrestre canadien en provenance des États</w:t>
      </w:r>
      <w:r w:rsidRPr="0076602A">
        <w:rPr>
          <w:sz w:val="20"/>
          <w:szCs w:val="20"/>
          <w:lang w:val="fr-CA"/>
        </w:rPr>
        <w:noBreakHyphen/>
        <w:t xml:space="preserve">Unis sont considérés comme irrecevables à présenter une demande d’asile au Canada, en application de l’al. 101(1)e) de la </w:t>
      </w:r>
      <w:r w:rsidRPr="0076602A">
        <w:rPr>
          <w:i/>
          <w:sz w:val="20"/>
          <w:szCs w:val="20"/>
          <w:lang w:val="fr-CA"/>
        </w:rPr>
        <w:t>Loi sur l’immigration et la protection des réfugiés</w:t>
      </w:r>
      <w:r w:rsidRPr="0076602A">
        <w:rPr>
          <w:sz w:val="20"/>
          <w:szCs w:val="20"/>
          <w:lang w:val="fr-CA"/>
        </w:rPr>
        <w:t>, L.C. 2001, c 27. Les individus appelants font partie de ces demandeurs qui ont été considérés comme irrecevables. Les appelants, ABC et ses enfants, sont originaires du Salvador, ils demandent l’asile en raison de la violence des gangs et de la persécution fondée sur le sexe. Les appelants Homsi/Al Nahass sont des membres d’une famille musulmane syrienne qui a quitté les États</w:t>
      </w:r>
      <w:r w:rsidRPr="0076602A">
        <w:rPr>
          <w:sz w:val="20"/>
          <w:szCs w:val="20"/>
          <w:lang w:val="fr-CA"/>
        </w:rPr>
        <w:noBreakHyphen/>
        <w:t>Unis après l’instauration de la première mesure d’interdiction de voyager par le gouvernement américain. L’appelante, M</w:t>
      </w:r>
      <w:r w:rsidRPr="0076602A">
        <w:rPr>
          <w:sz w:val="20"/>
          <w:szCs w:val="20"/>
          <w:vertAlign w:val="superscript"/>
          <w:lang w:val="fr-CA"/>
        </w:rPr>
        <w:t>me</w:t>
      </w:r>
      <w:r w:rsidRPr="0076602A">
        <w:rPr>
          <w:sz w:val="20"/>
          <w:szCs w:val="20"/>
          <w:lang w:val="fr-CA"/>
        </w:rPr>
        <w:t> Mustefa, est une femme musulmane originaire d’Éthiopie qui a été détenue après sa tentative d’entrer au Canada en provenance des États</w:t>
      </w:r>
      <w:r w:rsidRPr="0076602A">
        <w:rPr>
          <w:sz w:val="20"/>
          <w:szCs w:val="20"/>
          <w:lang w:val="fr-CA"/>
        </w:rPr>
        <w:noBreakHyphen/>
        <w:t>Unis. Les organisations appelantes ont obtenu le droit de participer aux demandes en tant que parties intéressées. Les appelants contestent collectivement le défaut du gouvernement canadien de revoir la désignation actuelle des États</w:t>
      </w:r>
      <w:r w:rsidRPr="0076602A">
        <w:rPr>
          <w:sz w:val="20"/>
          <w:szCs w:val="20"/>
          <w:lang w:val="fr-CA"/>
        </w:rPr>
        <w:noBreakHyphen/>
        <w:t xml:space="preserve">Unis au titre de l’article 159.3 du </w:t>
      </w:r>
      <w:r w:rsidRPr="0076602A">
        <w:rPr>
          <w:i/>
          <w:sz w:val="20"/>
          <w:szCs w:val="20"/>
          <w:lang w:val="fr-CA"/>
        </w:rPr>
        <w:t>Règlement</w:t>
      </w:r>
      <w:r w:rsidRPr="0076602A">
        <w:rPr>
          <w:sz w:val="20"/>
          <w:szCs w:val="20"/>
          <w:lang w:val="fr-CA"/>
        </w:rPr>
        <w:t xml:space="preserve"> qui rendrait cette disposition </w:t>
      </w:r>
      <w:r w:rsidRPr="0076602A">
        <w:rPr>
          <w:i/>
          <w:sz w:val="20"/>
          <w:szCs w:val="20"/>
          <w:lang w:val="fr-CA"/>
        </w:rPr>
        <w:t>ultra vires</w:t>
      </w:r>
      <w:r w:rsidRPr="0076602A">
        <w:rPr>
          <w:sz w:val="20"/>
          <w:szCs w:val="20"/>
          <w:lang w:val="fr-CA"/>
        </w:rPr>
        <w:t xml:space="preserve"> et non conforme aux par. 102(2) et 102(3) et à l’al. 101(1)a) de la </w:t>
      </w:r>
      <w:r w:rsidRPr="0076602A">
        <w:rPr>
          <w:i/>
          <w:sz w:val="20"/>
          <w:szCs w:val="20"/>
          <w:lang w:val="fr-CA"/>
        </w:rPr>
        <w:t>Loi</w:t>
      </w:r>
      <w:r w:rsidRPr="0076602A">
        <w:rPr>
          <w:sz w:val="20"/>
          <w:szCs w:val="20"/>
          <w:lang w:val="fr-CA"/>
        </w:rPr>
        <w:t xml:space="preserve">. Ils font aussi valoir que la désignation et leur irrecevabilité à demander l’asile violent les droits que les articles 7 et 15 de la </w:t>
      </w:r>
      <w:r w:rsidRPr="0076602A">
        <w:rPr>
          <w:i/>
          <w:sz w:val="20"/>
          <w:szCs w:val="20"/>
          <w:lang w:val="fr-CA"/>
        </w:rPr>
        <w:t>Charte canadienne des droits et libertés</w:t>
      </w:r>
      <w:r w:rsidRPr="0076602A">
        <w:rPr>
          <w:sz w:val="20"/>
          <w:szCs w:val="20"/>
          <w:lang w:val="fr-CA"/>
        </w:rPr>
        <w:t xml:space="preserve"> leur garantissent et ne sont pas justifiées au titre de l’article premier. </w:t>
      </w:r>
    </w:p>
    <w:p w:rsidR="00B56A04" w:rsidRPr="0076602A" w:rsidRDefault="00B56A04" w:rsidP="00B56A04">
      <w:pPr>
        <w:jc w:val="both"/>
        <w:rPr>
          <w:sz w:val="20"/>
          <w:szCs w:val="20"/>
          <w:lang w:val="fr-CA"/>
        </w:rPr>
      </w:pPr>
    </w:p>
    <w:p w:rsidR="00B56A04" w:rsidRPr="0076602A" w:rsidRDefault="00B56A04" w:rsidP="00B56A04">
      <w:pPr>
        <w:widowControl w:val="0"/>
        <w:jc w:val="both"/>
        <w:rPr>
          <w:sz w:val="20"/>
          <w:szCs w:val="20"/>
          <w:lang w:val="fr-CA"/>
        </w:rPr>
      </w:pPr>
      <w:r w:rsidRPr="0076602A">
        <w:rPr>
          <w:sz w:val="20"/>
          <w:szCs w:val="20"/>
          <w:lang w:val="fr-CA"/>
        </w:rPr>
        <w:t xml:space="preserve">La Cour fédérale a rejeté l’argument fondé sur le caractère </w:t>
      </w:r>
      <w:r w:rsidRPr="0076602A">
        <w:rPr>
          <w:i/>
          <w:sz w:val="20"/>
          <w:szCs w:val="20"/>
          <w:lang w:val="fr-CA"/>
        </w:rPr>
        <w:t>ultra vires</w:t>
      </w:r>
      <w:r w:rsidRPr="0076602A">
        <w:rPr>
          <w:sz w:val="20"/>
          <w:szCs w:val="20"/>
          <w:lang w:val="fr-CA"/>
        </w:rPr>
        <w:t xml:space="preserve">, mais a jugé que l’art. 159.3 du </w:t>
      </w:r>
      <w:r w:rsidRPr="0076602A">
        <w:rPr>
          <w:i/>
          <w:sz w:val="20"/>
          <w:szCs w:val="20"/>
          <w:lang w:val="fr-CA"/>
        </w:rPr>
        <w:t>Règlement</w:t>
      </w:r>
      <w:r w:rsidRPr="0076602A">
        <w:rPr>
          <w:sz w:val="20"/>
          <w:szCs w:val="20"/>
          <w:lang w:val="fr-CA"/>
        </w:rPr>
        <w:t xml:space="preserve"> et l’al. 101(1)e) de la </w:t>
      </w:r>
      <w:r w:rsidRPr="0076602A">
        <w:rPr>
          <w:i/>
          <w:sz w:val="20"/>
          <w:szCs w:val="20"/>
          <w:lang w:val="fr-CA"/>
        </w:rPr>
        <w:t>Loi</w:t>
      </w:r>
      <w:r w:rsidRPr="0076602A">
        <w:rPr>
          <w:sz w:val="20"/>
          <w:szCs w:val="20"/>
          <w:lang w:val="fr-CA"/>
        </w:rPr>
        <w:t xml:space="preserve"> violaient l’art. 7 de la </w:t>
      </w:r>
      <w:r w:rsidRPr="0076602A">
        <w:rPr>
          <w:i/>
          <w:sz w:val="20"/>
          <w:szCs w:val="20"/>
          <w:lang w:val="fr-CA"/>
        </w:rPr>
        <w:t>Charte</w:t>
      </w:r>
      <w:r w:rsidRPr="0076602A">
        <w:rPr>
          <w:sz w:val="20"/>
          <w:szCs w:val="20"/>
          <w:lang w:val="fr-CA"/>
        </w:rPr>
        <w:t xml:space="preserve"> et n’étaient pas justifiés au regard de l’article premier</w:t>
      </w:r>
      <w:r w:rsidRPr="0076602A">
        <w:rPr>
          <w:i/>
          <w:sz w:val="20"/>
          <w:szCs w:val="20"/>
          <w:lang w:val="fr-CA"/>
        </w:rPr>
        <w:t>.</w:t>
      </w:r>
      <w:r w:rsidRPr="0076602A">
        <w:rPr>
          <w:sz w:val="20"/>
          <w:szCs w:val="20"/>
          <w:lang w:val="fr-CA"/>
        </w:rPr>
        <w:t xml:space="preserve"> Cette cour a conclu qu’il n’était pas nécessaire d’examiner si les dispositions violaient aussi l’art. 15. La Cour d’appel a accueilli l’appel, a rejeté l’appel incident sur le fondement du caractère </w:t>
      </w:r>
      <w:r w:rsidRPr="0076602A">
        <w:rPr>
          <w:i/>
          <w:sz w:val="20"/>
          <w:szCs w:val="20"/>
          <w:lang w:val="fr-CA"/>
        </w:rPr>
        <w:t>ultra vires</w:t>
      </w:r>
      <w:r w:rsidRPr="0076602A">
        <w:rPr>
          <w:sz w:val="20"/>
          <w:szCs w:val="20"/>
          <w:lang w:val="fr-CA"/>
        </w:rPr>
        <w:t xml:space="preserve"> et des questions relatives à l’art. 15, a annulé les décisions de la Cour fédérale et a rejeté les demandes de contrôle judiciaire.</w:t>
      </w:r>
    </w:p>
    <w:p w:rsidR="00B56A04" w:rsidRPr="0076602A" w:rsidRDefault="00B56A04" w:rsidP="00B56A04">
      <w:pPr>
        <w:jc w:val="both"/>
        <w:rPr>
          <w:sz w:val="20"/>
          <w:szCs w:val="20"/>
          <w:lang w:val="fr-CA"/>
        </w:rPr>
      </w:pPr>
    </w:p>
    <w:p w:rsidR="00B56A04" w:rsidRPr="0076602A" w:rsidRDefault="00CF2ACD" w:rsidP="00B56A04">
      <w:pPr>
        <w:jc w:val="both"/>
        <w:rPr>
          <w:sz w:val="20"/>
          <w:szCs w:val="20"/>
          <w:lang w:val="fr-CA"/>
        </w:rPr>
      </w:pPr>
      <w:r>
        <w:rPr>
          <w:sz w:val="20"/>
          <w:szCs w:val="20"/>
        </w:rPr>
        <w:pict>
          <v:rect id="_x0000_i1036" style="width:2in;height:1pt" o:hrpct="0" o:hralign="center" o:hrstd="t" o:hrnoshade="t" o:hr="t" fillcolor="black [3213]" stroked="f"/>
        </w:pict>
      </w:r>
    </w:p>
    <w:p w:rsidR="00C306FE" w:rsidRPr="0076602A" w:rsidRDefault="00C306FE" w:rsidP="00C306FE">
      <w:pPr>
        <w:jc w:val="both"/>
        <w:rPr>
          <w:sz w:val="20"/>
          <w:szCs w:val="20"/>
          <w:lang w:val="fr-CA"/>
        </w:rPr>
      </w:pPr>
    </w:p>
    <w:p w:rsidR="00C306FE" w:rsidRPr="0076602A" w:rsidRDefault="00C306FE" w:rsidP="00C306FE">
      <w:pPr>
        <w:widowControl w:val="0"/>
        <w:tabs>
          <w:tab w:val="left" w:pos="900"/>
        </w:tabs>
        <w:ind w:left="1440" w:hanging="1440"/>
        <w:jc w:val="both"/>
        <w:rPr>
          <w:b/>
          <w:i/>
          <w:sz w:val="20"/>
          <w:szCs w:val="20"/>
        </w:rPr>
      </w:pPr>
      <w:r w:rsidRPr="0076602A">
        <w:rPr>
          <w:b/>
          <w:sz w:val="20"/>
          <w:szCs w:val="20"/>
        </w:rPr>
        <w:fldChar w:fldCharType="begin"/>
      </w:r>
      <w:r w:rsidRPr="0076602A">
        <w:rPr>
          <w:b/>
          <w:sz w:val="20"/>
          <w:szCs w:val="20"/>
        </w:rPr>
        <w:instrText xml:space="preserve"> SEQ CHAPTER \h \r 1</w:instrText>
      </w:r>
      <w:r w:rsidRPr="0076602A">
        <w:rPr>
          <w:b/>
          <w:sz w:val="20"/>
          <w:szCs w:val="20"/>
        </w:rPr>
        <w:fldChar w:fldCharType="end"/>
      </w:r>
      <w:r w:rsidRPr="0076602A">
        <w:rPr>
          <w:b/>
          <w:sz w:val="20"/>
          <w:szCs w:val="20"/>
        </w:rPr>
        <w:t>39796</w:t>
      </w:r>
      <w:r w:rsidRPr="0076602A">
        <w:rPr>
          <w:sz w:val="20"/>
          <w:szCs w:val="20"/>
        </w:rPr>
        <w:tab/>
      </w:r>
      <w:r w:rsidRPr="0076602A">
        <w:rPr>
          <w:b/>
          <w:i/>
          <w:sz w:val="20"/>
          <w:szCs w:val="20"/>
        </w:rPr>
        <w:t>Glen Hansman v. Barry Neufeld</w:t>
      </w:r>
    </w:p>
    <w:p w:rsidR="00C306FE" w:rsidRPr="0076602A" w:rsidRDefault="00C306FE" w:rsidP="00C306FE">
      <w:pPr>
        <w:widowControl w:val="0"/>
        <w:tabs>
          <w:tab w:val="left" w:pos="900"/>
        </w:tabs>
        <w:ind w:left="1440" w:hanging="1440"/>
        <w:jc w:val="both"/>
        <w:rPr>
          <w:sz w:val="20"/>
          <w:szCs w:val="20"/>
        </w:rPr>
      </w:pPr>
      <w:r w:rsidRPr="0076602A">
        <w:rPr>
          <w:sz w:val="20"/>
        </w:rPr>
        <w:tab/>
      </w:r>
      <w:r w:rsidRPr="0076602A">
        <w:rPr>
          <w:sz w:val="20"/>
          <w:szCs w:val="20"/>
        </w:rPr>
        <w:t>(B.C.) (Civil) (By Leave)</w:t>
      </w:r>
    </w:p>
    <w:p w:rsidR="00C306FE" w:rsidRPr="0076602A" w:rsidRDefault="00C306FE" w:rsidP="00C306FE">
      <w:pPr>
        <w:widowControl w:val="0"/>
        <w:jc w:val="both"/>
        <w:rPr>
          <w:sz w:val="20"/>
          <w:szCs w:val="20"/>
        </w:rPr>
      </w:pPr>
    </w:p>
    <w:p w:rsidR="00C306FE" w:rsidRPr="0076602A" w:rsidRDefault="00C306FE" w:rsidP="00C306FE">
      <w:pPr>
        <w:jc w:val="both"/>
        <w:rPr>
          <w:sz w:val="20"/>
          <w:szCs w:val="20"/>
        </w:rPr>
      </w:pPr>
      <w:r w:rsidRPr="0076602A">
        <w:rPr>
          <w:sz w:val="20"/>
          <w:szCs w:val="20"/>
        </w:rPr>
        <w:t xml:space="preserve">Torts — Libel and slander — Anti-SLAPP legislation — Appellant applying to summarily dismiss respondent’s defamation action in relation to appellant’s public statements that were published and broadcast — Did the Court of Appeal err in overturning the chambers judge’s dismissal of the action on the basis of the fair comment defence? — Did the Court of Appeal err in overturning the chambers judge’s conclusion that the public interest in continuing the proceeding did not outweigh the public interest in protecting the defendant’s expression? — </w:t>
      </w:r>
      <w:r w:rsidRPr="0076602A">
        <w:rPr>
          <w:i/>
          <w:sz w:val="20"/>
          <w:szCs w:val="20"/>
        </w:rPr>
        <w:t>Protection of Public Participation Act</w:t>
      </w:r>
      <w:r w:rsidRPr="0076602A">
        <w:rPr>
          <w:sz w:val="20"/>
          <w:szCs w:val="20"/>
        </w:rPr>
        <w:t>, S.B.C. 2019, c. 3, s. 4.</w:t>
      </w:r>
    </w:p>
    <w:p w:rsidR="00C306FE" w:rsidRPr="0076602A" w:rsidRDefault="00C306FE" w:rsidP="00C306FE">
      <w:pPr>
        <w:widowControl w:val="0"/>
        <w:jc w:val="both"/>
        <w:rPr>
          <w:sz w:val="20"/>
          <w:szCs w:val="20"/>
        </w:rPr>
      </w:pPr>
    </w:p>
    <w:p w:rsidR="00C306FE" w:rsidRPr="0076602A" w:rsidRDefault="00C306FE" w:rsidP="00C306FE">
      <w:pPr>
        <w:jc w:val="both"/>
        <w:rPr>
          <w:sz w:val="20"/>
          <w:szCs w:val="20"/>
        </w:rPr>
      </w:pPr>
      <w:r w:rsidRPr="0076602A">
        <w:rPr>
          <w:sz w:val="20"/>
          <w:szCs w:val="20"/>
        </w:rPr>
        <w:t xml:space="preserve">The appellant, Glen Hansman, is a gay man and teacher, and at the time of the events in question, he was also the President of the British Columbia Teacher’s Federation (“BCTF”). The respondent, Barry Neufeld, is an elected public school board trustee in the Chilliwack School District in B.C. </w:t>
      </w:r>
    </w:p>
    <w:p w:rsidR="00C306FE" w:rsidRPr="0076602A" w:rsidRDefault="00C306FE" w:rsidP="00C306FE">
      <w:pPr>
        <w:jc w:val="both"/>
        <w:rPr>
          <w:sz w:val="20"/>
          <w:szCs w:val="20"/>
        </w:rPr>
      </w:pPr>
    </w:p>
    <w:p w:rsidR="00C306FE" w:rsidRPr="0076602A" w:rsidRDefault="00C306FE" w:rsidP="00C306FE">
      <w:pPr>
        <w:jc w:val="both"/>
        <w:rPr>
          <w:sz w:val="20"/>
          <w:szCs w:val="20"/>
        </w:rPr>
      </w:pPr>
      <w:r w:rsidRPr="0076602A">
        <w:rPr>
          <w:sz w:val="20"/>
          <w:szCs w:val="20"/>
        </w:rPr>
        <w:t>The B.C. Minister of Education, after consultations with stakeholders, published age-appropriate tools and resources for teachers of children from Kindergarten through Grade 12, with the goal of promoting inclusive environments, policies and procedures in schools regarding sexual orientation and gender identity (“SOGI 123”). Mr. Neufeld posted negative comments and criticisms about the implementation of SOGI 123 materials on his Facebook page. His comments attracted significant criticism and media attention. In his capacity as President of the BCTF, Mr. Hansman was interviewed about Mr. Neufeld’s post. Mr. Neufeld alleged that Mr. Hansman defamed him in that interview and in subsequent statements that were broadcast and published in the press and online. Public debate on SOGI 123 materials continued for over a year.</w:t>
      </w:r>
    </w:p>
    <w:p w:rsidR="00C306FE" w:rsidRPr="0076602A" w:rsidRDefault="00C306FE" w:rsidP="00C306FE">
      <w:pPr>
        <w:jc w:val="both"/>
        <w:rPr>
          <w:sz w:val="20"/>
          <w:szCs w:val="20"/>
        </w:rPr>
      </w:pPr>
    </w:p>
    <w:p w:rsidR="00C306FE" w:rsidRPr="0076602A" w:rsidRDefault="00C306FE" w:rsidP="00C306FE">
      <w:pPr>
        <w:jc w:val="both"/>
        <w:rPr>
          <w:sz w:val="20"/>
          <w:szCs w:val="20"/>
        </w:rPr>
      </w:pPr>
      <w:r w:rsidRPr="0076602A">
        <w:rPr>
          <w:sz w:val="20"/>
          <w:szCs w:val="20"/>
        </w:rPr>
        <w:t xml:space="preserve">Mr. Neufeld filed a defamation lawsuit against Mr. Hansman. Mr. Hansman applied to have Mr. Neufeld’s action dismissed under s. 4 of the </w:t>
      </w:r>
      <w:r w:rsidRPr="0076602A">
        <w:rPr>
          <w:i/>
          <w:sz w:val="20"/>
          <w:szCs w:val="20"/>
        </w:rPr>
        <w:t>Protection of Public Participation Act</w:t>
      </w:r>
      <w:r w:rsidRPr="0076602A">
        <w:rPr>
          <w:sz w:val="20"/>
          <w:szCs w:val="20"/>
        </w:rPr>
        <w:t>, S.B.C. 2019, c. 3 (“</w:t>
      </w:r>
      <w:r w:rsidRPr="0076602A">
        <w:rPr>
          <w:i/>
          <w:sz w:val="20"/>
          <w:szCs w:val="20"/>
        </w:rPr>
        <w:t>PPPA</w:t>
      </w:r>
      <w:r w:rsidRPr="0076602A">
        <w:rPr>
          <w:sz w:val="20"/>
          <w:szCs w:val="20"/>
        </w:rPr>
        <w:t>”), commonly known as anti-“SLAAP” legislation which allows for the possibility of early dismissal of “Strategic Lawsuits Against Public Participation”.</w:t>
      </w:r>
    </w:p>
    <w:p w:rsidR="00C306FE" w:rsidRPr="0076602A" w:rsidRDefault="00C306FE" w:rsidP="00C306FE">
      <w:pPr>
        <w:jc w:val="both"/>
        <w:rPr>
          <w:sz w:val="20"/>
          <w:szCs w:val="20"/>
        </w:rPr>
      </w:pPr>
    </w:p>
    <w:p w:rsidR="000A7EB8" w:rsidRPr="0076602A" w:rsidRDefault="000A7EB8">
      <w:pPr>
        <w:rPr>
          <w:sz w:val="20"/>
          <w:szCs w:val="20"/>
        </w:rPr>
      </w:pPr>
      <w:r w:rsidRPr="0076602A">
        <w:rPr>
          <w:sz w:val="20"/>
          <w:szCs w:val="20"/>
        </w:rPr>
        <w:br w:type="page"/>
      </w:r>
    </w:p>
    <w:p w:rsidR="00C306FE" w:rsidRPr="0076602A" w:rsidRDefault="00C306FE" w:rsidP="00C306FE">
      <w:pPr>
        <w:widowControl w:val="0"/>
        <w:jc w:val="both"/>
        <w:rPr>
          <w:sz w:val="20"/>
        </w:rPr>
      </w:pPr>
      <w:r w:rsidRPr="0076602A">
        <w:rPr>
          <w:sz w:val="20"/>
          <w:szCs w:val="20"/>
        </w:rPr>
        <w:t xml:space="preserve">The application judge granted Mr. Hansman’s application for dismissal of Mr. Neufeld’s defamation action, finding that Mr. Hansman had established the necessary grounds for a dismissal under the </w:t>
      </w:r>
      <w:r w:rsidRPr="0076602A">
        <w:rPr>
          <w:i/>
          <w:sz w:val="20"/>
          <w:szCs w:val="20"/>
        </w:rPr>
        <w:t>PPPA</w:t>
      </w:r>
      <w:r w:rsidRPr="0076602A">
        <w:rPr>
          <w:sz w:val="20"/>
          <w:szCs w:val="20"/>
        </w:rPr>
        <w:t xml:space="preserve"> and concluding that the public interest in allowing debate over this issue outweighed the public interest in allowing Mr. Neufeld to continue his defamation proceeding against Mr. Hansman. The Court of Appeal unanimously allowed Mr. Neufeld’s appeal, holding that the application judge made several errors, and allowed Mr. Neufeld’s defamation action against Mr. Hansman to go forward.</w:t>
      </w:r>
    </w:p>
    <w:p w:rsidR="00C306FE" w:rsidRPr="0076602A" w:rsidRDefault="00C306FE" w:rsidP="00C306FE">
      <w:pPr>
        <w:widowControl w:val="0"/>
        <w:jc w:val="both"/>
        <w:rPr>
          <w:sz w:val="20"/>
        </w:rPr>
      </w:pPr>
    </w:p>
    <w:p w:rsidR="00C306FE" w:rsidRPr="0076602A" w:rsidRDefault="00CF2ACD" w:rsidP="00C306FE">
      <w:pPr>
        <w:widowControl w:val="0"/>
        <w:jc w:val="both"/>
        <w:rPr>
          <w:sz w:val="20"/>
        </w:rPr>
      </w:pPr>
      <w:r>
        <w:rPr>
          <w:sz w:val="20"/>
        </w:rPr>
        <w:pict>
          <v:rect id="_x0000_i1037" style="width:2in;height:1pt" o:hrpct="0" o:hralign="center" o:hrstd="t" o:hrnoshade="t" o:hr="t" fillcolor="black [3213]" stroked="f"/>
        </w:pict>
      </w:r>
    </w:p>
    <w:p w:rsidR="00C306FE" w:rsidRPr="0076602A" w:rsidRDefault="00C306FE" w:rsidP="00C306FE">
      <w:pPr>
        <w:widowControl w:val="0"/>
        <w:jc w:val="both"/>
        <w:rPr>
          <w:sz w:val="20"/>
        </w:rPr>
      </w:pPr>
    </w:p>
    <w:p w:rsidR="00C306FE" w:rsidRPr="0076602A" w:rsidRDefault="00C306FE" w:rsidP="00C306FE">
      <w:pPr>
        <w:pStyle w:val="SCCLsocParty"/>
        <w:jc w:val="both"/>
        <w:rPr>
          <w:b/>
          <w:i/>
          <w:sz w:val="20"/>
          <w:szCs w:val="20"/>
          <w:lang w:val="en-US"/>
        </w:rPr>
      </w:pPr>
      <w:r w:rsidRPr="0076602A">
        <w:rPr>
          <w:rStyle w:val="SCCFileNumberChar"/>
          <w:sz w:val="20"/>
          <w:szCs w:val="20"/>
        </w:rPr>
        <w:t>39796</w:t>
      </w:r>
      <w:r w:rsidRPr="0076602A">
        <w:rPr>
          <w:rStyle w:val="SCCFileNumberChar"/>
          <w:sz w:val="20"/>
          <w:szCs w:val="20"/>
        </w:rPr>
        <w:tab/>
      </w:r>
      <w:r w:rsidRPr="0076602A">
        <w:rPr>
          <w:b/>
          <w:i/>
          <w:sz w:val="20"/>
          <w:szCs w:val="20"/>
          <w:lang w:val="en-US"/>
        </w:rPr>
        <w:t>Glen Hansman c. Barry Neufeld</w:t>
      </w:r>
    </w:p>
    <w:p w:rsidR="00C306FE" w:rsidRPr="0076602A" w:rsidRDefault="00C306FE" w:rsidP="00C306FE">
      <w:pPr>
        <w:widowControl w:val="0"/>
        <w:ind w:firstLine="720"/>
        <w:jc w:val="both"/>
        <w:rPr>
          <w:sz w:val="20"/>
          <w:lang w:val="fr-CA"/>
        </w:rPr>
      </w:pPr>
      <w:r w:rsidRPr="0076602A">
        <w:rPr>
          <w:sz w:val="20"/>
          <w:szCs w:val="20"/>
          <w:lang w:val="en-US"/>
        </w:rPr>
        <w:t>(C.</w:t>
      </w:r>
      <w:r w:rsidRPr="0076602A">
        <w:rPr>
          <w:sz w:val="20"/>
          <w:szCs w:val="20"/>
          <w:lang w:val="en-US"/>
        </w:rPr>
        <w:noBreakHyphen/>
        <w:t xml:space="preserve">B.) </w:t>
      </w:r>
      <w:r w:rsidRPr="0076602A">
        <w:rPr>
          <w:sz w:val="20"/>
          <w:szCs w:val="20"/>
          <w:lang w:val="fr-CA"/>
        </w:rPr>
        <w:t>(Civile) (Autorisation)</w:t>
      </w:r>
    </w:p>
    <w:p w:rsidR="00C306FE" w:rsidRPr="0076602A" w:rsidRDefault="00C306FE" w:rsidP="00C306FE">
      <w:pPr>
        <w:widowControl w:val="0"/>
        <w:jc w:val="both"/>
        <w:rPr>
          <w:sz w:val="20"/>
          <w:lang w:val="fr-CA"/>
        </w:rPr>
      </w:pPr>
    </w:p>
    <w:p w:rsidR="00C306FE" w:rsidRPr="0076602A" w:rsidRDefault="00C306FE" w:rsidP="00C306FE">
      <w:pPr>
        <w:widowControl w:val="0"/>
        <w:jc w:val="both"/>
        <w:rPr>
          <w:sz w:val="20"/>
          <w:lang w:val="fr-CA"/>
        </w:rPr>
      </w:pPr>
      <w:r w:rsidRPr="0076602A">
        <w:rPr>
          <w:sz w:val="20"/>
          <w:szCs w:val="20"/>
          <w:lang w:val="fr-CA"/>
        </w:rPr>
        <w:t>Responsabilité délictuelle — Diffamation — Loi contre les poursuites</w:t>
      </w:r>
      <w:r w:rsidRPr="0076602A">
        <w:rPr>
          <w:sz w:val="20"/>
          <w:szCs w:val="20"/>
          <w:lang w:val="fr-CA"/>
        </w:rPr>
        <w:noBreakHyphen/>
        <w:t xml:space="preserve">bâillons — Appelant sollicitant le rejet sommaire de l’action en diffamation de l’intimé relativement aux déclarations publiques de l’appelant, lesquelles ont été publiées et diffusées — La Cour d’appel a-t-elle commis une erreur en infirmant la décision du juge siégeant en son cabinet de rejeter l’action au motif de la défense de commentaire loyal ? La Cour d’appel a-t-elle commis une erreur en infirmant la conclusion du juge siégeant en son cabinet selon laquelle l’intérêt public de poursuivre l’instance ne l’emportait pas sur l’intérêt public de la protection de l’expression du défendeur ? — </w:t>
      </w:r>
      <w:r w:rsidRPr="0076602A">
        <w:rPr>
          <w:i/>
          <w:sz w:val="20"/>
          <w:szCs w:val="20"/>
          <w:lang w:val="fr-CA"/>
        </w:rPr>
        <w:t>Protection of Public Participation Act</w:t>
      </w:r>
      <w:r w:rsidRPr="0076602A">
        <w:rPr>
          <w:sz w:val="20"/>
          <w:szCs w:val="20"/>
          <w:lang w:val="fr-CA"/>
        </w:rPr>
        <w:t>, S.B.C. 2019, c. 3, art. 4.</w:t>
      </w:r>
    </w:p>
    <w:p w:rsidR="00C306FE" w:rsidRPr="0076602A" w:rsidRDefault="00C306FE" w:rsidP="00C306FE">
      <w:pPr>
        <w:jc w:val="both"/>
        <w:rPr>
          <w:sz w:val="20"/>
          <w:szCs w:val="20"/>
          <w:lang w:val="fr-CA"/>
        </w:rPr>
      </w:pPr>
    </w:p>
    <w:p w:rsidR="00C306FE" w:rsidRPr="0076602A" w:rsidRDefault="00C306FE" w:rsidP="00C306FE">
      <w:pPr>
        <w:jc w:val="both"/>
        <w:rPr>
          <w:sz w:val="20"/>
          <w:szCs w:val="20"/>
          <w:lang w:val="fr-CA"/>
        </w:rPr>
      </w:pPr>
      <w:r w:rsidRPr="0076602A">
        <w:rPr>
          <w:sz w:val="20"/>
          <w:szCs w:val="20"/>
          <w:lang w:val="fr-CA"/>
        </w:rPr>
        <w:t xml:space="preserve">L’appelant, Glen Hansman, est un enseignant homosexuel qui, au moment des événements en cause, était également président de la British Columbia Teacher’s Federation (« BCTF »). L’intimé, Barry Neufeld, est un conseiller scolaire élu du conseil des écoles publiques de Chilliwack en Colombie-Britannique. </w:t>
      </w:r>
    </w:p>
    <w:p w:rsidR="00C306FE" w:rsidRPr="0076602A" w:rsidRDefault="00C306FE" w:rsidP="00C306FE">
      <w:pPr>
        <w:jc w:val="both"/>
        <w:rPr>
          <w:sz w:val="20"/>
          <w:szCs w:val="20"/>
          <w:lang w:val="fr-CA"/>
        </w:rPr>
      </w:pPr>
    </w:p>
    <w:p w:rsidR="00C306FE" w:rsidRPr="0076602A" w:rsidRDefault="00C306FE" w:rsidP="00C306FE">
      <w:pPr>
        <w:jc w:val="both"/>
        <w:rPr>
          <w:sz w:val="20"/>
          <w:szCs w:val="20"/>
          <w:lang w:val="fr-CA"/>
        </w:rPr>
      </w:pPr>
      <w:r w:rsidRPr="0076602A">
        <w:rPr>
          <w:sz w:val="20"/>
          <w:szCs w:val="20"/>
          <w:lang w:val="fr-CA"/>
        </w:rPr>
        <w:t>Après avoir tenu des consultations avec les parties intéressées, le ministère de l’Éducation de la Colombie-Britannique a publié des outils et des ressources adaptés à l’âge des enfants destinés aux enseignants des classes de la maternelle à 12</w:t>
      </w:r>
      <w:r w:rsidRPr="0076602A">
        <w:rPr>
          <w:sz w:val="20"/>
          <w:szCs w:val="20"/>
          <w:vertAlign w:val="superscript"/>
          <w:lang w:val="fr-CA"/>
        </w:rPr>
        <w:t>e</w:t>
      </w:r>
      <w:r w:rsidRPr="0076602A">
        <w:rPr>
          <w:sz w:val="20"/>
          <w:szCs w:val="20"/>
          <w:lang w:val="fr-CA"/>
        </w:rPr>
        <w:t xml:space="preserve"> année, dont l’objectif était la promotion de politiques, de procédures et d’environnements inclusifs concernant l’orientation sexuelle et l’identité de genre dans les écoles (« SOGI 123 »). En 2017, M. Neufeld a publié des commentaires désagréables et des critiques sur la mise en œuvre des documents SOGI 123 sur sa page Facebook. Ses commentaires ont suscité beaucoup de critiques et ont attiré l’attention des médias. En sa qualité de président de la BCTF, M. Hansman a été interviewé relativement aux publications de M. Neufeld. Ce dernier a prétendu que M. Hansman l’avait diffamé dans cette entrevue et dans des déclarations subséquentes qui ont été diffusées et publiées dans les journaux et en ligne. Le débat public concernant les documents SOGI 123 s’est poursuivi pendant plus d’un an.</w:t>
      </w:r>
    </w:p>
    <w:p w:rsidR="00C306FE" w:rsidRPr="0076602A" w:rsidRDefault="00C306FE" w:rsidP="00C306FE">
      <w:pPr>
        <w:jc w:val="both"/>
        <w:rPr>
          <w:sz w:val="20"/>
          <w:szCs w:val="20"/>
          <w:lang w:val="fr-CA"/>
        </w:rPr>
      </w:pPr>
    </w:p>
    <w:p w:rsidR="00C306FE" w:rsidRPr="0076602A" w:rsidRDefault="00C306FE" w:rsidP="00C306FE">
      <w:pPr>
        <w:jc w:val="both"/>
        <w:rPr>
          <w:sz w:val="20"/>
          <w:szCs w:val="20"/>
          <w:lang w:val="fr-CA"/>
        </w:rPr>
      </w:pPr>
      <w:r w:rsidRPr="0076602A">
        <w:rPr>
          <w:sz w:val="20"/>
          <w:szCs w:val="20"/>
          <w:lang w:val="fr-CA"/>
        </w:rPr>
        <w:t xml:space="preserve">Monsieur Neufeld a intenté une action en diffamation contre M. Hansman. Ce dernier a présenté une demande afin que l’action de M. Neufeld soit rejetée en vertu de l’art. 4 de la </w:t>
      </w:r>
      <w:r w:rsidRPr="0076602A">
        <w:rPr>
          <w:i/>
          <w:sz w:val="20"/>
          <w:szCs w:val="20"/>
          <w:lang w:val="fr-CA"/>
        </w:rPr>
        <w:t>Protection of Public Participation Act</w:t>
      </w:r>
      <w:r w:rsidRPr="0076602A">
        <w:rPr>
          <w:sz w:val="20"/>
          <w:szCs w:val="20"/>
          <w:lang w:val="fr-CA"/>
        </w:rPr>
        <w:t>, S.B.C. 2019, c. 3 (« </w:t>
      </w:r>
      <w:r w:rsidRPr="0076602A">
        <w:rPr>
          <w:i/>
          <w:sz w:val="20"/>
          <w:szCs w:val="20"/>
          <w:lang w:val="fr-CA"/>
        </w:rPr>
        <w:t>PPPA</w:t>
      </w:r>
      <w:r w:rsidRPr="0076602A">
        <w:rPr>
          <w:sz w:val="20"/>
          <w:szCs w:val="20"/>
          <w:lang w:val="fr-CA"/>
        </w:rPr>
        <w:t xml:space="preserve"> »), aussi connue sous le nom de </w:t>
      </w:r>
      <w:r w:rsidRPr="0076602A">
        <w:rPr>
          <w:color w:val="000000"/>
          <w:sz w:val="20"/>
          <w:szCs w:val="20"/>
          <w:lang w:val="fr-CA"/>
        </w:rPr>
        <w:t>« loi contre les poursuites</w:t>
      </w:r>
      <w:r w:rsidRPr="0076602A">
        <w:rPr>
          <w:color w:val="000000"/>
          <w:sz w:val="20"/>
          <w:szCs w:val="20"/>
          <w:lang w:val="fr-CA"/>
        </w:rPr>
        <w:noBreakHyphen/>
        <w:t>bâillons » ou « loi anti</w:t>
      </w:r>
      <w:r w:rsidRPr="0076602A">
        <w:rPr>
          <w:color w:val="000000"/>
          <w:sz w:val="20"/>
          <w:szCs w:val="20"/>
          <w:lang w:val="fr-CA"/>
        </w:rPr>
        <w:noBreakHyphen/>
        <w:t>SLAPP », qui prévoit la possibilité du rejet hâtif de « poursuites stratégiques contre la mobilisation publique ».</w:t>
      </w:r>
    </w:p>
    <w:p w:rsidR="00C306FE" w:rsidRPr="0076602A" w:rsidRDefault="00C306FE" w:rsidP="00C306FE">
      <w:pPr>
        <w:jc w:val="both"/>
        <w:rPr>
          <w:sz w:val="20"/>
          <w:szCs w:val="20"/>
          <w:lang w:val="fr-CA"/>
        </w:rPr>
      </w:pPr>
    </w:p>
    <w:p w:rsidR="00C306FE" w:rsidRPr="0076602A" w:rsidRDefault="00C306FE" w:rsidP="00C306FE">
      <w:pPr>
        <w:widowControl w:val="0"/>
        <w:jc w:val="both"/>
        <w:rPr>
          <w:sz w:val="20"/>
          <w:lang w:val="fr-CA"/>
        </w:rPr>
      </w:pPr>
      <w:r w:rsidRPr="0076602A">
        <w:rPr>
          <w:sz w:val="20"/>
          <w:szCs w:val="20"/>
          <w:lang w:val="fr-CA"/>
        </w:rPr>
        <w:t xml:space="preserve">Le juge de première instance a accueilli la demande de M. Hansman de rejet de l’action en diffamation intentée par M. Neufeld, estimant que M. Hansman avait établi les motifs nécessaires pour rejeter l’action en vertu de la </w:t>
      </w:r>
      <w:r w:rsidRPr="0076602A">
        <w:rPr>
          <w:i/>
          <w:sz w:val="20"/>
          <w:szCs w:val="20"/>
          <w:lang w:val="fr-CA"/>
        </w:rPr>
        <w:t>PPPA,</w:t>
      </w:r>
      <w:r w:rsidRPr="0076602A">
        <w:rPr>
          <w:sz w:val="20"/>
          <w:szCs w:val="20"/>
          <w:lang w:val="fr-CA"/>
        </w:rPr>
        <w:t xml:space="preserve"> et concluant que</w:t>
      </w:r>
      <w:r w:rsidRPr="0076602A">
        <w:rPr>
          <w:color w:val="000000"/>
          <w:sz w:val="20"/>
          <w:szCs w:val="20"/>
          <w:lang w:val="fr-CA"/>
        </w:rPr>
        <w:t xml:space="preserve"> l’intérêt public à permettre le débat sur cette question </w:t>
      </w:r>
      <w:r w:rsidRPr="0076602A">
        <w:rPr>
          <w:iCs/>
          <w:color w:val="000000"/>
          <w:sz w:val="20"/>
          <w:szCs w:val="20"/>
          <w:lang w:val="fr-CA"/>
        </w:rPr>
        <w:t>l’emportait sur</w:t>
      </w:r>
      <w:r w:rsidRPr="0076602A">
        <w:rPr>
          <w:color w:val="000000"/>
          <w:sz w:val="20"/>
          <w:szCs w:val="20"/>
          <w:lang w:val="fr-CA"/>
        </w:rPr>
        <w:t xml:space="preserve"> l’intérêt public à</w:t>
      </w:r>
      <w:r w:rsidRPr="0076602A">
        <w:rPr>
          <w:sz w:val="20"/>
          <w:szCs w:val="20"/>
          <w:lang w:val="fr-CA"/>
        </w:rPr>
        <w:t xml:space="preserve"> permettre la continuation de l’action en diffamation de M. Neufeld contre M. Hansman. La Cour d’appel a accueilli à l’unanimité l’appel de M. Neufeld, statuant que le juge de première instance avait commis plusieurs erreurs, et a autorisé la continuation de l’action en diffamation de M. Neufeld contre M. Hansman.</w:t>
      </w:r>
    </w:p>
    <w:p w:rsidR="00C306FE" w:rsidRPr="0076602A" w:rsidRDefault="00C306FE" w:rsidP="00B56A04">
      <w:pPr>
        <w:jc w:val="both"/>
        <w:rPr>
          <w:sz w:val="20"/>
          <w:lang w:val="fr-CA"/>
        </w:rPr>
      </w:pPr>
    </w:p>
    <w:p w:rsidR="00B56A04" w:rsidRPr="0076602A" w:rsidRDefault="00CF2ACD" w:rsidP="00B56A04">
      <w:pPr>
        <w:jc w:val="both"/>
        <w:rPr>
          <w:sz w:val="20"/>
          <w:lang w:val="fr-CA"/>
        </w:rPr>
      </w:pPr>
      <w:r>
        <w:rPr>
          <w:sz w:val="20"/>
          <w:szCs w:val="20"/>
        </w:rPr>
        <w:pict>
          <v:rect id="_x0000_i1038" style="width:2in;height:1pt" o:hrpct="0" o:hralign="center" o:hrstd="t" o:hrnoshade="t" o:hr="t" fillcolor="black [3213]" stroked="f"/>
        </w:pict>
      </w:r>
    </w:p>
    <w:p w:rsidR="00B56A04" w:rsidRPr="0076602A" w:rsidRDefault="00B56A04" w:rsidP="00B56A04">
      <w:pPr>
        <w:jc w:val="both"/>
        <w:rPr>
          <w:sz w:val="20"/>
          <w:szCs w:val="20"/>
          <w:lang w:val="fr-CA"/>
        </w:rPr>
      </w:pPr>
    </w:p>
    <w:p w:rsidR="000A7EB8" w:rsidRPr="0076602A" w:rsidRDefault="000A7EB8">
      <w:pPr>
        <w:rPr>
          <w:b/>
          <w:sz w:val="20"/>
          <w:szCs w:val="20"/>
        </w:rPr>
      </w:pPr>
      <w:r w:rsidRPr="0076602A">
        <w:rPr>
          <w:b/>
          <w:sz w:val="20"/>
          <w:szCs w:val="20"/>
        </w:rPr>
        <w:br w:type="page"/>
      </w:r>
    </w:p>
    <w:p w:rsidR="00B56A04" w:rsidRPr="0076602A" w:rsidRDefault="00B56A04" w:rsidP="00B56A04">
      <w:pPr>
        <w:widowControl w:val="0"/>
        <w:tabs>
          <w:tab w:val="left" w:pos="720"/>
        </w:tabs>
        <w:ind w:left="720" w:hanging="720"/>
        <w:jc w:val="both"/>
        <w:rPr>
          <w:b/>
          <w:i/>
          <w:sz w:val="20"/>
          <w:szCs w:val="20"/>
        </w:rPr>
      </w:pPr>
      <w:r w:rsidRPr="0076602A">
        <w:rPr>
          <w:b/>
          <w:sz w:val="20"/>
          <w:szCs w:val="20"/>
        </w:rPr>
        <w:fldChar w:fldCharType="begin"/>
      </w:r>
      <w:r w:rsidRPr="0076602A">
        <w:rPr>
          <w:b/>
          <w:sz w:val="20"/>
          <w:szCs w:val="20"/>
        </w:rPr>
        <w:instrText xml:space="preserve"> SEQ CHAPTER \h \r 1</w:instrText>
      </w:r>
      <w:r w:rsidRPr="0076602A">
        <w:rPr>
          <w:b/>
          <w:sz w:val="20"/>
          <w:szCs w:val="20"/>
        </w:rPr>
        <w:fldChar w:fldCharType="end"/>
      </w:r>
      <w:r w:rsidRPr="0076602A">
        <w:rPr>
          <w:b/>
          <w:sz w:val="20"/>
          <w:szCs w:val="20"/>
        </w:rPr>
        <w:t>39754</w:t>
      </w:r>
      <w:r w:rsidRPr="0076602A">
        <w:rPr>
          <w:sz w:val="20"/>
          <w:szCs w:val="20"/>
        </w:rPr>
        <w:tab/>
      </w:r>
      <w:bookmarkStart w:id="5" w:name="3"/>
      <w:bookmarkEnd w:id="5"/>
      <w:r w:rsidRPr="0076602A">
        <w:rPr>
          <w:b/>
          <w:i/>
          <w:sz w:val="20"/>
          <w:szCs w:val="20"/>
        </w:rPr>
        <w:t>Corporation of the City of Greater Sudbury</w:t>
      </w:r>
      <w:r w:rsidRPr="0076602A">
        <w:rPr>
          <w:rStyle w:val="HeaderChar"/>
          <w:i/>
          <w:color w:val="333333"/>
          <w:sz w:val="20"/>
          <w:szCs w:val="20"/>
          <w:lang w:val="en"/>
        </w:rPr>
        <w:t xml:space="preserve"> </w:t>
      </w:r>
      <w:r w:rsidRPr="0076602A">
        <w:rPr>
          <w:rStyle w:val="Strong"/>
          <w:i/>
          <w:color w:val="333333"/>
          <w:sz w:val="20"/>
          <w:szCs w:val="20"/>
          <w:lang w:val="en"/>
        </w:rPr>
        <w:t xml:space="preserve">v. </w:t>
      </w:r>
      <w:r w:rsidRPr="0076602A">
        <w:rPr>
          <w:b/>
          <w:i/>
          <w:sz w:val="20"/>
          <w:szCs w:val="20"/>
        </w:rPr>
        <w:t>Ministry of the Attorney General (Ministry of Labour, Training and Skills Development)</w:t>
      </w:r>
    </w:p>
    <w:p w:rsidR="00B56A04" w:rsidRPr="0076602A" w:rsidRDefault="00B56A04" w:rsidP="00B56A04">
      <w:pPr>
        <w:widowControl w:val="0"/>
        <w:tabs>
          <w:tab w:val="left" w:pos="720"/>
        </w:tabs>
        <w:ind w:left="1440" w:hanging="1440"/>
        <w:jc w:val="both"/>
        <w:rPr>
          <w:sz w:val="20"/>
          <w:szCs w:val="20"/>
        </w:rPr>
      </w:pPr>
      <w:r w:rsidRPr="0076602A">
        <w:rPr>
          <w:sz w:val="20"/>
          <w:szCs w:val="20"/>
        </w:rPr>
        <w:tab/>
        <w:t>(Ont.) (Civil) (By Leave)</w:t>
      </w:r>
    </w:p>
    <w:p w:rsidR="00B56A04" w:rsidRPr="0076602A" w:rsidRDefault="00B56A04" w:rsidP="00B56A04">
      <w:pPr>
        <w:widowControl w:val="0"/>
        <w:jc w:val="both"/>
        <w:rPr>
          <w:sz w:val="20"/>
          <w:szCs w:val="20"/>
        </w:rPr>
      </w:pPr>
    </w:p>
    <w:p w:rsidR="00B56A04" w:rsidRPr="0076602A" w:rsidRDefault="00B56A04" w:rsidP="00B56A04">
      <w:pPr>
        <w:widowControl w:val="0"/>
        <w:jc w:val="both"/>
        <w:rPr>
          <w:bCs/>
          <w:color w:val="212121"/>
          <w:sz w:val="20"/>
          <w:szCs w:val="20"/>
        </w:rPr>
      </w:pPr>
      <w:r w:rsidRPr="0076602A">
        <w:rPr>
          <w:sz w:val="20"/>
          <w:szCs w:val="20"/>
        </w:rPr>
        <w:t xml:space="preserve">Provincial offences </w:t>
      </w:r>
      <w:r w:rsidRPr="0076602A">
        <w:rPr>
          <w:sz w:val="20"/>
          <w:szCs w:val="20"/>
          <w:lang w:val="en"/>
        </w:rPr>
        <w:t xml:space="preserve">— </w:t>
      </w:r>
      <w:r w:rsidRPr="0076602A">
        <w:rPr>
          <w:bCs/>
          <w:color w:val="212121"/>
          <w:sz w:val="20"/>
          <w:szCs w:val="20"/>
        </w:rPr>
        <w:t xml:space="preserve">Occupational health and safety </w:t>
      </w:r>
      <w:r w:rsidRPr="0076602A">
        <w:rPr>
          <w:sz w:val="20"/>
          <w:szCs w:val="20"/>
          <w:lang w:val="en"/>
        </w:rPr>
        <w:t xml:space="preserve">— </w:t>
      </w:r>
      <w:r w:rsidRPr="0076602A">
        <w:rPr>
          <w:color w:val="000000"/>
          <w:sz w:val="20"/>
          <w:szCs w:val="20"/>
        </w:rPr>
        <w:t xml:space="preserve">Whether the owner of a construction project which had contracted the construction out to a third party to act as the constructor was the employer pursuant to s. 1(1) of the </w:t>
      </w:r>
      <w:r w:rsidRPr="0076602A">
        <w:rPr>
          <w:i/>
          <w:color w:val="000000"/>
          <w:sz w:val="20"/>
          <w:szCs w:val="20"/>
        </w:rPr>
        <w:t>Occupational Health and Safety Act</w:t>
      </w:r>
      <w:r w:rsidRPr="0076602A">
        <w:rPr>
          <w:color w:val="000000"/>
          <w:sz w:val="20"/>
          <w:szCs w:val="20"/>
        </w:rPr>
        <w:t>, R.S.O. 1990, c. 0.1, and responsible for workplace safety?</w:t>
      </w:r>
    </w:p>
    <w:p w:rsidR="00B56A04" w:rsidRPr="0076602A" w:rsidRDefault="00B56A04" w:rsidP="00B56A04">
      <w:pPr>
        <w:widowControl w:val="0"/>
        <w:jc w:val="both"/>
        <w:rPr>
          <w:sz w:val="20"/>
          <w:szCs w:val="20"/>
        </w:rPr>
      </w:pPr>
    </w:p>
    <w:p w:rsidR="00B56A04" w:rsidRPr="0076602A" w:rsidRDefault="00B56A04" w:rsidP="00B56A04">
      <w:pPr>
        <w:widowControl w:val="0"/>
        <w:jc w:val="both"/>
        <w:rPr>
          <w:sz w:val="20"/>
          <w:szCs w:val="20"/>
          <w:lang w:val="en"/>
        </w:rPr>
      </w:pPr>
      <w:r w:rsidRPr="0076602A">
        <w:rPr>
          <w:sz w:val="20"/>
          <w:szCs w:val="20"/>
          <w:lang w:val="en"/>
        </w:rPr>
        <w:t xml:space="preserve">The City of Greater Sudbury contracted Interpaving Limited to repair utilities and to repave streets affected by the repairs. An employee of Interpaving Limited operating a road grader struck and killed a pedestrian who was attempting to cross a street in the construction zone. Safety measures required by legislation were not in place. The Ministry of Labour charged the City as a “constructor” and an “employer” under the </w:t>
      </w:r>
      <w:r w:rsidRPr="0076602A">
        <w:rPr>
          <w:i/>
          <w:iCs/>
          <w:color w:val="262626" w:themeColor="text1" w:themeTint="D9"/>
          <w:sz w:val="20"/>
          <w:szCs w:val="20"/>
          <w:lang w:val="en"/>
        </w:rPr>
        <w:t>Occupational Health and Safety Act</w:t>
      </w:r>
      <w:r w:rsidRPr="0076602A">
        <w:rPr>
          <w:color w:val="000000"/>
          <w:sz w:val="20"/>
          <w:szCs w:val="20"/>
        </w:rPr>
        <w:t xml:space="preserve">, R.S.O. 1990, c. 0.1, and </w:t>
      </w:r>
      <w:r w:rsidRPr="0076602A">
        <w:rPr>
          <w:i/>
          <w:sz w:val="20"/>
          <w:szCs w:val="20"/>
          <w:lang w:val="en"/>
        </w:rPr>
        <w:t>Construction Projects</w:t>
      </w:r>
      <w:r w:rsidRPr="0076602A">
        <w:rPr>
          <w:sz w:val="20"/>
          <w:szCs w:val="20"/>
          <w:lang w:val="en"/>
        </w:rPr>
        <w:t>, O. Reg</w:t>
      </w:r>
      <w:r w:rsidRPr="0076602A">
        <w:rPr>
          <w:i/>
          <w:sz w:val="20"/>
          <w:szCs w:val="20"/>
          <w:lang w:val="en"/>
        </w:rPr>
        <w:t xml:space="preserve">. </w:t>
      </w:r>
      <w:r w:rsidRPr="0076602A">
        <w:rPr>
          <w:sz w:val="20"/>
          <w:szCs w:val="20"/>
          <w:lang w:val="en"/>
        </w:rPr>
        <w:t xml:space="preserve">213/9. The Ontario Court of Justice acquitted the City on all charges. The Ontario Superior Court of Justice dismissed an appeal. The Court of Appeal granted leave to appeal in respect of the three charges against the City as an employer and set aside the acquittals on those charges. The Crown conceded that the factual findings to determine guilt on one count had not been made at trial. The Court of Appeal remanded the case to the Ontario Superior Court of Justice to hear an appeal raising whether the City had established a defence of due diligence in respect of the other two charges. </w:t>
      </w:r>
    </w:p>
    <w:p w:rsidR="00B56A04" w:rsidRPr="0076602A" w:rsidRDefault="00B56A04" w:rsidP="00B56A04">
      <w:pPr>
        <w:jc w:val="both"/>
        <w:rPr>
          <w:sz w:val="20"/>
          <w:lang w:val="en"/>
        </w:rPr>
      </w:pPr>
    </w:p>
    <w:p w:rsidR="00B56A04" w:rsidRPr="0076602A" w:rsidRDefault="00CF2ACD" w:rsidP="00B56A04">
      <w:pPr>
        <w:jc w:val="both"/>
        <w:rPr>
          <w:sz w:val="20"/>
          <w:lang w:val="en"/>
        </w:rPr>
      </w:pPr>
      <w:r>
        <w:rPr>
          <w:sz w:val="20"/>
          <w:szCs w:val="20"/>
        </w:rPr>
        <w:pict>
          <v:rect id="_x0000_i1039" style="width:2in;height:1pt" o:hrpct="0" o:hralign="center" o:hrstd="t" o:hrnoshade="t" o:hr="t" fillcolor="black [3213]" stroked="f"/>
        </w:pict>
      </w:r>
    </w:p>
    <w:p w:rsidR="00B56A04" w:rsidRPr="0076602A" w:rsidRDefault="00B56A04" w:rsidP="00B56A04">
      <w:pPr>
        <w:jc w:val="both"/>
        <w:rPr>
          <w:sz w:val="20"/>
          <w:lang w:val="en"/>
        </w:rPr>
      </w:pPr>
    </w:p>
    <w:p w:rsidR="00B56A04" w:rsidRPr="0076602A" w:rsidRDefault="00B56A04" w:rsidP="00B56A04">
      <w:pPr>
        <w:ind w:left="720" w:hanging="720"/>
        <w:jc w:val="both"/>
        <w:rPr>
          <w:b/>
          <w:i/>
          <w:sz w:val="20"/>
          <w:szCs w:val="20"/>
          <w:lang w:val="fr-CA"/>
        </w:rPr>
      </w:pPr>
      <w:r w:rsidRPr="0076602A">
        <w:rPr>
          <w:rStyle w:val="SCCFileNumberChar"/>
          <w:sz w:val="20"/>
          <w:szCs w:val="20"/>
          <w:lang w:val="fr-CA"/>
        </w:rPr>
        <w:t>39754</w:t>
      </w:r>
      <w:r w:rsidRPr="0076602A">
        <w:rPr>
          <w:rStyle w:val="SCCFileNumberChar"/>
          <w:sz w:val="20"/>
          <w:szCs w:val="20"/>
          <w:lang w:val="fr-CA"/>
        </w:rPr>
        <w:tab/>
      </w:r>
      <w:r w:rsidRPr="0076602A">
        <w:rPr>
          <w:b/>
          <w:i/>
          <w:sz w:val="20"/>
          <w:szCs w:val="20"/>
          <w:lang w:val="fr-CA"/>
        </w:rPr>
        <w:t xml:space="preserve">Ville du Grand Sudbury c. </w:t>
      </w:r>
      <w:r w:rsidRPr="0076602A">
        <w:rPr>
          <w:rStyle w:val="Strong"/>
          <w:rFonts w:cs="Times New Roman"/>
          <w:i/>
          <w:color w:val="333333"/>
          <w:sz w:val="20"/>
          <w:szCs w:val="20"/>
          <w:lang w:val="fr-CA"/>
        </w:rPr>
        <w:t>Ministère du Procureur général (</w:t>
      </w:r>
      <w:r w:rsidRPr="0076602A">
        <w:rPr>
          <w:b/>
          <w:i/>
          <w:color w:val="000000"/>
          <w:sz w:val="20"/>
          <w:szCs w:val="20"/>
          <w:lang w:val="fr-CA"/>
        </w:rPr>
        <w:t>Ministère du Travail, de la Formation et du Développement des compétences</w:t>
      </w:r>
      <w:r w:rsidRPr="0076602A">
        <w:rPr>
          <w:rStyle w:val="Strong"/>
          <w:rFonts w:cs="Times New Roman"/>
          <w:i/>
          <w:color w:val="333333"/>
          <w:sz w:val="20"/>
          <w:szCs w:val="20"/>
          <w:lang w:val="fr-CA"/>
        </w:rPr>
        <w:t>)</w:t>
      </w:r>
    </w:p>
    <w:p w:rsidR="00B56A04" w:rsidRPr="0076602A" w:rsidRDefault="00B56A04" w:rsidP="00B56A04">
      <w:pPr>
        <w:ind w:firstLine="720"/>
        <w:jc w:val="both"/>
        <w:rPr>
          <w:sz w:val="20"/>
          <w:lang w:val="fr-CA"/>
        </w:rPr>
      </w:pPr>
      <w:r w:rsidRPr="0076602A">
        <w:rPr>
          <w:sz w:val="20"/>
          <w:szCs w:val="20"/>
          <w:lang w:val="fr-CA"/>
        </w:rPr>
        <w:t>(Ont.) (Civile) (Sur autorisation)</w:t>
      </w:r>
    </w:p>
    <w:p w:rsidR="00B56A04" w:rsidRPr="0076602A" w:rsidRDefault="00B56A04" w:rsidP="00B56A04">
      <w:pPr>
        <w:jc w:val="both"/>
        <w:rPr>
          <w:sz w:val="20"/>
          <w:szCs w:val="20"/>
          <w:lang w:val="fr-CA"/>
        </w:rPr>
      </w:pPr>
    </w:p>
    <w:p w:rsidR="00B56A04" w:rsidRPr="0076602A" w:rsidRDefault="00B56A04" w:rsidP="00B56A04">
      <w:pPr>
        <w:jc w:val="both"/>
        <w:rPr>
          <w:b/>
          <w:lang w:val="fr-CA"/>
        </w:rPr>
      </w:pPr>
      <w:r w:rsidRPr="0076602A">
        <w:rPr>
          <w:sz w:val="20"/>
          <w:szCs w:val="20"/>
          <w:lang w:val="fr-CA"/>
        </w:rPr>
        <w:t xml:space="preserve">Infractions provinciales </w:t>
      </w:r>
      <w:r w:rsidRPr="0076602A">
        <w:rPr>
          <w:rFonts w:cs="Times New Roman"/>
          <w:sz w:val="20"/>
          <w:szCs w:val="20"/>
          <w:lang w:val="fr-CA"/>
        </w:rPr>
        <w:t>— Santé et sécurité au travail</w:t>
      </w:r>
      <w:r w:rsidRPr="0076602A">
        <w:rPr>
          <w:rFonts w:eastAsia="Times New Roman" w:cs="Times New Roman"/>
          <w:bCs/>
          <w:color w:val="212121"/>
          <w:sz w:val="20"/>
          <w:szCs w:val="20"/>
          <w:lang w:val="fr-CA"/>
        </w:rPr>
        <w:t xml:space="preserve"> —</w:t>
      </w:r>
      <w:r w:rsidRPr="0076602A">
        <w:rPr>
          <w:sz w:val="20"/>
          <w:szCs w:val="20"/>
          <w:lang w:val="fr-CA"/>
        </w:rPr>
        <w:t xml:space="preserve"> Le propriétaire d’un chantier de construction, qui avait engagé par contrat un tiers pour effectuer des travaux de construction en tant que constructeur, était</w:t>
      </w:r>
      <w:r w:rsidRPr="0076602A">
        <w:rPr>
          <w:sz w:val="20"/>
          <w:szCs w:val="20"/>
          <w:lang w:val="fr-CA"/>
        </w:rPr>
        <w:noBreakHyphen/>
        <w:t xml:space="preserve">il l’employeur au titre du par. 1(1) de la </w:t>
      </w:r>
      <w:r w:rsidRPr="0076602A">
        <w:rPr>
          <w:i/>
          <w:sz w:val="20"/>
          <w:szCs w:val="20"/>
          <w:lang w:val="fr-CA"/>
        </w:rPr>
        <w:t>Loi sur la santé et la sécurité au travail</w:t>
      </w:r>
      <w:r w:rsidRPr="0076602A">
        <w:rPr>
          <w:spacing w:val="-4"/>
          <w:sz w:val="20"/>
          <w:szCs w:val="20"/>
          <w:lang w:val="fr-CA"/>
        </w:rPr>
        <w:t>, L.R.O. 1990, ch. 0.1, et responsable de la sécurité au travail </w:t>
      </w:r>
      <w:r w:rsidRPr="0076602A">
        <w:rPr>
          <w:sz w:val="20"/>
          <w:szCs w:val="20"/>
          <w:lang w:val="fr-CA"/>
        </w:rPr>
        <w:t>?</w:t>
      </w:r>
    </w:p>
    <w:p w:rsidR="00B56A04" w:rsidRPr="0076602A" w:rsidRDefault="00B56A04" w:rsidP="00B56A04">
      <w:pPr>
        <w:jc w:val="both"/>
        <w:rPr>
          <w:sz w:val="20"/>
          <w:lang w:val="fr-CA"/>
        </w:rPr>
      </w:pPr>
    </w:p>
    <w:p w:rsidR="00B56A04" w:rsidRPr="0076602A" w:rsidRDefault="00B56A04" w:rsidP="00B56A04">
      <w:pPr>
        <w:pStyle w:val="mainparagraph"/>
        <w:widowControl w:val="0"/>
        <w:spacing w:before="0" w:beforeAutospacing="0" w:after="0" w:afterAutospacing="0"/>
        <w:jc w:val="both"/>
        <w:rPr>
          <w:sz w:val="20"/>
          <w:szCs w:val="20"/>
          <w:lang w:val="fr-CA"/>
        </w:rPr>
      </w:pPr>
      <w:r w:rsidRPr="0076602A">
        <w:rPr>
          <w:sz w:val="20"/>
          <w:szCs w:val="20"/>
          <w:lang w:val="fr-CA"/>
        </w:rPr>
        <w:t>La Ville du Grand Sudbury a engagé par contrat Interpaving Limited afin d’effectuer des réparations relatives à des services publics et de repaver les rues touchées par ces réparations. Un employé d’Interpaving Limited qui opérait une niveleuse a percuté et tué un piéton qui tentait de traverser une rue dans la zone de construction. Les mesures de sécurité exigées par la législation n’avaient pas été mises en place. Le m</w:t>
      </w:r>
      <w:r w:rsidRPr="0076602A">
        <w:rPr>
          <w:color w:val="000000" w:themeColor="text1"/>
          <w:sz w:val="20"/>
          <w:szCs w:val="20"/>
          <w:lang w:val="fr-CA"/>
        </w:rPr>
        <w:t xml:space="preserve">inistre du Travail a accusé la Ville à titre de « constructeur » et d’« employeur » en vertu de </w:t>
      </w:r>
      <w:r w:rsidRPr="0076602A">
        <w:rPr>
          <w:sz w:val="20"/>
          <w:szCs w:val="20"/>
          <w:lang w:val="fr-CA"/>
        </w:rPr>
        <w:t xml:space="preserve">la </w:t>
      </w:r>
      <w:r w:rsidRPr="0076602A">
        <w:rPr>
          <w:i/>
          <w:sz w:val="20"/>
          <w:szCs w:val="20"/>
          <w:lang w:val="fr-CA"/>
        </w:rPr>
        <w:t>Loi sur la santé et la sécurité au travail</w:t>
      </w:r>
      <w:r w:rsidRPr="0076602A">
        <w:rPr>
          <w:spacing w:val="-4"/>
          <w:sz w:val="20"/>
          <w:szCs w:val="20"/>
          <w:lang w:val="fr-CA"/>
        </w:rPr>
        <w:t xml:space="preserve">, L.R.O. 1990, ch. 0.1 </w:t>
      </w:r>
      <w:r w:rsidRPr="0076602A">
        <w:rPr>
          <w:color w:val="000000" w:themeColor="text1"/>
          <w:sz w:val="20"/>
          <w:szCs w:val="20"/>
          <w:lang w:val="fr-CA"/>
        </w:rPr>
        <w:t xml:space="preserve">et du règlement intitulé </w:t>
      </w:r>
      <w:r w:rsidRPr="0076602A">
        <w:rPr>
          <w:i/>
          <w:sz w:val="20"/>
          <w:szCs w:val="20"/>
          <w:lang w:val="fr-CA"/>
        </w:rPr>
        <w:t>Chantiers de construction</w:t>
      </w:r>
      <w:r w:rsidRPr="0076602A">
        <w:rPr>
          <w:sz w:val="20"/>
          <w:szCs w:val="20"/>
          <w:lang w:val="fr-CA"/>
        </w:rPr>
        <w:t>, Règl. de l’Ont. 213/91. La Cour de justice de l’Ontario a acquitté la Ville de toutes les accusations portées contre elle. La Cour supérieure de justice de l’Ontario a rejeté l’appel. La Cour d’appel a accueilli la demande d’autorisation d’appel à l’égard des trois accusations portées contre la Ville à titre d’employeur et a annulé les acquittements inscrits quant à ces accusations. Le ministère public a reconnu que les conclusions de fait pour déterminer la culpabilité à l’égard d’un des chefs d’accusation n’avaient pas été tirées au procès. La Cour d’appel a renvoyé l’affaire à la Cour supérieure de justice de l’Ontario pour qu'elle entende l’appel quant à la question de savoir si la Ville avait établi une défense de diligence raisonnable à l’égard des deux autres accusations pesant contre elle.</w:t>
      </w:r>
    </w:p>
    <w:p w:rsidR="00B56A04" w:rsidRPr="0076602A" w:rsidRDefault="00B56A04" w:rsidP="00B56A04">
      <w:pPr>
        <w:jc w:val="both"/>
        <w:rPr>
          <w:sz w:val="20"/>
          <w:szCs w:val="20"/>
          <w:lang w:val="fr-CA"/>
        </w:rPr>
      </w:pPr>
    </w:p>
    <w:p w:rsidR="00B56A04" w:rsidRPr="0076602A" w:rsidRDefault="00CF2ACD" w:rsidP="00B56A04">
      <w:pPr>
        <w:jc w:val="both"/>
        <w:rPr>
          <w:sz w:val="20"/>
          <w:szCs w:val="20"/>
          <w:lang w:val="fr-CA"/>
        </w:rPr>
      </w:pPr>
      <w:r>
        <w:rPr>
          <w:sz w:val="20"/>
          <w:szCs w:val="20"/>
        </w:rPr>
        <w:pict>
          <v:rect id="_x0000_i1040" style="width:2in;height:1pt" o:hrpct="0" o:hralign="center" o:hrstd="t" o:hrnoshade="t" o:hr="t" fillcolor="black [3213]" stroked="f"/>
        </w:pict>
      </w:r>
    </w:p>
    <w:p w:rsidR="00B56A04" w:rsidRPr="0076602A" w:rsidRDefault="00B56A04" w:rsidP="00B56A04">
      <w:pPr>
        <w:jc w:val="both"/>
        <w:rPr>
          <w:sz w:val="20"/>
          <w:szCs w:val="20"/>
          <w:lang w:val="fr-CA"/>
        </w:rPr>
      </w:pPr>
    </w:p>
    <w:p w:rsidR="00B56A04" w:rsidRPr="0076602A" w:rsidRDefault="00B56A04" w:rsidP="00B56A04">
      <w:pPr>
        <w:widowControl w:val="0"/>
        <w:tabs>
          <w:tab w:val="left" w:pos="720"/>
        </w:tabs>
        <w:ind w:left="1440" w:hanging="1440"/>
        <w:jc w:val="both"/>
        <w:rPr>
          <w:b/>
          <w:i/>
          <w:sz w:val="20"/>
          <w:szCs w:val="20"/>
        </w:rPr>
      </w:pPr>
      <w:r w:rsidRPr="0076602A">
        <w:rPr>
          <w:b/>
          <w:sz w:val="20"/>
          <w:szCs w:val="20"/>
        </w:rPr>
        <w:fldChar w:fldCharType="begin"/>
      </w:r>
      <w:r w:rsidRPr="0076602A">
        <w:rPr>
          <w:b/>
          <w:sz w:val="20"/>
          <w:szCs w:val="20"/>
        </w:rPr>
        <w:instrText xml:space="preserve"> SEQ CHAPTER \h \r 1</w:instrText>
      </w:r>
      <w:r w:rsidRPr="0076602A">
        <w:rPr>
          <w:b/>
          <w:sz w:val="20"/>
          <w:szCs w:val="20"/>
        </w:rPr>
        <w:fldChar w:fldCharType="end"/>
      </w:r>
      <w:r w:rsidRPr="0076602A">
        <w:rPr>
          <w:b/>
          <w:sz w:val="20"/>
          <w:szCs w:val="20"/>
        </w:rPr>
        <w:t>40045</w:t>
      </w:r>
      <w:r w:rsidRPr="0076602A">
        <w:rPr>
          <w:sz w:val="20"/>
          <w:szCs w:val="20"/>
        </w:rPr>
        <w:tab/>
      </w:r>
      <w:r w:rsidRPr="0076602A">
        <w:rPr>
          <w:b/>
          <w:i/>
          <w:sz w:val="20"/>
          <w:szCs w:val="20"/>
        </w:rPr>
        <w:t>H</w:t>
      </w:r>
      <w:r w:rsidR="00BD5768" w:rsidRPr="0076602A">
        <w:rPr>
          <w:b/>
          <w:i/>
          <w:sz w:val="20"/>
          <w:szCs w:val="20"/>
        </w:rPr>
        <w:t>is</w:t>
      </w:r>
      <w:r w:rsidRPr="0076602A">
        <w:rPr>
          <w:b/>
          <w:i/>
          <w:sz w:val="20"/>
          <w:szCs w:val="20"/>
        </w:rPr>
        <w:t xml:space="preserve"> Majesty the </w:t>
      </w:r>
      <w:r w:rsidR="00BD5768" w:rsidRPr="0076602A">
        <w:rPr>
          <w:b/>
          <w:i/>
          <w:sz w:val="20"/>
          <w:szCs w:val="20"/>
        </w:rPr>
        <w:t>King</w:t>
      </w:r>
      <w:r w:rsidRPr="0076602A">
        <w:rPr>
          <w:b/>
          <w:i/>
          <w:sz w:val="20"/>
          <w:szCs w:val="20"/>
        </w:rPr>
        <w:t xml:space="preserve"> v. Randy William Downes</w:t>
      </w:r>
    </w:p>
    <w:p w:rsidR="00B56A04" w:rsidRPr="0076602A" w:rsidRDefault="00B56A04" w:rsidP="00B56A04">
      <w:pPr>
        <w:widowControl w:val="0"/>
        <w:tabs>
          <w:tab w:val="left" w:pos="720"/>
        </w:tabs>
        <w:ind w:left="1440" w:hanging="1440"/>
        <w:jc w:val="both"/>
        <w:rPr>
          <w:sz w:val="20"/>
          <w:szCs w:val="20"/>
        </w:rPr>
      </w:pPr>
      <w:r w:rsidRPr="0076602A">
        <w:rPr>
          <w:sz w:val="20"/>
          <w:szCs w:val="20"/>
        </w:rPr>
        <w:tab/>
        <w:t>(B.C.) (Criminal) (As of Right)</w:t>
      </w:r>
    </w:p>
    <w:p w:rsidR="00B56A04" w:rsidRPr="0076602A" w:rsidRDefault="00B56A04" w:rsidP="00B56A04">
      <w:pPr>
        <w:widowControl w:val="0"/>
        <w:ind w:left="1440" w:hanging="1440"/>
        <w:jc w:val="both"/>
        <w:rPr>
          <w:sz w:val="20"/>
          <w:szCs w:val="20"/>
        </w:rPr>
      </w:pPr>
    </w:p>
    <w:p w:rsidR="00B56A04" w:rsidRPr="0076602A" w:rsidRDefault="00B56A04" w:rsidP="00B56A04">
      <w:pPr>
        <w:widowControl w:val="0"/>
        <w:ind w:left="1440" w:hanging="1440"/>
        <w:jc w:val="both"/>
        <w:rPr>
          <w:sz w:val="20"/>
          <w:szCs w:val="20"/>
        </w:rPr>
      </w:pPr>
      <w:r w:rsidRPr="0076602A">
        <w:rPr>
          <w:smallCaps/>
          <w:sz w:val="20"/>
          <w:szCs w:val="20"/>
        </w:rPr>
        <w:t>(Publication Ban)</w:t>
      </w:r>
    </w:p>
    <w:p w:rsidR="00B56A04" w:rsidRPr="0076602A" w:rsidRDefault="00B56A04" w:rsidP="00B56A04">
      <w:pPr>
        <w:widowControl w:val="0"/>
        <w:ind w:left="1440" w:hanging="1440"/>
        <w:jc w:val="both"/>
        <w:rPr>
          <w:sz w:val="20"/>
          <w:szCs w:val="20"/>
        </w:rPr>
      </w:pPr>
    </w:p>
    <w:p w:rsidR="00B56A04" w:rsidRPr="0076602A" w:rsidRDefault="00B56A04" w:rsidP="00B56A04">
      <w:pPr>
        <w:jc w:val="both"/>
        <w:rPr>
          <w:sz w:val="20"/>
          <w:szCs w:val="20"/>
        </w:rPr>
      </w:pPr>
      <w:r w:rsidRPr="0076602A">
        <w:rPr>
          <w:sz w:val="20"/>
          <w:szCs w:val="20"/>
        </w:rPr>
        <w:t xml:space="preserve">Criminal law — Voyeurism — Elements of the offence — Whether the trial judge erred by failing to consider whether nudity was reasonably expected at the place and at the time where the offence was alleged to have occurred — Whether s. 162(1)(a) of the </w:t>
      </w:r>
      <w:r w:rsidRPr="0076602A">
        <w:rPr>
          <w:i/>
          <w:sz w:val="20"/>
          <w:szCs w:val="20"/>
        </w:rPr>
        <w:t>Criminal Code</w:t>
      </w:r>
      <w:r w:rsidRPr="0076602A">
        <w:rPr>
          <w:sz w:val="20"/>
          <w:szCs w:val="20"/>
        </w:rPr>
        <w:t xml:space="preserve"> infringes s. 7 of the Canadian Charter of Rights and Freedoms? — If so, is the infringement a reasonable limit prescribed by law as can be demonstrably justified in a free and democratic society under s. 1 of the </w:t>
      </w:r>
      <w:r w:rsidRPr="0076602A">
        <w:rPr>
          <w:i/>
          <w:sz w:val="20"/>
          <w:szCs w:val="20"/>
        </w:rPr>
        <w:t>Charter</w:t>
      </w:r>
      <w:r w:rsidRPr="0076602A">
        <w:rPr>
          <w:sz w:val="20"/>
          <w:szCs w:val="20"/>
        </w:rPr>
        <w:t xml:space="preserve">? — </w:t>
      </w:r>
      <w:r w:rsidRPr="0076602A">
        <w:rPr>
          <w:i/>
          <w:sz w:val="20"/>
          <w:szCs w:val="20"/>
        </w:rPr>
        <w:t>Criminal Code</w:t>
      </w:r>
      <w:r w:rsidRPr="0076602A">
        <w:rPr>
          <w:sz w:val="20"/>
          <w:szCs w:val="20"/>
        </w:rPr>
        <w:t>, R.S.C. 1985, c. C</w:t>
      </w:r>
      <w:r w:rsidRPr="0076602A">
        <w:rPr>
          <w:sz w:val="20"/>
          <w:szCs w:val="20"/>
        </w:rPr>
        <w:noBreakHyphen/>
        <w:t>46, s. 162(1)(a).</w:t>
      </w:r>
    </w:p>
    <w:p w:rsidR="00B56A04" w:rsidRPr="0076602A" w:rsidRDefault="00B56A04" w:rsidP="00B56A04">
      <w:pPr>
        <w:jc w:val="both"/>
        <w:rPr>
          <w:sz w:val="20"/>
          <w:szCs w:val="20"/>
        </w:rPr>
      </w:pPr>
    </w:p>
    <w:p w:rsidR="00B56A04" w:rsidRPr="0076602A" w:rsidRDefault="00B56A04" w:rsidP="00B56A04">
      <w:pPr>
        <w:widowControl w:val="0"/>
        <w:jc w:val="both"/>
        <w:rPr>
          <w:sz w:val="20"/>
          <w:szCs w:val="20"/>
        </w:rPr>
      </w:pPr>
      <w:r w:rsidRPr="0076602A">
        <w:rPr>
          <w:sz w:val="20"/>
          <w:szCs w:val="20"/>
        </w:rPr>
        <w:t xml:space="preserve">At trial, the respondent, Randy William Downes, was convicted of two counts of voyeurism contrary to s. 162(1)(a) of the </w:t>
      </w:r>
      <w:r w:rsidRPr="0076602A">
        <w:rPr>
          <w:i/>
          <w:sz w:val="20"/>
          <w:szCs w:val="20"/>
        </w:rPr>
        <w:t>Criminal Code</w:t>
      </w:r>
      <w:r w:rsidRPr="0076602A">
        <w:rPr>
          <w:sz w:val="20"/>
          <w:szCs w:val="20"/>
        </w:rPr>
        <w:t>, R.S.C. 1985, c. C</w:t>
      </w:r>
      <w:r w:rsidRPr="0076602A">
        <w:rPr>
          <w:sz w:val="20"/>
          <w:szCs w:val="20"/>
        </w:rPr>
        <w:noBreakHyphen/>
        <w:t xml:space="preserve">46. He was found to have surreptitiously taken photographs of adolescent male hockey players in stages of undress in a dressing room while he was coaching. </w:t>
      </w:r>
    </w:p>
    <w:p w:rsidR="00B56A04" w:rsidRPr="0076602A" w:rsidRDefault="00B56A04" w:rsidP="00B56A04">
      <w:pPr>
        <w:widowControl w:val="0"/>
        <w:jc w:val="both"/>
        <w:rPr>
          <w:sz w:val="20"/>
          <w:szCs w:val="20"/>
        </w:rPr>
      </w:pPr>
    </w:p>
    <w:p w:rsidR="00B56A04" w:rsidRPr="0076602A" w:rsidRDefault="00B56A04" w:rsidP="00B56A04">
      <w:pPr>
        <w:widowControl w:val="0"/>
        <w:jc w:val="both"/>
        <w:rPr>
          <w:sz w:val="20"/>
          <w:szCs w:val="20"/>
        </w:rPr>
      </w:pPr>
      <w:r w:rsidRPr="0076602A">
        <w:rPr>
          <w:sz w:val="20"/>
          <w:szCs w:val="20"/>
        </w:rPr>
        <w:t>A majority of the Court of Appeal (per Willcock J.A. with Grauer J.A. concurring), allowed Mr. Downes’ appeal, set aside the conviction and ordered a new trial. The majority explained that, while it was open to the trial judge to find nudity was expected in the dressing room in which the offences were found to have occurred, the conflicts in evidence regarding whether nudity was expected at the time the photos were taken were not addressed. In dissent, Dickson J.A. would have dismissed the appeal on the basis that the characterization of “a place” under s. 162(1) does not include a temporal use component. In her view, the relevant inquiry was whether the place in which the impugned conduct occurred is a place in which a person can reasonably be expected to be nude, regardless of the expected use of that place specifically when the conduct occurred.</w:t>
      </w:r>
    </w:p>
    <w:p w:rsidR="00B56A04" w:rsidRPr="0076602A" w:rsidRDefault="00B56A04" w:rsidP="00B56A04">
      <w:pPr>
        <w:widowControl w:val="0"/>
        <w:jc w:val="both"/>
        <w:rPr>
          <w:sz w:val="20"/>
          <w:szCs w:val="20"/>
        </w:rPr>
      </w:pPr>
    </w:p>
    <w:p w:rsidR="00B56A04" w:rsidRPr="0076602A" w:rsidRDefault="00CF2ACD" w:rsidP="00B56A04">
      <w:pPr>
        <w:widowControl w:val="0"/>
        <w:jc w:val="both"/>
        <w:rPr>
          <w:sz w:val="20"/>
          <w:szCs w:val="20"/>
        </w:rPr>
      </w:pPr>
      <w:r>
        <w:rPr>
          <w:sz w:val="20"/>
          <w:szCs w:val="20"/>
        </w:rPr>
        <w:pict>
          <v:rect id="_x0000_i1041" style="width:2in;height:1pt" o:hrpct="0" o:hralign="center" o:hrstd="t" o:hrnoshade="t" o:hr="t" fillcolor="black [3213]" stroked="f"/>
        </w:pict>
      </w:r>
    </w:p>
    <w:p w:rsidR="00B56A04" w:rsidRPr="0076602A" w:rsidRDefault="00B56A04" w:rsidP="00B56A04">
      <w:pPr>
        <w:widowControl w:val="0"/>
        <w:jc w:val="both"/>
        <w:rPr>
          <w:sz w:val="20"/>
          <w:szCs w:val="20"/>
        </w:rPr>
      </w:pPr>
    </w:p>
    <w:p w:rsidR="00B56A04" w:rsidRPr="0076602A" w:rsidRDefault="00B56A04" w:rsidP="00B56A04">
      <w:pPr>
        <w:widowControl w:val="0"/>
        <w:tabs>
          <w:tab w:val="left" w:pos="720"/>
        </w:tabs>
        <w:ind w:left="1440" w:hanging="1440"/>
        <w:jc w:val="both"/>
        <w:rPr>
          <w:b/>
          <w:i/>
          <w:sz w:val="20"/>
          <w:szCs w:val="20"/>
          <w:lang w:val="fr-CA"/>
        </w:rPr>
      </w:pPr>
      <w:r w:rsidRPr="0076602A">
        <w:rPr>
          <w:b/>
          <w:sz w:val="20"/>
          <w:szCs w:val="20"/>
          <w:lang w:val="fr-CA"/>
        </w:rPr>
        <w:fldChar w:fldCharType="begin"/>
      </w:r>
      <w:r w:rsidRPr="0076602A">
        <w:rPr>
          <w:b/>
          <w:sz w:val="20"/>
          <w:szCs w:val="20"/>
          <w:lang w:val="fr-CA"/>
        </w:rPr>
        <w:instrText xml:space="preserve"> SEQ CHAPTER \h \r 1</w:instrText>
      </w:r>
      <w:r w:rsidRPr="0076602A">
        <w:rPr>
          <w:b/>
          <w:sz w:val="20"/>
          <w:szCs w:val="20"/>
          <w:lang w:val="fr-CA"/>
        </w:rPr>
        <w:fldChar w:fldCharType="end"/>
      </w:r>
      <w:r w:rsidRPr="0076602A">
        <w:rPr>
          <w:b/>
          <w:sz w:val="20"/>
          <w:szCs w:val="20"/>
          <w:lang w:val="fr-CA"/>
        </w:rPr>
        <w:t>40045</w:t>
      </w:r>
      <w:r w:rsidRPr="0076602A">
        <w:rPr>
          <w:sz w:val="20"/>
          <w:szCs w:val="20"/>
          <w:lang w:val="fr-CA"/>
        </w:rPr>
        <w:tab/>
      </w:r>
      <w:r w:rsidRPr="0076602A">
        <w:rPr>
          <w:b/>
          <w:i/>
          <w:sz w:val="20"/>
          <w:szCs w:val="20"/>
          <w:lang w:val="fr-CA"/>
        </w:rPr>
        <w:t>Sa Majesté l</w:t>
      </w:r>
      <w:r w:rsidR="00BD5768" w:rsidRPr="0076602A">
        <w:rPr>
          <w:b/>
          <w:i/>
          <w:sz w:val="20"/>
          <w:szCs w:val="20"/>
          <w:lang w:val="fr-CA"/>
        </w:rPr>
        <w:t>e</w:t>
      </w:r>
      <w:r w:rsidRPr="0076602A">
        <w:rPr>
          <w:b/>
          <w:i/>
          <w:sz w:val="20"/>
          <w:szCs w:val="20"/>
          <w:lang w:val="fr-CA"/>
        </w:rPr>
        <w:t xml:space="preserve"> R</w:t>
      </w:r>
      <w:r w:rsidR="00BD5768" w:rsidRPr="0076602A">
        <w:rPr>
          <w:b/>
          <w:i/>
          <w:sz w:val="20"/>
          <w:szCs w:val="20"/>
          <w:lang w:val="fr-CA"/>
        </w:rPr>
        <w:t>oi</w:t>
      </w:r>
      <w:r w:rsidRPr="0076602A">
        <w:rPr>
          <w:b/>
          <w:i/>
          <w:sz w:val="20"/>
          <w:szCs w:val="20"/>
          <w:lang w:val="fr-CA"/>
        </w:rPr>
        <w:t xml:space="preserve"> c. Randy William Downes</w:t>
      </w:r>
    </w:p>
    <w:p w:rsidR="00B56A04" w:rsidRPr="0076602A" w:rsidRDefault="00B56A04" w:rsidP="00B56A04">
      <w:pPr>
        <w:widowControl w:val="0"/>
        <w:tabs>
          <w:tab w:val="left" w:pos="720"/>
        </w:tabs>
        <w:ind w:left="1440" w:hanging="1440"/>
        <w:jc w:val="both"/>
        <w:rPr>
          <w:sz w:val="20"/>
          <w:szCs w:val="20"/>
          <w:lang w:val="fr-CA"/>
        </w:rPr>
      </w:pPr>
      <w:r w:rsidRPr="0076602A">
        <w:rPr>
          <w:sz w:val="20"/>
          <w:szCs w:val="20"/>
          <w:lang w:val="fr-CA"/>
        </w:rPr>
        <w:tab/>
        <w:t>(C.</w:t>
      </w:r>
      <w:r w:rsidRPr="0076602A">
        <w:rPr>
          <w:sz w:val="20"/>
          <w:szCs w:val="20"/>
          <w:lang w:val="fr-CA"/>
        </w:rPr>
        <w:noBreakHyphen/>
        <w:t>B.) (Criminelle) (De plein droit)</w:t>
      </w:r>
    </w:p>
    <w:p w:rsidR="00B56A04" w:rsidRPr="0076602A" w:rsidRDefault="00B56A04" w:rsidP="00B56A04">
      <w:pPr>
        <w:widowControl w:val="0"/>
        <w:ind w:left="1440" w:hanging="1440"/>
        <w:jc w:val="both"/>
        <w:rPr>
          <w:sz w:val="20"/>
          <w:szCs w:val="20"/>
          <w:lang w:val="fr-CA"/>
        </w:rPr>
      </w:pPr>
    </w:p>
    <w:p w:rsidR="00B56A04" w:rsidRPr="0076602A" w:rsidRDefault="00B56A04" w:rsidP="00B56A04">
      <w:pPr>
        <w:widowControl w:val="0"/>
        <w:ind w:left="1440" w:hanging="1440"/>
        <w:jc w:val="both"/>
        <w:rPr>
          <w:sz w:val="20"/>
          <w:szCs w:val="20"/>
          <w:lang w:val="fr-CA"/>
        </w:rPr>
      </w:pPr>
      <w:r w:rsidRPr="0076602A">
        <w:rPr>
          <w:smallCaps/>
          <w:sz w:val="20"/>
          <w:szCs w:val="20"/>
          <w:lang w:val="fr-CA"/>
        </w:rPr>
        <w:t>(Ordonnance de non</w:t>
      </w:r>
      <w:r w:rsidRPr="0076602A">
        <w:rPr>
          <w:smallCaps/>
          <w:sz w:val="20"/>
          <w:szCs w:val="20"/>
          <w:lang w:val="fr-CA"/>
        </w:rPr>
        <w:noBreakHyphen/>
        <w:t>publication)</w:t>
      </w:r>
    </w:p>
    <w:p w:rsidR="00B56A04" w:rsidRPr="0076602A" w:rsidRDefault="00B56A04" w:rsidP="00B56A04">
      <w:pPr>
        <w:widowControl w:val="0"/>
        <w:ind w:left="1440" w:hanging="1440"/>
        <w:jc w:val="both"/>
        <w:rPr>
          <w:sz w:val="20"/>
          <w:szCs w:val="20"/>
          <w:lang w:val="fr-CA"/>
        </w:rPr>
      </w:pPr>
    </w:p>
    <w:p w:rsidR="00B56A04" w:rsidRPr="0076602A" w:rsidRDefault="00B56A04" w:rsidP="00B56A04">
      <w:pPr>
        <w:jc w:val="both"/>
        <w:rPr>
          <w:sz w:val="20"/>
          <w:szCs w:val="20"/>
          <w:lang w:val="fr-CA"/>
        </w:rPr>
      </w:pPr>
      <w:r w:rsidRPr="0076602A">
        <w:rPr>
          <w:sz w:val="20"/>
          <w:szCs w:val="20"/>
          <w:lang w:val="fr-CA"/>
        </w:rPr>
        <w:t>Droit criminel — Voyeurisme — Éléments de l’infraction — Le juge du procès a</w:t>
      </w:r>
      <w:r w:rsidRPr="0076602A">
        <w:rPr>
          <w:sz w:val="20"/>
          <w:szCs w:val="20"/>
          <w:lang w:val="fr-CA"/>
        </w:rPr>
        <w:noBreakHyphen/>
        <w:t>t</w:t>
      </w:r>
      <w:r w:rsidRPr="0076602A">
        <w:rPr>
          <w:sz w:val="20"/>
          <w:szCs w:val="20"/>
          <w:lang w:val="fr-CA"/>
        </w:rPr>
        <w:noBreakHyphen/>
        <w:t xml:space="preserve">il commis une erreur en omettant de se demander si on pouvait raisonnablement s’attendre à ce que des personnes soient nues dans le lieu et au moment où l’infraction aurait été commise? — L’alinéa 162(1)a) du </w:t>
      </w:r>
      <w:r w:rsidRPr="0076602A">
        <w:rPr>
          <w:i/>
          <w:sz w:val="20"/>
          <w:szCs w:val="20"/>
          <w:lang w:val="fr-CA"/>
        </w:rPr>
        <w:t>Code criminel</w:t>
      </w:r>
      <w:r w:rsidRPr="0076602A">
        <w:rPr>
          <w:sz w:val="20"/>
          <w:szCs w:val="20"/>
          <w:lang w:val="fr-CA"/>
        </w:rPr>
        <w:t xml:space="preserve"> contrevient</w:t>
      </w:r>
      <w:r w:rsidRPr="0076602A">
        <w:rPr>
          <w:sz w:val="20"/>
          <w:szCs w:val="20"/>
          <w:lang w:val="fr-CA"/>
        </w:rPr>
        <w:noBreakHyphen/>
        <w:t xml:space="preserve">il à l’art. 7 de la </w:t>
      </w:r>
      <w:r w:rsidRPr="0076602A">
        <w:rPr>
          <w:i/>
          <w:sz w:val="20"/>
          <w:szCs w:val="20"/>
          <w:lang w:val="fr-CA"/>
        </w:rPr>
        <w:t>Charte canadienne des droits et libertés</w:t>
      </w:r>
      <w:r w:rsidRPr="0076602A">
        <w:rPr>
          <w:sz w:val="20"/>
          <w:szCs w:val="20"/>
          <w:lang w:val="fr-CA"/>
        </w:rPr>
        <w:t>? — Dans l’affirmative, la contravention constitue</w:t>
      </w:r>
      <w:r w:rsidRPr="0076602A">
        <w:rPr>
          <w:sz w:val="20"/>
          <w:szCs w:val="20"/>
          <w:lang w:val="fr-CA"/>
        </w:rPr>
        <w:noBreakHyphen/>
        <w:t xml:space="preserve">elle une limite raisonnable prescrite par une règle de droit dont la justification peut se démontrer dans le cadre d’une société libre et démocratique au regard de l’article premier de la </w:t>
      </w:r>
      <w:r w:rsidRPr="0076602A">
        <w:rPr>
          <w:i/>
          <w:sz w:val="20"/>
          <w:szCs w:val="20"/>
          <w:lang w:val="fr-CA"/>
        </w:rPr>
        <w:t>Charte</w:t>
      </w:r>
      <w:r w:rsidRPr="0076602A">
        <w:rPr>
          <w:sz w:val="20"/>
          <w:szCs w:val="20"/>
          <w:lang w:val="fr-CA"/>
        </w:rPr>
        <w:t xml:space="preserve">? — </w:t>
      </w:r>
      <w:r w:rsidRPr="0076602A">
        <w:rPr>
          <w:i/>
          <w:sz w:val="20"/>
          <w:szCs w:val="20"/>
          <w:lang w:val="fr-CA"/>
        </w:rPr>
        <w:t>Code criminel</w:t>
      </w:r>
      <w:r w:rsidRPr="0076602A">
        <w:rPr>
          <w:sz w:val="20"/>
          <w:szCs w:val="20"/>
          <w:lang w:val="fr-CA"/>
        </w:rPr>
        <w:t>, L.R.C. 1985, c. C</w:t>
      </w:r>
      <w:r w:rsidRPr="0076602A">
        <w:rPr>
          <w:sz w:val="20"/>
          <w:szCs w:val="20"/>
          <w:lang w:val="fr-CA"/>
        </w:rPr>
        <w:noBreakHyphen/>
        <w:t>46, art. 162(1)a).</w:t>
      </w:r>
    </w:p>
    <w:p w:rsidR="00B56A04" w:rsidRPr="0076602A" w:rsidRDefault="00B56A04" w:rsidP="00B56A04">
      <w:pPr>
        <w:widowControl w:val="0"/>
        <w:jc w:val="both"/>
        <w:rPr>
          <w:sz w:val="20"/>
          <w:szCs w:val="20"/>
          <w:lang w:val="fr-CA"/>
        </w:rPr>
      </w:pPr>
    </w:p>
    <w:p w:rsidR="00B56A04" w:rsidRPr="0076602A" w:rsidRDefault="00B56A04" w:rsidP="00B56A04">
      <w:pPr>
        <w:widowControl w:val="0"/>
        <w:jc w:val="both"/>
        <w:rPr>
          <w:sz w:val="20"/>
          <w:szCs w:val="20"/>
          <w:lang w:val="fr-CA"/>
        </w:rPr>
      </w:pPr>
      <w:r w:rsidRPr="0076602A">
        <w:rPr>
          <w:sz w:val="20"/>
          <w:szCs w:val="20"/>
          <w:lang w:val="fr-CA"/>
        </w:rPr>
        <w:t xml:space="preserve">Au procès, l’intimé, Randy William Downes, a été déclaré coupable de deux chefs d’accusation de voyeurisme, infraction prévue à l’al. 162(1)a) du </w:t>
      </w:r>
      <w:r w:rsidRPr="0076602A">
        <w:rPr>
          <w:i/>
          <w:sz w:val="20"/>
          <w:szCs w:val="20"/>
          <w:lang w:val="fr-CA"/>
        </w:rPr>
        <w:t>Code criminel</w:t>
      </w:r>
      <w:r w:rsidRPr="0076602A">
        <w:rPr>
          <w:sz w:val="20"/>
          <w:szCs w:val="20"/>
          <w:lang w:val="fr-CA"/>
        </w:rPr>
        <w:t>, L.R.C. 1985, c. C</w:t>
      </w:r>
      <w:r w:rsidRPr="0076602A">
        <w:rPr>
          <w:sz w:val="20"/>
          <w:szCs w:val="20"/>
          <w:lang w:val="fr-CA"/>
        </w:rPr>
        <w:noBreakHyphen/>
        <w:t xml:space="preserve">46. Il a été déclaré coupable d’avoir subrepticement pris des photographies de joueurs de hockey adolescents de sexe masculin en train de se dévêtir dans un vestiaire alors qu’il était leur entraîneur. </w:t>
      </w:r>
    </w:p>
    <w:p w:rsidR="00B56A04" w:rsidRPr="0076602A" w:rsidRDefault="00B56A04" w:rsidP="00B56A04">
      <w:pPr>
        <w:widowControl w:val="0"/>
        <w:jc w:val="both"/>
        <w:rPr>
          <w:sz w:val="20"/>
          <w:szCs w:val="20"/>
          <w:lang w:val="fr-CA"/>
        </w:rPr>
      </w:pPr>
    </w:p>
    <w:p w:rsidR="00B56A04" w:rsidRPr="0076602A" w:rsidRDefault="00B56A04" w:rsidP="00B56A04">
      <w:pPr>
        <w:widowControl w:val="0"/>
        <w:jc w:val="both"/>
        <w:rPr>
          <w:sz w:val="20"/>
          <w:szCs w:val="20"/>
          <w:lang w:val="fr-CA"/>
        </w:rPr>
      </w:pPr>
      <w:r w:rsidRPr="0076602A">
        <w:rPr>
          <w:sz w:val="20"/>
          <w:szCs w:val="20"/>
          <w:lang w:val="fr-CA"/>
        </w:rPr>
        <w:t>Les juges majoritaires de la Cour d’appel (sous la plume du juge Willcock, motifs concordants du juge Grauer) ont accueilli le pourvoi de M. Downes, annulé sa déclaration de culpabilité et ordonné la tenue d’un nouveau procès. Ils ont expliqué que, bien que le juge du procès pouvait conclure qu’il était raisonnable de s’attendre à ce qu’une personne soit nue dans le vestiaire où les infractions ont été commises, les éléments de preuve contradictoires quant à savoir si on s’attendait à ce qu’il y ait nudité au moment où les photographies ont été prises n’ont pas été examinés. En dissidence, la juge Dickson aurait rejeté le pourvoi au motif que la qualification du terme « un lieu » au titre du par. 162(1) ne comprend pas un élément d’utilisation temporelle. À son avis, la question pertinente était de savoir si le lieu où la conduite reprochée s’est déroulée est un lieu où il est raisonnable de s’attendre à ce qu’une personne soit nue, peu importe l’utilisation prévue de ce lieu précisément lorsque la conduite s’est déroulée.</w:t>
      </w:r>
    </w:p>
    <w:p w:rsidR="00B56A04" w:rsidRPr="0076602A" w:rsidRDefault="00B56A04" w:rsidP="00B56A04">
      <w:pPr>
        <w:jc w:val="both"/>
        <w:rPr>
          <w:sz w:val="20"/>
          <w:szCs w:val="20"/>
          <w:lang w:val="fr-CA"/>
        </w:rPr>
      </w:pPr>
    </w:p>
    <w:p w:rsidR="00B56A04" w:rsidRPr="0076602A" w:rsidRDefault="00CF2ACD" w:rsidP="00B56A04">
      <w:pPr>
        <w:jc w:val="both"/>
        <w:rPr>
          <w:sz w:val="20"/>
          <w:szCs w:val="20"/>
          <w:lang w:val="fr-CA"/>
        </w:rPr>
      </w:pPr>
      <w:r>
        <w:rPr>
          <w:sz w:val="20"/>
          <w:szCs w:val="20"/>
        </w:rPr>
        <w:pict>
          <v:rect id="_x0000_i1042" style="width:2in;height:1pt" o:hrpct="0" o:hralign="center" o:hrstd="t" o:hrnoshade="t" o:hr="t" fillcolor="black [3213]" stroked="f"/>
        </w:pict>
      </w:r>
    </w:p>
    <w:p w:rsidR="00172473" w:rsidRPr="0076602A" w:rsidRDefault="00172473" w:rsidP="00782AE4">
      <w:pPr>
        <w:jc w:val="both"/>
        <w:rPr>
          <w:sz w:val="20"/>
          <w:szCs w:val="20"/>
          <w:lang w:val="fr-CA"/>
        </w:rPr>
      </w:pPr>
    </w:p>
    <w:p w:rsidR="00102792" w:rsidRPr="0076602A" w:rsidRDefault="00102792" w:rsidP="00782AE4">
      <w:pPr>
        <w:jc w:val="both"/>
        <w:rPr>
          <w:sz w:val="20"/>
          <w:szCs w:val="20"/>
          <w:lang w:val="fr-CA"/>
        </w:rPr>
      </w:pPr>
    </w:p>
    <w:p w:rsidR="0022323B" w:rsidRPr="0076602A" w:rsidRDefault="0022323B" w:rsidP="00782AE4">
      <w:pPr>
        <w:jc w:val="both"/>
        <w:rPr>
          <w:sz w:val="20"/>
          <w:szCs w:val="20"/>
          <w:lang w:val="fr-CA"/>
        </w:rPr>
        <w:sectPr w:rsidR="0022323B" w:rsidRPr="0076602A" w:rsidSect="0022323B">
          <w:headerReference w:type="even" r:id="rId26"/>
          <w:headerReference w:type="default" r:id="rId27"/>
          <w:footerReference w:type="even" r:id="rId28"/>
          <w:footerReference w:type="default" r:id="rId29"/>
          <w:headerReference w:type="first" r:id="rId30"/>
          <w:footerReference w:type="first" r:id="rId31"/>
          <w:pgSz w:w="12240" w:h="15840"/>
          <w:pgMar w:top="720" w:right="965" w:bottom="1080" w:left="1656" w:header="720" w:footer="965" w:gutter="0"/>
          <w:cols w:space="720"/>
          <w:titlePg/>
          <w:docGrid w:linePitch="326"/>
        </w:sectPr>
      </w:pPr>
    </w:p>
    <w:p w:rsidR="003F414B" w:rsidRPr="0076602A" w:rsidRDefault="003F414B" w:rsidP="003F414B">
      <w:pPr>
        <w:tabs>
          <w:tab w:val="center" w:pos="5220"/>
          <w:tab w:val="right" w:pos="10800"/>
        </w:tabs>
        <w:jc w:val="center"/>
        <w:rPr>
          <w:rFonts w:ascii="Arial" w:hAnsi="Arial" w:cs="Arial"/>
          <w:szCs w:val="24"/>
          <w:lang w:val="fr-CA"/>
        </w:rPr>
      </w:pPr>
      <w:bookmarkStart w:id="6" w:name="1"/>
      <w:bookmarkStart w:id="7" w:name="QuickMark"/>
      <w:bookmarkEnd w:id="6"/>
      <w:bookmarkEnd w:id="7"/>
      <w:r w:rsidRPr="0076602A">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76602A"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b/>
                <w:sz w:val="13"/>
                <w:szCs w:val="13"/>
                <w:lang w:val="fr-FR"/>
              </w:rPr>
            </w:pPr>
            <w:r w:rsidRPr="0076602A">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b/>
                <w:sz w:val="13"/>
                <w:szCs w:val="13"/>
                <w:lang w:val="fr-FR"/>
              </w:rPr>
            </w:pPr>
            <w:r w:rsidRPr="0076602A">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b/>
                <w:sz w:val="13"/>
                <w:szCs w:val="13"/>
                <w:lang w:val="fr-FR"/>
              </w:rPr>
            </w:pPr>
            <w:r w:rsidRPr="0076602A">
              <w:rPr>
                <w:rFonts w:ascii="Arial" w:eastAsia="Arial" w:hAnsi="Arial"/>
                <w:b/>
                <w:color w:val="000000"/>
                <w:sz w:val="13"/>
              </w:rPr>
              <w:t>DECEMBER – DÉCEMBRE</w:t>
            </w:r>
          </w:p>
        </w:tc>
      </w:tr>
      <w:tr w:rsidR="003F414B" w:rsidRPr="0076602A"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b/>
                <w:color w:val="000000"/>
                <w:sz w:val="13"/>
                <w:szCs w:val="13"/>
              </w:rPr>
            </w:pPr>
            <w:r w:rsidRPr="0076602A">
              <w:rPr>
                <w:rFonts w:ascii="Arial" w:eastAsia="Arial" w:hAnsi="Arial"/>
                <w:b/>
                <w:color w:val="000000"/>
                <w:sz w:val="13"/>
                <w:szCs w:val="13"/>
              </w:rPr>
              <w:t>S</w:t>
            </w:r>
          </w:p>
          <w:p w:rsidR="003F414B" w:rsidRPr="0076602A" w:rsidRDefault="003F414B" w:rsidP="00E8642A">
            <w:pPr>
              <w:jc w:val="center"/>
              <w:textAlignment w:val="baseline"/>
              <w:rPr>
                <w:rFonts w:ascii="Arial" w:eastAsia="Arial" w:hAnsi="Arial"/>
                <w:b/>
                <w:color w:val="000000"/>
                <w:sz w:val="13"/>
                <w:szCs w:val="13"/>
              </w:rPr>
            </w:pPr>
            <w:r w:rsidRPr="0076602A">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b/>
                <w:color w:val="000000"/>
                <w:sz w:val="13"/>
                <w:szCs w:val="13"/>
              </w:rPr>
            </w:pPr>
            <w:r w:rsidRPr="0076602A">
              <w:rPr>
                <w:rFonts w:ascii="Arial" w:eastAsia="Arial" w:hAnsi="Arial"/>
                <w:b/>
                <w:color w:val="000000"/>
                <w:sz w:val="13"/>
                <w:szCs w:val="13"/>
              </w:rPr>
              <w:t>M</w:t>
            </w:r>
          </w:p>
          <w:p w:rsidR="003F414B" w:rsidRPr="0076602A" w:rsidRDefault="003F414B" w:rsidP="00E8642A">
            <w:pPr>
              <w:jc w:val="center"/>
              <w:textAlignment w:val="baseline"/>
              <w:rPr>
                <w:rFonts w:ascii="Arial" w:eastAsia="Arial" w:hAnsi="Arial"/>
                <w:b/>
                <w:color w:val="000000"/>
                <w:sz w:val="13"/>
                <w:szCs w:val="13"/>
              </w:rPr>
            </w:pPr>
            <w:r w:rsidRPr="0076602A">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b/>
                <w:color w:val="000000"/>
                <w:sz w:val="13"/>
                <w:szCs w:val="13"/>
              </w:rPr>
            </w:pPr>
            <w:r w:rsidRPr="0076602A">
              <w:rPr>
                <w:rFonts w:ascii="Arial" w:eastAsia="Arial" w:hAnsi="Arial"/>
                <w:b/>
                <w:color w:val="000000"/>
                <w:sz w:val="13"/>
                <w:szCs w:val="13"/>
              </w:rPr>
              <w:t>T</w:t>
            </w:r>
          </w:p>
          <w:p w:rsidR="003F414B" w:rsidRPr="0076602A" w:rsidRDefault="003F414B" w:rsidP="00E8642A">
            <w:pPr>
              <w:jc w:val="center"/>
              <w:textAlignment w:val="baseline"/>
              <w:rPr>
                <w:rFonts w:ascii="Arial" w:eastAsia="Arial" w:hAnsi="Arial"/>
                <w:b/>
                <w:color w:val="000000"/>
                <w:sz w:val="13"/>
                <w:szCs w:val="13"/>
              </w:rPr>
            </w:pPr>
            <w:r w:rsidRPr="0076602A">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b/>
                <w:color w:val="000000"/>
                <w:sz w:val="13"/>
                <w:szCs w:val="13"/>
              </w:rPr>
            </w:pPr>
            <w:r w:rsidRPr="0076602A">
              <w:rPr>
                <w:rFonts w:ascii="Arial" w:eastAsia="Arial" w:hAnsi="Arial"/>
                <w:b/>
                <w:color w:val="000000"/>
                <w:sz w:val="13"/>
                <w:szCs w:val="13"/>
              </w:rPr>
              <w:t>W</w:t>
            </w:r>
          </w:p>
          <w:p w:rsidR="003F414B" w:rsidRPr="0076602A" w:rsidRDefault="003F414B" w:rsidP="00E8642A">
            <w:pPr>
              <w:jc w:val="center"/>
              <w:textAlignment w:val="baseline"/>
              <w:rPr>
                <w:rFonts w:ascii="Arial" w:eastAsia="Arial" w:hAnsi="Arial"/>
                <w:b/>
                <w:color w:val="000000"/>
                <w:sz w:val="13"/>
                <w:szCs w:val="13"/>
              </w:rPr>
            </w:pPr>
            <w:r w:rsidRPr="0076602A">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b/>
                <w:color w:val="000000"/>
                <w:sz w:val="13"/>
                <w:szCs w:val="13"/>
              </w:rPr>
            </w:pPr>
            <w:r w:rsidRPr="0076602A">
              <w:rPr>
                <w:rFonts w:ascii="Arial" w:eastAsia="Arial" w:hAnsi="Arial"/>
                <w:b/>
                <w:color w:val="000000"/>
                <w:sz w:val="13"/>
                <w:szCs w:val="13"/>
              </w:rPr>
              <w:t>T</w:t>
            </w:r>
          </w:p>
          <w:p w:rsidR="003F414B" w:rsidRPr="0076602A" w:rsidRDefault="003F414B" w:rsidP="00E8642A">
            <w:pPr>
              <w:jc w:val="center"/>
              <w:textAlignment w:val="baseline"/>
              <w:rPr>
                <w:rFonts w:ascii="Arial" w:eastAsia="Arial" w:hAnsi="Arial"/>
                <w:b/>
                <w:color w:val="000000"/>
                <w:sz w:val="13"/>
                <w:szCs w:val="13"/>
              </w:rPr>
            </w:pPr>
            <w:r w:rsidRPr="0076602A">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b/>
                <w:color w:val="000000"/>
                <w:sz w:val="13"/>
                <w:szCs w:val="13"/>
              </w:rPr>
            </w:pPr>
            <w:r w:rsidRPr="0076602A">
              <w:rPr>
                <w:rFonts w:ascii="Arial" w:eastAsia="Arial" w:hAnsi="Arial"/>
                <w:b/>
                <w:color w:val="000000"/>
                <w:sz w:val="13"/>
                <w:szCs w:val="13"/>
              </w:rPr>
              <w:t>F</w:t>
            </w:r>
          </w:p>
          <w:p w:rsidR="003F414B" w:rsidRPr="0076602A" w:rsidRDefault="003F414B" w:rsidP="00E8642A">
            <w:pPr>
              <w:jc w:val="center"/>
              <w:textAlignment w:val="baseline"/>
              <w:rPr>
                <w:rFonts w:ascii="Arial" w:eastAsia="Arial" w:hAnsi="Arial"/>
                <w:b/>
                <w:color w:val="000000"/>
                <w:sz w:val="13"/>
                <w:szCs w:val="13"/>
              </w:rPr>
            </w:pPr>
            <w:r w:rsidRPr="0076602A">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b/>
                <w:color w:val="000000"/>
                <w:sz w:val="13"/>
                <w:szCs w:val="13"/>
              </w:rPr>
            </w:pPr>
            <w:r w:rsidRPr="0076602A">
              <w:rPr>
                <w:rFonts w:ascii="Arial" w:eastAsia="Arial" w:hAnsi="Arial"/>
                <w:b/>
                <w:color w:val="000000"/>
                <w:sz w:val="13"/>
                <w:szCs w:val="13"/>
              </w:rPr>
              <w:t>S</w:t>
            </w:r>
          </w:p>
          <w:p w:rsidR="003F414B" w:rsidRPr="0076602A" w:rsidRDefault="003F414B" w:rsidP="00E8642A">
            <w:pPr>
              <w:jc w:val="center"/>
              <w:textAlignment w:val="baseline"/>
              <w:rPr>
                <w:rFonts w:ascii="Arial" w:eastAsia="Arial" w:hAnsi="Arial"/>
                <w:b/>
                <w:color w:val="000000"/>
                <w:sz w:val="13"/>
                <w:szCs w:val="13"/>
              </w:rPr>
            </w:pPr>
            <w:r w:rsidRPr="0076602A">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S</w:t>
            </w:r>
          </w:p>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M</w:t>
            </w:r>
          </w:p>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T</w:t>
            </w:r>
          </w:p>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W</w:t>
            </w:r>
          </w:p>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T</w:t>
            </w:r>
          </w:p>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F</w:t>
            </w:r>
          </w:p>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S</w:t>
            </w:r>
          </w:p>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S</w:t>
            </w:r>
          </w:p>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M</w:t>
            </w:r>
          </w:p>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T</w:t>
            </w:r>
          </w:p>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W</w:t>
            </w:r>
          </w:p>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T</w:t>
            </w:r>
          </w:p>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F</w:t>
            </w:r>
          </w:p>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S</w:t>
            </w:r>
          </w:p>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S</w:t>
            </w:r>
          </w:p>
        </w:tc>
      </w:tr>
      <w:tr w:rsidR="003F414B" w:rsidRPr="0076602A"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CC</w:t>
            </w:r>
          </w:p>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4</w:t>
            </w:r>
          </w:p>
        </w:tc>
      </w:tr>
      <w:tr w:rsidR="003F414B" w:rsidRPr="0076602A"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CC</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H</w:t>
            </w:r>
          </w:p>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11</w:t>
            </w:r>
          </w:p>
        </w:tc>
      </w:tr>
      <w:tr w:rsidR="003F414B" w:rsidRPr="0076602A"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H</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18</w:t>
            </w:r>
          </w:p>
        </w:tc>
      </w:tr>
      <w:tr w:rsidR="003F414B" w:rsidRPr="0076602A"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25</w:t>
            </w:r>
          </w:p>
        </w:tc>
      </w:tr>
      <w:tr w:rsidR="003F414B" w:rsidRPr="0076602A"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 xml:space="preserve">  24 /</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rPr>
            </w:pPr>
            <w:r w:rsidRPr="0076602A">
              <w:rPr>
                <w:rFonts w:ascii="Arial" w:eastAsia="Arial" w:hAnsi="Arial" w:cs="Arial"/>
                <w:b/>
                <w:color w:val="000000"/>
                <w:sz w:val="13"/>
              </w:rPr>
              <w:t>CC</w:t>
            </w:r>
          </w:p>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rPr>
            </w:pPr>
            <w:r w:rsidRPr="0076602A">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rPr>
                <w:rFonts w:ascii="Arial" w:hAnsi="Arial" w:cs="Arial"/>
                <w:b/>
                <w:sz w:val="13"/>
                <w:szCs w:val="13"/>
              </w:rPr>
            </w:pPr>
            <w:r w:rsidRPr="0076602A">
              <w:rPr>
                <w:rFonts w:ascii="Arial" w:hAnsi="Arial" w:cs="Arial"/>
                <w:b/>
                <w:sz w:val="13"/>
                <w:szCs w:val="13"/>
              </w:rPr>
              <w:t>H</w:t>
            </w:r>
          </w:p>
          <w:p w:rsidR="003F414B" w:rsidRPr="0076602A" w:rsidRDefault="003F414B" w:rsidP="00E8642A">
            <w:pPr>
              <w:jc w:val="center"/>
              <w:rPr>
                <w:rFonts w:ascii="Arial" w:hAnsi="Arial" w:cs="Arial"/>
                <w:sz w:val="13"/>
                <w:szCs w:val="13"/>
              </w:rPr>
            </w:pPr>
            <w:r w:rsidRPr="0076602A">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rPr>
                <w:rFonts w:ascii="Arial" w:hAnsi="Arial" w:cs="Arial"/>
                <w:b/>
                <w:sz w:val="13"/>
                <w:szCs w:val="13"/>
              </w:rPr>
            </w:pPr>
            <w:r w:rsidRPr="0076602A">
              <w:rPr>
                <w:rFonts w:ascii="Arial" w:hAnsi="Arial" w:cs="Arial"/>
                <w:b/>
                <w:sz w:val="13"/>
                <w:szCs w:val="13"/>
              </w:rPr>
              <w:t>H</w:t>
            </w:r>
          </w:p>
          <w:p w:rsidR="003F414B" w:rsidRPr="0076602A" w:rsidRDefault="003F414B" w:rsidP="00E8642A">
            <w:pPr>
              <w:jc w:val="center"/>
              <w:rPr>
                <w:rFonts w:ascii="Arial" w:hAnsi="Arial" w:cs="Arial"/>
                <w:sz w:val="13"/>
                <w:szCs w:val="13"/>
              </w:rPr>
            </w:pPr>
            <w:r w:rsidRPr="0076602A">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r w:rsidRPr="0076602A">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rPr>
                <w:rFonts w:ascii="Arial" w:hAnsi="Arial" w:cs="Arial"/>
                <w:sz w:val="13"/>
                <w:szCs w:val="13"/>
              </w:rPr>
            </w:pPr>
          </w:p>
        </w:tc>
      </w:tr>
    </w:tbl>
    <w:p w:rsidR="003F414B" w:rsidRPr="0076602A" w:rsidRDefault="003F414B" w:rsidP="003F414B">
      <w:pPr>
        <w:tabs>
          <w:tab w:val="center" w:pos="5220"/>
          <w:tab w:val="right" w:pos="10440"/>
        </w:tabs>
        <w:spacing w:before="120"/>
        <w:jc w:val="center"/>
        <w:rPr>
          <w:rFonts w:ascii="Arial" w:hAnsi="Arial" w:cs="Arial"/>
          <w:szCs w:val="24"/>
        </w:rPr>
      </w:pPr>
      <w:r w:rsidRPr="0076602A">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76602A"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MARCH – MARS</w:t>
            </w:r>
          </w:p>
        </w:tc>
      </w:tr>
      <w:tr w:rsidR="003F414B" w:rsidRPr="0076602A"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T</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W</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T</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F</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T</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W</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T</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F</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T</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W</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T</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F</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tc>
      </w:tr>
      <w:tr w:rsidR="003F414B" w:rsidRPr="0076602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5</w:t>
            </w:r>
          </w:p>
        </w:tc>
      </w:tr>
      <w:tr w:rsidR="003F414B" w:rsidRPr="0076602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spacing w:before="241" w:after="34" w:line="147" w:lineRule="exact"/>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76602A" w:rsidRDefault="003F414B" w:rsidP="00E8642A">
            <w:pPr>
              <w:spacing w:before="91" w:line="148" w:lineRule="exact"/>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H</w:t>
            </w:r>
          </w:p>
          <w:p w:rsidR="003F414B" w:rsidRPr="0076602A" w:rsidRDefault="003F414B" w:rsidP="00E8642A">
            <w:pPr>
              <w:spacing w:before="2" w:after="34" w:line="147" w:lineRule="exact"/>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CC</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12</w:t>
            </w:r>
          </w:p>
        </w:tc>
      </w:tr>
      <w:tr w:rsidR="003F414B" w:rsidRPr="0076602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spacing w:before="240" w:after="30" w:line="147" w:lineRule="exact"/>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76602A" w:rsidRDefault="003F414B" w:rsidP="00E8642A">
            <w:pPr>
              <w:spacing w:before="91" w:line="148" w:lineRule="exact"/>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CC</w:t>
            </w:r>
          </w:p>
          <w:p w:rsidR="003F414B" w:rsidRPr="0076602A" w:rsidRDefault="003F414B" w:rsidP="00E8642A">
            <w:pPr>
              <w:spacing w:before="1" w:after="30" w:line="147" w:lineRule="exact"/>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CC</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19</w:t>
            </w:r>
          </w:p>
        </w:tc>
      </w:tr>
      <w:tr w:rsidR="003F414B" w:rsidRPr="0076602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spacing w:before="212" w:after="30" w:line="147" w:lineRule="exact"/>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spacing w:before="212" w:after="30" w:line="147" w:lineRule="exact"/>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26</w:t>
            </w:r>
          </w:p>
        </w:tc>
      </w:tr>
      <w:tr w:rsidR="003F414B" w:rsidRPr="0076602A"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76602A" w:rsidRDefault="003F414B" w:rsidP="00E8642A">
            <w:pPr>
              <w:spacing w:before="77" w:after="35" w:line="147" w:lineRule="exact"/>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 xml:space="preserve">  23 /</w:t>
            </w:r>
          </w:p>
          <w:p w:rsidR="003F414B" w:rsidRPr="0076602A" w:rsidRDefault="003F414B" w:rsidP="00E8642A">
            <w:pPr>
              <w:spacing w:before="39" w:after="30" w:line="147" w:lineRule="exact"/>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76602A" w:rsidRDefault="003F414B" w:rsidP="00E8642A">
            <w:pPr>
              <w:spacing w:before="77" w:after="35" w:line="147" w:lineRule="exact"/>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 xml:space="preserve">  24 /</w:t>
            </w:r>
          </w:p>
          <w:p w:rsidR="003F414B" w:rsidRPr="0076602A" w:rsidRDefault="003F414B" w:rsidP="00E8642A">
            <w:pPr>
              <w:spacing w:before="39" w:after="30" w:line="147" w:lineRule="exact"/>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r>
      <w:tr w:rsidR="003F414B" w:rsidRPr="0076602A"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JUNE – JUIN</w:t>
            </w:r>
          </w:p>
        </w:tc>
      </w:tr>
      <w:tr w:rsidR="003F414B" w:rsidRPr="0076602A"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T</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W</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T</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F</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T</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W</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T</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F</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T</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W</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T</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F</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tc>
      </w:tr>
      <w:tr w:rsidR="003F414B" w:rsidRPr="0076602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6602A"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4</w:t>
            </w:r>
          </w:p>
        </w:tc>
      </w:tr>
      <w:tr w:rsidR="003F414B" w:rsidRPr="0076602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CC</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76602A" w:rsidRDefault="003F414B" w:rsidP="00E8642A">
            <w:pPr>
              <w:jc w:val="center"/>
              <w:textAlignment w:val="baseline"/>
              <w:rPr>
                <w:rFonts w:ascii="Arial" w:eastAsia="Arial" w:hAnsi="Arial"/>
                <w:b/>
                <w:color w:val="000000"/>
                <w:sz w:val="13"/>
              </w:rPr>
            </w:pPr>
            <w:r w:rsidRPr="0076602A">
              <w:rPr>
                <w:rFonts w:ascii="Arial" w:eastAsia="Arial" w:hAnsi="Arial"/>
                <w:b/>
                <w:color w:val="000000"/>
                <w:sz w:val="13"/>
              </w:rPr>
              <w:t>CC</w:t>
            </w:r>
          </w:p>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11</w:t>
            </w:r>
          </w:p>
        </w:tc>
      </w:tr>
      <w:tr w:rsidR="003F414B" w:rsidRPr="0076602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CC</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H</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18</w:t>
            </w:r>
          </w:p>
        </w:tc>
      </w:tr>
      <w:tr w:rsidR="003F414B" w:rsidRPr="0076602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H</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OR</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OR</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H</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25</w:t>
            </w:r>
          </w:p>
        </w:tc>
      </w:tr>
      <w:tr w:rsidR="003F414B" w:rsidRPr="0076602A"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OR</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OR</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olor w:val="000000"/>
                <w:sz w:val="13"/>
              </w:rPr>
            </w:pPr>
            <w:r w:rsidRPr="0076602A">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eastAsia="Times New Roman"/>
                <w:color w:val="000000"/>
              </w:rPr>
            </w:pPr>
          </w:p>
        </w:tc>
      </w:tr>
      <w:tr w:rsidR="003F414B" w:rsidRPr="0076602A"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SEPTEMBER – SEPTEMBRE</w:t>
            </w:r>
          </w:p>
        </w:tc>
      </w:tr>
      <w:tr w:rsidR="003F414B" w:rsidRPr="0076602A"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p w:rsidR="003F414B" w:rsidRPr="0076602A" w:rsidRDefault="003F414B" w:rsidP="00E8642A">
            <w:pPr>
              <w:tabs>
                <w:tab w:val="center" w:pos="5220"/>
                <w:tab w:val="right" w:pos="10440"/>
              </w:tabs>
              <w:jc w:val="center"/>
              <w:rPr>
                <w:rFonts w:ascii="Arial" w:hAnsi="Arial" w:cs="Arial"/>
                <w:b/>
                <w:sz w:val="16"/>
                <w:szCs w:val="16"/>
              </w:rPr>
            </w:pPr>
            <w:r w:rsidRPr="0076602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T</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W</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T</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F</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T</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W</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T</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F</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6602A"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T</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W</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T</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F</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p w:rsidR="003F414B" w:rsidRPr="0076602A" w:rsidRDefault="003F414B" w:rsidP="00E8642A">
            <w:pPr>
              <w:tabs>
                <w:tab w:val="center" w:pos="5220"/>
                <w:tab w:val="right" w:pos="10440"/>
              </w:tabs>
              <w:jc w:val="center"/>
              <w:rPr>
                <w:rFonts w:ascii="Arial" w:hAnsi="Arial" w:cs="Arial"/>
                <w:b/>
                <w:sz w:val="13"/>
                <w:szCs w:val="13"/>
              </w:rPr>
            </w:pPr>
            <w:r w:rsidRPr="0076602A">
              <w:rPr>
                <w:rFonts w:ascii="Arial" w:hAnsi="Arial" w:cs="Arial"/>
                <w:b/>
                <w:sz w:val="13"/>
                <w:szCs w:val="13"/>
              </w:rPr>
              <w:t>S</w:t>
            </w:r>
          </w:p>
        </w:tc>
      </w:tr>
      <w:tr w:rsidR="003F414B" w:rsidRPr="0076602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H</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H</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w:t>
            </w:r>
          </w:p>
        </w:tc>
      </w:tr>
      <w:tr w:rsidR="003F414B" w:rsidRPr="0076602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H</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10</w:t>
            </w:r>
          </w:p>
        </w:tc>
      </w:tr>
      <w:tr w:rsidR="003F414B" w:rsidRPr="0076602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17</w:t>
            </w:r>
          </w:p>
        </w:tc>
      </w:tr>
      <w:tr w:rsidR="003F414B" w:rsidRPr="0076602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24</w:t>
            </w:r>
          </w:p>
        </w:tc>
      </w:tr>
      <w:tr w:rsidR="003F414B" w:rsidRPr="0076602A"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 xml:space="preserve">  24 /</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6602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RH</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RH</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Arial" w:hAnsi="Arial" w:cs="Arial"/>
                <w:b/>
                <w:color w:val="000000"/>
                <w:sz w:val="13"/>
                <w:szCs w:val="13"/>
              </w:rPr>
            </w:pPr>
            <w:r w:rsidRPr="0076602A">
              <w:rPr>
                <w:rFonts w:ascii="Arial" w:eastAsia="Arial" w:hAnsi="Arial" w:cs="Arial"/>
                <w:b/>
                <w:color w:val="000000"/>
                <w:sz w:val="13"/>
                <w:szCs w:val="13"/>
              </w:rPr>
              <w:t>H</w:t>
            </w:r>
          </w:p>
          <w:p w:rsidR="003F414B" w:rsidRPr="0076602A" w:rsidRDefault="003F414B" w:rsidP="00E8642A">
            <w:pPr>
              <w:jc w:val="center"/>
              <w:textAlignment w:val="baseline"/>
              <w:rPr>
                <w:rFonts w:ascii="Arial" w:eastAsia="Arial" w:hAnsi="Arial" w:cs="Arial"/>
                <w:color w:val="000000"/>
                <w:sz w:val="13"/>
                <w:szCs w:val="13"/>
              </w:rPr>
            </w:pPr>
            <w:r w:rsidRPr="0076602A">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76602A" w:rsidRDefault="003F414B" w:rsidP="00E8642A">
            <w:pPr>
              <w:jc w:val="center"/>
              <w:textAlignment w:val="baseline"/>
              <w:rPr>
                <w:rFonts w:ascii="Arial" w:eastAsia="Times New Roman" w:hAnsi="Arial" w:cs="Arial"/>
                <w:color w:val="000000"/>
                <w:sz w:val="13"/>
                <w:szCs w:val="13"/>
              </w:rPr>
            </w:pPr>
          </w:p>
        </w:tc>
      </w:tr>
      <w:tr w:rsidR="003F414B" w:rsidRPr="0076602A"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76602A" w:rsidRDefault="003F414B" w:rsidP="00E8642A">
            <w:pPr>
              <w:spacing w:before="40"/>
              <w:jc w:val="right"/>
              <w:rPr>
                <w:rFonts w:ascii="Arial" w:hAnsi="Arial" w:cs="Arial"/>
                <w:b/>
                <w:sz w:val="13"/>
                <w:szCs w:val="13"/>
              </w:rPr>
            </w:pPr>
            <w:r w:rsidRPr="0076602A">
              <w:rPr>
                <w:rFonts w:ascii="Arial" w:hAnsi="Arial" w:cs="Arial"/>
                <w:b/>
                <w:sz w:val="13"/>
                <w:szCs w:val="13"/>
              </w:rPr>
              <w:t>Sitting of the Court /</w:t>
            </w:r>
          </w:p>
          <w:p w:rsidR="003F414B" w:rsidRPr="0076602A" w:rsidRDefault="003F414B" w:rsidP="00E8642A">
            <w:pPr>
              <w:jc w:val="right"/>
              <w:rPr>
                <w:rFonts w:ascii="Arial" w:hAnsi="Arial" w:cs="Arial"/>
                <w:b/>
                <w:sz w:val="13"/>
                <w:szCs w:val="13"/>
              </w:rPr>
            </w:pPr>
            <w:r w:rsidRPr="0076602A">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76602A"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76602A" w:rsidRDefault="003F414B" w:rsidP="00E8642A">
            <w:pPr>
              <w:tabs>
                <w:tab w:val="left" w:pos="203"/>
              </w:tabs>
              <w:spacing w:before="40" w:after="120"/>
              <w:rPr>
                <w:rFonts w:ascii="Arial" w:hAnsi="Arial" w:cs="Arial"/>
                <w:b/>
                <w:sz w:val="13"/>
                <w:szCs w:val="13"/>
                <w:lang w:val="fr-CA"/>
              </w:rPr>
            </w:pPr>
            <w:r w:rsidRPr="0076602A">
              <w:rPr>
                <w:rFonts w:ascii="Arial" w:hAnsi="Arial" w:cs="Arial"/>
                <w:b/>
                <w:sz w:val="13"/>
                <w:szCs w:val="13"/>
                <w:lang w:val="fr-CA"/>
              </w:rPr>
              <w:t>18</w:t>
            </w:r>
            <w:r w:rsidRPr="0076602A">
              <w:rPr>
                <w:rFonts w:ascii="Arial" w:hAnsi="Arial" w:cs="Arial"/>
                <w:b/>
                <w:sz w:val="13"/>
                <w:szCs w:val="13"/>
                <w:lang w:val="fr-CA"/>
              </w:rPr>
              <w:tab/>
              <w:t xml:space="preserve"> sitting weeks / semaines séances de la Cour</w:t>
            </w:r>
          </w:p>
          <w:p w:rsidR="003F414B" w:rsidRPr="0076602A" w:rsidRDefault="003F414B" w:rsidP="00E8642A">
            <w:pPr>
              <w:tabs>
                <w:tab w:val="left" w:pos="203"/>
              </w:tabs>
              <w:rPr>
                <w:rFonts w:ascii="Arial" w:hAnsi="Arial" w:cs="Arial"/>
                <w:b/>
                <w:sz w:val="13"/>
                <w:szCs w:val="13"/>
                <w:lang w:val="fr-CA"/>
              </w:rPr>
            </w:pPr>
            <w:r w:rsidRPr="0076602A">
              <w:rPr>
                <w:rFonts w:ascii="Arial" w:hAnsi="Arial" w:cs="Arial"/>
                <w:b/>
                <w:sz w:val="13"/>
                <w:szCs w:val="13"/>
                <w:lang w:val="fr-CA"/>
              </w:rPr>
              <w:t>88</w:t>
            </w:r>
            <w:r w:rsidRPr="0076602A">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76602A" w:rsidRDefault="003F414B" w:rsidP="00E8642A">
            <w:pPr>
              <w:spacing w:before="40" w:after="120"/>
              <w:jc w:val="right"/>
              <w:rPr>
                <w:rFonts w:ascii="Arial" w:hAnsi="Arial" w:cs="Arial"/>
                <w:b/>
                <w:sz w:val="13"/>
                <w:szCs w:val="13"/>
                <w:lang w:val="fr-FR"/>
              </w:rPr>
            </w:pPr>
            <w:r w:rsidRPr="0076602A">
              <w:rPr>
                <w:rFonts w:ascii="Arial" w:hAnsi="Arial" w:cs="Arial"/>
                <w:b/>
                <w:sz w:val="13"/>
                <w:szCs w:val="13"/>
                <w:lang w:val="fr-FR"/>
              </w:rPr>
              <w:t>Rosh Hashanah / Nouvel An juif</w:t>
            </w:r>
          </w:p>
          <w:p w:rsidR="003F414B" w:rsidRPr="0076602A" w:rsidRDefault="003F414B" w:rsidP="00E8642A">
            <w:pPr>
              <w:jc w:val="right"/>
              <w:rPr>
                <w:rFonts w:ascii="Arial" w:hAnsi="Arial" w:cs="Arial"/>
                <w:b/>
                <w:sz w:val="13"/>
                <w:szCs w:val="13"/>
                <w:lang w:val="fr-CA"/>
              </w:rPr>
            </w:pPr>
            <w:r w:rsidRPr="0076602A">
              <w:rPr>
                <w:rFonts w:ascii="Arial" w:hAnsi="Arial" w:cs="Arial"/>
                <w:b/>
                <w:sz w:val="13"/>
                <w:szCs w:val="13"/>
                <w:lang w:val="fr-FR"/>
              </w:rPr>
              <w:t>Yom Kippur / Yom Kippour</w:t>
            </w:r>
          </w:p>
        </w:tc>
        <w:tc>
          <w:tcPr>
            <w:tcW w:w="271" w:type="pct"/>
            <w:gridSpan w:val="2"/>
            <w:hideMark/>
          </w:tcPr>
          <w:p w:rsidR="003F414B" w:rsidRPr="0076602A" w:rsidRDefault="003F414B" w:rsidP="00E8642A">
            <w:pPr>
              <w:spacing w:before="40" w:after="120"/>
              <w:jc w:val="center"/>
              <w:rPr>
                <w:rFonts w:ascii="Arial" w:hAnsi="Arial" w:cs="Arial"/>
                <w:b/>
                <w:sz w:val="13"/>
                <w:szCs w:val="13"/>
                <w:lang w:val="fr-CA"/>
              </w:rPr>
            </w:pPr>
            <w:r w:rsidRPr="0076602A">
              <w:rPr>
                <w:rFonts w:ascii="Arial" w:hAnsi="Arial" w:cs="Arial"/>
                <w:b/>
                <w:sz w:val="13"/>
                <w:szCs w:val="13"/>
                <w:lang w:val="fr-CA"/>
              </w:rPr>
              <w:t>RH</w:t>
            </w:r>
          </w:p>
          <w:p w:rsidR="003F414B" w:rsidRPr="0076602A" w:rsidRDefault="003F414B" w:rsidP="00E8642A">
            <w:pPr>
              <w:jc w:val="center"/>
              <w:rPr>
                <w:rFonts w:ascii="Arial" w:hAnsi="Arial" w:cs="Arial"/>
                <w:b/>
                <w:sz w:val="13"/>
                <w:szCs w:val="13"/>
                <w:lang w:val="fr-CA"/>
              </w:rPr>
            </w:pPr>
            <w:r w:rsidRPr="0076602A">
              <w:rPr>
                <w:rFonts w:ascii="Arial" w:hAnsi="Arial" w:cs="Arial"/>
                <w:b/>
                <w:sz w:val="13"/>
                <w:szCs w:val="13"/>
                <w:lang w:val="fr-CA"/>
              </w:rPr>
              <w:t>YK</w:t>
            </w:r>
          </w:p>
        </w:tc>
      </w:tr>
      <w:tr w:rsidR="003F414B" w:rsidRPr="00CF2ACD"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76602A" w:rsidRDefault="003F414B" w:rsidP="00E8642A">
            <w:pPr>
              <w:jc w:val="right"/>
              <w:rPr>
                <w:rFonts w:ascii="Arial" w:hAnsi="Arial" w:cs="Arial"/>
                <w:b/>
                <w:sz w:val="13"/>
                <w:szCs w:val="13"/>
                <w:lang w:val="fr-CA"/>
              </w:rPr>
            </w:pPr>
            <w:r w:rsidRPr="0076602A">
              <w:rPr>
                <w:rFonts w:ascii="Arial" w:hAnsi="Arial" w:cs="Arial"/>
                <w:b/>
                <w:sz w:val="13"/>
                <w:szCs w:val="13"/>
                <w:lang w:val="fr-CA"/>
              </w:rPr>
              <w:t>Court conference /</w:t>
            </w:r>
          </w:p>
          <w:p w:rsidR="003F414B" w:rsidRPr="0076602A" w:rsidRDefault="003F414B" w:rsidP="00E8642A">
            <w:pPr>
              <w:jc w:val="right"/>
              <w:rPr>
                <w:rFonts w:ascii="Arial" w:hAnsi="Arial" w:cs="Arial"/>
                <w:b/>
                <w:sz w:val="13"/>
                <w:szCs w:val="13"/>
                <w:lang w:val="fr-CA"/>
              </w:rPr>
            </w:pPr>
            <w:r w:rsidRPr="0076602A">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76602A" w:rsidRDefault="003F414B" w:rsidP="00E8642A">
            <w:pPr>
              <w:jc w:val="center"/>
              <w:rPr>
                <w:rFonts w:ascii="Arial" w:hAnsi="Arial" w:cs="Arial"/>
                <w:b/>
                <w:sz w:val="13"/>
                <w:szCs w:val="13"/>
                <w:lang w:val="fr-FR"/>
              </w:rPr>
            </w:pPr>
            <w:r w:rsidRPr="0076602A">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76602A" w:rsidRDefault="003F414B" w:rsidP="00E8642A">
            <w:pPr>
              <w:tabs>
                <w:tab w:val="left" w:pos="203"/>
              </w:tabs>
              <w:rPr>
                <w:rFonts w:ascii="Arial" w:hAnsi="Arial" w:cs="Arial"/>
                <w:b/>
                <w:sz w:val="13"/>
                <w:szCs w:val="13"/>
                <w:lang w:val="fr-CA"/>
              </w:rPr>
            </w:pPr>
            <w:r w:rsidRPr="0076602A">
              <w:rPr>
                <w:rFonts w:ascii="Arial" w:hAnsi="Arial" w:cs="Arial"/>
                <w:b/>
                <w:sz w:val="13"/>
                <w:szCs w:val="13"/>
                <w:lang w:val="fr-CA"/>
              </w:rPr>
              <w:t>9</w:t>
            </w:r>
            <w:r w:rsidRPr="0076602A">
              <w:rPr>
                <w:rFonts w:ascii="Arial" w:hAnsi="Arial" w:cs="Arial"/>
                <w:b/>
                <w:sz w:val="13"/>
                <w:szCs w:val="13"/>
                <w:lang w:val="fr-CA"/>
              </w:rPr>
              <w:tab/>
              <w:t>Court conference days /</w:t>
            </w:r>
          </w:p>
          <w:p w:rsidR="003F414B" w:rsidRPr="0076602A" w:rsidRDefault="003F414B" w:rsidP="00E8642A">
            <w:pPr>
              <w:tabs>
                <w:tab w:val="left" w:pos="203"/>
              </w:tabs>
              <w:rPr>
                <w:rFonts w:ascii="Arial" w:hAnsi="Arial" w:cs="Arial"/>
                <w:b/>
                <w:sz w:val="13"/>
                <w:szCs w:val="13"/>
                <w:lang w:val="fr-CA"/>
              </w:rPr>
            </w:pPr>
            <w:r w:rsidRPr="0076602A">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76602A" w:rsidRDefault="003F414B" w:rsidP="00E8642A">
            <w:pPr>
              <w:rPr>
                <w:rFonts w:ascii="Arial" w:hAnsi="Arial" w:cs="Arial"/>
                <w:b/>
                <w:sz w:val="13"/>
                <w:szCs w:val="13"/>
                <w:lang w:val="fr-CA"/>
              </w:rPr>
            </w:pPr>
          </w:p>
        </w:tc>
        <w:tc>
          <w:tcPr>
            <w:tcW w:w="271" w:type="pct"/>
            <w:gridSpan w:val="2"/>
          </w:tcPr>
          <w:p w:rsidR="003F414B" w:rsidRPr="0076602A"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76602A" w:rsidRDefault="003F414B" w:rsidP="00E8642A">
            <w:pPr>
              <w:jc w:val="right"/>
              <w:rPr>
                <w:rFonts w:ascii="Arial" w:hAnsi="Arial" w:cs="Arial"/>
                <w:b/>
                <w:sz w:val="13"/>
                <w:szCs w:val="13"/>
              </w:rPr>
            </w:pPr>
            <w:r w:rsidRPr="0076602A">
              <w:rPr>
                <w:rFonts w:ascii="Arial" w:hAnsi="Arial" w:cs="Arial"/>
                <w:b/>
                <w:sz w:val="13"/>
                <w:szCs w:val="13"/>
              </w:rPr>
              <w:t xml:space="preserve">Holiday / </w:t>
            </w:r>
            <w:r w:rsidRPr="0076602A">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76602A" w:rsidRDefault="003F414B" w:rsidP="00E8642A">
            <w:pPr>
              <w:jc w:val="center"/>
              <w:rPr>
                <w:rFonts w:ascii="Arial" w:hAnsi="Arial" w:cs="Arial"/>
                <w:b/>
                <w:sz w:val="13"/>
                <w:szCs w:val="13"/>
              </w:rPr>
            </w:pPr>
            <w:r w:rsidRPr="0076602A">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76602A" w:rsidRDefault="003F414B" w:rsidP="00E8642A">
            <w:pPr>
              <w:tabs>
                <w:tab w:val="left" w:pos="203"/>
              </w:tabs>
              <w:rPr>
                <w:rFonts w:ascii="Arial" w:hAnsi="Arial" w:cs="Arial"/>
                <w:b/>
                <w:sz w:val="13"/>
                <w:szCs w:val="13"/>
              </w:rPr>
            </w:pPr>
            <w:r w:rsidRPr="0076602A">
              <w:rPr>
                <w:rFonts w:ascii="Arial" w:hAnsi="Arial" w:cs="Arial"/>
                <w:b/>
                <w:sz w:val="13"/>
                <w:szCs w:val="13"/>
              </w:rPr>
              <w:t>2</w:t>
            </w:r>
            <w:r w:rsidRPr="0076602A">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76602A">
              <w:rPr>
                <w:rFonts w:ascii="Arial" w:hAnsi="Arial" w:cs="Arial"/>
                <w:b/>
                <w:sz w:val="13"/>
                <w:szCs w:val="13"/>
              </w:rPr>
              <w:tab/>
            </w:r>
            <w:r w:rsidRPr="0076602A">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32"/>
      <w:footerReference w:type="default" r:id="rId33"/>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3AA" w:rsidRDefault="00B353AA" w:rsidP="00A87207">
      <w:r>
        <w:separator/>
      </w:r>
    </w:p>
  </w:endnote>
  <w:endnote w:type="continuationSeparator" w:id="0">
    <w:p w:rsidR="00B353AA" w:rsidRDefault="00B353A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AA" w:rsidRDefault="00CF2ACD" w:rsidP="00A87207">
    <w:pPr>
      <w:pStyle w:val="Footer"/>
    </w:pPr>
    <w:r>
      <w:pict>
        <v:rect id="_x0000_i1026" style="width:480.95pt;height:1pt" o:hralign="center" o:hrstd="t" o:hrnoshade="t" o:hr="t" fillcolor="black [3213]" stroked="f"/>
      </w:pict>
    </w:r>
  </w:p>
  <w:p w:rsidR="00B353AA" w:rsidRPr="00B7374B" w:rsidRDefault="00B353A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AA" w:rsidRDefault="00CF2ACD" w:rsidP="00755F22">
    <w:pPr>
      <w:tabs>
        <w:tab w:val="left" w:pos="-1440"/>
        <w:tab w:val="left" w:pos="-720"/>
      </w:tabs>
    </w:pPr>
    <w:r>
      <w:pict>
        <v:rect id="_x0000_i1027" style="width:480.95pt;height:1pt" o:hralign="center" o:hrstd="t" o:hrnoshade="t" o:hr="t" fillcolor="black [3213]" stroked="f"/>
      </w:pict>
    </w:r>
  </w:p>
  <w:p w:rsidR="00B353AA" w:rsidRPr="00954D22" w:rsidRDefault="00B353A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F2ACD">
      <w:rPr>
        <w:noProof/>
        <w:szCs w:val="24"/>
      </w:rPr>
      <w:t>1</w:t>
    </w:r>
    <w:r>
      <w:rPr>
        <w:szCs w:val="24"/>
      </w:rPr>
      <w:fldChar w:fldCharType="end"/>
    </w:r>
    <w:r w:rsidRPr="00954D22">
      <w:rPr>
        <w:szCs w:val="24"/>
      </w:rPr>
      <w:t xml:space="preserve"> -</w:t>
    </w:r>
  </w:p>
  <w:p w:rsidR="00B353AA" w:rsidRDefault="00B35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AA" w:rsidRDefault="00B353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353AA" w:rsidRDefault="00B353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353AA" w:rsidRDefault="00B353AA">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AA" w:rsidRDefault="00CF2ACD" w:rsidP="00755F22">
    <w:pPr>
      <w:tabs>
        <w:tab w:val="left" w:pos="-1440"/>
        <w:tab w:val="left" w:pos="-720"/>
      </w:tabs>
    </w:pPr>
    <w:r>
      <w:pict>
        <v:rect id="_x0000_i1030" style="width:480.95pt;height:1pt" o:hralign="center" o:hrstd="t" o:hrnoshade="t" o:hr="t" fillcolor="black [3213]" stroked="f"/>
      </w:pict>
    </w:r>
  </w:p>
  <w:p w:rsidR="00B353AA" w:rsidRDefault="00B353AA" w:rsidP="00EB2B90">
    <w:pPr>
      <w:tabs>
        <w:tab w:val="center" w:pos="4680"/>
      </w:tabs>
    </w:pPr>
    <w:r>
      <w:tab/>
      <w:t xml:space="preserve">- </w:t>
    </w:r>
    <w:r>
      <w:fldChar w:fldCharType="begin"/>
    </w:r>
    <w:r>
      <w:instrText xml:space="preserve"> PAGE   \* MERGEFORMAT </w:instrText>
    </w:r>
    <w:r>
      <w:fldChar w:fldCharType="separate"/>
    </w:r>
    <w:r w:rsidR="00CF2ACD">
      <w:rPr>
        <w:noProof/>
      </w:rPr>
      <w:t>5</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AA" w:rsidRDefault="00CF2ACD" w:rsidP="00EB2B90">
    <w:pPr>
      <w:tabs>
        <w:tab w:val="center" w:pos="4680"/>
      </w:tabs>
    </w:pPr>
    <w:r>
      <w:pict>
        <v:rect id="_x0000_i1031" style="width:480.95pt;height:1pt" o:hralign="center" o:hrstd="t" o:hrnoshade="t" o:hr="t" fillcolor="black [3213]" stroked="f"/>
      </w:pict>
    </w:r>
  </w:p>
  <w:p w:rsidR="00B353AA" w:rsidRPr="0031432F" w:rsidRDefault="00B353AA" w:rsidP="00EB2B90">
    <w:pPr>
      <w:tabs>
        <w:tab w:val="center" w:pos="4680"/>
      </w:tabs>
    </w:pPr>
    <w:r>
      <w:tab/>
      <w:t xml:space="preserve">- </w:t>
    </w:r>
    <w:r>
      <w:fldChar w:fldCharType="begin"/>
    </w:r>
    <w:r>
      <w:instrText xml:space="preserve"> PAGE   \* MERGEFORMAT </w:instrText>
    </w:r>
    <w:r>
      <w:fldChar w:fldCharType="separate"/>
    </w:r>
    <w:r w:rsidR="00CF2ACD">
      <w:rPr>
        <w:noProof/>
      </w:rPr>
      <w:t>2</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AA" w:rsidRDefault="00B353A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B353AA" w:rsidRDefault="00B353A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B353AA" w:rsidRDefault="00B353AA">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AA" w:rsidRDefault="00CF2ACD" w:rsidP="0022323B">
    <w:r>
      <w:pict>
        <v:rect id="_x0000_i1043" style="width:480.95pt;height:1pt" o:hralign="center" o:hrstd="t" o:hrnoshade="t" o:hr="t" fillcolor="black [3213]" stroked="f"/>
      </w:pict>
    </w:r>
  </w:p>
  <w:p w:rsidR="00B353AA" w:rsidRDefault="00B353AA">
    <w:pPr>
      <w:tabs>
        <w:tab w:val="center" w:pos="4740"/>
      </w:tabs>
      <w:spacing w:line="0" w:lineRule="atLeast"/>
    </w:pPr>
    <w:r>
      <w:tab/>
      <w:t xml:space="preserve">- </w:t>
    </w:r>
    <w:r>
      <w:fldChar w:fldCharType="begin"/>
    </w:r>
    <w:r>
      <w:instrText xml:space="preserve"> PAGE   \* MERGEFORMAT </w:instrText>
    </w:r>
    <w:r>
      <w:fldChar w:fldCharType="separate"/>
    </w:r>
    <w:r w:rsidR="00CF2ACD">
      <w:rPr>
        <w:noProof/>
      </w:rPr>
      <w:t>12</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AA" w:rsidRDefault="00CF2ACD" w:rsidP="0022323B">
    <w:r>
      <w:pict>
        <v:rect id="_x0000_i1044" style="width:480.95pt;height:1pt" o:hralign="center" o:hrstd="t" o:hrnoshade="t" o:hr="t" fillcolor="black [3213]" stroked="f"/>
      </w:pict>
    </w:r>
  </w:p>
  <w:p w:rsidR="00B353AA" w:rsidRDefault="00B353AA" w:rsidP="0022323B">
    <w:pPr>
      <w:tabs>
        <w:tab w:val="center" w:pos="4740"/>
      </w:tabs>
      <w:spacing w:line="0" w:lineRule="atLeast"/>
    </w:pPr>
    <w:r>
      <w:tab/>
      <w:t xml:space="preserve">- </w:t>
    </w:r>
    <w:r>
      <w:fldChar w:fldCharType="begin"/>
    </w:r>
    <w:r>
      <w:instrText xml:space="preserve"> PAGE   \* MERGEFORMAT </w:instrText>
    </w:r>
    <w:r>
      <w:fldChar w:fldCharType="separate"/>
    </w:r>
    <w:r w:rsidR="00CF2ACD">
      <w:rPr>
        <w:noProof/>
      </w:rPr>
      <w:t>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AA" w:rsidRPr="00924065" w:rsidRDefault="00B353AA"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3AA" w:rsidRDefault="00B353AA" w:rsidP="00A87207">
      <w:r>
        <w:separator/>
      </w:r>
    </w:p>
  </w:footnote>
  <w:footnote w:type="continuationSeparator" w:id="0">
    <w:p w:rsidR="00B353AA" w:rsidRDefault="00B353A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353AA" w:rsidRPr="0044776A" w:rsidTr="00245129">
      <w:tc>
        <w:tcPr>
          <w:tcW w:w="4290" w:type="dxa"/>
          <w:tcMar>
            <w:left w:w="0" w:type="dxa"/>
            <w:right w:w="0" w:type="dxa"/>
          </w:tcMar>
        </w:tcPr>
        <w:p w:rsidR="00B353AA" w:rsidRPr="00D31809" w:rsidRDefault="00B353AA" w:rsidP="00D31809">
          <w:pPr>
            <w:keepNext/>
            <w:keepLines/>
            <w:rPr>
              <w:sz w:val="20"/>
              <w:szCs w:val="20"/>
              <w:lang w:val="en-US"/>
            </w:rPr>
          </w:pPr>
          <w:r w:rsidRPr="00D31809">
            <w:rPr>
              <w:sz w:val="20"/>
              <w:szCs w:val="20"/>
              <w:lang w:val="en-US"/>
            </w:rPr>
            <w:t>Applications for leave to appeal filed</w:t>
          </w:r>
        </w:p>
        <w:p w:rsidR="00B353AA" w:rsidRPr="00D31809" w:rsidRDefault="00B353AA" w:rsidP="00D31809">
          <w:pPr>
            <w:keepNext/>
            <w:keepLines/>
            <w:rPr>
              <w:sz w:val="20"/>
              <w:szCs w:val="20"/>
            </w:rPr>
          </w:pPr>
        </w:p>
      </w:tc>
      <w:tc>
        <w:tcPr>
          <w:tcW w:w="1200" w:type="dxa"/>
          <w:tcMar>
            <w:left w:w="0" w:type="dxa"/>
            <w:right w:w="0" w:type="dxa"/>
          </w:tcMar>
        </w:tcPr>
        <w:p w:rsidR="00B353AA" w:rsidRPr="00D31809" w:rsidRDefault="00B353AA" w:rsidP="002E2327">
          <w:pPr>
            <w:keepNext/>
            <w:keepLines/>
            <w:tabs>
              <w:tab w:val="left" w:pos="-1440"/>
              <w:tab w:val="left" w:pos="-720"/>
            </w:tabs>
            <w:jc w:val="center"/>
            <w:rPr>
              <w:sz w:val="20"/>
              <w:szCs w:val="20"/>
            </w:rPr>
          </w:pPr>
        </w:p>
      </w:tc>
      <w:tc>
        <w:tcPr>
          <w:tcW w:w="4320" w:type="dxa"/>
          <w:tcMar>
            <w:left w:w="0" w:type="dxa"/>
            <w:right w:w="0" w:type="dxa"/>
          </w:tcMar>
        </w:tcPr>
        <w:p w:rsidR="00B353AA" w:rsidRPr="00D31809" w:rsidRDefault="00B353AA" w:rsidP="002E2327">
          <w:pPr>
            <w:keepLines/>
            <w:rPr>
              <w:sz w:val="20"/>
              <w:szCs w:val="20"/>
              <w:lang w:val="fr-CA"/>
            </w:rPr>
          </w:pPr>
          <w:r w:rsidRPr="00D31809">
            <w:rPr>
              <w:sz w:val="20"/>
              <w:szCs w:val="20"/>
              <w:lang w:val="fr-CA"/>
            </w:rPr>
            <w:t>Demandes d’autorisation d’appel déposées</w:t>
          </w:r>
        </w:p>
      </w:tc>
    </w:tr>
  </w:tbl>
  <w:p w:rsidR="00B353AA" w:rsidRDefault="00B35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AA" w:rsidRDefault="00B35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353AA">
      <w:tc>
        <w:tcPr>
          <w:tcW w:w="4230" w:type="dxa"/>
          <w:tcMar>
            <w:left w:w="0" w:type="dxa"/>
            <w:right w:w="0" w:type="dxa"/>
          </w:tcMar>
        </w:tcPr>
        <w:p w:rsidR="00B353AA" w:rsidRDefault="00B353A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353AA" w:rsidRDefault="00B353A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353AA" w:rsidRDefault="00B353A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353AA">
      <w:trPr>
        <w:gridAfter w:val="2"/>
        <w:wAfter w:w="5250" w:type="dxa"/>
      </w:trPr>
      <w:tc>
        <w:tcPr>
          <w:tcW w:w="4230" w:type="dxa"/>
          <w:tcMar>
            <w:left w:w="0" w:type="dxa"/>
            <w:right w:w="0" w:type="dxa"/>
          </w:tcMar>
        </w:tcPr>
        <w:p w:rsidR="00B353AA" w:rsidRDefault="00B353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353AA" w:rsidRDefault="00B353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353AA" w:rsidRPr="00755F22" w:rsidTr="00245129">
      <w:tc>
        <w:tcPr>
          <w:tcW w:w="4230" w:type="dxa"/>
          <w:tcMar>
            <w:left w:w="0" w:type="dxa"/>
            <w:right w:w="0" w:type="dxa"/>
          </w:tcMar>
        </w:tcPr>
        <w:p w:rsidR="00B353AA" w:rsidRPr="00755F22" w:rsidRDefault="00B353AA" w:rsidP="00831CA9">
          <w:pPr>
            <w:keepNext/>
            <w:keepLines/>
            <w:rPr>
              <w:sz w:val="20"/>
              <w:szCs w:val="20"/>
            </w:rPr>
          </w:pPr>
          <w:r w:rsidRPr="00755F22">
            <w:rPr>
              <w:sz w:val="20"/>
              <w:szCs w:val="20"/>
            </w:rPr>
            <w:t>Motions</w:t>
          </w:r>
        </w:p>
      </w:tc>
      <w:tc>
        <w:tcPr>
          <w:tcW w:w="1170" w:type="dxa"/>
          <w:tcMar>
            <w:left w:w="0" w:type="dxa"/>
            <w:right w:w="0" w:type="dxa"/>
          </w:tcMar>
        </w:tcPr>
        <w:p w:rsidR="00B353AA" w:rsidRPr="00755F22" w:rsidRDefault="00B353AA" w:rsidP="00831CA9">
          <w:pPr>
            <w:keepLines/>
            <w:jc w:val="center"/>
            <w:rPr>
              <w:sz w:val="20"/>
              <w:szCs w:val="20"/>
            </w:rPr>
          </w:pPr>
        </w:p>
        <w:p w:rsidR="00B353AA" w:rsidRPr="00755F22" w:rsidRDefault="00B353AA" w:rsidP="00831CA9">
          <w:pPr>
            <w:keepLines/>
            <w:tabs>
              <w:tab w:val="left" w:pos="-1440"/>
              <w:tab w:val="left" w:pos="-720"/>
            </w:tabs>
            <w:jc w:val="center"/>
            <w:rPr>
              <w:sz w:val="20"/>
              <w:szCs w:val="20"/>
            </w:rPr>
          </w:pPr>
        </w:p>
      </w:tc>
      <w:tc>
        <w:tcPr>
          <w:tcW w:w="4080" w:type="dxa"/>
          <w:tcMar>
            <w:left w:w="0" w:type="dxa"/>
            <w:right w:w="0" w:type="dxa"/>
          </w:tcMar>
        </w:tcPr>
        <w:p w:rsidR="00B353AA" w:rsidRPr="00BA6468" w:rsidRDefault="00B353AA" w:rsidP="00BA6468">
          <w:pPr>
            <w:keepLines/>
            <w:rPr>
              <w:sz w:val="20"/>
              <w:szCs w:val="20"/>
              <w:lang w:val="fr-CA"/>
            </w:rPr>
          </w:pPr>
          <w:r w:rsidRPr="00BA6468">
            <w:rPr>
              <w:sz w:val="20"/>
              <w:szCs w:val="20"/>
              <w:lang w:val="fr-CA"/>
            </w:rPr>
            <w:t>Requêtes</w:t>
          </w:r>
        </w:p>
      </w:tc>
    </w:tr>
  </w:tbl>
  <w:p w:rsidR="00B353AA" w:rsidRDefault="00B353AA" w:rsidP="00831CA9">
    <w:pP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AA" w:rsidRDefault="00B353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353AA">
      <w:tc>
        <w:tcPr>
          <w:tcW w:w="4200" w:type="dxa"/>
          <w:tcMar>
            <w:left w:w="0" w:type="dxa"/>
            <w:right w:w="0" w:type="dxa"/>
          </w:tcMar>
        </w:tcPr>
        <w:p w:rsidR="00B353AA" w:rsidRDefault="00B353A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B353AA" w:rsidRDefault="00B353A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B353AA" w:rsidRDefault="00B353A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B353AA" w:rsidRDefault="00B353AA">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B353AA" w:rsidRDefault="00B353A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B353AA" w:rsidRDefault="00B353A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353AA" w:rsidRPr="00CF2ACD" w:rsidTr="00245129">
      <w:tc>
        <w:tcPr>
          <w:tcW w:w="4200" w:type="dxa"/>
          <w:tcMar>
            <w:left w:w="0" w:type="dxa"/>
            <w:right w:w="0" w:type="dxa"/>
          </w:tcMar>
        </w:tcPr>
        <w:p w:rsidR="00B353AA" w:rsidRPr="00102792" w:rsidRDefault="00B353AA" w:rsidP="00872EF1">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October</w:t>
          </w:r>
          <w:r w:rsidRPr="00102792">
            <w:rPr>
              <w:szCs w:val="24"/>
            </w:rPr>
            <w:t xml:space="preserve"> 20</w:t>
          </w:r>
          <w:r>
            <w:rPr>
              <w:szCs w:val="24"/>
            </w:rPr>
            <w:t>22</w:t>
          </w:r>
        </w:p>
      </w:tc>
      <w:tc>
        <w:tcPr>
          <w:tcW w:w="1200" w:type="dxa"/>
          <w:tcMar>
            <w:left w:w="0" w:type="dxa"/>
            <w:right w:w="0" w:type="dxa"/>
          </w:tcMar>
        </w:tcPr>
        <w:p w:rsidR="00B353AA" w:rsidRDefault="00B353AA" w:rsidP="00102792">
          <w:pPr>
            <w:keepNext/>
            <w:keepLines/>
            <w:jc w:val="center"/>
            <w:rPr>
              <w:szCs w:val="24"/>
            </w:rPr>
          </w:pPr>
        </w:p>
        <w:p w:rsidR="00B353AA" w:rsidRPr="00102792" w:rsidRDefault="00B353AA" w:rsidP="00102792">
          <w:pPr>
            <w:keepNext/>
            <w:keepLines/>
            <w:jc w:val="center"/>
            <w:rPr>
              <w:szCs w:val="24"/>
            </w:rPr>
          </w:pPr>
        </w:p>
        <w:p w:rsidR="00B353AA" w:rsidRPr="00102792" w:rsidRDefault="00B353AA" w:rsidP="00102792">
          <w:pPr>
            <w:keepNext/>
            <w:keepLines/>
            <w:jc w:val="center"/>
            <w:rPr>
              <w:szCs w:val="24"/>
            </w:rPr>
          </w:pPr>
        </w:p>
      </w:tc>
      <w:tc>
        <w:tcPr>
          <w:tcW w:w="4080" w:type="dxa"/>
          <w:tcMar>
            <w:left w:w="0" w:type="dxa"/>
            <w:right w:w="0" w:type="dxa"/>
          </w:tcMar>
        </w:tcPr>
        <w:p w:rsidR="00B353AA" w:rsidRPr="00102792" w:rsidRDefault="00B353AA" w:rsidP="00872EF1">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’octobre</w:t>
          </w:r>
          <w:r w:rsidRPr="00102792">
            <w:rPr>
              <w:szCs w:val="24"/>
              <w:lang w:val="fr-CA"/>
            </w:rPr>
            <w:t xml:space="preserve"> 20</w:t>
          </w:r>
          <w:r>
            <w:rPr>
              <w:szCs w:val="24"/>
              <w:lang w:val="fr-CA"/>
            </w:rPr>
            <w:t>22</w:t>
          </w:r>
        </w:p>
      </w:tc>
    </w:tr>
  </w:tbl>
  <w:p w:rsidR="00B353AA" w:rsidRPr="00567602" w:rsidRDefault="00B353AA"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AA" w:rsidRDefault="00B353A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AA" w:rsidRDefault="00B35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45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8C"/>
    <w:rsid w:val="00002704"/>
    <w:rsid w:val="00020DC3"/>
    <w:rsid w:val="0003223B"/>
    <w:rsid w:val="000327B2"/>
    <w:rsid w:val="00033A57"/>
    <w:rsid w:val="0004528B"/>
    <w:rsid w:val="00045DE3"/>
    <w:rsid w:val="00064FBA"/>
    <w:rsid w:val="00091BA6"/>
    <w:rsid w:val="00091FA6"/>
    <w:rsid w:val="0009686C"/>
    <w:rsid w:val="00096BD9"/>
    <w:rsid w:val="000A7EB8"/>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18A5"/>
    <w:rsid w:val="001D6B8C"/>
    <w:rsid w:val="001F1F83"/>
    <w:rsid w:val="001F40DF"/>
    <w:rsid w:val="001F43F8"/>
    <w:rsid w:val="001F6B2D"/>
    <w:rsid w:val="002021A9"/>
    <w:rsid w:val="00210FE6"/>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02A"/>
    <w:rsid w:val="00766E4A"/>
    <w:rsid w:val="007820CE"/>
    <w:rsid w:val="00782AE4"/>
    <w:rsid w:val="0079724F"/>
    <w:rsid w:val="007A3EAE"/>
    <w:rsid w:val="007B09D6"/>
    <w:rsid w:val="007B4DFF"/>
    <w:rsid w:val="007C04FC"/>
    <w:rsid w:val="007C3D5F"/>
    <w:rsid w:val="007C3DB0"/>
    <w:rsid w:val="007C47C2"/>
    <w:rsid w:val="007D351F"/>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2EF1"/>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3682"/>
    <w:rsid w:val="009C4E23"/>
    <w:rsid w:val="009D1F15"/>
    <w:rsid w:val="009D555E"/>
    <w:rsid w:val="009F3024"/>
    <w:rsid w:val="009F36A1"/>
    <w:rsid w:val="009F39BA"/>
    <w:rsid w:val="00A0355E"/>
    <w:rsid w:val="00A05694"/>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353AA"/>
    <w:rsid w:val="00B40FD9"/>
    <w:rsid w:val="00B4618C"/>
    <w:rsid w:val="00B4740D"/>
    <w:rsid w:val="00B56A04"/>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D5768"/>
    <w:rsid w:val="00BE34F7"/>
    <w:rsid w:val="00BE5B3E"/>
    <w:rsid w:val="00BF25F3"/>
    <w:rsid w:val="00C01FCB"/>
    <w:rsid w:val="00C1697B"/>
    <w:rsid w:val="00C21644"/>
    <w:rsid w:val="00C21CB5"/>
    <w:rsid w:val="00C257CD"/>
    <w:rsid w:val="00C27015"/>
    <w:rsid w:val="00C306FE"/>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C708C"/>
    <w:rsid w:val="00CE198A"/>
    <w:rsid w:val="00CF08C8"/>
    <w:rsid w:val="00CF2ACD"/>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CaseDescriptor0">
    <w:name w:val="SCC.CaseDescriptor"/>
    <w:basedOn w:val="Normal"/>
    <w:link w:val="SCCCaseDescriptorChar"/>
    <w:qFormat/>
    <w:rsid w:val="00B56A04"/>
    <w:rPr>
      <w:rFonts w:eastAsia="Times New Roman" w:cs="Times New Roman"/>
      <w:b/>
      <w:szCs w:val="20"/>
      <w:lang w:eastAsia="en-CA"/>
    </w:rPr>
  </w:style>
  <w:style w:type="character" w:customStyle="1" w:styleId="SCCCaseDescriptorChar">
    <w:name w:val="SCC.CaseDescriptor Char"/>
    <w:basedOn w:val="DefaultParagraphFont"/>
    <w:link w:val="SCCCaseDescriptor0"/>
    <w:rsid w:val="00B56A04"/>
    <w:rPr>
      <w:rFonts w:eastAsia="Times New Roman" w:cs="Times New Roman"/>
      <w:b/>
      <w:szCs w:val="20"/>
      <w:lang w:val="en-CA" w:eastAsia="en-CA"/>
    </w:rPr>
  </w:style>
  <w:style w:type="paragraph" w:customStyle="1" w:styleId="mainparagraph">
    <w:name w:val="mainparagraph"/>
    <w:basedOn w:val="Normal"/>
    <w:rsid w:val="00B56A04"/>
    <w:pPr>
      <w:spacing w:before="100" w:beforeAutospacing="1" w:after="100" w:afterAutospacing="1"/>
    </w:pPr>
    <w:rPr>
      <w:rFonts w:eastAsia="Times New Roman" w:cs="Times New Roman"/>
      <w:szCs w:val="24"/>
      <w:lang w:val="en-US"/>
    </w:rPr>
  </w:style>
  <w:style w:type="paragraph" w:customStyle="1" w:styleId="scclsocparty1">
    <w:name w:val="scclsocparty1"/>
    <w:basedOn w:val="Normal"/>
    <w:rsid w:val="00B353AA"/>
    <w:pPr>
      <w:jc w:val="center"/>
    </w:pPr>
    <w:rPr>
      <w:rFonts w:eastAsia="Times New Roman" w:cs="Times New Roman"/>
      <w:szCs w:val="24"/>
      <w:lang w:val="en-US"/>
    </w:rPr>
  </w:style>
  <w:style w:type="paragraph" w:customStyle="1" w:styleId="SCCBanSummary0">
    <w:name w:val="SCC.BanSummary"/>
    <w:basedOn w:val="Normal"/>
    <w:next w:val="Normal"/>
    <w:link w:val="SCCBanSummaryChar"/>
    <w:rsid w:val="000A7EB8"/>
    <w:pPr>
      <w:jc w:val="both"/>
    </w:pPr>
    <w:rPr>
      <w:rFonts w:eastAsia="Calibri" w:cs="Times New Roman"/>
      <w:smallCaps/>
    </w:rPr>
  </w:style>
  <w:style w:type="character" w:customStyle="1" w:styleId="SCCBanSummaryChar">
    <w:name w:val="SCC.BanSummary Char"/>
    <w:link w:val="SCCBanSummary0"/>
    <w:rsid w:val="000A7EB8"/>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scc-csc.ca/case-dossier/info/sum-som-eng.aspx?cas=3963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scc-csc.ca/case-dossier/info/sum-som-eng.aspx?cas=40045"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cc-csc.ca/case-dossier/info/sum-som-eng.aspx?cas=39754" TargetMode="Externa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scc-csc.ca/case-dossier/info/sum-som-eng.aspx?cas=39796" TargetMode="External"/><Relationship Id="rId28" Type="http://schemas.openxmlformats.org/officeDocument/2006/relationships/footer" Target="footer6.xml"/><Relationship Id="rId10" Type="http://schemas.openxmlformats.org/officeDocument/2006/relationships/hyperlink" Target="https://www.scc-csc.ca" TargetMode="External"/><Relationship Id="rId19" Type="http://schemas.openxmlformats.org/officeDocument/2006/relationships/header" Target="head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scc-csc.ca/case-dossier/info/sum-som-eng.aspx?cas=39749" TargetMode="Externa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0D4B-AA83-4B1D-8E5E-8C98BA07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15</Pages>
  <Words>6460</Words>
  <Characters>36823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2022-09-02T14:22:00Z</dcterms:created>
  <dcterms:modified xsi:type="dcterms:W3CDTF">2022-10-07T18:40:00Z</dcterms:modified>
</cp:coreProperties>
</file>