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506748" w:rsidTr="00F138C1">
        <w:tc>
          <w:tcPr>
            <w:tcW w:w="9648" w:type="dxa"/>
            <w:gridSpan w:val="3"/>
          </w:tcPr>
          <w:p w:rsidR="008C2D9E" w:rsidRPr="00506748" w:rsidRDefault="008C2D9E" w:rsidP="00F138C1">
            <w:pPr>
              <w:tabs>
                <w:tab w:val="left" w:pos="6075"/>
              </w:tabs>
              <w:jc w:val="center"/>
              <w:rPr>
                <w:b/>
                <w:sz w:val="32"/>
                <w:szCs w:val="32"/>
                <w:lang w:val="fr-CA"/>
              </w:rPr>
            </w:pPr>
            <w:r w:rsidRPr="00506748">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506748" w:rsidRDefault="008C2D9E" w:rsidP="00F138C1">
            <w:pPr>
              <w:tabs>
                <w:tab w:val="left" w:pos="6075"/>
              </w:tabs>
              <w:jc w:val="center"/>
              <w:rPr>
                <w:b/>
                <w:sz w:val="32"/>
                <w:szCs w:val="32"/>
                <w:lang w:val="fr-CA"/>
              </w:rPr>
            </w:pPr>
          </w:p>
        </w:tc>
      </w:tr>
      <w:tr w:rsidR="00F138C1" w:rsidRPr="00506748" w:rsidTr="00F138C1">
        <w:tc>
          <w:tcPr>
            <w:tcW w:w="4599" w:type="dxa"/>
            <w:tcMar>
              <w:top w:w="284" w:type="dxa"/>
            </w:tcMar>
          </w:tcPr>
          <w:p w:rsidR="00F138C1" w:rsidRPr="00506748" w:rsidRDefault="00F138C1" w:rsidP="00F138C1">
            <w:pPr>
              <w:tabs>
                <w:tab w:val="left" w:pos="6075"/>
              </w:tabs>
              <w:jc w:val="center"/>
              <w:rPr>
                <w:b/>
                <w:sz w:val="32"/>
                <w:szCs w:val="32"/>
              </w:rPr>
            </w:pPr>
            <w:r w:rsidRPr="00506748">
              <w:rPr>
                <w:b/>
                <w:sz w:val="32"/>
                <w:szCs w:val="32"/>
              </w:rPr>
              <w:t>SUPREME COURT OF CANADA</w:t>
            </w:r>
          </w:p>
        </w:tc>
        <w:tc>
          <w:tcPr>
            <w:tcW w:w="483" w:type="dxa"/>
          </w:tcPr>
          <w:p w:rsidR="00F138C1" w:rsidRPr="00506748" w:rsidRDefault="00F138C1" w:rsidP="00F138C1">
            <w:pPr>
              <w:tabs>
                <w:tab w:val="left" w:pos="6075"/>
              </w:tabs>
              <w:jc w:val="center"/>
              <w:rPr>
                <w:sz w:val="32"/>
                <w:szCs w:val="32"/>
              </w:rPr>
            </w:pPr>
          </w:p>
        </w:tc>
        <w:tc>
          <w:tcPr>
            <w:tcW w:w="4566" w:type="dxa"/>
            <w:tcMar>
              <w:top w:w="284" w:type="dxa"/>
            </w:tcMar>
          </w:tcPr>
          <w:p w:rsidR="00F138C1" w:rsidRPr="00506748" w:rsidRDefault="00F138C1" w:rsidP="00F138C1">
            <w:pPr>
              <w:tabs>
                <w:tab w:val="left" w:pos="6075"/>
              </w:tabs>
              <w:jc w:val="center"/>
              <w:rPr>
                <w:b/>
                <w:sz w:val="32"/>
                <w:szCs w:val="32"/>
                <w:lang w:val="fr-CA"/>
              </w:rPr>
            </w:pPr>
            <w:r w:rsidRPr="00506748">
              <w:rPr>
                <w:b/>
                <w:sz w:val="32"/>
                <w:szCs w:val="32"/>
                <w:lang w:val="fr-CA"/>
              </w:rPr>
              <w:t>COUR SUPRÊME DU CANADA</w:t>
            </w:r>
          </w:p>
        </w:tc>
      </w:tr>
      <w:tr w:rsidR="00F138C1" w:rsidRPr="00506748" w:rsidTr="00F138C1">
        <w:tc>
          <w:tcPr>
            <w:tcW w:w="4599" w:type="dxa"/>
            <w:tcMar>
              <w:top w:w="567" w:type="dxa"/>
            </w:tcMar>
          </w:tcPr>
          <w:p w:rsidR="00F138C1" w:rsidRPr="00506748" w:rsidRDefault="00F138C1" w:rsidP="00F138C1">
            <w:pPr>
              <w:tabs>
                <w:tab w:val="left" w:pos="6075"/>
              </w:tabs>
              <w:jc w:val="center"/>
              <w:rPr>
                <w:sz w:val="28"/>
                <w:szCs w:val="28"/>
              </w:rPr>
            </w:pPr>
            <w:r w:rsidRPr="00506748">
              <w:rPr>
                <w:sz w:val="28"/>
                <w:szCs w:val="28"/>
              </w:rPr>
              <w:t>BULLETIN OF</w:t>
            </w:r>
            <w:r w:rsidRPr="00506748">
              <w:rPr>
                <w:sz w:val="28"/>
                <w:szCs w:val="28"/>
              </w:rPr>
              <w:br/>
              <w:t xml:space="preserve"> PROCEEDINGS</w:t>
            </w:r>
          </w:p>
        </w:tc>
        <w:tc>
          <w:tcPr>
            <w:tcW w:w="483" w:type="dxa"/>
          </w:tcPr>
          <w:p w:rsidR="00F138C1" w:rsidRPr="00506748" w:rsidRDefault="00F138C1" w:rsidP="00F138C1">
            <w:pPr>
              <w:tabs>
                <w:tab w:val="left" w:pos="6075"/>
              </w:tabs>
            </w:pPr>
          </w:p>
        </w:tc>
        <w:tc>
          <w:tcPr>
            <w:tcW w:w="4566" w:type="dxa"/>
            <w:tcMar>
              <w:top w:w="567" w:type="dxa"/>
            </w:tcMar>
          </w:tcPr>
          <w:p w:rsidR="00F138C1" w:rsidRPr="00506748" w:rsidRDefault="00F138C1" w:rsidP="00F138C1">
            <w:pPr>
              <w:tabs>
                <w:tab w:val="left" w:pos="6075"/>
              </w:tabs>
              <w:jc w:val="center"/>
              <w:rPr>
                <w:sz w:val="28"/>
                <w:szCs w:val="28"/>
                <w:lang w:val="fr-CA"/>
              </w:rPr>
            </w:pPr>
            <w:r w:rsidRPr="00506748">
              <w:rPr>
                <w:sz w:val="28"/>
                <w:szCs w:val="28"/>
                <w:lang w:val="fr-CA"/>
              </w:rPr>
              <w:t>BULLETIN DES</w:t>
            </w:r>
            <w:r w:rsidRPr="00506748">
              <w:rPr>
                <w:sz w:val="28"/>
                <w:szCs w:val="28"/>
                <w:lang w:val="fr-CA"/>
              </w:rPr>
              <w:br/>
              <w:t xml:space="preserve"> PROCÉDURES</w:t>
            </w:r>
          </w:p>
        </w:tc>
      </w:tr>
      <w:tr w:rsidR="00F138C1" w:rsidRPr="00C9268A" w:rsidTr="00F138C1">
        <w:tc>
          <w:tcPr>
            <w:tcW w:w="4599" w:type="dxa"/>
            <w:tcMar>
              <w:top w:w="567" w:type="dxa"/>
            </w:tcMar>
          </w:tcPr>
          <w:p w:rsidR="00F138C1" w:rsidRPr="00506748" w:rsidRDefault="00F138C1" w:rsidP="00F138C1">
            <w:pPr>
              <w:tabs>
                <w:tab w:val="left" w:pos="6075"/>
              </w:tabs>
              <w:jc w:val="both"/>
              <w:rPr>
                <w:rFonts w:ascii="Arial" w:hAnsi="Arial" w:cs="Arial"/>
                <w:i/>
                <w:sz w:val="20"/>
                <w:szCs w:val="20"/>
              </w:rPr>
            </w:pPr>
            <w:r w:rsidRPr="0050674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50674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06748" w:rsidRDefault="00F138C1" w:rsidP="00F138C1">
            <w:pPr>
              <w:tabs>
                <w:tab w:val="left" w:pos="6075"/>
              </w:tabs>
              <w:jc w:val="both"/>
              <w:rPr>
                <w:rFonts w:ascii="Arial" w:hAnsi="Arial" w:cs="Arial"/>
                <w:i/>
                <w:sz w:val="20"/>
                <w:szCs w:val="20"/>
                <w:lang w:val="fr-CA"/>
              </w:rPr>
            </w:pPr>
            <w:r w:rsidRPr="0050674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C9268A" w:rsidTr="00F138C1">
        <w:tc>
          <w:tcPr>
            <w:tcW w:w="4599" w:type="dxa"/>
            <w:tcMar>
              <w:top w:w="567" w:type="dxa"/>
            </w:tcMar>
          </w:tcPr>
          <w:p w:rsidR="00F138C1" w:rsidRPr="00506748" w:rsidRDefault="00F138C1" w:rsidP="00F138C1">
            <w:pPr>
              <w:tabs>
                <w:tab w:val="left" w:pos="6075"/>
              </w:tabs>
              <w:jc w:val="both"/>
              <w:rPr>
                <w:rFonts w:ascii="Arial" w:hAnsi="Arial" w:cs="Arial"/>
                <w:i/>
                <w:sz w:val="20"/>
                <w:szCs w:val="20"/>
              </w:rPr>
            </w:pPr>
            <w:r w:rsidRPr="00506748">
              <w:rPr>
                <w:rFonts w:ascii="Arial" w:hAnsi="Arial" w:cs="Arial"/>
                <w:i/>
                <w:sz w:val="20"/>
                <w:szCs w:val="20"/>
              </w:rPr>
              <w:t>During Court sessions, the Bulletin is usually issued weekly.</w:t>
            </w:r>
          </w:p>
        </w:tc>
        <w:tc>
          <w:tcPr>
            <w:tcW w:w="483" w:type="dxa"/>
          </w:tcPr>
          <w:p w:rsidR="00F138C1" w:rsidRPr="0050674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06748" w:rsidRDefault="00F138C1" w:rsidP="00F138C1">
            <w:pPr>
              <w:tabs>
                <w:tab w:val="left" w:pos="6075"/>
              </w:tabs>
              <w:jc w:val="both"/>
              <w:rPr>
                <w:rFonts w:ascii="Arial" w:hAnsi="Arial" w:cs="Arial"/>
                <w:i/>
                <w:sz w:val="20"/>
                <w:szCs w:val="20"/>
                <w:lang w:val="fr-CA"/>
              </w:rPr>
            </w:pPr>
            <w:r w:rsidRPr="00506748">
              <w:rPr>
                <w:rFonts w:ascii="Arial" w:hAnsi="Arial" w:cs="Arial"/>
                <w:i/>
                <w:sz w:val="20"/>
                <w:szCs w:val="20"/>
                <w:lang w:val="fr-CA"/>
              </w:rPr>
              <w:t>Le Bulletin paraît en principe toutes les semaines pendant les sessions de la Cour.</w:t>
            </w:r>
          </w:p>
        </w:tc>
      </w:tr>
      <w:tr w:rsidR="00F138C1" w:rsidRPr="00C9268A" w:rsidTr="00F138C1">
        <w:tc>
          <w:tcPr>
            <w:tcW w:w="4599" w:type="dxa"/>
            <w:tcMar>
              <w:top w:w="567" w:type="dxa"/>
            </w:tcMar>
          </w:tcPr>
          <w:p w:rsidR="00F138C1" w:rsidRPr="00506748" w:rsidRDefault="00F138C1" w:rsidP="00F138C1">
            <w:pPr>
              <w:tabs>
                <w:tab w:val="left" w:pos="6075"/>
              </w:tabs>
              <w:jc w:val="both"/>
              <w:rPr>
                <w:rFonts w:ascii="Arial" w:hAnsi="Arial" w:cs="Arial"/>
                <w:i/>
                <w:sz w:val="20"/>
                <w:szCs w:val="20"/>
              </w:rPr>
            </w:pPr>
            <w:r w:rsidRPr="00506748">
              <w:rPr>
                <w:rFonts w:ascii="Arial" w:hAnsi="Arial" w:cs="Arial"/>
                <w:i/>
                <w:sz w:val="20"/>
                <w:szCs w:val="20"/>
              </w:rPr>
              <w:fldChar w:fldCharType="begin"/>
            </w:r>
            <w:r w:rsidRPr="00506748">
              <w:rPr>
                <w:rFonts w:ascii="Arial" w:hAnsi="Arial" w:cs="Arial"/>
                <w:i/>
                <w:sz w:val="20"/>
                <w:szCs w:val="20"/>
              </w:rPr>
              <w:instrText xml:space="preserve"> SEQ CHAPTER \h \r 1</w:instrText>
            </w:r>
            <w:r w:rsidRPr="00506748">
              <w:rPr>
                <w:rFonts w:ascii="Arial" w:hAnsi="Arial" w:cs="Arial"/>
                <w:i/>
                <w:sz w:val="20"/>
                <w:szCs w:val="20"/>
              </w:rPr>
              <w:fldChar w:fldCharType="end"/>
            </w:r>
            <w:r w:rsidRPr="0050674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50674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06748" w:rsidRDefault="00F138C1" w:rsidP="00F138C1">
            <w:pPr>
              <w:tabs>
                <w:tab w:val="left" w:pos="6075"/>
              </w:tabs>
              <w:jc w:val="both"/>
              <w:rPr>
                <w:rFonts w:ascii="Arial" w:hAnsi="Arial" w:cs="Arial"/>
                <w:i/>
                <w:sz w:val="20"/>
                <w:szCs w:val="20"/>
                <w:lang w:val="fr-CA"/>
              </w:rPr>
            </w:pPr>
            <w:r w:rsidRPr="00506748">
              <w:rPr>
                <w:rFonts w:ascii="Arial" w:hAnsi="Arial" w:cs="Arial"/>
                <w:i/>
                <w:sz w:val="20"/>
                <w:szCs w:val="20"/>
                <w:lang w:val="fr-CA"/>
              </w:rPr>
              <w:fldChar w:fldCharType="begin"/>
            </w:r>
            <w:r w:rsidRPr="00506748">
              <w:rPr>
                <w:rFonts w:ascii="Arial" w:hAnsi="Arial" w:cs="Arial"/>
                <w:i/>
                <w:sz w:val="20"/>
                <w:szCs w:val="20"/>
                <w:lang w:val="fr-CA"/>
              </w:rPr>
              <w:instrText xml:space="preserve"> SEQ CHAPTER \h \r 1</w:instrText>
            </w:r>
            <w:r w:rsidRPr="00506748">
              <w:rPr>
                <w:rFonts w:ascii="Arial" w:hAnsi="Arial" w:cs="Arial"/>
                <w:i/>
                <w:sz w:val="20"/>
                <w:szCs w:val="20"/>
                <w:lang w:val="fr-CA"/>
              </w:rPr>
              <w:fldChar w:fldCharType="end"/>
            </w:r>
            <w:r w:rsidRPr="0050674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C9268A" w:rsidTr="00F138C1">
        <w:tc>
          <w:tcPr>
            <w:tcW w:w="4599" w:type="dxa"/>
            <w:tcMar>
              <w:top w:w="567" w:type="dxa"/>
            </w:tcMar>
          </w:tcPr>
          <w:p w:rsidR="00F138C1" w:rsidRPr="00506748" w:rsidRDefault="00F138C1" w:rsidP="00F138C1">
            <w:pPr>
              <w:tabs>
                <w:tab w:val="left" w:pos="6075"/>
              </w:tabs>
              <w:jc w:val="both"/>
              <w:rPr>
                <w:rFonts w:ascii="Arial" w:hAnsi="Arial" w:cs="Arial"/>
                <w:i/>
                <w:sz w:val="20"/>
                <w:szCs w:val="20"/>
              </w:rPr>
            </w:pPr>
            <w:r w:rsidRPr="00506748">
              <w:rPr>
                <w:rFonts w:ascii="Arial" w:hAnsi="Arial" w:cs="Arial"/>
                <w:i/>
                <w:sz w:val="20"/>
                <w:szCs w:val="20"/>
                <w:lang w:val="en-US"/>
              </w:rPr>
              <w:t>Please c</w:t>
            </w:r>
            <w:r w:rsidRPr="00506748">
              <w:rPr>
                <w:rFonts w:ascii="Arial" w:hAnsi="Arial" w:cs="Arial"/>
                <w:i/>
                <w:sz w:val="20"/>
                <w:szCs w:val="20"/>
              </w:rPr>
              <w:t xml:space="preserve">onsult the Supreme Court of Canada website at </w:t>
            </w:r>
            <w:hyperlink r:id="rId9" w:history="1">
              <w:r w:rsidRPr="00506748">
                <w:rPr>
                  <w:rStyle w:val="Hyperlink"/>
                  <w:rFonts w:ascii="Arial" w:hAnsi="Arial" w:cs="Arial"/>
                  <w:i/>
                  <w:sz w:val="20"/>
                  <w:szCs w:val="20"/>
                </w:rPr>
                <w:t>www.scc-csc.ca</w:t>
              </w:r>
            </w:hyperlink>
            <w:r w:rsidRPr="00506748">
              <w:rPr>
                <w:rFonts w:ascii="Arial" w:hAnsi="Arial" w:cs="Arial"/>
                <w:i/>
                <w:sz w:val="20"/>
                <w:szCs w:val="20"/>
              </w:rPr>
              <w:t xml:space="preserve"> for more information.</w:t>
            </w:r>
          </w:p>
        </w:tc>
        <w:tc>
          <w:tcPr>
            <w:tcW w:w="483" w:type="dxa"/>
          </w:tcPr>
          <w:p w:rsidR="00F138C1" w:rsidRPr="0050674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06748" w:rsidRDefault="00F138C1" w:rsidP="00F138C1">
            <w:pPr>
              <w:tabs>
                <w:tab w:val="left" w:pos="6075"/>
              </w:tabs>
              <w:jc w:val="both"/>
              <w:rPr>
                <w:rFonts w:ascii="Arial" w:hAnsi="Arial" w:cs="Arial"/>
                <w:i/>
                <w:sz w:val="20"/>
                <w:szCs w:val="20"/>
                <w:lang w:val="fr-CA"/>
              </w:rPr>
            </w:pPr>
            <w:r w:rsidRPr="00506748">
              <w:rPr>
                <w:rFonts w:ascii="Arial" w:hAnsi="Arial" w:cs="Arial"/>
                <w:i/>
                <w:sz w:val="20"/>
                <w:szCs w:val="20"/>
                <w:lang w:val="fr-CA"/>
              </w:rPr>
              <w:t xml:space="preserve">Pour de plus amples informations, veuillez consulter le site Web de la Cour suprême du Canada à l’adresse suivante : </w:t>
            </w:r>
            <w:hyperlink r:id="rId10" w:history="1">
              <w:r w:rsidRPr="00506748">
                <w:rPr>
                  <w:rStyle w:val="Hyperlink"/>
                  <w:rFonts w:ascii="Arial" w:hAnsi="Arial" w:cs="Arial"/>
                  <w:i/>
                  <w:sz w:val="20"/>
                  <w:szCs w:val="20"/>
                  <w:lang w:val="fr-CA"/>
                </w:rPr>
                <w:t>www.scc-csc.ca</w:t>
              </w:r>
            </w:hyperlink>
            <w:r w:rsidRPr="00506748">
              <w:rPr>
                <w:rFonts w:ascii="Arial" w:hAnsi="Arial" w:cs="Arial"/>
                <w:i/>
                <w:sz w:val="20"/>
                <w:szCs w:val="20"/>
                <w:lang w:val="fr-CA"/>
              </w:rPr>
              <w:t xml:space="preserve"> </w:t>
            </w:r>
          </w:p>
        </w:tc>
      </w:tr>
    </w:tbl>
    <w:p w:rsidR="00F138C1" w:rsidRPr="00506748"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506748" w:rsidTr="00F138C1">
        <w:tc>
          <w:tcPr>
            <w:tcW w:w="2250" w:type="pct"/>
            <w:tcBorders>
              <w:top w:val="single" w:sz="4" w:space="0" w:color="auto"/>
            </w:tcBorders>
            <w:tcMar>
              <w:top w:w="284" w:type="dxa"/>
              <w:bottom w:w="284" w:type="dxa"/>
            </w:tcMar>
          </w:tcPr>
          <w:p w:rsidR="00F138C1" w:rsidRPr="00506748" w:rsidRDefault="004268D2" w:rsidP="00892497">
            <w:pPr>
              <w:tabs>
                <w:tab w:val="left" w:pos="6075"/>
              </w:tabs>
              <w:rPr>
                <w:rFonts w:ascii="Arial" w:hAnsi="Arial" w:cs="Arial"/>
                <w:i/>
                <w:sz w:val="20"/>
                <w:szCs w:val="20"/>
              </w:rPr>
            </w:pPr>
            <w:r w:rsidRPr="00506748">
              <w:rPr>
                <w:lang w:val="fr-CA"/>
              </w:rPr>
              <w:t>November</w:t>
            </w:r>
            <w:r w:rsidR="00F138C1" w:rsidRPr="00506748">
              <w:rPr>
                <w:lang w:val="fr-CA"/>
              </w:rPr>
              <w:t xml:space="preserve"> </w:t>
            </w:r>
            <w:r w:rsidRPr="00506748">
              <w:rPr>
                <w:lang w:val="fr-CA"/>
              </w:rPr>
              <w:t>1</w:t>
            </w:r>
            <w:r w:rsidR="00892497" w:rsidRPr="00506748">
              <w:rPr>
                <w:lang w:val="fr-CA"/>
              </w:rPr>
              <w:t>8</w:t>
            </w:r>
            <w:r w:rsidR="00F138C1" w:rsidRPr="00506748">
              <w:rPr>
                <w:lang w:val="fr-CA"/>
              </w:rPr>
              <w:t>, 20</w:t>
            </w:r>
            <w:r w:rsidR="009B36BA" w:rsidRPr="00506748">
              <w:rPr>
                <w:lang w:val="fr-CA"/>
              </w:rPr>
              <w:t>2</w:t>
            </w:r>
            <w:r w:rsidR="00E8642A" w:rsidRPr="00506748">
              <w:rPr>
                <w:lang w:val="fr-CA"/>
              </w:rPr>
              <w:t>2</w:t>
            </w:r>
          </w:p>
        </w:tc>
        <w:tc>
          <w:tcPr>
            <w:tcW w:w="500" w:type="pct"/>
            <w:tcBorders>
              <w:top w:val="single" w:sz="4" w:space="0" w:color="auto"/>
            </w:tcBorders>
            <w:tcMar>
              <w:top w:w="284" w:type="dxa"/>
              <w:bottom w:w="284" w:type="dxa"/>
            </w:tcMar>
          </w:tcPr>
          <w:p w:rsidR="00F138C1" w:rsidRPr="00506748" w:rsidRDefault="00F138C1" w:rsidP="00506748">
            <w:pPr>
              <w:tabs>
                <w:tab w:val="left" w:pos="6075"/>
              </w:tabs>
              <w:jc w:val="center"/>
              <w:rPr>
                <w:rFonts w:ascii="Arial" w:hAnsi="Arial" w:cs="Arial"/>
                <w:i/>
                <w:sz w:val="20"/>
                <w:szCs w:val="20"/>
              </w:rPr>
            </w:pPr>
            <w:r w:rsidRPr="00506748">
              <w:rPr>
                <w:lang w:val="fr-CA"/>
              </w:rPr>
              <w:t xml:space="preserve">1 - </w:t>
            </w:r>
            <w:r w:rsidR="00BC67C6" w:rsidRPr="00506748">
              <w:rPr>
                <w:lang w:val="fr-CA"/>
              </w:rPr>
              <w:t>1</w:t>
            </w:r>
            <w:r w:rsidR="00506748" w:rsidRPr="00506748">
              <w:rPr>
                <w:lang w:val="fr-CA"/>
              </w:rPr>
              <w:t>7</w:t>
            </w:r>
          </w:p>
        </w:tc>
        <w:tc>
          <w:tcPr>
            <w:tcW w:w="2250" w:type="pct"/>
            <w:tcBorders>
              <w:top w:val="single" w:sz="4" w:space="0" w:color="auto"/>
            </w:tcBorders>
            <w:tcMar>
              <w:top w:w="284" w:type="dxa"/>
              <w:bottom w:w="284" w:type="dxa"/>
            </w:tcMar>
          </w:tcPr>
          <w:p w:rsidR="00F138C1" w:rsidRPr="00506748" w:rsidRDefault="00F138C1" w:rsidP="00892497">
            <w:pPr>
              <w:tabs>
                <w:tab w:val="left" w:pos="6075"/>
              </w:tabs>
              <w:jc w:val="right"/>
              <w:rPr>
                <w:rFonts w:ascii="Arial" w:hAnsi="Arial" w:cs="Arial"/>
                <w:i/>
                <w:sz w:val="20"/>
                <w:szCs w:val="20"/>
                <w:lang w:val="fr-CA"/>
              </w:rPr>
            </w:pPr>
            <w:r w:rsidRPr="00506748">
              <w:rPr>
                <w:lang w:val="fr-CA"/>
              </w:rPr>
              <w:t xml:space="preserve">Le </w:t>
            </w:r>
            <w:r w:rsidR="004268D2" w:rsidRPr="00506748">
              <w:rPr>
                <w:lang w:val="fr-CA"/>
              </w:rPr>
              <w:t>1</w:t>
            </w:r>
            <w:r w:rsidR="00892497" w:rsidRPr="00506748">
              <w:rPr>
                <w:lang w:val="fr-CA"/>
              </w:rPr>
              <w:t>8</w:t>
            </w:r>
            <w:r w:rsidRPr="00506748">
              <w:rPr>
                <w:lang w:val="fr-CA"/>
              </w:rPr>
              <w:t xml:space="preserve"> </w:t>
            </w:r>
            <w:r w:rsidR="004268D2" w:rsidRPr="00506748">
              <w:rPr>
                <w:lang w:val="fr-CA"/>
              </w:rPr>
              <w:t>novembre</w:t>
            </w:r>
            <w:r w:rsidR="00BE5B3E" w:rsidRPr="00506748">
              <w:rPr>
                <w:lang w:val="fr-CA"/>
              </w:rPr>
              <w:t xml:space="preserve"> </w:t>
            </w:r>
            <w:r w:rsidRPr="00506748">
              <w:rPr>
                <w:lang w:val="fr-CA"/>
              </w:rPr>
              <w:t>202</w:t>
            </w:r>
            <w:r w:rsidR="00E8642A" w:rsidRPr="00506748">
              <w:rPr>
                <w:lang w:val="fr-CA"/>
              </w:rPr>
              <w:t>2</w:t>
            </w:r>
          </w:p>
        </w:tc>
      </w:tr>
      <w:tr w:rsidR="00F138C1" w:rsidRPr="00C9268A" w:rsidTr="00F138C1">
        <w:tc>
          <w:tcPr>
            <w:tcW w:w="2250" w:type="pct"/>
            <w:tcBorders>
              <w:bottom w:val="single" w:sz="4" w:space="0" w:color="auto"/>
            </w:tcBorders>
            <w:tcMar>
              <w:top w:w="284" w:type="dxa"/>
              <w:bottom w:w="284" w:type="dxa"/>
            </w:tcMar>
          </w:tcPr>
          <w:p w:rsidR="00F138C1" w:rsidRPr="00506748" w:rsidRDefault="00F138C1" w:rsidP="00E8642A">
            <w:pPr>
              <w:tabs>
                <w:tab w:val="left" w:pos="6075"/>
              </w:tabs>
              <w:rPr>
                <w:rFonts w:ascii="Arial" w:hAnsi="Arial" w:cs="Arial"/>
                <w:i/>
                <w:sz w:val="20"/>
                <w:szCs w:val="20"/>
              </w:rPr>
            </w:pPr>
            <w:r w:rsidRPr="00506748">
              <w:rPr>
                <w:sz w:val="18"/>
                <w:szCs w:val="18"/>
                <w:lang w:val="en-US"/>
              </w:rPr>
              <w:t>© Supreme Court of Canada (202</w:t>
            </w:r>
            <w:r w:rsidR="00E8642A" w:rsidRPr="00506748">
              <w:rPr>
                <w:sz w:val="18"/>
                <w:szCs w:val="18"/>
                <w:lang w:val="en-US"/>
              </w:rPr>
              <w:t>2</w:t>
            </w:r>
            <w:r w:rsidRPr="00506748">
              <w:rPr>
                <w:sz w:val="18"/>
                <w:szCs w:val="18"/>
                <w:lang w:val="en-US"/>
              </w:rPr>
              <w:t>)</w:t>
            </w:r>
            <w:r w:rsidRPr="00506748">
              <w:rPr>
                <w:sz w:val="18"/>
                <w:szCs w:val="18"/>
                <w:lang w:val="en-US"/>
              </w:rPr>
              <w:br/>
              <w:t>ISSN 1918-8358 (Online)</w:t>
            </w:r>
          </w:p>
        </w:tc>
        <w:tc>
          <w:tcPr>
            <w:tcW w:w="500" w:type="pct"/>
            <w:tcBorders>
              <w:bottom w:val="single" w:sz="4" w:space="0" w:color="auto"/>
            </w:tcBorders>
            <w:tcMar>
              <w:top w:w="284" w:type="dxa"/>
              <w:bottom w:w="284" w:type="dxa"/>
            </w:tcMar>
          </w:tcPr>
          <w:p w:rsidR="00F138C1" w:rsidRPr="00506748"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506748" w:rsidRDefault="00F138C1" w:rsidP="00E8642A">
            <w:pPr>
              <w:tabs>
                <w:tab w:val="left" w:pos="6075"/>
              </w:tabs>
              <w:jc w:val="right"/>
              <w:rPr>
                <w:rFonts w:ascii="Arial" w:hAnsi="Arial" w:cs="Arial"/>
                <w:i/>
                <w:sz w:val="20"/>
                <w:szCs w:val="20"/>
                <w:lang w:val="fr-CA"/>
              </w:rPr>
            </w:pPr>
            <w:r w:rsidRPr="00506748">
              <w:rPr>
                <w:sz w:val="18"/>
                <w:szCs w:val="18"/>
                <w:lang w:val="fr-CA"/>
              </w:rPr>
              <w:t>© Cour suprême du Canada (202</w:t>
            </w:r>
            <w:r w:rsidR="00E8642A" w:rsidRPr="00506748">
              <w:rPr>
                <w:sz w:val="18"/>
                <w:szCs w:val="18"/>
                <w:lang w:val="fr-CA"/>
              </w:rPr>
              <w:t>2</w:t>
            </w:r>
            <w:proofErr w:type="gramStart"/>
            <w:r w:rsidRPr="00506748">
              <w:rPr>
                <w:sz w:val="18"/>
                <w:szCs w:val="18"/>
                <w:lang w:val="fr-CA"/>
              </w:rPr>
              <w:t>)</w:t>
            </w:r>
            <w:proofErr w:type="gramEnd"/>
            <w:r w:rsidRPr="00506748">
              <w:rPr>
                <w:sz w:val="18"/>
                <w:szCs w:val="18"/>
                <w:lang w:val="fr-CA"/>
              </w:rPr>
              <w:br/>
              <w:t>ISSN 1918-8358 (En ligne)</w:t>
            </w:r>
          </w:p>
        </w:tc>
      </w:tr>
    </w:tbl>
    <w:p w:rsidR="0030050B" w:rsidRPr="00506748" w:rsidRDefault="0030050B" w:rsidP="00F138C1">
      <w:pPr>
        <w:tabs>
          <w:tab w:val="left" w:pos="6075"/>
        </w:tabs>
        <w:rPr>
          <w:lang w:val="fr-CA"/>
        </w:rPr>
      </w:pPr>
    </w:p>
    <w:p w:rsidR="00560DF1" w:rsidRPr="00506748" w:rsidRDefault="00560DF1" w:rsidP="0095096B">
      <w:pPr>
        <w:tabs>
          <w:tab w:val="right" w:pos="9360"/>
        </w:tabs>
        <w:rPr>
          <w:lang w:val="fr-CA"/>
        </w:rPr>
      </w:pPr>
    </w:p>
    <w:p w:rsidR="00F138C1" w:rsidRPr="00506748"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506748" w:rsidRDefault="00DC6B2E" w:rsidP="00693C38">
          <w:pPr>
            <w:pStyle w:val="Title"/>
            <w:jc w:val="center"/>
            <w:rPr>
              <w:rFonts w:ascii="Times New Roman" w:hAnsi="Times New Roman" w:cs="Times New Roman"/>
              <w:b/>
              <w:sz w:val="24"/>
              <w:szCs w:val="28"/>
              <w:lang w:val="fr-CA"/>
            </w:rPr>
          </w:pPr>
          <w:r w:rsidRPr="00506748">
            <w:rPr>
              <w:rFonts w:ascii="Times New Roman" w:hAnsi="Times New Roman" w:cs="Times New Roman"/>
              <w:b/>
              <w:sz w:val="24"/>
              <w:szCs w:val="28"/>
              <w:lang w:val="fr-CA"/>
            </w:rPr>
            <w:t>Contents</w:t>
          </w:r>
        </w:p>
        <w:p w:rsidR="00693C38" w:rsidRPr="00506748" w:rsidRDefault="00DC6B2E" w:rsidP="00693C38">
          <w:pPr>
            <w:jc w:val="center"/>
            <w:rPr>
              <w:b/>
              <w:szCs w:val="28"/>
              <w:lang w:val="fr-CA"/>
            </w:rPr>
          </w:pPr>
          <w:r w:rsidRPr="00506748">
            <w:rPr>
              <w:b/>
              <w:szCs w:val="28"/>
              <w:lang w:val="fr-CA"/>
            </w:rPr>
            <w:t>Table des matières</w:t>
          </w:r>
        </w:p>
        <w:p w:rsidR="00693C38" w:rsidRPr="00506748" w:rsidRDefault="00693C38" w:rsidP="00693C38">
          <w:pPr>
            <w:rPr>
              <w:lang w:val="fr-CA"/>
            </w:rPr>
          </w:pPr>
        </w:p>
        <w:p w:rsidR="00506748" w:rsidRPr="00506748" w:rsidRDefault="00DC6B2E">
          <w:pPr>
            <w:pStyle w:val="TOC1"/>
            <w:tabs>
              <w:tab w:val="right" w:leader="dot" w:pos="9638"/>
            </w:tabs>
            <w:rPr>
              <w:rFonts w:asciiTheme="minorHAnsi" w:eastAsiaTheme="minorEastAsia" w:hAnsiTheme="minorHAnsi"/>
              <w:noProof/>
              <w:sz w:val="22"/>
              <w:lang w:val="en-US"/>
            </w:rPr>
          </w:pPr>
          <w:r w:rsidRPr="00506748">
            <w:rPr>
              <w:b/>
              <w:bCs/>
              <w:noProof/>
            </w:rPr>
            <w:fldChar w:fldCharType="begin"/>
          </w:r>
          <w:r w:rsidRPr="00506748">
            <w:rPr>
              <w:b/>
              <w:bCs/>
              <w:noProof/>
            </w:rPr>
            <w:instrText xml:space="preserve"> TOC \o "1-3" \h \z \u </w:instrText>
          </w:r>
          <w:r w:rsidRPr="00506748">
            <w:rPr>
              <w:b/>
              <w:bCs/>
              <w:noProof/>
            </w:rPr>
            <w:fldChar w:fldCharType="separate"/>
          </w:r>
          <w:hyperlink w:anchor="_Toc119658299" w:history="1">
            <w:r w:rsidR="00506748" w:rsidRPr="00506748">
              <w:rPr>
                <w:rStyle w:val="Hyperlink"/>
                <w:noProof/>
                <w:lang w:val="fr-CA"/>
              </w:rPr>
              <w:t>Applications for leave to appeal filed /  Demandes d’autorisation d’appel déposées</w:t>
            </w:r>
            <w:r w:rsidR="00506748" w:rsidRPr="00506748">
              <w:rPr>
                <w:noProof/>
                <w:webHidden/>
              </w:rPr>
              <w:tab/>
            </w:r>
            <w:r w:rsidR="00506748" w:rsidRPr="00506748">
              <w:rPr>
                <w:noProof/>
                <w:webHidden/>
              </w:rPr>
              <w:fldChar w:fldCharType="begin"/>
            </w:r>
            <w:r w:rsidR="00506748" w:rsidRPr="00506748">
              <w:rPr>
                <w:noProof/>
                <w:webHidden/>
              </w:rPr>
              <w:instrText xml:space="preserve"> PAGEREF _Toc119658299 \h </w:instrText>
            </w:r>
            <w:r w:rsidR="00506748" w:rsidRPr="00506748">
              <w:rPr>
                <w:noProof/>
                <w:webHidden/>
              </w:rPr>
            </w:r>
            <w:r w:rsidR="00506748" w:rsidRPr="00506748">
              <w:rPr>
                <w:noProof/>
                <w:webHidden/>
              </w:rPr>
              <w:fldChar w:fldCharType="separate"/>
            </w:r>
            <w:r w:rsidR="00506748" w:rsidRPr="00506748">
              <w:rPr>
                <w:noProof/>
                <w:webHidden/>
              </w:rPr>
              <w:t>1</w:t>
            </w:r>
            <w:r w:rsidR="00506748" w:rsidRPr="00506748">
              <w:rPr>
                <w:noProof/>
                <w:webHidden/>
              </w:rPr>
              <w:fldChar w:fldCharType="end"/>
            </w:r>
          </w:hyperlink>
        </w:p>
        <w:p w:rsidR="00506748" w:rsidRPr="00506748" w:rsidRDefault="00C9268A">
          <w:pPr>
            <w:pStyle w:val="TOC1"/>
            <w:tabs>
              <w:tab w:val="right" w:leader="dot" w:pos="9638"/>
            </w:tabs>
            <w:rPr>
              <w:rFonts w:asciiTheme="minorHAnsi" w:eastAsiaTheme="minorEastAsia" w:hAnsiTheme="minorHAnsi"/>
              <w:noProof/>
              <w:sz w:val="22"/>
              <w:lang w:val="en-US"/>
            </w:rPr>
          </w:pPr>
          <w:hyperlink w:anchor="_Toc119658300" w:history="1">
            <w:r w:rsidR="00506748" w:rsidRPr="00506748">
              <w:rPr>
                <w:rStyle w:val="Hyperlink"/>
                <w:noProof/>
                <w:lang w:val="fr-CA"/>
              </w:rPr>
              <w:t>Judgments on applications for leave /  Jugements rendus sur les demandes d’autorisation</w:t>
            </w:r>
            <w:r w:rsidR="00506748" w:rsidRPr="00506748">
              <w:rPr>
                <w:noProof/>
                <w:webHidden/>
              </w:rPr>
              <w:tab/>
            </w:r>
            <w:r w:rsidR="00506748" w:rsidRPr="00506748">
              <w:rPr>
                <w:noProof/>
                <w:webHidden/>
              </w:rPr>
              <w:fldChar w:fldCharType="begin"/>
            </w:r>
            <w:r w:rsidR="00506748" w:rsidRPr="00506748">
              <w:rPr>
                <w:noProof/>
                <w:webHidden/>
              </w:rPr>
              <w:instrText xml:space="preserve"> PAGEREF _Toc119658300 \h </w:instrText>
            </w:r>
            <w:r w:rsidR="00506748" w:rsidRPr="00506748">
              <w:rPr>
                <w:noProof/>
                <w:webHidden/>
              </w:rPr>
            </w:r>
            <w:r w:rsidR="00506748" w:rsidRPr="00506748">
              <w:rPr>
                <w:noProof/>
                <w:webHidden/>
              </w:rPr>
              <w:fldChar w:fldCharType="separate"/>
            </w:r>
            <w:r w:rsidR="00506748" w:rsidRPr="00506748">
              <w:rPr>
                <w:noProof/>
                <w:webHidden/>
              </w:rPr>
              <w:t>4</w:t>
            </w:r>
            <w:r w:rsidR="00506748" w:rsidRPr="00506748">
              <w:rPr>
                <w:noProof/>
                <w:webHidden/>
              </w:rPr>
              <w:fldChar w:fldCharType="end"/>
            </w:r>
          </w:hyperlink>
        </w:p>
        <w:p w:rsidR="00506748" w:rsidRPr="00506748" w:rsidRDefault="00C9268A">
          <w:pPr>
            <w:pStyle w:val="TOC1"/>
            <w:tabs>
              <w:tab w:val="right" w:leader="dot" w:pos="9638"/>
            </w:tabs>
            <w:rPr>
              <w:rFonts w:asciiTheme="minorHAnsi" w:eastAsiaTheme="minorEastAsia" w:hAnsiTheme="minorHAnsi"/>
              <w:noProof/>
              <w:sz w:val="22"/>
              <w:lang w:val="en-US"/>
            </w:rPr>
          </w:pPr>
          <w:hyperlink w:anchor="_Toc119658301" w:history="1">
            <w:r w:rsidR="00506748" w:rsidRPr="00506748">
              <w:rPr>
                <w:rStyle w:val="Hyperlink"/>
                <w:noProof/>
              </w:rPr>
              <w:t xml:space="preserve">Notices of appeal filed since the last issue /  </w:t>
            </w:r>
            <w:r w:rsidR="00506748" w:rsidRPr="00506748">
              <w:rPr>
                <w:rStyle w:val="Hyperlink"/>
                <w:noProof/>
                <w:lang w:val="fr-CA"/>
              </w:rPr>
              <w:t>Avis d’appel déposés depuis la dernière parution</w:t>
            </w:r>
            <w:r w:rsidR="00506748" w:rsidRPr="00506748">
              <w:rPr>
                <w:noProof/>
                <w:webHidden/>
              </w:rPr>
              <w:tab/>
            </w:r>
            <w:r w:rsidR="00506748" w:rsidRPr="00506748">
              <w:rPr>
                <w:noProof/>
                <w:webHidden/>
              </w:rPr>
              <w:fldChar w:fldCharType="begin"/>
            </w:r>
            <w:r w:rsidR="00506748" w:rsidRPr="00506748">
              <w:rPr>
                <w:noProof/>
                <w:webHidden/>
              </w:rPr>
              <w:instrText xml:space="preserve"> PAGEREF _Toc119658301 \h </w:instrText>
            </w:r>
            <w:r w:rsidR="00506748" w:rsidRPr="00506748">
              <w:rPr>
                <w:noProof/>
                <w:webHidden/>
              </w:rPr>
            </w:r>
            <w:r w:rsidR="00506748" w:rsidRPr="00506748">
              <w:rPr>
                <w:noProof/>
                <w:webHidden/>
              </w:rPr>
              <w:fldChar w:fldCharType="separate"/>
            </w:r>
            <w:r w:rsidR="00506748" w:rsidRPr="00506748">
              <w:rPr>
                <w:noProof/>
                <w:webHidden/>
              </w:rPr>
              <w:t>6</w:t>
            </w:r>
            <w:r w:rsidR="00506748" w:rsidRPr="00506748">
              <w:rPr>
                <w:noProof/>
                <w:webHidden/>
              </w:rPr>
              <w:fldChar w:fldCharType="end"/>
            </w:r>
          </w:hyperlink>
        </w:p>
        <w:p w:rsidR="00506748" w:rsidRPr="00506748" w:rsidRDefault="00C9268A">
          <w:pPr>
            <w:pStyle w:val="TOC1"/>
            <w:tabs>
              <w:tab w:val="right" w:leader="dot" w:pos="9638"/>
            </w:tabs>
            <w:rPr>
              <w:rFonts w:asciiTheme="minorHAnsi" w:eastAsiaTheme="minorEastAsia" w:hAnsiTheme="minorHAnsi"/>
              <w:noProof/>
              <w:sz w:val="22"/>
              <w:lang w:val="en-US"/>
            </w:rPr>
          </w:pPr>
          <w:hyperlink w:anchor="_Toc119658302" w:history="1">
            <w:r w:rsidR="00506748" w:rsidRPr="00506748">
              <w:rPr>
                <w:rStyle w:val="Hyperlink"/>
                <w:noProof/>
                <w:lang w:val="fr-CA"/>
              </w:rPr>
              <w:t>Pronouncements of reserved appeals /  Jugements rendus sur les appels en délibéré</w:t>
            </w:r>
            <w:r w:rsidR="00506748" w:rsidRPr="00506748">
              <w:rPr>
                <w:noProof/>
                <w:webHidden/>
              </w:rPr>
              <w:tab/>
            </w:r>
            <w:r w:rsidR="00506748" w:rsidRPr="00506748">
              <w:rPr>
                <w:noProof/>
                <w:webHidden/>
              </w:rPr>
              <w:fldChar w:fldCharType="begin"/>
            </w:r>
            <w:r w:rsidR="00506748" w:rsidRPr="00506748">
              <w:rPr>
                <w:noProof/>
                <w:webHidden/>
              </w:rPr>
              <w:instrText xml:space="preserve"> PAGEREF _Toc119658302 \h </w:instrText>
            </w:r>
            <w:r w:rsidR="00506748" w:rsidRPr="00506748">
              <w:rPr>
                <w:noProof/>
                <w:webHidden/>
              </w:rPr>
            </w:r>
            <w:r w:rsidR="00506748" w:rsidRPr="00506748">
              <w:rPr>
                <w:noProof/>
                <w:webHidden/>
              </w:rPr>
              <w:fldChar w:fldCharType="separate"/>
            </w:r>
            <w:r w:rsidR="00506748" w:rsidRPr="00506748">
              <w:rPr>
                <w:noProof/>
                <w:webHidden/>
              </w:rPr>
              <w:t>7</w:t>
            </w:r>
            <w:r w:rsidR="00506748" w:rsidRPr="00506748">
              <w:rPr>
                <w:noProof/>
                <w:webHidden/>
              </w:rPr>
              <w:fldChar w:fldCharType="end"/>
            </w:r>
          </w:hyperlink>
        </w:p>
        <w:p w:rsidR="00506748" w:rsidRPr="00506748" w:rsidRDefault="00C9268A">
          <w:pPr>
            <w:pStyle w:val="TOC1"/>
            <w:tabs>
              <w:tab w:val="right" w:leader="dot" w:pos="9638"/>
            </w:tabs>
            <w:rPr>
              <w:rFonts w:asciiTheme="minorHAnsi" w:eastAsiaTheme="minorEastAsia" w:hAnsiTheme="minorHAnsi"/>
              <w:noProof/>
              <w:sz w:val="22"/>
              <w:lang w:val="en-US"/>
            </w:rPr>
          </w:pPr>
          <w:hyperlink w:anchor="_Toc119658303" w:history="1">
            <w:r w:rsidR="00506748" w:rsidRPr="00506748">
              <w:rPr>
                <w:rStyle w:val="Hyperlink"/>
                <w:noProof/>
                <w:lang w:val="fr-CA"/>
              </w:rPr>
              <w:t>Agenda and case summaries for November and December 2022 /  Calendrier et sommaires des causes de novembre et décembre 2022</w:t>
            </w:r>
            <w:r w:rsidR="00506748" w:rsidRPr="00506748">
              <w:rPr>
                <w:noProof/>
                <w:webHidden/>
              </w:rPr>
              <w:tab/>
            </w:r>
            <w:r w:rsidR="00506748" w:rsidRPr="00506748">
              <w:rPr>
                <w:noProof/>
                <w:webHidden/>
              </w:rPr>
              <w:fldChar w:fldCharType="begin"/>
            </w:r>
            <w:r w:rsidR="00506748" w:rsidRPr="00506748">
              <w:rPr>
                <w:noProof/>
                <w:webHidden/>
              </w:rPr>
              <w:instrText xml:space="preserve"> PAGEREF _Toc119658303 \h </w:instrText>
            </w:r>
            <w:r w:rsidR="00506748" w:rsidRPr="00506748">
              <w:rPr>
                <w:noProof/>
                <w:webHidden/>
              </w:rPr>
            </w:r>
            <w:r w:rsidR="00506748" w:rsidRPr="00506748">
              <w:rPr>
                <w:noProof/>
                <w:webHidden/>
              </w:rPr>
              <w:fldChar w:fldCharType="separate"/>
            </w:r>
            <w:r w:rsidR="00506748" w:rsidRPr="00506748">
              <w:rPr>
                <w:noProof/>
                <w:webHidden/>
              </w:rPr>
              <w:t>8</w:t>
            </w:r>
            <w:r w:rsidR="00506748" w:rsidRPr="00506748">
              <w:rPr>
                <w:noProof/>
                <w:webHidden/>
              </w:rPr>
              <w:fldChar w:fldCharType="end"/>
            </w:r>
          </w:hyperlink>
        </w:p>
        <w:p w:rsidR="00560DF1" w:rsidRPr="00506748" w:rsidRDefault="00DC6B2E">
          <w:r w:rsidRPr="00506748">
            <w:rPr>
              <w:b/>
              <w:bCs/>
              <w:noProof/>
              <w:sz w:val="20"/>
            </w:rPr>
            <w:fldChar w:fldCharType="end"/>
          </w:r>
        </w:p>
      </w:sdtContent>
    </w:sdt>
    <w:p w:rsidR="00560DF1" w:rsidRPr="00506748"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C9268A" w:rsidTr="00F138C1">
        <w:trPr>
          <w:jc w:val="center"/>
        </w:trPr>
        <w:tc>
          <w:tcPr>
            <w:tcW w:w="9638" w:type="dxa"/>
          </w:tcPr>
          <w:p w:rsidR="00F138C1" w:rsidRPr="00506748" w:rsidRDefault="00F138C1" w:rsidP="00F138C1">
            <w:pPr>
              <w:keepNext/>
              <w:tabs>
                <w:tab w:val="right" w:pos="9360"/>
              </w:tabs>
              <w:spacing w:after="120"/>
              <w:jc w:val="center"/>
              <w:rPr>
                <w:szCs w:val="24"/>
              </w:rPr>
            </w:pPr>
            <w:r w:rsidRPr="00506748">
              <w:rPr>
                <w:szCs w:val="24"/>
              </w:rPr>
              <w:t>NOTICE</w:t>
            </w:r>
          </w:p>
          <w:p w:rsidR="00F138C1" w:rsidRPr="00506748" w:rsidRDefault="00F138C1" w:rsidP="00F138C1">
            <w:pPr>
              <w:keepNext/>
              <w:tabs>
                <w:tab w:val="right" w:pos="9360"/>
              </w:tabs>
              <w:spacing w:after="120"/>
              <w:jc w:val="both"/>
              <w:rPr>
                <w:szCs w:val="24"/>
              </w:rPr>
            </w:pPr>
            <w:r w:rsidRPr="00506748">
              <w:rPr>
                <w:szCs w:val="24"/>
              </w:rPr>
              <w:t>Case summaries included in the Bulletin are prepared by the Office of the Registrar of the Supreme Court of Canada (Law Branch) for information purposes only.</w:t>
            </w:r>
          </w:p>
          <w:p w:rsidR="00F138C1" w:rsidRPr="00506748" w:rsidRDefault="00F138C1" w:rsidP="00F138C1">
            <w:pPr>
              <w:keepNext/>
              <w:tabs>
                <w:tab w:val="right" w:pos="9360"/>
              </w:tabs>
              <w:spacing w:after="120"/>
              <w:jc w:val="center"/>
              <w:rPr>
                <w:szCs w:val="24"/>
                <w:lang w:val="fr-CA"/>
              </w:rPr>
            </w:pPr>
            <w:r w:rsidRPr="00506748">
              <w:rPr>
                <w:szCs w:val="24"/>
                <w:lang w:val="fr-CA"/>
              </w:rPr>
              <w:t>AVIS</w:t>
            </w:r>
          </w:p>
          <w:p w:rsidR="00F138C1" w:rsidRPr="00506748" w:rsidRDefault="00F138C1" w:rsidP="00F138C1">
            <w:pPr>
              <w:keepNext/>
              <w:tabs>
                <w:tab w:val="right" w:pos="9360"/>
              </w:tabs>
              <w:spacing w:after="120"/>
              <w:jc w:val="both"/>
              <w:rPr>
                <w:sz w:val="20"/>
                <w:szCs w:val="20"/>
                <w:lang w:val="fr-CA"/>
              </w:rPr>
            </w:pPr>
            <w:r w:rsidRPr="00506748">
              <w:rPr>
                <w:szCs w:val="24"/>
                <w:lang w:val="fr-CA"/>
              </w:rPr>
              <w:t>Les résumés des causes publiés dans le bulletin sont préparés par le Bureau du registraire (Direction générale du droit) uniquement à titre d’information.</w:t>
            </w:r>
          </w:p>
        </w:tc>
      </w:tr>
    </w:tbl>
    <w:p w:rsidR="00F138C1" w:rsidRPr="00506748" w:rsidRDefault="00F138C1" w:rsidP="00F138C1">
      <w:pPr>
        <w:tabs>
          <w:tab w:val="right" w:pos="9360"/>
        </w:tabs>
        <w:rPr>
          <w:lang w:val="fr-CA"/>
        </w:rPr>
      </w:pPr>
    </w:p>
    <w:p w:rsidR="00F138C1" w:rsidRPr="00506748" w:rsidRDefault="00F138C1" w:rsidP="00F138C1">
      <w:pPr>
        <w:tabs>
          <w:tab w:val="right" w:pos="9360"/>
        </w:tabs>
        <w:rPr>
          <w:lang w:val="fr-CA"/>
        </w:rPr>
      </w:pPr>
    </w:p>
    <w:p w:rsidR="00C01FCB" w:rsidRPr="00506748" w:rsidRDefault="00C01FCB" w:rsidP="0095096B">
      <w:pPr>
        <w:tabs>
          <w:tab w:val="right" w:pos="9360"/>
        </w:tabs>
        <w:rPr>
          <w:lang w:val="fr-CA"/>
        </w:rPr>
      </w:pPr>
    </w:p>
    <w:p w:rsidR="00A87207" w:rsidRPr="00506748" w:rsidRDefault="00A87207" w:rsidP="0095096B">
      <w:pPr>
        <w:tabs>
          <w:tab w:val="right" w:pos="9360"/>
        </w:tabs>
        <w:rPr>
          <w:lang w:val="fr-CA"/>
        </w:rPr>
        <w:sectPr w:rsidR="00A87207" w:rsidRPr="00506748" w:rsidSect="0044776A">
          <w:pgSz w:w="12240" w:h="15840"/>
          <w:pgMar w:top="720" w:right="1152" w:bottom="1080" w:left="1440" w:header="706" w:footer="706" w:gutter="0"/>
          <w:cols w:space="708"/>
          <w:titlePg/>
          <w:docGrid w:linePitch="360"/>
        </w:sectPr>
      </w:pPr>
    </w:p>
    <w:p w:rsidR="00560DF1" w:rsidRPr="00506748" w:rsidRDefault="00DD0BDC" w:rsidP="00567602">
      <w:pPr>
        <w:pStyle w:val="Header1StyleE"/>
        <w:pBdr>
          <w:bottom w:val="single" w:sz="12" w:space="1" w:color="auto"/>
        </w:pBdr>
        <w:rPr>
          <w:lang w:val="fr-CA"/>
        </w:rPr>
      </w:pPr>
      <w:bookmarkStart w:id="0" w:name="_Toc119658299"/>
      <w:r w:rsidRPr="00506748">
        <w:rPr>
          <w:lang w:val="fr-CA"/>
        </w:rPr>
        <w:lastRenderedPageBreak/>
        <w:t>Applications for leave to appeal filed</w:t>
      </w:r>
      <w:r w:rsidR="00271E1E" w:rsidRPr="00506748">
        <w:rPr>
          <w:lang w:val="fr-CA"/>
        </w:rPr>
        <w:t xml:space="preserve"> / </w:t>
      </w:r>
      <w:r w:rsidR="00727571" w:rsidRPr="00506748">
        <w:rPr>
          <w:lang w:val="fr-CA"/>
        </w:rPr>
        <w:br/>
      </w:r>
      <w:r w:rsidRPr="00506748">
        <w:rPr>
          <w:lang w:val="fr-CA"/>
        </w:rPr>
        <w:t>Demandes d’autorisation d’appel déposées</w:t>
      </w:r>
      <w:bookmarkEnd w:id="0"/>
    </w:p>
    <w:p w:rsidR="00F138C1" w:rsidRPr="00506748"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506748" w:rsidTr="00F138C1">
        <w:tc>
          <w:tcPr>
            <w:tcW w:w="4239" w:type="dxa"/>
            <w:shd w:val="clear" w:color="auto" w:fill="auto"/>
          </w:tcPr>
          <w:p w:rsidR="00F138C1" w:rsidRPr="00506748" w:rsidRDefault="00836EEF" w:rsidP="00F138C1">
            <w:pPr>
              <w:rPr>
                <w:sz w:val="20"/>
                <w:szCs w:val="20"/>
                <w:lang w:val="en-US"/>
              </w:rPr>
            </w:pPr>
            <w:r w:rsidRPr="00506748">
              <w:rPr>
                <w:b/>
                <w:sz w:val="20"/>
                <w:szCs w:val="20"/>
                <w:lang w:val="en-US"/>
              </w:rPr>
              <w:t>Pharmascience Inc.</w:t>
            </w:r>
          </w:p>
          <w:p w:rsidR="00F138C1" w:rsidRPr="00506748" w:rsidRDefault="00F138C1" w:rsidP="00F138C1">
            <w:pPr>
              <w:tabs>
                <w:tab w:val="left" w:pos="-1440"/>
                <w:tab w:val="left" w:pos="-720"/>
              </w:tabs>
              <w:rPr>
                <w:sz w:val="20"/>
                <w:szCs w:val="20"/>
                <w:lang w:val="en-US"/>
              </w:rPr>
            </w:pPr>
            <w:r w:rsidRPr="00506748">
              <w:rPr>
                <w:sz w:val="20"/>
                <w:szCs w:val="20"/>
                <w:lang w:val="en-US"/>
              </w:rPr>
              <w:tab/>
            </w:r>
            <w:r w:rsidR="00836EEF" w:rsidRPr="00506748">
              <w:rPr>
                <w:sz w:val="20"/>
                <w:szCs w:val="20"/>
                <w:lang w:val="en-US"/>
              </w:rPr>
              <w:t>Klee, Marcus</w:t>
            </w:r>
          </w:p>
          <w:p w:rsidR="00F138C1" w:rsidRPr="00506748" w:rsidRDefault="00EC6816" w:rsidP="00F138C1">
            <w:pPr>
              <w:tabs>
                <w:tab w:val="left" w:pos="-1440"/>
                <w:tab w:val="left" w:pos="-720"/>
              </w:tabs>
              <w:rPr>
                <w:sz w:val="20"/>
                <w:szCs w:val="20"/>
                <w:lang w:val="en-US"/>
              </w:rPr>
            </w:pPr>
            <w:r w:rsidRPr="00506748">
              <w:rPr>
                <w:sz w:val="20"/>
                <w:szCs w:val="20"/>
                <w:lang w:val="en-US"/>
              </w:rPr>
              <w:tab/>
            </w:r>
            <w:r w:rsidR="00836EEF" w:rsidRPr="00506748">
              <w:rPr>
                <w:sz w:val="20"/>
                <w:szCs w:val="20"/>
                <w:lang w:val="en-US"/>
              </w:rPr>
              <w:t>Aitken Klee LLP</w:t>
            </w:r>
          </w:p>
          <w:p w:rsidR="00EC6816" w:rsidRPr="00506748" w:rsidRDefault="00EC6816" w:rsidP="00F138C1">
            <w:pPr>
              <w:tabs>
                <w:tab w:val="left" w:pos="-1440"/>
                <w:tab w:val="left" w:pos="-720"/>
              </w:tabs>
              <w:rPr>
                <w:sz w:val="20"/>
                <w:szCs w:val="20"/>
                <w:lang w:val="en-US"/>
              </w:rPr>
            </w:pPr>
          </w:p>
          <w:p w:rsidR="00F138C1" w:rsidRPr="00506748" w:rsidRDefault="00836EEF" w:rsidP="00F138C1">
            <w:pPr>
              <w:tabs>
                <w:tab w:val="left" w:pos="-1440"/>
                <w:tab w:val="left" w:pos="-720"/>
              </w:tabs>
              <w:rPr>
                <w:sz w:val="20"/>
                <w:szCs w:val="20"/>
                <w:lang w:val="en-US"/>
              </w:rPr>
            </w:pPr>
            <w:r w:rsidRPr="00506748">
              <w:rPr>
                <w:sz w:val="20"/>
                <w:szCs w:val="20"/>
                <w:lang w:val="en-US"/>
              </w:rPr>
              <w:tab/>
              <w:t>v. (</w:t>
            </w:r>
            <w:r w:rsidR="00F138C1" w:rsidRPr="00506748">
              <w:rPr>
                <w:sz w:val="20"/>
                <w:szCs w:val="20"/>
                <w:lang w:val="en-US"/>
              </w:rPr>
              <w:t>4</w:t>
            </w:r>
            <w:r w:rsidRPr="00506748">
              <w:rPr>
                <w:sz w:val="20"/>
                <w:szCs w:val="20"/>
                <w:lang w:val="en-US"/>
              </w:rPr>
              <w:t>0400</w:t>
            </w:r>
            <w:r w:rsidR="00F138C1" w:rsidRPr="00506748">
              <w:rPr>
                <w:sz w:val="20"/>
                <w:szCs w:val="20"/>
                <w:lang w:val="en-US"/>
              </w:rPr>
              <w:t>)</w:t>
            </w:r>
          </w:p>
          <w:p w:rsidR="00F138C1" w:rsidRPr="00506748" w:rsidRDefault="00F138C1" w:rsidP="00F138C1">
            <w:pPr>
              <w:tabs>
                <w:tab w:val="left" w:pos="-1440"/>
                <w:tab w:val="left" w:pos="-720"/>
              </w:tabs>
              <w:rPr>
                <w:sz w:val="20"/>
                <w:szCs w:val="20"/>
                <w:lang w:val="en-US"/>
              </w:rPr>
            </w:pPr>
          </w:p>
          <w:p w:rsidR="00F138C1" w:rsidRPr="00506748" w:rsidRDefault="00836EEF" w:rsidP="00F138C1">
            <w:pPr>
              <w:tabs>
                <w:tab w:val="left" w:pos="-1440"/>
                <w:tab w:val="left" w:pos="-720"/>
              </w:tabs>
              <w:rPr>
                <w:b/>
                <w:sz w:val="20"/>
                <w:szCs w:val="20"/>
                <w:lang w:val="en-US"/>
              </w:rPr>
            </w:pPr>
            <w:r w:rsidRPr="00506748">
              <w:rPr>
                <w:b/>
                <w:sz w:val="20"/>
                <w:szCs w:val="20"/>
                <w:lang w:val="en-US"/>
              </w:rPr>
              <w:t>Bristol-Myers Squibb Canada Co, Bristol-Myers Squibb Holdings Ireland Unlimited Company and Pfizer Inc.</w:t>
            </w:r>
            <w:r w:rsidR="00F138C1" w:rsidRPr="00506748">
              <w:rPr>
                <w:b/>
                <w:sz w:val="20"/>
                <w:szCs w:val="20"/>
                <w:lang w:val="en-US"/>
              </w:rPr>
              <w:t xml:space="preserve"> (</w:t>
            </w:r>
            <w:r w:rsidRPr="00506748">
              <w:rPr>
                <w:b/>
                <w:sz w:val="20"/>
                <w:szCs w:val="20"/>
                <w:lang w:val="en-US"/>
              </w:rPr>
              <w:t>F.C</w:t>
            </w:r>
            <w:r w:rsidR="00F138C1" w:rsidRPr="00506748">
              <w:rPr>
                <w:b/>
                <w:sz w:val="20"/>
                <w:szCs w:val="20"/>
                <w:lang w:val="en-US"/>
              </w:rPr>
              <w:t>.)</w:t>
            </w:r>
          </w:p>
          <w:p w:rsidR="00F138C1" w:rsidRPr="00506748" w:rsidRDefault="00F138C1" w:rsidP="00F138C1">
            <w:pPr>
              <w:tabs>
                <w:tab w:val="left" w:pos="-1440"/>
                <w:tab w:val="left" w:pos="-720"/>
              </w:tabs>
              <w:rPr>
                <w:sz w:val="20"/>
                <w:szCs w:val="20"/>
                <w:lang w:val="en-US"/>
              </w:rPr>
            </w:pPr>
            <w:r w:rsidRPr="00506748">
              <w:rPr>
                <w:sz w:val="20"/>
                <w:szCs w:val="20"/>
                <w:lang w:val="en-US"/>
              </w:rPr>
              <w:tab/>
            </w:r>
            <w:r w:rsidR="00836EEF" w:rsidRPr="00506748">
              <w:rPr>
                <w:sz w:val="20"/>
                <w:szCs w:val="20"/>
                <w:lang w:val="en-US"/>
              </w:rPr>
              <w:t>Mason, Steven G.</w:t>
            </w:r>
          </w:p>
          <w:p w:rsidR="00F138C1" w:rsidRPr="00506748" w:rsidRDefault="00F138C1" w:rsidP="00F138C1">
            <w:pPr>
              <w:tabs>
                <w:tab w:val="left" w:pos="-1440"/>
                <w:tab w:val="left" w:pos="-720"/>
              </w:tabs>
              <w:rPr>
                <w:sz w:val="20"/>
                <w:szCs w:val="20"/>
              </w:rPr>
            </w:pPr>
            <w:r w:rsidRPr="00506748">
              <w:rPr>
                <w:sz w:val="20"/>
                <w:szCs w:val="20"/>
                <w:lang w:val="en-US"/>
              </w:rPr>
              <w:tab/>
            </w:r>
            <w:r w:rsidR="00836EEF" w:rsidRPr="00506748">
              <w:rPr>
                <w:sz w:val="20"/>
                <w:szCs w:val="20"/>
              </w:rPr>
              <w:t>McCarthy Tétrault LLP</w:t>
            </w:r>
          </w:p>
          <w:p w:rsidR="00F138C1" w:rsidRPr="00506748" w:rsidRDefault="00F138C1" w:rsidP="00F138C1">
            <w:pPr>
              <w:tabs>
                <w:tab w:val="left" w:pos="-1440"/>
                <w:tab w:val="left" w:pos="-720"/>
              </w:tabs>
              <w:rPr>
                <w:sz w:val="20"/>
                <w:szCs w:val="20"/>
              </w:rPr>
            </w:pPr>
          </w:p>
          <w:p w:rsidR="00F138C1" w:rsidRPr="00506748" w:rsidRDefault="00F138C1" w:rsidP="00F138C1">
            <w:pPr>
              <w:rPr>
                <w:sz w:val="20"/>
                <w:szCs w:val="20"/>
              </w:rPr>
            </w:pPr>
            <w:r w:rsidRPr="00506748">
              <w:rPr>
                <w:sz w:val="20"/>
                <w:szCs w:val="20"/>
              </w:rPr>
              <w:t xml:space="preserve">FILING DATE: </w:t>
            </w:r>
            <w:r w:rsidR="00836EEF" w:rsidRPr="00506748">
              <w:rPr>
                <w:sz w:val="20"/>
                <w:szCs w:val="20"/>
              </w:rPr>
              <w:t>October</w:t>
            </w:r>
            <w:r w:rsidRPr="00506748">
              <w:rPr>
                <w:sz w:val="20"/>
                <w:szCs w:val="20"/>
              </w:rPr>
              <w:t xml:space="preserve"> </w:t>
            </w:r>
            <w:r w:rsidR="00836EEF" w:rsidRPr="00506748">
              <w:rPr>
                <w:sz w:val="20"/>
                <w:szCs w:val="20"/>
              </w:rPr>
              <w:t>21</w:t>
            </w:r>
            <w:r w:rsidRPr="00506748">
              <w:rPr>
                <w:sz w:val="20"/>
                <w:szCs w:val="20"/>
              </w:rPr>
              <w:t>, 20</w:t>
            </w:r>
            <w:r w:rsidR="00DA1D48" w:rsidRPr="00506748">
              <w:rPr>
                <w:sz w:val="20"/>
                <w:szCs w:val="20"/>
              </w:rPr>
              <w:t>2</w:t>
            </w:r>
            <w:r w:rsidR="00E8642A" w:rsidRPr="00506748">
              <w:rPr>
                <w:sz w:val="20"/>
                <w:szCs w:val="20"/>
              </w:rPr>
              <w:t>2</w:t>
            </w:r>
          </w:p>
          <w:p w:rsidR="004B2E86" w:rsidRPr="00506748" w:rsidRDefault="004B2E86" w:rsidP="00F138C1">
            <w:pPr>
              <w:rPr>
                <w:sz w:val="20"/>
                <w:szCs w:val="20"/>
              </w:rPr>
            </w:pPr>
          </w:p>
          <w:p w:rsidR="00F138C1" w:rsidRPr="00506748" w:rsidRDefault="00C9268A"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506748" w:rsidRDefault="00F138C1" w:rsidP="00F138C1">
            <w:pPr>
              <w:jc w:val="center"/>
              <w:rPr>
                <w:sz w:val="20"/>
                <w:szCs w:val="20"/>
              </w:rPr>
            </w:pPr>
          </w:p>
          <w:p w:rsidR="00F138C1" w:rsidRPr="00506748" w:rsidRDefault="00F138C1" w:rsidP="00F138C1">
            <w:pPr>
              <w:jc w:val="center"/>
              <w:rPr>
                <w:sz w:val="20"/>
                <w:szCs w:val="20"/>
              </w:rPr>
            </w:pPr>
          </w:p>
          <w:p w:rsidR="00F138C1" w:rsidRPr="00506748" w:rsidRDefault="00F138C1" w:rsidP="00F138C1">
            <w:pPr>
              <w:jc w:val="center"/>
              <w:rPr>
                <w:sz w:val="20"/>
                <w:szCs w:val="20"/>
              </w:rPr>
            </w:pPr>
          </w:p>
          <w:p w:rsidR="00F138C1" w:rsidRPr="00506748" w:rsidRDefault="00F138C1" w:rsidP="00F138C1">
            <w:pPr>
              <w:jc w:val="center"/>
              <w:rPr>
                <w:sz w:val="20"/>
                <w:szCs w:val="20"/>
              </w:rPr>
            </w:pPr>
          </w:p>
          <w:p w:rsidR="00F138C1" w:rsidRPr="00506748" w:rsidRDefault="00F138C1" w:rsidP="00F138C1">
            <w:pPr>
              <w:jc w:val="center"/>
              <w:rPr>
                <w:sz w:val="20"/>
                <w:szCs w:val="20"/>
              </w:rPr>
            </w:pPr>
          </w:p>
          <w:p w:rsidR="00F138C1" w:rsidRPr="00506748" w:rsidRDefault="00F138C1" w:rsidP="00F138C1">
            <w:pPr>
              <w:jc w:val="center"/>
              <w:rPr>
                <w:sz w:val="20"/>
                <w:szCs w:val="20"/>
              </w:rPr>
            </w:pPr>
          </w:p>
          <w:p w:rsidR="00F138C1" w:rsidRPr="00506748" w:rsidRDefault="00F138C1" w:rsidP="00F138C1">
            <w:pPr>
              <w:jc w:val="center"/>
              <w:rPr>
                <w:sz w:val="20"/>
                <w:szCs w:val="20"/>
              </w:rPr>
            </w:pPr>
          </w:p>
          <w:p w:rsidR="00F138C1" w:rsidRPr="00506748" w:rsidRDefault="00F138C1" w:rsidP="00F138C1">
            <w:pPr>
              <w:jc w:val="center"/>
              <w:rPr>
                <w:sz w:val="20"/>
                <w:szCs w:val="20"/>
              </w:rPr>
            </w:pPr>
          </w:p>
          <w:p w:rsidR="00F138C1" w:rsidRPr="00506748" w:rsidRDefault="00F138C1" w:rsidP="00F138C1">
            <w:pPr>
              <w:jc w:val="center"/>
              <w:rPr>
                <w:sz w:val="20"/>
                <w:szCs w:val="20"/>
              </w:rPr>
            </w:pPr>
          </w:p>
          <w:p w:rsidR="00F138C1" w:rsidRPr="00506748" w:rsidRDefault="00F138C1" w:rsidP="00F138C1">
            <w:pPr>
              <w:jc w:val="center"/>
              <w:rPr>
                <w:sz w:val="20"/>
                <w:szCs w:val="20"/>
              </w:rPr>
            </w:pPr>
          </w:p>
          <w:p w:rsidR="00F138C1" w:rsidRPr="00506748" w:rsidRDefault="00F138C1" w:rsidP="00F138C1">
            <w:pPr>
              <w:jc w:val="center"/>
              <w:rPr>
                <w:sz w:val="20"/>
                <w:szCs w:val="20"/>
              </w:rPr>
            </w:pPr>
          </w:p>
          <w:p w:rsidR="00F138C1" w:rsidRPr="00506748" w:rsidRDefault="00F138C1" w:rsidP="00F138C1">
            <w:pPr>
              <w:jc w:val="center"/>
              <w:rPr>
                <w:sz w:val="20"/>
                <w:szCs w:val="20"/>
              </w:rPr>
            </w:pPr>
          </w:p>
          <w:p w:rsidR="00836EEF" w:rsidRPr="00506748" w:rsidRDefault="00836EEF" w:rsidP="00F138C1">
            <w:pPr>
              <w:jc w:val="center"/>
              <w:rPr>
                <w:sz w:val="20"/>
                <w:szCs w:val="20"/>
              </w:rPr>
            </w:pPr>
          </w:p>
          <w:p w:rsidR="00836EEF" w:rsidRPr="00506748" w:rsidRDefault="00836EEF" w:rsidP="00F138C1">
            <w:pPr>
              <w:jc w:val="center"/>
              <w:rPr>
                <w:sz w:val="20"/>
                <w:szCs w:val="20"/>
              </w:rPr>
            </w:pPr>
          </w:p>
          <w:p w:rsidR="004B2E86" w:rsidRPr="00506748" w:rsidRDefault="004B2E86" w:rsidP="00F138C1">
            <w:pPr>
              <w:jc w:val="center"/>
              <w:rPr>
                <w:sz w:val="20"/>
                <w:szCs w:val="20"/>
              </w:rPr>
            </w:pPr>
          </w:p>
          <w:p w:rsidR="00F138C1" w:rsidRPr="00506748" w:rsidRDefault="00F138C1" w:rsidP="00F138C1">
            <w:pPr>
              <w:jc w:val="center"/>
              <w:rPr>
                <w:sz w:val="20"/>
                <w:szCs w:val="20"/>
              </w:rPr>
            </w:pPr>
          </w:p>
        </w:tc>
        <w:tc>
          <w:tcPr>
            <w:tcW w:w="4239" w:type="dxa"/>
            <w:shd w:val="clear" w:color="auto" w:fill="auto"/>
          </w:tcPr>
          <w:p w:rsidR="00F138C1" w:rsidRPr="00506748" w:rsidRDefault="00836EEF" w:rsidP="00F138C1">
            <w:pPr>
              <w:rPr>
                <w:b/>
                <w:sz w:val="20"/>
                <w:szCs w:val="20"/>
                <w:lang w:val="en-US"/>
              </w:rPr>
            </w:pPr>
            <w:r w:rsidRPr="00506748">
              <w:rPr>
                <w:b/>
                <w:sz w:val="20"/>
                <w:szCs w:val="20"/>
                <w:lang w:val="en-US"/>
              </w:rPr>
              <w:t>Winner World Holdings Limited, et al.</w:t>
            </w:r>
          </w:p>
          <w:p w:rsidR="00F138C1" w:rsidRPr="00506748" w:rsidRDefault="00F138C1" w:rsidP="00F138C1">
            <w:pPr>
              <w:tabs>
                <w:tab w:val="left" w:pos="-1440"/>
                <w:tab w:val="left" w:pos="-720"/>
              </w:tabs>
              <w:rPr>
                <w:sz w:val="20"/>
                <w:szCs w:val="20"/>
                <w:lang w:val="en-US"/>
              </w:rPr>
            </w:pPr>
            <w:r w:rsidRPr="00506748">
              <w:rPr>
                <w:sz w:val="20"/>
                <w:szCs w:val="20"/>
                <w:lang w:val="en-US"/>
              </w:rPr>
              <w:tab/>
            </w:r>
            <w:r w:rsidR="00836EEF" w:rsidRPr="00506748">
              <w:rPr>
                <w:sz w:val="20"/>
                <w:szCs w:val="20"/>
                <w:lang w:val="en-US"/>
              </w:rPr>
              <w:t>Mitchell, Douglas</w:t>
            </w:r>
          </w:p>
          <w:p w:rsidR="00F138C1" w:rsidRPr="00506748" w:rsidRDefault="00F138C1" w:rsidP="00F138C1">
            <w:pPr>
              <w:tabs>
                <w:tab w:val="left" w:pos="-1440"/>
                <w:tab w:val="left" w:pos="-720"/>
              </w:tabs>
              <w:rPr>
                <w:sz w:val="20"/>
                <w:szCs w:val="20"/>
                <w:lang w:val="en-US"/>
              </w:rPr>
            </w:pPr>
            <w:r w:rsidRPr="00506748">
              <w:rPr>
                <w:sz w:val="20"/>
                <w:szCs w:val="20"/>
                <w:lang w:val="en-US"/>
              </w:rPr>
              <w:tab/>
            </w:r>
            <w:r w:rsidR="00836EEF" w:rsidRPr="00506748">
              <w:rPr>
                <w:sz w:val="20"/>
                <w:szCs w:val="20"/>
                <w:lang w:val="en-US"/>
              </w:rPr>
              <w:t>IMK LLP</w:t>
            </w:r>
          </w:p>
          <w:p w:rsidR="00F138C1" w:rsidRPr="00506748" w:rsidRDefault="00F138C1" w:rsidP="00F138C1">
            <w:pPr>
              <w:tabs>
                <w:tab w:val="left" w:pos="-1440"/>
                <w:tab w:val="left" w:pos="-720"/>
              </w:tabs>
              <w:rPr>
                <w:sz w:val="20"/>
                <w:szCs w:val="20"/>
                <w:lang w:val="en-US"/>
              </w:rPr>
            </w:pPr>
          </w:p>
          <w:p w:rsidR="00F138C1" w:rsidRPr="00506748" w:rsidRDefault="00F138C1" w:rsidP="00F138C1">
            <w:pPr>
              <w:tabs>
                <w:tab w:val="left" w:pos="-1440"/>
                <w:tab w:val="left" w:pos="-720"/>
              </w:tabs>
              <w:rPr>
                <w:sz w:val="20"/>
                <w:szCs w:val="20"/>
                <w:lang w:val="en-US"/>
              </w:rPr>
            </w:pPr>
            <w:r w:rsidRPr="00506748">
              <w:rPr>
                <w:sz w:val="20"/>
                <w:szCs w:val="20"/>
                <w:lang w:val="en-US"/>
              </w:rPr>
              <w:tab/>
            </w:r>
            <w:r w:rsidR="00836EEF" w:rsidRPr="00506748">
              <w:rPr>
                <w:sz w:val="20"/>
                <w:szCs w:val="20"/>
                <w:lang w:val="en-US"/>
              </w:rPr>
              <w:t>v</w:t>
            </w:r>
            <w:r w:rsidRPr="00506748">
              <w:rPr>
                <w:sz w:val="20"/>
                <w:szCs w:val="20"/>
                <w:lang w:val="en-US"/>
              </w:rPr>
              <w:t>. (</w:t>
            </w:r>
            <w:r w:rsidR="00836EEF" w:rsidRPr="00506748">
              <w:rPr>
                <w:sz w:val="20"/>
                <w:szCs w:val="20"/>
                <w:lang w:val="en-US"/>
              </w:rPr>
              <w:t>40401</w:t>
            </w:r>
            <w:r w:rsidRPr="00506748">
              <w:rPr>
                <w:sz w:val="20"/>
                <w:szCs w:val="20"/>
                <w:lang w:val="en-US"/>
              </w:rPr>
              <w:t>)</w:t>
            </w:r>
          </w:p>
          <w:p w:rsidR="00F138C1" w:rsidRPr="00506748" w:rsidRDefault="00F138C1" w:rsidP="00F138C1">
            <w:pPr>
              <w:tabs>
                <w:tab w:val="left" w:pos="-1440"/>
                <w:tab w:val="left" w:pos="-720"/>
              </w:tabs>
              <w:rPr>
                <w:sz w:val="20"/>
                <w:szCs w:val="20"/>
                <w:lang w:val="en-US"/>
              </w:rPr>
            </w:pPr>
          </w:p>
          <w:p w:rsidR="00F138C1" w:rsidRPr="00506748" w:rsidRDefault="00836EEF" w:rsidP="00F138C1">
            <w:pPr>
              <w:tabs>
                <w:tab w:val="left" w:pos="-1440"/>
                <w:tab w:val="left" w:pos="-720"/>
              </w:tabs>
              <w:rPr>
                <w:b/>
                <w:sz w:val="20"/>
                <w:szCs w:val="20"/>
                <w:lang w:val="fr-CA"/>
              </w:rPr>
            </w:pPr>
            <w:r w:rsidRPr="00506748">
              <w:rPr>
                <w:b/>
                <w:sz w:val="20"/>
                <w:szCs w:val="20"/>
                <w:lang w:val="en-US"/>
              </w:rPr>
              <w:t>Blackrock Metals Inc., et al.</w:t>
            </w:r>
            <w:r w:rsidR="00F138C1" w:rsidRPr="00506748">
              <w:rPr>
                <w:sz w:val="20"/>
                <w:szCs w:val="20"/>
                <w:lang w:val="en-US"/>
              </w:rPr>
              <w:t xml:space="preserve"> </w:t>
            </w:r>
            <w:r w:rsidR="00F138C1" w:rsidRPr="00506748">
              <w:rPr>
                <w:b/>
                <w:sz w:val="20"/>
                <w:szCs w:val="20"/>
                <w:lang w:val="fr-CA"/>
              </w:rPr>
              <w:t>(Q</w:t>
            </w:r>
            <w:r w:rsidRPr="00506748">
              <w:rPr>
                <w:b/>
                <w:sz w:val="20"/>
                <w:szCs w:val="20"/>
                <w:lang w:val="fr-CA"/>
              </w:rPr>
              <w:t>ue.</w:t>
            </w:r>
            <w:r w:rsidR="00F138C1" w:rsidRPr="00506748">
              <w:rPr>
                <w:b/>
                <w:sz w:val="20"/>
                <w:szCs w:val="20"/>
                <w:lang w:val="fr-CA"/>
              </w:rPr>
              <w:t>)</w:t>
            </w:r>
          </w:p>
          <w:p w:rsidR="00F138C1" w:rsidRPr="00506748" w:rsidRDefault="00F138C1" w:rsidP="00F138C1">
            <w:pPr>
              <w:tabs>
                <w:tab w:val="left" w:pos="-1440"/>
                <w:tab w:val="left" w:pos="-720"/>
              </w:tabs>
              <w:rPr>
                <w:sz w:val="20"/>
                <w:szCs w:val="20"/>
                <w:lang w:val="fr-CA"/>
              </w:rPr>
            </w:pPr>
            <w:r w:rsidRPr="00506748">
              <w:rPr>
                <w:sz w:val="20"/>
                <w:szCs w:val="20"/>
                <w:lang w:val="fr-CA"/>
              </w:rPr>
              <w:tab/>
            </w:r>
            <w:r w:rsidR="00836EEF" w:rsidRPr="00506748">
              <w:rPr>
                <w:sz w:val="20"/>
                <w:szCs w:val="20"/>
                <w:lang w:val="fr-CA"/>
              </w:rPr>
              <w:t>Legault, Jean</w:t>
            </w:r>
          </w:p>
          <w:p w:rsidR="00F138C1" w:rsidRPr="00506748" w:rsidRDefault="00F138C1" w:rsidP="00F138C1">
            <w:pPr>
              <w:tabs>
                <w:tab w:val="left" w:pos="-1440"/>
                <w:tab w:val="left" w:pos="-720"/>
              </w:tabs>
              <w:rPr>
                <w:sz w:val="20"/>
                <w:szCs w:val="20"/>
                <w:lang w:val="fr-CA"/>
              </w:rPr>
            </w:pPr>
            <w:r w:rsidRPr="00506748">
              <w:rPr>
                <w:sz w:val="20"/>
                <w:szCs w:val="20"/>
                <w:lang w:val="fr-CA"/>
              </w:rPr>
              <w:tab/>
            </w:r>
            <w:r w:rsidR="00836EEF" w:rsidRPr="00506748">
              <w:rPr>
                <w:sz w:val="20"/>
                <w:szCs w:val="20"/>
                <w:lang w:val="fr-CA"/>
              </w:rPr>
              <w:t>Lavery de Billy LLP</w:t>
            </w:r>
          </w:p>
          <w:p w:rsidR="00F138C1" w:rsidRPr="00506748" w:rsidRDefault="00F138C1" w:rsidP="00F138C1">
            <w:pPr>
              <w:tabs>
                <w:tab w:val="left" w:pos="-1440"/>
                <w:tab w:val="left" w:pos="-720"/>
              </w:tabs>
              <w:rPr>
                <w:sz w:val="20"/>
                <w:szCs w:val="20"/>
                <w:lang w:val="fr-CA"/>
              </w:rPr>
            </w:pPr>
          </w:p>
          <w:p w:rsidR="00836EEF" w:rsidRPr="00506748" w:rsidRDefault="00836EEF" w:rsidP="00836EEF">
            <w:pPr>
              <w:rPr>
                <w:sz w:val="20"/>
                <w:szCs w:val="20"/>
              </w:rPr>
            </w:pPr>
            <w:r w:rsidRPr="00506748">
              <w:rPr>
                <w:sz w:val="20"/>
                <w:szCs w:val="20"/>
              </w:rPr>
              <w:t>FILING DATE: October 21, 2022</w:t>
            </w:r>
          </w:p>
          <w:p w:rsidR="004B2E86" w:rsidRPr="00506748" w:rsidRDefault="004B2E86" w:rsidP="00F138C1">
            <w:pPr>
              <w:rPr>
                <w:sz w:val="20"/>
                <w:szCs w:val="20"/>
                <w:lang w:val="en-US"/>
              </w:rPr>
            </w:pPr>
          </w:p>
          <w:p w:rsidR="00F138C1" w:rsidRPr="00506748" w:rsidRDefault="00C9268A"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506748" w:rsidTr="00F138C1">
        <w:tc>
          <w:tcPr>
            <w:tcW w:w="4239" w:type="dxa"/>
            <w:shd w:val="clear" w:color="auto" w:fill="auto"/>
          </w:tcPr>
          <w:p w:rsidR="00F138C1" w:rsidRPr="00506748" w:rsidRDefault="00836EEF" w:rsidP="009B36BA">
            <w:pPr>
              <w:tabs>
                <w:tab w:val="left" w:pos="-1440"/>
                <w:tab w:val="left" w:pos="-720"/>
              </w:tabs>
              <w:rPr>
                <w:b/>
                <w:sz w:val="20"/>
                <w:szCs w:val="20"/>
                <w:lang w:val="en-US"/>
              </w:rPr>
            </w:pPr>
            <w:r w:rsidRPr="00506748">
              <w:rPr>
                <w:b/>
                <w:sz w:val="20"/>
                <w:szCs w:val="20"/>
                <w:lang w:val="en-US"/>
              </w:rPr>
              <w:t>Agrium Inc.</w:t>
            </w:r>
          </w:p>
          <w:p w:rsidR="00F138C1" w:rsidRPr="00506748" w:rsidRDefault="00F138C1" w:rsidP="00F138C1">
            <w:pPr>
              <w:keepNext/>
              <w:keepLines/>
              <w:tabs>
                <w:tab w:val="left" w:pos="-1440"/>
                <w:tab w:val="left" w:pos="-720"/>
              </w:tabs>
              <w:rPr>
                <w:sz w:val="20"/>
                <w:szCs w:val="20"/>
                <w:lang w:val="en-US"/>
              </w:rPr>
            </w:pPr>
            <w:r w:rsidRPr="00506748">
              <w:rPr>
                <w:sz w:val="20"/>
                <w:szCs w:val="20"/>
                <w:lang w:val="en-US"/>
              </w:rPr>
              <w:tab/>
            </w:r>
            <w:r w:rsidR="00836EEF" w:rsidRPr="00506748">
              <w:rPr>
                <w:sz w:val="20"/>
                <w:szCs w:val="20"/>
                <w:lang w:val="en-US"/>
              </w:rPr>
              <w:t>McDonald, Dan</w:t>
            </w:r>
          </w:p>
          <w:p w:rsidR="00F138C1" w:rsidRPr="00506748" w:rsidRDefault="00F138C1" w:rsidP="00F138C1">
            <w:pPr>
              <w:keepNext/>
              <w:keepLines/>
              <w:tabs>
                <w:tab w:val="left" w:pos="-1440"/>
                <w:tab w:val="left" w:pos="-720"/>
              </w:tabs>
              <w:rPr>
                <w:sz w:val="20"/>
                <w:szCs w:val="20"/>
                <w:lang w:val="en-US"/>
              </w:rPr>
            </w:pPr>
            <w:r w:rsidRPr="00506748">
              <w:rPr>
                <w:sz w:val="20"/>
                <w:szCs w:val="20"/>
                <w:lang w:val="en-US"/>
              </w:rPr>
              <w:tab/>
            </w:r>
            <w:r w:rsidR="00836EEF" w:rsidRPr="00506748">
              <w:rPr>
                <w:sz w:val="20"/>
                <w:szCs w:val="20"/>
                <w:lang w:val="en-US"/>
              </w:rPr>
              <w:t>Cozen O'Connor LLP</w:t>
            </w:r>
          </w:p>
          <w:p w:rsidR="00F138C1" w:rsidRPr="00506748" w:rsidRDefault="00F138C1" w:rsidP="00F138C1">
            <w:pPr>
              <w:keepNext/>
              <w:keepLines/>
              <w:tabs>
                <w:tab w:val="left" w:pos="-1440"/>
                <w:tab w:val="left" w:pos="-720"/>
              </w:tabs>
              <w:rPr>
                <w:sz w:val="20"/>
                <w:szCs w:val="20"/>
                <w:lang w:val="en-US"/>
              </w:rPr>
            </w:pPr>
          </w:p>
          <w:p w:rsidR="00F138C1" w:rsidRPr="00506748" w:rsidRDefault="00F138C1" w:rsidP="00F138C1">
            <w:pPr>
              <w:keepNext/>
              <w:keepLines/>
              <w:tabs>
                <w:tab w:val="left" w:pos="-1440"/>
                <w:tab w:val="left" w:pos="-720"/>
              </w:tabs>
              <w:rPr>
                <w:sz w:val="20"/>
                <w:szCs w:val="20"/>
                <w:lang w:val="en-US"/>
              </w:rPr>
            </w:pPr>
            <w:r w:rsidRPr="00506748">
              <w:rPr>
                <w:sz w:val="20"/>
                <w:szCs w:val="20"/>
                <w:lang w:val="en-US"/>
              </w:rPr>
              <w:tab/>
              <w:t>v. (</w:t>
            </w:r>
            <w:r w:rsidR="00836EEF" w:rsidRPr="00506748">
              <w:rPr>
                <w:sz w:val="20"/>
                <w:szCs w:val="20"/>
                <w:lang w:val="en-US"/>
              </w:rPr>
              <w:t>40402</w:t>
            </w:r>
            <w:r w:rsidRPr="00506748">
              <w:rPr>
                <w:sz w:val="20"/>
                <w:szCs w:val="20"/>
                <w:lang w:val="en-US"/>
              </w:rPr>
              <w:t>)</w:t>
            </w:r>
          </w:p>
          <w:p w:rsidR="00F138C1" w:rsidRPr="00506748" w:rsidRDefault="00F138C1" w:rsidP="00F138C1">
            <w:pPr>
              <w:keepNext/>
              <w:keepLines/>
              <w:tabs>
                <w:tab w:val="left" w:pos="-1440"/>
                <w:tab w:val="left" w:pos="-720"/>
              </w:tabs>
              <w:rPr>
                <w:sz w:val="20"/>
                <w:szCs w:val="20"/>
                <w:lang w:val="en-US"/>
              </w:rPr>
            </w:pPr>
          </w:p>
          <w:p w:rsidR="00F138C1" w:rsidRPr="00506748" w:rsidRDefault="00836EEF" w:rsidP="00F138C1">
            <w:pPr>
              <w:keepNext/>
              <w:keepLines/>
              <w:tabs>
                <w:tab w:val="left" w:pos="-1440"/>
                <w:tab w:val="left" w:pos="-720"/>
              </w:tabs>
              <w:rPr>
                <w:b/>
                <w:sz w:val="20"/>
                <w:szCs w:val="20"/>
                <w:lang w:val="en-US"/>
              </w:rPr>
            </w:pPr>
            <w:r w:rsidRPr="00506748">
              <w:rPr>
                <w:b/>
                <w:sz w:val="20"/>
                <w:szCs w:val="20"/>
                <w:lang w:val="en-US"/>
              </w:rPr>
              <w:t>Orbis Engineering Field Services LTD., et al.</w:t>
            </w:r>
            <w:r w:rsidR="00F138C1" w:rsidRPr="00506748">
              <w:rPr>
                <w:b/>
                <w:sz w:val="20"/>
                <w:szCs w:val="20"/>
                <w:lang w:val="en-US"/>
              </w:rPr>
              <w:t xml:space="preserve"> (</w:t>
            </w:r>
            <w:r w:rsidRPr="00506748">
              <w:rPr>
                <w:b/>
                <w:sz w:val="20"/>
                <w:szCs w:val="20"/>
                <w:lang w:val="en-US"/>
              </w:rPr>
              <w:t>Alta</w:t>
            </w:r>
            <w:r w:rsidR="00F138C1" w:rsidRPr="00506748">
              <w:rPr>
                <w:b/>
                <w:sz w:val="20"/>
                <w:szCs w:val="20"/>
                <w:lang w:val="en-US"/>
              </w:rPr>
              <w:t>.)</w:t>
            </w:r>
          </w:p>
          <w:p w:rsidR="00F138C1" w:rsidRPr="00506748" w:rsidRDefault="00F138C1" w:rsidP="00F138C1">
            <w:pPr>
              <w:keepNext/>
              <w:keepLines/>
              <w:tabs>
                <w:tab w:val="left" w:pos="-1440"/>
                <w:tab w:val="left" w:pos="-720"/>
              </w:tabs>
              <w:rPr>
                <w:sz w:val="20"/>
                <w:szCs w:val="20"/>
                <w:lang w:val="en-US"/>
              </w:rPr>
            </w:pPr>
            <w:r w:rsidRPr="00506748">
              <w:rPr>
                <w:sz w:val="20"/>
                <w:szCs w:val="20"/>
                <w:lang w:val="en-US"/>
              </w:rPr>
              <w:tab/>
            </w:r>
            <w:r w:rsidR="00836EEF" w:rsidRPr="00506748">
              <w:rPr>
                <w:sz w:val="20"/>
                <w:szCs w:val="20"/>
                <w:lang w:val="en-US"/>
              </w:rPr>
              <w:t>Drewry, Q.C., Richard B.</w:t>
            </w:r>
          </w:p>
          <w:p w:rsidR="00F138C1" w:rsidRPr="00506748" w:rsidRDefault="00F138C1" w:rsidP="00F138C1">
            <w:pPr>
              <w:keepNext/>
              <w:keepLines/>
              <w:tabs>
                <w:tab w:val="left" w:pos="-1440"/>
                <w:tab w:val="left" w:pos="-720"/>
              </w:tabs>
              <w:rPr>
                <w:sz w:val="20"/>
                <w:szCs w:val="20"/>
                <w:lang w:val="en-US"/>
              </w:rPr>
            </w:pPr>
            <w:r w:rsidRPr="00506748">
              <w:rPr>
                <w:sz w:val="20"/>
                <w:szCs w:val="20"/>
                <w:lang w:val="en-US"/>
              </w:rPr>
              <w:tab/>
            </w:r>
            <w:r w:rsidR="00836EEF" w:rsidRPr="00506748">
              <w:rPr>
                <w:sz w:val="20"/>
                <w:szCs w:val="20"/>
                <w:lang w:val="en-US"/>
              </w:rPr>
              <w:t>Emery Jamieson</w:t>
            </w:r>
          </w:p>
          <w:p w:rsidR="00F138C1" w:rsidRPr="00506748" w:rsidRDefault="00F138C1" w:rsidP="00F138C1">
            <w:pPr>
              <w:keepNext/>
              <w:keepLines/>
              <w:tabs>
                <w:tab w:val="left" w:pos="-1440"/>
                <w:tab w:val="left" w:pos="-720"/>
              </w:tabs>
              <w:rPr>
                <w:sz w:val="20"/>
                <w:szCs w:val="20"/>
                <w:lang w:val="en-US"/>
              </w:rPr>
            </w:pPr>
          </w:p>
          <w:p w:rsidR="004B2E86" w:rsidRPr="00506748" w:rsidRDefault="00F138C1" w:rsidP="00F138C1">
            <w:pPr>
              <w:rPr>
                <w:sz w:val="20"/>
                <w:szCs w:val="20"/>
                <w:lang w:val="en-US"/>
              </w:rPr>
            </w:pPr>
            <w:r w:rsidRPr="00506748">
              <w:rPr>
                <w:sz w:val="20"/>
                <w:szCs w:val="20"/>
                <w:lang w:val="en-US"/>
              </w:rPr>
              <w:t xml:space="preserve">FILING DATE: </w:t>
            </w:r>
            <w:r w:rsidR="00836EEF" w:rsidRPr="00506748">
              <w:rPr>
                <w:sz w:val="20"/>
                <w:szCs w:val="20"/>
                <w:lang w:val="en-US"/>
              </w:rPr>
              <w:t>October</w:t>
            </w:r>
            <w:r w:rsidRPr="00506748">
              <w:rPr>
                <w:sz w:val="20"/>
                <w:szCs w:val="20"/>
                <w:lang w:val="en-US"/>
              </w:rPr>
              <w:t xml:space="preserve"> </w:t>
            </w:r>
            <w:r w:rsidR="00836EEF" w:rsidRPr="00506748">
              <w:rPr>
                <w:sz w:val="20"/>
                <w:szCs w:val="20"/>
                <w:lang w:val="en-US"/>
              </w:rPr>
              <w:t>21</w:t>
            </w:r>
            <w:r w:rsidRPr="00506748">
              <w:rPr>
                <w:sz w:val="20"/>
                <w:szCs w:val="20"/>
                <w:lang w:val="en-US"/>
              </w:rPr>
              <w:t>, 20</w:t>
            </w:r>
            <w:r w:rsidR="00DA1D48" w:rsidRPr="00506748">
              <w:rPr>
                <w:sz w:val="20"/>
                <w:szCs w:val="20"/>
                <w:lang w:val="en-US"/>
              </w:rPr>
              <w:t>2</w:t>
            </w:r>
            <w:r w:rsidR="00E8642A" w:rsidRPr="00506748">
              <w:rPr>
                <w:sz w:val="20"/>
                <w:szCs w:val="20"/>
                <w:lang w:val="en-US"/>
              </w:rPr>
              <w:t>2</w:t>
            </w:r>
          </w:p>
          <w:p w:rsidR="004B2E86" w:rsidRPr="00506748" w:rsidRDefault="004B2E86" w:rsidP="00F138C1">
            <w:pPr>
              <w:rPr>
                <w:sz w:val="20"/>
                <w:szCs w:val="20"/>
                <w:lang w:val="en-US"/>
              </w:rPr>
            </w:pPr>
          </w:p>
          <w:p w:rsidR="00F138C1" w:rsidRPr="00506748" w:rsidRDefault="00C9268A"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506748" w:rsidRDefault="00F138C1" w:rsidP="00F138C1">
            <w:pPr>
              <w:jc w:val="center"/>
              <w:rPr>
                <w:sz w:val="20"/>
                <w:szCs w:val="20"/>
                <w:lang w:val="en-US"/>
              </w:rPr>
            </w:pPr>
          </w:p>
          <w:p w:rsidR="00F138C1" w:rsidRPr="00506748" w:rsidRDefault="00F138C1" w:rsidP="00F138C1">
            <w:pPr>
              <w:jc w:val="center"/>
              <w:rPr>
                <w:sz w:val="20"/>
                <w:szCs w:val="20"/>
                <w:lang w:val="en-US"/>
              </w:rPr>
            </w:pPr>
          </w:p>
          <w:p w:rsidR="00F138C1" w:rsidRPr="00506748" w:rsidRDefault="00F138C1" w:rsidP="00F138C1">
            <w:pPr>
              <w:jc w:val="center"/>
              <w:rPr>
                <w:sz w:val="20"/>
                <w:szCs w:val="20"/>
                <w:lang w:val="en-US"/>
              </w:rPr>
            </w:pPr>
          </w:p>
          <w:p w:rsidR="00F138C1" w:rsidRPr="00506748" w:rsidRDefault="00F138C1" w:rsidP="00F138C1">
            <w:pPr>
              <w:jc w:val="center"/>
              <w:rPr>
                <w:sz w:val="20"/>
                <w:szCs w:val="20"/>
                <w:lang w:val="en-US"/>
              </w:rPr>
            </w:pPr>
          </w:p>
          <w:p w:rsidR="00F138C1" w:rsidRPr="00506748" w:rsidRDefault="00F138C1" w:rsidP="00F138C1">
            <w:pPr>
              <w:jc w:val="center"/>
              <w:rPr>
                <w:sz w:val="20"/>
                <w:szCs w:val="20"/>
                <w:lang w:val="en-US"/>
              </w:rPr>
            </w:pPr>
          </w:p>
          <w:p w:rsidR="00F138C1" w:rsidRPr="00506748" w:rsidRDefault="00F138C1" w:rsidP="00F138C1">
            <w:pPr>
              <w:jc w:val="center"/>
              <w:rPr>
                <w:sz w:val="20"/>
                <w:szCs w:val="20"/>
                <w:lang w:val="en-US"/>
              </w:rPr>
            </w:pPr>
          </w:p>
          <w:p w:rsidR="00F138C1" w:rsidRPr="00506748" w:rsidRDefault="00F138C1" w:rsidP="00F138C1">
            <w:pPr>
              <w:jc w:val="center"/>
              <w:rPr>
                <w:sz w:val="20"/>
                <w:szCs w:val="20"/>
                <w:lang w:val="en-US"/>
              </w:rPr>
            </w:pPr>
          </w:p>
          <w:p w:rsidR="00F138C1" w:rsidRPr="00506748" w:rsidRDefault="00F138C1" w:rsidP="00F138C1">
            <w:pPr>
              <w:jc w:val="center"/>
              <w:rPr>
                <w:sz w:val="20"/>
                <w:szCs w:val="20"/>
                <w:lang w:val="en-US"/>
              </w:rPr>
            </w:pPr>
          </w:p>
          <w:p w:rsidR="00F138C1" w:rsidRPr="00506748" w:rsidRDefault="00F138C1" w:rsidP="00F138C1">
            <w:pPr>
              <w:jc w:val="center"/>
              <w:rPr>
                <w:sz w:val="20"/>
                <w:szCs w:val="20"/>
                <w:lang w:val="en-US"/>
              </w:rPr>
            </w:pPr>
          </w:p>
          <w:p w:rsidR="00F138C1" w:rsidRPr="00506748" w:rsidRDefault="00F138C1" w:rsidP="00F138C1">
            <w:pPr>
              <w:jc w:val="center"/>
              <w:rPr>
                <w:sz w:val="20"/>
                <w:szCs w:val="20"/>
                <w:lang w:val="en-US"/>
              </w:rPr>
            </w:pPr>
          </w:p>
          <w:p w:rsidR="00F138C1" w:rsidRPr="00506748" w:rsidRDefault="00F138C1" w:rsidP="00F138C1">
            <w:pPr>
              <w:jc w:val="center"/>
              <w:rPr>
                <w:sz w:val="20"/>
                <w:szCs w:val="20"/>
                <w:lang w:val="en-US"/>
              </w:rPr>
            </w:pPr>
          </w:p>
          <w:p w:rsidR="00F138C1" w:rsidRPr="00506748" w:rsidRDefault="00F138C1" w:rsidP="00F138C1">
            <w:pPr>
              <w:jc w:val="center"/>
              <w:rPr>
                <w:sz w:val="20"/>
                <w:szCs w:val="20"/>
                <w:lang w:val="en-US"/>
              </w:rPr>
            </w:pPr>
          </w:p>
          <w:p w:rsidR="00F138C1" w:rsidRPr="00506748" w:rsidRDefault="00F138C1" w:rsidP="00F138C1">
            <w:pPr>
              <w:jc w:val="center"/>
              <w:rPr>
                <w:sz w:val="20"/>
                <w:szCs w:val="20"/>
                <w:lang w:val="en-US"/>
              </w:rPr>
            </w:pPr>
          </w:p>
          <w:p w:rsidR="00F138C1" w:rsidRPr="00506748" w:rsidRDefault="00F138C1" w:rsidP="00F138C1">
            <w:pPr>
              <w:jc w:val="center"/>
              <w:rPr>
                <w:sz w:val="20"/>
                <w:szCs w:val="20"/>
                <w:lang w:val="en-US"/>
              </w:rPr>
            </w:pPr>
          </w:p>
          <w:p w:rsidR="004B2E86" w:rsidRPr="00506748" w:rsidRDefault="004B2E86" w:rsidP="00F138C1">
            <w:pPr>
              <w:jc w:val="center"/>
              <w:rPr>
                <w:sz w:val="20"/>
                <w:szCs w:val="20"/>
                <w:lang w:val="en-US"/>
              </w:rPr>
            </w:pPr>
          </w:p>
        </w:tc>
        <w:tc>
          <w:tcPr>
            <w:tcW w:w="4239" w:type="dxa"/>
            <w:shd w:val="clear" w:color="auto" w:fill="auto"/>
          </w:tcPr>
          <w:p w:rsidR="00F138C1" w:rsidRPr="00506748" w:rsidRDefault="00C46159" w:rsidP="00F138C1">
            <w:pPr>
              <w:rPr>
                <w:b/>
                <w:sz w:val="20"/>
                <w:szCs w:val="20"/>
                <w:lang w:val="fr-CA"/>
              </w:rPr>
            </w:pPr>
            <w:r w:rsidRPr="00506748">
              <w:rPr>
                <w:b/>
                <w:sz w:val="20"/>
                <w:szCs w:val="20"/>
                <w:lang w:val="fr-CA"/>
              </w:rPr>
              <w:t>Salim Rana</w:t>
            </w:r>
          </w:p>
          <w:p w:rsidR="00F138C1" w:rsidRPr="00506748" w:rsidRDefault="00F138C1" w:rsidP="00F138C1">
            <w:pPr>
              <w:tabs>
                <w:tab w:val="left" w:pos="-1440"/>
                <w:tab w:val="left" w:pos="-720"/>
              </w:tabs>
              <w:rPr>
                <w:sz w:val="20"/>
                <w:szCs w:val="20"/>
                <w:lang w:val="fr-CA"/>
              </w:rPr>
            </w:pPr>
            <w:r w:rsidRPr="00506748">
              <w:rPr>
                <w:sz w:val="20"/>
                <w:szCs w:val="20"/>
                <w:lang w:val="fr-CA"/>
              </w:rPr>
              <w:tab/>
            </w:r>
            <w:r w:rsidR="00C46159" w:rsidRPr="00506748">
              <w:rPr>
                <w:sz w:val="20"/>
                <w:szCs w:val="20"/>
                <w:lang w:val="fr-CA"/>
              </w:rPr>
              <w:t>Salim Rana</w:t>
            </w:r>
          </w:p>
          <w:p w:rsidR="00F138C1" w:rsidRPr="00506748" w:rsidRDefault="00F138C1" w:rsidP="00F138C1">
            <w:pPr>
              <w:tabs>
                <w:tab w:val="left" w:pos="-1440"/>
                <w:tab w:val="left" w:pos="-720"/>
              </w:tabs>
              <w:rPr>
                <w:sz w:val="20"/>
                <w:szCs w:val="20"/>
                <w:lang w:val="fr-CA"/>
              </w:rPr>
            </w:pPr>
          </w:p>
          <w:p w:rsidR="00836EEF" w:rsidRPr="00506748" w:rsidRDefault="00836EEF" w:rsidP="00836EEF">
            <w:pPr>
              <w:keepNext/>
              <w:keepLines/>
              <w:tabs>
                <w:tab w:val="left" w:pos="-1440"/>
                <w:tab w:val="left" w:pos="-720"/>
              </w:tabs>
              <w:rPr>
                <w:sz w:val="20"/>
                <w:szCs w:val="20"/>
                <w:lang w:val="fr-CA"/>
              </w:rPr>
            </w:pPr>
            <w:r w:rsidRPr="00506748">
              <w:rPr>
                <w:sz w:val="20"/>
                <w:szCs w:val="20"/>
                <w:lang w:val="fr-CA"/>
              </w:rPr>
              <w:tab/>
              <w:t>v. (40403)</w:t>
            </w:r>
          </w:p>
          <w:p w:rsidR="00F138C1" w:rsidRPr="00506748" w:rsidRDefault="00F138C1" w:rsidP="00F138C1">
            <w:pPr>
              <w:tabs>
                <w:tab w:val="left" w:pos="-1440"/>
                <w:tab w:val="left" w:pos="-720"/>
              </w:tabs>
              <w:rPr>
                <w:sz w:val="20"/>
                <w:szCs w:val="20"/>
                <w:lang w:val="fr-CA"/>
              </w:rPr>
            </w:pPr>
          </w:p>
          <w:p w:rsidR="00F138C1" w:rsidRPr="00506748" w:rsidRDefault="00C46159" w:rsidP="00F138C1">
            <w:pPr>
              <w:tabs>
                <w:tab w:val="left" w:pos="-1440"/>
                <w:tab w:val="left" w:pos="-720"/>
              </w:tabs>
              <w:rPr>
                <w:b/>
                <w:sz w:val="20"/>
                <w:szCs w:val="20"/>
                <w:lang w:val="en-US"/>
              </w:rPr>
            </w:pPr>
            <w:r w:rsidRPr="00506748">
              <w:rPr>
                <w:b/>
                <w:sz w:val="20"/>
                <w:szCs w:val="20"/>
                <w:lang w:val="en-US"/>
              </w:rPr>
              <w:t>Erin Baker</w:t>
            </w:r>
            <w:r w:rsidR="00F138C1" w:rsidRPr="00506748">
              <w:rPr>
                <w:sz w:val="20"/>
                <w:szCs w:val="20"/>
                <w:lang w:val="en-US"/>
              </w:rPr>
              <w:t xml:space="preserve"> </w:t>
            </w:r>
            <w:r w:rsidR="00F138C1" w:rsidRPr="00506748">
              <w:rPr>
                <w:b/>
                <w:sz w:val="20"/>
                <w:szCs w:val="20"/>
                <w:lang w:val="en-US"/>
              </w:rPr>
              <w:t>(</w:t>
            </w:r>
            <w:r w:rsidR="00836EEF" w:rsidRPr="00506748">
              <w:rPr>
                <w:b/>
                <w:sz w:val="20"/>
                <w:szCs w:val="20"/>
                <w:lang w:val="en-US"/>
              </w:rPr>
              <w:t>Alta.</w:t>
            </w:r>
            <w:r w:rsidR="00F138C1" w:rsidRPr="00506748">
              <w:rPr>
                <w:b/>
                <w:sz w:val="20"/>
                <w:szCs w:val="20"/>
                <w:lang w:val="en-US"/>
              </w:rPr>
              <w:t>)</w:t>
            </w:r>
          </w:p>
          <w:p w:rsidR="00F138C1" w:rsidRPr="00506748" w:rsidRDefault="00F138C1" w:rsidP="00F138C1">
            <w:pPr>
              <w:tabs>
                <w:tab w:val="left" w:pos="-1440"/>
                <w:tab w:val="left" w:pos="-720"/>
              </w:tabs>
              <w:rPr>
                <w:sz w:val="20"/>
                <w:szCs w:val="20"/>
                <w:lang w:val="en-US"/>
              </w:rPr>
            </w:pPr>
            <w:r w:rsidRPr="00506748">
              <w:rPr>
                <w:sz w:val="20"/>
                <w:szCs w:val="20"/>
                <w:lang w:val="en-US"/>
              </w:rPr>
              <w:tab/>
            </w:r>
            <w:r w:rsidR="00C46159" w:rsidRPr="00506748">
              <w:rPr>
                <w:sz w:val="20"/>
                <w:szCs w:val="20"/>
                <w:lang w:val="en-US"/>
              </w:rPr>
              <w:t>Weatherill, Stuart J.</w:t>
            </w:r>
          </w:p>
          <w:p w:rsidR="00F138C1" w:rsidRPr="00506748" w:rsidRDefault="00F138C1" w:rsidP="00F138C1">
            <w:pPr>
              <w:tabs>
                <w:tab w:val="left" w:pos="-1440"/>
                <w:tab w:val="left" w:pos="-720"/>
              </w:tabs>
              <w:rPr>
                <w:sz w:val="20"/>
                <w:szCs w:val="20"/>
                <w:lang w:val="en-US"/>
              </w:rPr>
            </w:pPr>
            <w:r w:rsidRPr="00506748">
              <w:rPr>
                <w:sz w:val="20"/>
                <w:szCs w:val="20"/>
                <w:lang w:val="en-US"/>
              </w:rPr>
              <w:tab/>
            </w:r>
            <w:r w:rsidR="00C46159" w:rsidRPr="00506748">
              <w:rPr>
                <w:sz w:val="20"/>
                <w:szCs w:val="20"/>
                <w:lang w:val="en-US"/>
              </w:rPr>
              <w:t>Emery Jamieson</w:t>
            </w:r>
          </w:p>
          <w:p w:rsidR="00F138C1" w:rsidRPr="00506748" w:rsidRDefault="00F138C1" w:rsidP="00F138C1">
            <w:pPr>
              <w:tabs>
                <w:tab w:val="left" w:pos="-1440"/>
                <w:tab w:val="left" w:pos="-720"/>
              </w:tabs>
              <w:rPr>
                <w:sz w:val="20"/>
                <w:szCs w:val="20"/>
                <w:lang w:val="en-US"/>
              </w:rPr>
            </w:pPr>
          </w:p>
          <w:p w:rsidR="00C46159" w:rsidRPr="00506748" w:rsidRDefault="00C46159" w:rsidP="00C46159">
            <w:pPr>
              <w:rPr>
                <w:sz w:val="20"/>
                <w:szCs w:val="20"/>
                <w:lang w:val="en-US"/>
              </w:rPr>
            </w:pPr>
            <w:r w:rsidRPr="00506748">
              <w:rPr>
                <w:sz w:val="20"/>
                <w:szCs w:val="20"/>
                <w:lang w:val="en-US"/>
              </w:rPr>
              <w:t>FILING DATE: October 21, 2022</w:t>
            </w:r>
          </w:p>
          <w:p w:rsidR="004B2E86" w:rsidRPr="00506748" w:rsidRDefault="004B2E86" w:rsidP="00F138C1">
            <w:pPr>
              <w:rPr>
                <w:sz w:val="20"/>
                <w:szCs w:val="20"/>
                <w:lang w:val="en-US"/>
              </w:rPr>
            </w:pPr>
          </w:p>
          <w:p w:rsidR="00F138C1" w:rsidRPr="00506748" w:rsidRDefault="00C9268A"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506748" w:rsidTr="00F138C1">
        <w:tc>
          <w:tcPr>
            <w:tcW w:w="4239" w:type="dxa"/>
            <w:shd w:val="clear" w:color="auto" w:fill="auto"/>
          </w:tcPr>
          <w:p w:rsidR="00DA1D48" w:rsidRPr="00506748" w:rsidRDefault="00C46159" w:rsidP="00DA1D48">
            <w:pPr>
              <w:rPr>
                <w:sz w:val="20"/>
                <w:szCs w:val="20"/>
                <w:lang w:val="en-US"/>
              </w:rPr>
            </w:pPr>
            <w:r w:rsidRPr="00506748">
              <w:rPr>
                <w:b/>
                <w:sz w:val="20"/>
                <w:szCs w:val="20"/>
                <w:lang w:val="en-US"/>
              </w:rPr>
              <w:t>Andrew Bond</w:t>
            </w:r>
          </w:p>
          <w:p w:rsidR="00DA1D48" w:rsidRPr="00506748" w:rsidRDefault="00DA1D48" w:rsidP="00DA1D48">
            <w:pPr>
              <w:tabs>
                <w:tab w:val="left" w:pos="-1440"/>
                <w:tab w:val="left" w:pos="-720"/>
              </w:tabs>
              <w:rPr>
                <w:sz w:val="20"/>
                <w:szCs w:val="20"/>
                <w:lang w:val="en-US"/>
              </w:rPr>
            </w:pPr>
            <w:r w:rsidRPr="00506748">
              <w:rPr>
                <w:sz w:val="20"/>
                <w:szCs w:val="20"/>
                <w:lang w:val="en-US"/>
              </w:rPr>
              <w:tab/>
            </w:r>
            <w:r w:rsidR="00C46159" w:rsidRPr="00506748">
              <w:rPr>
                <w:sz w:val="20"/>
                <w:szCs w:val="20"/>
                <w:lang w:val="en-US"/>
              </w:rPr>
              <w:t>Brownscombe, Emmett</w:t>
            </w:r>
          </w:p>
          <w:p w:rsidR="00DA1D48" w:rsidRPr="00506748" w:rsidRDefault="00EC6816" w:rsidP="00DA1D48">
            <w:pPr>
              <w:tabs>
                <w:tab w:val="left" w:pos="-1440"/>
                <w:tab w:val="left" w:pos="-720"/>
              </w:tabs>
              <w:rPr>
                <w:sz w:val="20"/>
                <w:szCs w:val="20"/>
                <w:lang w:val="en-US"/>
              </w:rPr>
            </w:pPr>
            <w:r w:rsidRPr="00506748">
              <w:rPr>
                <w:sz w:val="20"/>
                <w:szCs w:val="20"/>
                <w:lang w:val="en-US"/>
              </w:rPr>
              <w:tab/>
            </w:r>
            <w:r w:rsidR="00C46159" w:rsidRPr="00506748">
              <w:rPr>
                <w:sz w:val="20"/>
                <w:szCs w:val="20"/>
                <w:lang w:val="en-US"/>
              </w:rPr>
              <w:t>Lockyer Zaduk Zeeh</w:t>
            </w:r>
          </w:p>
          <w:p w:rsidR="00EC6816" w:rsidRPr="00506748" w:rsidRDefault="00EC6816" w:rsidP="00DA1D48">
            <w:pPr>
              <w:tabs>
                <w:tab w:val="left" w:pos="-1440"/>
                <w:tab w:val="left" w:pos="-720"/>
              </w:tabs>
              <w:rPr>
                <w:sz w:val="20"/>
                <w:szCs w:val="20"/>
                <w:lang w:val="en-US"/>
              </w:rPr>
            </w:pPr>
          </w:p>
          <w:p w:rsidR="00DA1D48" w:rsidRPr="00506748" w:rsidRDefault="00DA1D48" w:rsidP="00DA1D48">
            <w:pPr>
              <w:tabs>
                <w:tab w:val="left" w:pos="-1440"/>
                <w:tab w:val="left" w:pos="-720"/>
              </w:tabs>
              <w:rPr>
                <w:sz w:val="20"/>
                <w:szCs w:val="20"/>
                <w:lang w:val="en-US"/>
              </w:rPr>
            </w:pPr>
            <w:r w:rsidRPr="00506748">
              <w:rPr>
                <w:sz w:val="20"/>
                <w:szCs w:val="20"/>
                <w:lang w:val="en-US"/>
              </w:rPr>
              <w:tab/>
              <w:t>v. (4</w:t>
            </w:r>
            <w:r w:rsidR="00C46159" w:rsidRPr="00506748">
              <w:rPr>
                <w:sz w:val="20"/>
                <w:szCs w:val="20"/>
                <w:lang w:val="en-US"/>
              </w:rPr>
              <w:t>0405</w:t>
            </w:r>
            <w:r w:rsidRPr="00506748">
              <w:rPr>
                <w:sz w:val="20"/>
                <w:szCs w:val="20"/>
                <w:lang w:val="en-US"/>
              </w:rPr>
              <w:t>)</w:t>
            </w:r>
          </w:p>
          <w:p w:rsidR="00DA1D48" w:rsidRPr="00506748" w:rsidRDefault="00DA1D48" w:rsidP="00DA1D48">
            <w:pPr>
              <w:tabs>
                <w:tab w:val="left" w:pos="-1440"/>
                <w:tab w:val="left" w:pos="-720"/>
              </w:tabs>
              <w:rPr>
                <w:sz w:val="20"/>
                <w:szCs w:val="20"/>
                <w:lang w:val="en-US"/>
              </w:rPr>
            </w:pPr>
          </w:p>
          <w:p w:rsidR="00DA1D48" w:rsidRPr="00506748" w:rsidRDefault="00C46159" w:rsidP="00DA1D48">
            <w:pPr>
              <w:tabs>
                <w:tab w:val="left" w:pos="-1440"/>
                <w:tab w:val="left" w:pos="-720"/>
              </w:tabs>
              <w:rPr>
                <w:b/>
                <w:sz w:val="20"/>
                <w:szCs w:val="20"/>
                <w:lang w:val="en-US"/>
              </w:rPr>
            </w:pPr>
            <w:r w:rsidRPr="00506748">
              <w:rPr>
                <w:b/>
                <w:sz w:val="20"/>
                <w:szCs w:val="20"/>
                <w:lang w:val="en-US"/>
              </w:rPr>
              <w:t>His Majesty the King</w:t>
            </w:r>
            <w:r w:rsidR="00DA1D48" w:rsidRPr="00506748">
              <w:rPr>
                <w:b/>
                <w:sz w:val="20"/>
                <w:szCs w:val="20"/>
                <w:lang w:val="en-US"/>
              </w:rPr>
              <w:t xml:space="preserve"> (</w:t>
            </w:r>
            <w:r w:rsidRPr="00506748">
              <w:rPr>
                <w:b/>
                <w:sz w:val="20"/>
                <w:szCs w:val="20"/>
                <w:lang w:val="en-US"/>
              </w:rPr>
              <w:t>Ont</w:t>
            </w:r>
            <w:r w:rsidR="00DA1D48" w:rsidRPr="00506748">
              <w:rPr>
                <w:b/>
                <w:sz w:val="20"/>
                <w:szCs w:val="20"/>
                <w:lang w:val="en-US"/>
              </w:rPr>
              <w:t>.)</w:t>
            </w:r>
          </w:p>
          <w:p w:rsidR="00DA1D48" w:rsidRPr="00506748" w:rsidRDefault="00DA1D48" w:rsidP="00DA1D48">
            <w:pPr>
              <w:tabs>
                <w:tab w:val="left" w:pos="-1440"/>
                <w:tab w:val="left" w:pos="-720"/>
              </w:tabs>
              <w:rPr>
                <w:sz w:val="20"/>
                <w:szCs w:val="20"/>
                <w:lang w:val="en-US"/>
              </w:rPr>
            </w:pPr>
            <w:r w:rsidRPr="00506748">
              <w:rPr>
                <w:sz w:val="20"/>
                <w:szCs w:val="20"/>
                <w:lang w:val="en-US"/>
              </w:rPr>
              <w:tab/>
            </w:r>
            <w:r w:rsidR="00C46159" w:rsidRPr="00506748">
              <w:rPr>
                <w:sz w:val="20"/>
                <w:szCs w:val="20"/>
                <w:lang w:val="en-US"/>
              </w:rPr>
              <w:t>Lai, Mabel</w:t>
            </w:r>
          </w:p>
          <w:p w:rsidR="00DA1D48" w:rsidRPr="00506748" w:rsidRDefault="00DA1D48" w:rsidP="00DA1D48">
            <w:pPr>
              <w:tabs>
                <w:tab w:val="left" w:pos="-1440"/>
                <w:tab w:val="left" w:pos="-720"/>
              </w:tabs>
              <w:rPr>
                <w:sz w:val="20"/>
                <w:szCs w:val="20"/>
              </w:rPr>
            </w:pPr>
            <w:r w:rsidRPr="00506748">
              <w:rPr>
                <w:sz w:val="20"/>
                <w:szCs w:val="20"/>
                <w:lang w:val="en-US"/>
              </w:rPr>
              <w:tab/>
            </w:r>
            <w:r w:rsidR="00C46159" w:rsidRPr="00506748">
              <w:rPr>
                <w:sz w:val="20"/>
                <w:szCs w:val="20"/>
              </w:rPr>
              <w:t>Attorney General of Ontario</w:t>
            </w:r>
          </w:p>
          <w:p w:rsidR="00DA1D48" w:rsidRPr="00506748" w:rsidRDefault="00DA1D48" w:rsidP="00DA1D48">
            <w:pPr>
              <w:tabs>
                <w:tab w:val="left" w:pos="-1440"/>
                <w:tab w:val="left" w:pos="-720"/>
              </w:tabs>
              <w:rPr>
                <w:sz w:val="20"/>
                <w:szCs w:val="20"/>
              </w:rPr>
            </w:pPr>
          </w:p>
          <w:p w:rsidR="00C46159" w:rsidRPr="00506748" w:rsidRDefault="00C46159" w:rsidP="00C46159">
            <w:pPr>
              <w:rPr>
                <w:sz w:val="20"/>
                <w:szCs w:val="20"/>
                <w:lang w:val="en-US"/>
              </w:rPr>
            </w:pPr>
            <w:r w:rsidRPr="00506748">
              <w:rPr>
                <w:sz w:val="20"/>
                <w:szCs w:val="20"/>
                <w:lang w:val="en-US"/>
              </w:rPr>
              <w:t>FILING DATE: October 21, 2022</w:t>
            </w:r>
          </w:p>
          <w:p w:rsidR="00DA1D48" w:rsidRPr="00506748" w:rsidRDefault="00DA1D48" w:rsidP="00DA1D48">
            <w:pPr>
              <w:rPr>
                <w:sz w:val="20"/>
                <w:szCs w:val="20"/>
              </w:rPr>
            </w:pPr>
          </w:p>
          <w:p w:rsidR="00F138C1" w:rsidRPr="00506748" w:rsidRDefault="00C9268A"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506748" w:rsidRDefault="00F138C1" w:rsidP="00F138C1">
            <w:pPr>
              <w:jc w:val="center"/>
              <w:rPr>
                <w:sz w:val="20"/>
                <w:szCs w:val="20"/>
                <w:lang w:val="en-US"/>
              </w:rPr>
            </w:pPr>
          </w:p>
          <w:p w:rsidR="00DA1D48" w:rsidRPr="00506748" w:rsidRDefault="00DA1D48" w:rsidP="00F138C1">
            <w:pPr>
              <w:jc w:val="center"/>
              <w:rPr>
                <w:sz w:val="20"/>
                <w:szCs w:val="20"/>
                <w:lang w:val="en-US"/>
              </w:rPr>
            </w:pPr>
          </w:p>
          <w:p w:rsidR="00DA1D48" w:rsidRPr="00506748" w:rsidRDefault="00DA1D48" w:rsidP="00F138C1">
            <w:pPr>
              <w:jc w:val="center"/>
              <w:rPr>
                <w:sz w:val="20"/>
                <w:szCs w:val="20"/>
                <w:lang w:val="en-US"/>
              </w:rPr>
            </w:pPr>
          </w:p>
          <w:p w:rsidR="00DA1D48" w:rsidRPr="00506748" w:rsidRDefault="00DA1D48" w:rsidP="00F138C1">
            <w:pPr>
              <w:jc w:val="center"/>
              <w:rPr>
                <w:sz w:val="20"/>
                <w:szCs w:val="20"/>
                <w:lang w:val="en-US"/>
              </w:rPr>
            </w:pPr>
          </w:p>
          <w:p w:rsidR="00DA1D48" w:rsidRPr="00506748" w:rsidRDefault="00DA1D48" w:rsidP="00F138C1">
            <w:pPr>
              <w:jc w:val="center"/>
              <w:rPr>
                <w:sz w:val="20"/>
                <w:szCs w:val="20"/>
                <w:lang w:val="en-US"/>
              </w:rPr>
            </w:pPr>
          </w:p>
          <w:p w:rsidR="00DA1D48" w:rsidRPr="00506748" w:rsidRDefault="00DA1D48" w:rsidP="00F138C1">
            <w:pPr>
              <w:jc w:val="center"/>
              <w:rPr>
                <w:sz w:val="20"/>
                <w:szCs w:val="20"/>
                <w:lang w:val="en-US"/>
              </w:rPr>
            </w:pPr>
          </w:p>
          <w:p w:rsidR="00DA1D48" w:rsidRPr="00506748" w:rsidRDefault="00DA1D48" w:rsidP="00F138C1">
            <w:pPr>
              <w:jc w:val="center"/>
              <w:rPr>
                <w:sz w:val="20"/>
                <w:szCs w:val="20"/>
                <w:lang w:val="en-US"/>
              </w:rPr>
            </w:pPr>
          </w:p>
          <w:p w:rsidR="00DA1D48" w:rsidRPr="00506748" w:rsidRDefault="00DA1D48" w:rsidP="00F138C1">
            <w:pPr>
              <w:jc w:val="center"/>
              <w:rPr>
                <w:sz w:val="20"/>
                <w:szCs w:val="20"/>
                <w:lang w:val="en-US"/>
              </w:rPr>
            </w:pPr>
          </w:p>
          <w:p w:rsidR="00DA1D48" w:rsidRPr="00506748" w:rsidRDefault="00DA1D48" w:rsidP="00F138C1">
            <w:pPr>
              <w:jc w:val="center"/>
              <w:rPr>
                <w:sz w:val="20"/>
                <w:szCs w:val="20"/>
                <w:lang w:val="en-US"/>
              </w:rPr>
            </w:pPr>
          </w:p>
          <w:p w:rsidR="00DA1D48" w:rsidRPr="00506748" w:rsidRDefault="00DA1D48" w:rsidP="00F138C1">
            <w:pPr>
              <w:jc w:val="center"/>
              <w:rPr>
                <w:sz w:val="20"/>
                <w:szCs w:val="20"/>
                <w:lang w:val="en-US"/>
              </w:rPr>
            </w:pPr>
          </w:p>
          <w:p w:rsidR="00DA1D48" w:rsidRPr="00506748" w:rsidRDefault="00DA1D48" w:rsidP="00F138C1">
            <w:pPr>
              <w:jc w:val="center"/>
              <w:rPr>
                <w:sz w:val="20"/>
                <w:szCs w:val="20"/>
                <w:lang w:val="en-US"/>
              </w:rPr>
            </w:pPr>
          </w:p>
          <w:p w:rsidR="00A778E5" w:rsidRPr="00506748" w:rsidRDefault="00A778E5" w:rsidP="00F138C1">
            <w:pPr>
              <w:jc w:val="center"/>
              <w:rPr>
                <w:sz w:val="20"/>
                <w:szCs w:val="20"/>
                <w:lang w:val="en-US"/>
              </w:rPr>
            </w:pPr>
          </w:p>
          <w:p w:rsidR="00DA1D48" w:rsidRPr="00506748" w:rsidRDefault="00DA1D48" w:rsidP="00F138C1">
            <w:pPr>
              <w:jc w:val="center"/>
              <w:rPr>
                <w:sz w:val="20"/>
                <w:szCs w:val="20"/>
                <w:lang w:val="en-US"/>
              </w:rPr>
            </w:pPr>
          </w:p>
          <w:p w:rsidR="00DA1D48" w:rsidRPr="00506748" w:rsidRDefault="00DA1D48" w:rsidP="00F138C1">
            <w:pPr>
              <w:jc w:val="center"/>
              <w:rPr>
                <w:sz w:val="20"/>
                <w:szCs w:val="20"/>
                <w:lang w:val="en-US"/>
              </w:rPr>
            </w:pPr>
          </w:p>
          <w:p w:rsidR="00DA1D48" w:rsidRPr="00506748" w:rsidRDefault="00DA1D48" w:rsidP="00F138C1">
            <w:pPr>
              <w:jc w:val="center"/>
              <w:rPr>
                <w:sz w:val="20"/>
                <w:szCs w:val="20"/>
                <w:lang w:val="en-US"/>
              </w:rPr>
            </w:pPr>
          </w:p>
        </w:tc>
        <w:tc>
          <w:tcPr>
            <w:tcW w:w="4239" w:type="dxa"/>
            <w:shd w:val="clear" w:color="auto" w:fill="auto"/>
          </w:tcPr>
          <w:p w:rsidR="00DA1D48" w:rsidRPr="00506748" w:rsidRDefault="00A778E5" w:rsidP="00DA1D48">
            <w:pPr>
              <w:rPr>
                <w:b/>
                <w:sz w:val="20"/>
                <w:szCs w:val="20"/>
                <w:lang w:val="fr-CA"/>
              </w:rPr>
            </w:pPr>
            <w:r w:rsidRPr="00506748">
              <w:rPr>
                <w:b/>
                <w:sz w:val="20"/>
                <w:szCs w:val="20"/>
                <w:lang w:val="fr-CA"/>
              </w:rPr>
              <w:t>Mark Morabito, et al.</w:t>
            </w:r>
          </w:p>
          <w:p w:rsidR="00DA1D48" w:rsidRPr="00506748" w:rsidRDefault="00DA1D48" w:rsidP="00DA1D48">
            <w:pPr>
              <w:tabs>
                <w:tab w:val="left" w:pos="-1440"/>
                <w:tab w:val="left" w:pos="-720"/>
              </w:tabs>
              <w:rPr>
                <w:sz w:val="20"/>
                <w:szCs w:val="20"/>
                <w:lang w:val="fr-CA"/>
              </w:rPr>
            </w:pPr>
            <w:r w:rsidRPr="00506748">
              <w:rPr>
                <w:sz w:val="20"/>
                <w:szCs w:val="20"/>
                <w:lang w:val="fr-CA"/>
              </w:rPr>
              <w:tab/>
            </w:r>
            <w:r w:rsidR="00A778E5" w:rsidRPr="00506748">
              <w:rPr>
                <w:sz w:val="20"/>
                <w:szCs w:val="20"/>
                <w:lang w:val="fr-CA"/>
              </w:rPr>
              <w:t>Deane, Robert J.C.</w:t>
            </w:r>
          </w:p>
          <w:p w:rsidR="00DA1D48" w:rsidRPr="00506748" w:rsidRDefault="00DA1D48" w:rsidP="00DA1D48">
            <w:pPr>
              <w:tabs>
                <w:tab w:val="left" w:pos="-1440"/>
                <w:tab w:val="left" w:pos="-720"/>
              </w:tabs>
              <w:rPr>
                <w:sz w:val="20"/>
                <w:szCs w:val="20"/>
                <w:lang w:val="en-US"/>
              </w:rPr>
            </w:pPr>
            <w:r w:rsidRPr="00506748">
              <w:rPr>
                <w:sz w:val="20"/>
                <w:szCs w:val="20"/>
                <w:lang w:val="fr-CA"/>
              </w:rPr>
              <w:tab/>
            </w:r>
            <w:r w:rsidR="00A778E5" w:rsidRPr="00506748">
              <w:rPr>
                <w:sz w:val="20"/>
                <w:szCs w:val="20"/>
                <w:lang w:val="en-US"/>
              </w:rPr>
              <w:t>Borden Ladner Gervais LLP</w:t>
            </w:r>
          </w:p>
          <w:p w:rsidR="00DA1D48" w:rsidRPr="00506748" w:rsidRDefault="00DA1D48" w:rsidP="00DA1D48">
            <w:pPr>
              <w:tabs>
                <w:tab w:val="left" w:pos="-1440"/>
                <w:tab w:val="left" w:pos="-720"/>
              </w:tabs>
              <w:rPr>
                <w:sz w:val="20"/>
                <w:szCs w:val="20"/>
                <w:lang w:val="en-US"/>
              </w:rPr>
            </w:pPr>
          </w:p>
          <w:p w:rsidR="00A778E5" w:rsidRPr="00506748" w:rsidRDefault="00A778E5" w:rsidP="00A778E5">
            <w:pPr>
              <w:tabs>
                <w:tab w:val="left" w:pos="-1440"/>
                <w:tab w:val="left" w:pos="-720"/>
              </w:tabs>
              <w:rPr>
                <w:sz w:val="20"/>
                <w:szCs w:val="20"/>
                <w:lang w:val="en-US"/>
              </w:rPr>
            </w:pPr>
            <w:r w:rsidRPr="00506748">
              <w:rPr>
                <w:sz w:val="20"/>
                <w:szCs w:val="20"/>
                <w:lang w:val="en-US"/>
              </w:rPr>
              <w:tab/>
              <w:t>v. (40408)</w:t>
            </w:r>
          </w:p>
          <w:p w:rsidR="00DA1D48" w:rsidRPr="00506748" w:rsidRDefault="00DA1D48" w:rsidP="00DA1D48">
            <w:pPr>
              <w:tabs>
                <w:tab w:val="left" w:pos="-1440"/>
                <w:tab w:val="left" w:pos="-720"/>
              </w:tabs>
              <w:rPr>
                <w:sz w:val="20"/>
                <w:szCs w:val="20"/>
                <w:lang w:val="en-US"/>
              </w:rPr>
            </w:pPr>
          </w:p>
          <w:p w:rsidR="00DA1D48" w:rsidRPr="00506748" w:rsidRDefault="00A778E5" w:rsidP="00DA1D48">
            <w:pPr>
              <w:tabs>
                <w:tab w:val="left" w:pos="-1440"/>
                <w:tab w:val="left" w:pos="-720"/>
              </w:tabs>
              <w:rPr>
                <w:b/>
                <w:sz w:val="20"/>
                <w:szCs w:val="20"/>
                <w:lang w:val="en-US"/>
              </w:rPr>
            </w:pPr>
            <w:r w:rsidRPr="00506748">
              <w:rPr>
                <w:b/>
                <w:sz w:val="20"/>
                <w:szCs w:val="20"/>
                <w:lang w:val="en-US"/>
              </w:rPr>
              <w:t>British Columbia Securities Commission, et al.</w:t>
            </w:r>
            <w:r w:rsidR="00DA1D48" w:rsidRPr="00506748">
              <w:rPr>
                <w:sz w:val="20"/>
                <w:szCs w:val="20"/>
                <w:lang w:val="en-US"/>
              </w:rPr>
              <w:t xml:space="preserve"> </w:t>
            </w:r>
            <w:r w:rsidR="00DA1D48" w:rsidRPr="00506748">
              <w:rPr>
                <w:b/>
                <w:sz w:val="20"/>
                <w:szCs w:val="20"/>
                <w:lang w:val="en-US"/>
              </w:rPr>
              <w:t>(</w:t>
            </w:r>
            <w:r w:rsidRPr="00506748">
              <w:rPr>
                <w:b/>
                <w:sz w:val="20"/>
                <w:szCs w:val="20"/>
                <w:lang w:val="en-US"/>
              </w:rPr>
              <w:t>B.C.</w:t>
            </w:r>
            <w:r w:rsidR="00DA1D48" w:rsidRPr="00506748">
              <w:rPr>
                <w:b/>
                <w:sz w:val="20"/>
                <w:szCs w:val="20"/>
                <w:lang w:val="en-US"/>
              </w:rPr>
              <w:t>)</w:t>
            </w:r>
          </w:p>
          <w:p w:rsidR="00DA1D48" w:rsidRPr="00506748" w:rsidRDefault="00DA1D48" w:rsidP="00DA1D48">
            <w:pPr>
              <w:tabs>
                <w:tab w:val="left" w:pos="-1440"/>
                <w:tab w:val="left" w:pos="-720"/>
              </w:tabs>
              <w:rPr>
                <w:sz w:val="20"/>
                <w:szCs w:val="20"/>
                <w:lang w:val="en-US"/>
              </w:rPr>
            </w:pPr>
            <w:r w:rsidRPr="00506748">
              <w:rPr>
                <w:sz w:val="20"/>
                <w:szCs w:val="20"/>
                <w:lang w:val="en-US"/>
              </w:rPr>
              <w:tab/>
            </w:r>
            <w:r w:rsidR="00A778E5" w:rsidRPr="00506748">
              <w:rPr>
                <w:sz w:val="20"/>
                <w:szCs w:val="20"/>
                <w:lang w:val="en-US"/>
              </w:rPr>
              <w:t>Zolnay, Stephen M.</w:t>
            </w:r>
          </w:p>
          <w:p w:rsidR="00DA1D48" w:rsidRPr="00506748" w:rsidRDefault="00DA1D48" w:rsidP="00DA1D48">
            <w:pPr>
              <w:tabs>
                <w:tab w:val="left" w:pos="-1440"/>
                <w:tab w:val="left" w:pos="-720"/>
              </w:tabs>
              <w:rPr>
                <w:sz w:val="20"/>
                <w:szCs w:val="20"/>
                <w:lang w:val="en-US"/>
              </w:rPr>
            </w:pPr>
            <w:r w:rsidRPr="00506748">
              <w:rPr>
                <w:sz w:val="20"/>
                <w:szCs w:val="20"/>
                <w:lang w:val="en-US"/>
              </w:rPr>
              <w:tab/>
            </w:r>
            <w:r w:rsidR="00A778E5" w:rsidRPr="00506748">
              <w:rPr>
                <w:sz w:val="20"/>
                <w:szCs w:val="20"/>
                <w:lang w:val="en-US"/>
              </w:rPr>
              <w:t>British Columbia Securities Commission</w:t>
            </w:r>
          </w:p>
          <w:p w:rsidR="00DA1D48" w:rsidRPr="00506748" w:rsidRDefault="00DA1D48" w:rsidP="00DA1D48">
            <w:pPr>
              <w:tabs>
                <w:tab w:val="left" w:pos="-1440"/>
                <w:tab w:val="left" w:pos="-720"/>
              </w:tabs>
              <w:rPr>
                <w:sz w:val="20"/>
                <w:szCs w:val="20"/>
                <w:lang w:val="en-US"/>
              </w:rPr>
            </w:pPr>
          </w:p>
          <w:p w:rsidR="00A778E5" w:rsidRPr="00506748" w:rsidRDefault="00A778E5" w:rsidP="00A778E5">
            <w:pPr>
              <w:rPr>
                <w:sz w:val="20"/>
                <w:szCs w:val="20"/>
                <w:lang w:val="en-US"/>
              </w:rPr>
            </w:pPr>
            <w:r w:rsidRPr="00506748">
              <w:rPr>
                <w:sz w:val="20"/>
                <w:szCs w:val="20"/>
                <w:lang w:val="en-US"/>
              </w:rPr>
              <w:t>FILING DATE: October 25, 2022</w:t>
            </w:r>
          </w:p>
          <w:p w:rsidR="00DA1D48" w:rsidRPr="00506748" w:rsidRDefault="00DA1D48" w:rsidP="00DA1D48">
            <w:pPr>
              <w:rPr>
                <w:sz w:val="20"/>
                <w:szCs w:val="20"/>
                <w:lang w:val="en-US"/>
              </w:rPr>
            </w:pPr>
          </w:p>
          <w:p w:rsidR="00F138C1" w:rsidRPr="00506748" w:rsidRDefault="00C9268A" w:rsidP="00DA1D48">
            <w:pPr>
              <w:rPr>
                <w:sz w:val="20"/>
                <w:szCs w:val="20"/>
                <w:lang w:val="fr-CA"/>
              </w:rPr>
            </w:pPr>
            <w:r>
              <w:rPr>
                <w:sz w:val="20"/>
                <w:szCs w:val="20"/>
                <w:lang w:val="fr-CA"/>
              </w:rPr>
              <w:pict>
                <v:rect id="_x0000_i1030" style="width:108pt;height:1pt" o:hrpct="0" o:hrstd="t" o:hrnoshade="t" o:hr="t" fillcolor="black [3213]" stroked="f"/>
              </w:pict>
            </w:r>
          </w:p>
        </w:tc>
      </w:tr>
    </w:tbl>
    <w:p w:rsidR="001C57C3" w:rsidRPr="00506748" w:rsidRDefault="001C57C3">
      <w:r w:rsidRPr="00506748">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1C57C3" w:rsidRPr="00506748" w:rsidTr="00F138C1">
        <w:tc>
          <w:tcPr>
            <w:tcW w:w="4239" w:type="dxa"/>
            <w:shd w:val="clear" w:color="auto" w:fill="auto"/>
          </w:tcPr>
          <w:p w:rsidR="001C57C3" w:rsidRPr="00506748" w:rsidRDefault="006B4C89" w:rsidP="001C57C3">
            <w:pPr>
              <w:rPr>
                <w:sz w:val="20"/>
                <w:szCs w:val="20"/>
                <w:lang w:val="en-US"/>
              </w:rPr>
            </w:pPr>
            <w:r w:rsidRPr="00506748">
              <w:rPr>
                <w:b/>
                <w:sz w:val="20"/>
                <w:szCs w:val="20"/>
                <w:lang w:val="en-US"/>
              </w:rPr>
              <w:t>James Kot</w:t>
            </w:r>
          </w:p>
          <w:p w:rsidR="001C57C3" w:rsidRPr="00506748" w:rsidRDefault="001C57C3" w:rsidP="001C57C3">
            <w:pPr>
              <w:tabs>
                <w:tab w:val="left" w:pos="-1440"/>
                <w:tab w:val="left" w:pos="-720"/>
              </w:tabs>
              <w:rPr>
                <w:sz w:val="20"/>
                <w:szCs w:val="20"/>
                <w:lang w:val="en-US"/>
              </w:rPr>
            </w:pPr>
            <w:r w:rsidRPr="00506748">
              <w:rPr>
                <w:sz w:val="20"/>
                <w:szCs w:val="20"/>
                <w:lang w:val="en-US"/>
              </w:rPr>
              <w:tab/>
            </w:r>
            <w:r w:rsidR="006B4C89" w:rsidRPr="00506748">
              <w:rPr>
                <w:sz w:val="20"/>
                <w:szCs w:val="20"/>
                <w:lang w:val="en-US"/>
              </w:rPr>
              <w:t>James Kot</w:t>
            </w:r>
          </w:p>
          <w:p w:rsidR="001C57C3" w:rsidRPr="00506748" w:rsidRDefault="001C57C3" w:rsidP="001C57C3">
            <w:pPr>
              <w:tabs>
                <w:tab w:val="left" w:pos="-1440"/>
                <w:tab w:val="left" w:pos="-720"/>
              </w:tabs>
              <w:rPr>
                <w:sz w:val="20"/>
                <w:szCs w:val="20"/>
                <w:lang w:val="en-US"/>
              </w:rPr>
            </w:pPr>
          </w:p>
          <w:p w:rsidR="001C57C3" w:rsidRPr="00506748" w:rsidRDefault="001C57C3" w:rsidP="001C57C3">
            <w:pPr>
              <w:tabs>
                <w:tab w:val="left" w:pos="-1440"/>
                <w:tab w:val="left" w:pos="-720"/>
              </w:tabs>
              <w:rPr>
                <w:sz w:val="20"/>
                <w:szCs w:val="20"/>
                <w:lang w:val="en-US"/>
              </w:rPr>
            </w:pPr>
            <w:r w:rsidRPr="00506748">
              <w:rPr>
                <w:sz w:val="20"/>
                <w:szCs w:val="20"/>
                <w:lang w:val="en-US"/>
              </w:rPr>
              <w:tab/>
              <w:t>v. (4</w:t>
            </w:r>
            <w:r w:rsidR="00A778E5" w:rsidRPr="00506748">
              <w:rPr>
                <w:sz w:val="20"/>
                <w:szCs w:val="20"/>
                <w:lang w:val="en-US"/>
              </w:rPr>
              <w:t>0409</w:t>
            </w:r>
            <w:r w:rsidRPr="00506748">
              <w:rPr>
                <w:sz w:val="20"/>
                <w:szCs w:val="20"/>
                <w:lang w:val="en-US"/>
              </w:rPr>
              <w:t>)</w:t>
            </w:r>
          </w:p>
          <w:p w:rsidR="001C57C3" w:rsidRPr="00506748" w:rsidRDefault="001C57C3" w:rsidP="001C57C3">
            <w:pPr>
              <w:tabs>
                <w:tab w:val="left" w:pos="-1440"/>
                <w:tab w:val="left" w:pos="-720"/>
              </w:tabs>
              <w:rPr>
                <w:sz w:val="20"/>
                <w:szCs w:val="20"/>
                <w:lang w:val="en-US"/>
              </w:rPr>
            </w:pPr>
          </w:p>
          <w:p w:rsidR="001C57C3" w:rsidRPr="00506748" w:rsidRDefault="006B4C89" w:rsidP="001C57C3">
            <w:pPr>
              <w:tabs>
                <w:tab w:val="left" w:pos="-1440"/>
                <w:tab w:val="left" w:pos="-720"/>
              </w:tabs>
              <w:rPr>
                <w:b/>
                <w:sz w:val="20"/>
                <w:szCs w:val="20"/>
                <w:lang w:val="en-US"/>
              </w:rPr>
            </w:pPr>
            <w:r w:rsidRPr="00506748">
              <w:rPr>
                <w:b/>
                <w:sz w:val="20"/>
                <w:szCs w:val="20"/>
                <w:lang w:val="en-US"/>
              </w:rPr>
              <w:t>Attorney General of Canada</w:t>
            </w:r>
            <w:r w:rsidR="001C57C3" w:rsidRPr="00506748">
              <w:rPr>
                <w:b/>
                <w:sz w:val="20"/>
                <w:szCs w:val="20"/>
                <w:lang w:val="en-US"/>
              </w:rPr>
              <w:t xml:space="preserve"> (</w:t>
            </w:r>
            <w:r w:rsidRPr="00506748">
              <w:rPr>
                <w:b/>
                <w:sz w:val="20"/>
                <w:szCs w:val="20"/>
                <w:lang w:val="en-US"/>
              </w:rPr>
              <w:t>F.C</w:t>
            </w:r>
            <w:r w:rsidR="001C57C3" w:rsidRPr="00506748">
              <w:rPr>
                <w:b/>
                <w:sz w:val="20"/>
                <w:szCs w:val="20"/>
                <w:lang w:val="en-US"/>
              </w:rPr>
              <w:t>.)</w:t>
            </w:r>
          </w:p>
          <w:p w:rsidR="001C57C3" w:rsidRPr="00506748" w:rsidRDefault="001C57C3" w:rsidP="001C57C3">
            <w:pPr>
              <w:tabs>
                <w:tab w:val="left" w:pos="-1440"/>
                <w:tab w:val="left" w:pos="-720"/>
              </w:tabs>
              <w:rPr>
                <w:sz w:val="20"/>
                <w:szCs w:val="20"/>
                <w:lang w:val="en-US"/>
              </w:rPr>
            </w:pPr>
            <w:r w:rsidRPr="00506748">
              <w:rPr>
                <w:sz w:val="20"/>
                <w:szCs w:val="20"/>
                <w:lang w:val="en-US"/>
              </w:rPr>
              <w:tab/>
            </w:r>
            <w:r w:rsidR="006B4C89" w:rsidRPr="00506748">
              <w:rPr>
                <w:sz w:val="20"/>
                <w:szCs w:val="20"/>
                <w:lang w:val="en-US"/>
              </w:rPr>
              <w:t>Stelpstra, Joel</w:t>
            </w:r>
          </w:p>
          <w:p w:rsidR="001C57C3" w:rsidRPr="00506748" w:rsidRDefault="001C57C3" w:rsidP="001C57C3">
            <w:pPr>
              <w:tabs>
                <w:tab w:val="left" w:pos="-1440"/>
                <w:tab w:val="left" w:pos="-720"/>
              </w:tabs>
              <w:rPr>
                <w:sz w:val="20"/>
                <w:szCs w:val="20"/>
              </w:rPr>
            </w:pPr>
            <w:r w:rsidRPr="00506748">
              <w:rPr>
                <w:sz w:val="20"/>
                <w:szCs w:val="20"/>
                <w:lang w:val="en-US"/>
              </w:rPr>
              <w:tab/>
            </w:r>
            <w:r w:rsidR="006B4C89" w:rsidRPr="00506748">
              <w:rPr>
                <w:sz w:val="20"/>
                <w:szCs w:val="20"/>
              </w:rPr>
              <w:t>Treasury Board of Canada</w:t>
            </w:r>
          </w:p>
          <w:p w:rsidR="001C57C3" w:rsidRPr="00506748" w:rsidRDefault="001C57C3" w:rsidP="001C57C3">
            <w:pPr>
              <w:tabs>
                <w:tab w:val="left" w:pos="-1440"/>
                <w:tab w:val="left" w:pos="-720"/>
              </w:tabs>
              <w:rPr>
                <w:sz w:val="20"/>
                <w:szCs w:val="20"/>
              </w:rPr>
            </w:pPr>
          </w:p>
          <w:p w:rsidR="001C57C3" w:rsidRPr="00506748" w:rsidRDefault="001C57C3" w:rsidP="001C57C3">
            <w:pPr>
              <w:rPr>
                <w:sz w:val="20"/>
                <w:szCs w:val="20"/>
              </w:rPr>
            </w:pPr>
            <w:r w:rsidRPr="00506748">
              <w:rPr>
                <w:sz w:val="20"/>
                <w:szCs w:val="20"/>
              </w:rPr>
              <w:t xml:space="preserve">FILING DATE: </w:t>
            </w:r>
            <w:r w:rsidR="006B4C89" w:rsidRPr="00506748">
              <w:rPr>
                <w:sz w:val="20"/>
                <w:szCs w:val="20"/>
              </w:rPr>
              <w:t>October</w:t>
            </w:r>
            <w:r w:rsidRPr="00506748">
              <w:rPr>
                <w:sz w:val="20"/>
                <w:szCs w:val="20"/>
              </w:rPr>
              <w:t xml:space="preserve"> </w:t>
            </w:r>
            <w:r w:rsidR="006B4C89" w:rsidRPr="00506748">
              <w:rPr>
                <w:sz w:val="20"/>
                <w:szCs w:val="20"/>
              </w:rPr>
              <w:t>25</w:t>
            </w:r>
            <w:r w:rsidRPr="00506748">
              <w:rPr>
                <w:sz w:val="20"/>
                <w:szCs w:val="20"/>
              </w:rPr>
              <w:t>, 2022</w:t>
            </w:r>
          </w:p>
          <w:p w:rsidR="001C57C3" w:rsidRPr="00506748" w:rsidRDefault="001C57C3" w:rsidP="001C57C3">
            <w:pPr>
              <w:rPr>
                <w:sz w:val="20"/>
                <w:szCs w:val="20"/>
              </w:rPr>
            </w:pPr>
          </w:p>
          <w:p w:rsidR="001C57C3" w:rsidRPr="00506748" w:rsidRDefault="00C9268A" w:rsidP="001C57C3">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tc>
        <w:tc>
          <w:tcPr>
            <w:tcW w:w="4239" w:type="dxa"/>
            <w:shd w:val="clear" w:color="auto" w:fill="auto"/>
          </w:tcPr>
          <w:p w:rsidR="001C57C3" w:rsidRPr="00506748" w:rsidRDefault="006B4C89" w:rsidP="001C57C3">
            <w:pPr>
              <w:rPr>
                <w:sz w:val="20"/>
                <w:szCs w:val="20"/>
                <w:lang w:val="en-US"/>
              </w:rPr>
            </w:pPr>
            <w:r w:rsidRPr="00506748">
              <w:rPr>
                <w:b/>
                <w:sz w:val="20"/>
                <w:szCs w:val="20"/>
                <w:lang w:val="en-US"/>
              </w:rPr>
              <w:t>Wilbur Dedam</w:t>
            </w:r>
          </w:p>
          <w:p w:rsidR="001C57C3" w:rsidRPr="00506748" w:rsidRDefault="001C57C3" w:rsidP="001C57C3">
            <w:pPr>
              <w:tabs>
                <w:tab w:val="left" w:pos="-1440"/>
                <w:tab w:val="left" w:pos="-720"/>
              </w:tabs>
              <w:rPr>
                <w:sz w:val="20"/>
                <w:szCs w:val="20"/>
                <w:lang w:val="en-US"/>
              </w:rPr>
            </w:pPr>
            <w:r w:rsidRPr="00506748">
              <w:rPr>
                <w:sz w:val="20"/>
                <w:szCs w:val="20"/>
                <w:lang w:val="en-US"/>
              </w:rPr>
              <w:tab/>
            </w:r>
            <w:r w:rsidR="006B4C89" w:rsidRPr="00506748">
              <w:rPr>
                <w:sz w:val="20"/>
                <w:szCs w:val="20"/>
                <w:lang w:val="en-US"/>
              </w:rPr>
              <w:t>Lacy, Michael W.</w:t>
            </w:r>
          </w:p>
          <w:p w:rsidR="001C57C3" w:rsidRPr="00506748" w:rsidRDefault="001C57C3" w:rsidP="001C57C3">
            <w:pPr>
              <w:tabs>
                <w:tab w:val="left" w:pos="-1440"/>
                <w:tab w:val="left" w:pos="-720"/>
              </w:tabs>
              <w:rPr>
                <w:sz w:val="20"/>
                <w:szCs w:val="20"/>
                <w:lang w:val="en-US"/>
              </w:rPr>
            </w:pPr>
            <w:r w:rsidRPr="00506748">
              <w:rPr>
                <w:sz w:val="20"/>
                <w:szCs w:val="20"/>
                <w:lang w:val="en-US"/>
              </w:rPr>
              <w:tab/>
            </w:r>
            <w:r w:rsidR="006B4C89" w:rsidRPr="00506748">
              <w:rPr>
                <w:sz w:val="20"/>
                <w:szCs w:val="20"/>
                <w:lang w:val="en-US"/>
              </w:rPr>
              <w:t>Brauti Thorning LLP</w:t>
            </w:r>
          </w:p>
          <w:p w:rsidR="001C57C3" w:rsidRPr="00506748" w:rsidRDefault="001C57C3" w:rsidP="001C57C3">
            <w:pPr>
              <w:tabs>
                <w:tab w:val="left" w:pos="-1440"/>
                <w:tab w:val="left" w:pos="-720"/>
              </w:tabs>
              <w:rPr>
                <w:sz w:val="20"/>
                <w:szCs w:val="20"/>
                <w:lang w:val="en-US"/>
              </w:rPr>
            </w:pPr>
          </w:p>
          <w:p w:rsidR="006B4C89" w:rsidRPr="00506748" w:rsidRDefault="006B4C89" w:rsidP="006B4C89">
            <w:pPr>
              <w:tabs>
                <w:tab w:val="left" w:pos="-1440"/>
                <w:tab w:val="left" w:pos="-720"/>
              </w:tabs>
              <w:rPr>
                <w:sz w:val="20"/>
                <w:szCs w:val="20"/>
                <w:lang w:val="en-US"/>
              </w:rPr>
            </w:pPr>
            <w:r w:rsidRPr="00506748">
              <w:rPr>
                <w:sz w:val="20"/>
                <w:szCs w:val="20"/>
                <w:lang w:val="en-US"/>
              </w:rPr>
              <w:tab/>
              <w:t>v. (40410)</w:t>
            </w:r>
          </w:p>
          <w:p w:rsidR="001C57C3" w:rsidRPr="00506748" w:rsidRDefault="001C57C3" w:rsidP="001C57C3">
            <w:pPr>
              <w:tabs>
                <w:tab w:val="left" w:pos="-1440"/>
                <w:tab w:val="left" w:pos="-720"/>
              </w:tabs>
              <w:rPr>
                <w:sz w:val="20"/>
                <w:szCs w:val="20"/>
                <w:lang w:val="en-US"/>
              </w:rPr>
            </w:pPr>
          </w:p>
          <w:p w:rsidR="001C57C3" w:rsidRPr="00506748" w:rsidRDefault="006B4C89" w:rsidP="001C57C3">
            <w:pPr>
              <w:tabs>
                <w:tab w:val="left" w:pos="-1440"/>
                <w:tab w:val="left" w:pos="-720"/>
              </w:tabs>
              <w:rPr>
                <w:b/>
                <w:sz w:val="20"/>
                <w:szCs w:val="20"/>
                <w:lang w:val="en-US"/>
              </w:rPr>
            </w:pPr>
            <w:r w:rsidRPr="00506748">
              <w:rPr>
                <w:b/>
                <w:sz w:val="20"/>
                <w:szCs w:val="20"/>
                <w:lang w:val="en-US"/>
              </w:rPr>
              <w:t>His Majesty the King</w:t>
            </w:r>
            <w:r w:rsidR="001C57C3" w:rsidRPr="00506748">
              <w:rPr>
                <w:b/>
                <w:sz w:val="20"/>
                <w:szCs w:val="20"/>
                <w:lang w:val="en-US"/>
              </w:rPr>
              <w:t xml:space="preserve"> (</w:t>
            </w:r>
            <w:r w:rsidRPr="00506748">
              <w:rPr>
                <w:b/>
                <w:sz w:val="20"/>
                <w:szCs w:val="20"/>
                <w:lang w:val="en-US"/>
              </w:rPr>
              <w:t>N.B</w:t>
            </w:r>
            <w:r w:rsidR="001C57C3" w:rsidRPr="00506748">
              <w:rPr>
                <w:b/>
                <w:sz w:val="20"/>
                <w:szCs w:val="20"/>
                <w:lang w:val="en-US"/>
              </w:rPr>
              <w:t>.)</w:t>
            </w:r>
          </w:p>
          <w:p w:rsidR="001C57C3" w:rsidRPr="00506748" w:rsidRDefault="001C57C3" w:rsidP="001C57C3">
            <w:pPr>
              <w:tabs>
                <w:tab w:val="left" w:pos="-1440"/>
                <w:tab w:val="left" w:pos="-720"/>
              </w:tabs>
              <w:rPr>
                <w:sz w:val="20"/>
                <w:szCs w:val="20"/>
                <w:lang w:val="en-US"/>
              </w:rPr>
            </w:pPr>
            <w:r w:rsidRPr="00506748">
              <w:rPr>
                <w:sz w:val="20"/>
                <w:szCs w:val="20"/>
                <w:lang w:val="en-US"/>
              </w:rPr>
              <w:tab/>
            </w:r>
            <w:r w:rsidR="006B4C89" w:rsidRPr="00506748">
              <w:rPr>
                <w:sz w:val="20"/>
                <w:szCs w:val="20"/>
                <w:lang w:val="en-US"/>
              </w:rPr>
              <w:t>McGuinty, Patrick</w:t>
            </w:r>
          </w:p>
          <w:p w:rsidR="001C57C3" w:rsidRPr="00506748" w:rsidRDefault="001C57C3" w:rsidP="001C57C3">
            <w:pPr>
              <w:tabs>
                <w:tab w:val="left" w:pos="-1440"/>
                <w:tab w:val="left" w:pos="-720"/>
              </w:tabs>
              <w:rPr>
                <w:sz w:val="20"/>
                <w:szCs w:val="20"/>
              </w:rPr>
            </w:pPr>
            <w:r w:rsidRPr="00506748">
              <w:rPr>
                <w:sz w:val="20"/>
                <w:szCs w:val="20"/>
                <w:lang w:val="en-US"/>
              </w:rPr>
              <w:tab/>
            </w:r>
            <w:r w:rsidR="006B4C89" w:rsidRPr="00506748">
              <w:rPr>
                <w:sz w:val="20"/>
                <w:szCs w:val="20"/>
              </w:rPr>
              <w:t>Office of the Attorney General</w:t>
            </w:r>
          </w:p>
          <w:p w:rsidR="001C57C3" w:rsidRPr="00506748" w:rsidRDefault="001C57C3" w:rsidP="001C57C3">
            <w:pPr>
              <w:tabs>
                <w:tab w:val="left" w:pos="-1440"/>
                <w:tab w:val="left" w:pos="-720"/>
              </w:tabs>
              <w:rPr>
                <w:sz w:val="20"/>
                <w:szCs w:val="20"/>
              </w:rPr>
            </w:pPr>
          </w:p>
          <w:p w:rsidR="001C57C3" w:rsidRPr="00506748" w:rsidRDefault="001C57C3" w:rsidP="001C57C3">
            <w:pPr>
              <w:rPr>
                <w:sz w:val="20"/>
                <w:szCs w:val="20"/>
              </w:rPr>
            </w:pPr>
            <w:r w:rsidRPr="00506748">
              <w:rPr>
                <w:sz w:val="20"/>
                <w:szCs w:val="20"/>
              </w:rPr>
              <w:t xml:space="preserve">FILING DATE: </w:t>
            </w:r>
            <w:r w:rsidR="006B4C89" w:rsidRPr="00506748">
              <w:rPr>
                <w:sz w:val="20"/>
                <w:szCs w:val="20"/>
              </w:rPr>
              <w:t>October</w:t>
            </w:r>
            <w:r w:rsidRPr="00506748">
              <w:rPr>
                <w:sz w:val="20"/>
                <w:szCs w:val="20"/>
              </w:rPr>
              <w:t xml:space="preserve"> </w:t>
            </w:r>
            <w:r w:rsidR="006B4C89" w:rsidRPr="00506748">
              <w:rPr>
                <w:sz w:val="20"/>
                <w:szCs w:val="20"/>
              </w:rPr>
              <w:t>25</w:t>
            </w:r>
            <w:r w:rsidRPr="00506748">
              <w:rPr>
                <w:sz w:val="20"/>
                <w:szCs w:val="20"/>
              </w:rPr>
              <w:t>, 2022</w:t>
            </w:r>
          </w:p>
          <w:p w:rsidR="001C57C3" w:rsidRPr="00506748" w:rsidRDefault="001C57C3" w:rsidP="001C57C3">
            <w:pPr>
              <w:rPr>
                <w:sz w:val="20"/>
                <w:szCs w:val="20"/>
              </w:rPr>
            </w:pPr>
          </w:p>
          <w:p w:rsidR="001C57C3" w:rsidRPr="00506748" w:rsidRDefault="00C9268A" w:rsidP="001C57C3">
            <w:pPr>
              <w:rPr>
                <w:b/>
                <w:sz w:val="20"/>
                <w:szCs w:val="20"/>
                <w:lang w:val="fr-CA"/>
              </w:rPr>
            </w:pPr>
            <w:r>
              <w:rPr>
                <w:sz w:val="20"/>
                <w:szCs w:val="20"/>
                <w:lang w:val="fr-CA"/>
              </w:rPr>
              <w:pict>
                <v:rect id="_x0000_i1032" style="width:108pt;height:1pt" o:hrpct="0" o:hrstd="t" o:hrnoshade="t" o:hr="t" fillcolor="black [3213]" stroked="f"/>
              </w:pict>
            </w:r>
          </w:p>
        </w:tc>
      </w:tr>
      <w:tr w:rsidR="001C57C3" w:rsidRPr="00506748" w:rsidTr="00F138C1">
        <w:tc>
          <w:tcPr>
            <w:tcW w:w="4239" w:type="dxa"/>
            <w:shd w:val="clear" w:color="auto" w:fill="auto"/>
          </w:tcPr>
          <w:p w:rsidR="001C57C3" w:rsidRPr="00506748" w:rsidRDefault="00F1494E" w:rsidP="001C57C3">
            <w:pPr>
              <w:rPr>
                <w:sz w:val="20"/>
                <w:szCs w:val="20"/>
                <w:lang w:val="en-US"/>
              </w:rPr>
            </w:pPr>
            <w:r w:rsidRPr="00506748">
              <w:rPr>
                <w:b/>
                <w:sz w:val="20"/>
                <w:szCs w:val="20"/>
                <w:lang w:val="en-US"/>
              </w:rPr>
              <w:t>Soheil Karkhanech and Equestrian Court Investments Corporation</w:t>
            </w:r>
          </w:p>
          <w:p w:rsidR="001C57C3" w:rsidRPr="00506748" w:rsidRDefault="001C57C3" w:rsidP="001C57C3">
            <w:pPr>
              <w:tabs>
                <w:tab w:val="left" w:pos="-1440"/>
                <w:tab w:val="left" w:pos="-720"/>
              </w:tabs>
              <w:rPr>
                <w:sz w:val="20"/>
                <w:szCs w:val="20"/>
                <w:lang w:val="en-US"/>
              </w:rPr>
            </w:pPr>
            <w:r w:rsidRPr="00506748">
              <w:rPr>
                <w:sz w:val="20"/>
                <w:szCs w:val="20"/>
                <w:lang w:val="en-US"/>
              </w:rPr>
              <w:tab/>
            </w:r>
            <w:r w:rsidR="00F1494E" w:rsidRPr="00506748">
              <w:rPr>
                <w:sz w:val="20"/>
                <w:szCs w:val="20"/>
                <w:lang w:val="en-US"/>
              </w:rPr>
              <w:t>Kalloghlian, Serge</w:t>
            </w:r>
          </w:p>
          <w:p w:rsidR="001C57C3" w:rsidRPr="00506748" w:rsidRDefault="001C57C3" w:rsidP="001C57C3">
            <w:pPr>
              <w:tabs>
                <w:tab w:val="left" w:pos="-1440"/>
                <w:tab w:val="left" w:pos="-720"/>
              </w:tabs>
              <w:rPr>
                <w:sz w:val="20"/>
                <w:szCs w:val="20"/>
                <w:lang w:val="en-US"/>
              </w:rPr>
            </w:pPr>
            <w:r w:rsidRPr="00506748">
              <w:rPr>
                <w:sz w:val="20"/>
                <w:szCs w:val="20"/>
                <w:lang w:val="en-US"/>
              </w:rPr>
              <w:tab/>
            </w:r>
            <w:r w:rsidR="00F1494E" w:rsidRPr="00506748">
              <w:rPr>
                <w:sz w:val="20"/>
                <w:szCs w:val="20"/>
                <w:lang w:val="en-US"/>
              </w:rPr>
              <w:t>Kalloghlian Myers LLP</w:t>
            </w:r>
          </w:p>
          <w:p w:rsidR="001C57C3" w:rsidRPr="00506748" w:rsidRDefault="001C57C3" w:rsidP="001C57C3">
            <w:pPr>
              <w:tabs>
                <w:tab w:val="left" w:pos="-1440"/>
                <w:tab w:val="left" w:pos="-720"/>
              </w:tabs>
              <w:rPr>
                <w:sz w:val="20"/>
                <w:szCs w:val="20"/>
                <w:lang w:val="en-US"/>
              </w:rPr>
            </w:pPr>
          </w:p>
          <w:p w:rsidR="00F1494E" w:rsidRPr="00506748" w:rsidRDefault="00F1494E" w:rsidP="00F1494E">
            <w:pPr>
              <w:tabs>
                <w:tab w:val="left" w:pos="-1440"/>
                <w:tab w:val="left" w:pos="-720"/>
              </w:tabs>
              <w:rPr>
                <w:sz w:val="20"/>
                <w:szCs w:val="20"/>
                <w:lang w:val="en-US"/>
              </w:rPr>
            </w:pPr>
            <w:r w:rsidRPr="00506748">
              <w:rPr>
                <w:sz w:val="20"/>
                <w:szCs w:val="20"/>
                <w:lang w:val="en-US"/>
              </w:rPr>
              <w:tab/>
              <w:t>v. (40411)</w:t>
            </w:r>
          </w:p>
          <w:p w:rsidR="001C57C3" w:rsidRPr="00506748" w:rsidRDefault="001C57C3" w:rsidP="001C57C3">
            <w:pPr>
              <w:tabs>
                <w:tab w:val="left" w:pos="-1440"/>
                <w:tab w:val="left" w:pos="-720"/>
              </w:tabs>
              <w:rPr>
                <w:sz w:val="20"/>
                <w:szCs w:val="20"/>
                <w:lang w:val="en-US"/>
              </w:rPr>
            </w:pPr>
          </w:p>
          <w:p w:rsidR="001C57C3" w:rsidRPr="00506748" w:rsidRDefault="00F1494E" w:rsidP="001C57C3">
            <w:pPr>
              <w:tabs>
                <w:tab w:val="left" w:pos="-1440"/>
                <w:tab w:val="left" w:pos="-720"/>
              </w:tabs>
              <w:rPr>
                <w:b/>
                <w:sz w:val="20"/>
                <w:szCs w:val="20"/>
                <w:lang w:val="en-US"/>
              </w:rPr>
            </w:pPr>
            <w:r w:rsidRPr="00506748">
              <w:rPr>
                <w:b/>
                <w:sz w:val="20"/>
                <w:szCs w:val="20"/>
                <w:lang w:val="en-US"/>
              </w:rPr>
              <w:t>Connor, Clark &amp; Lunn Financial Group LTD and Connor, Clark &amp; Lunn Financial Group Investment Partnership</w:t>
            </w:r>
            <w:r w:rsidR="001C57C3" w:rsidRPr="00506748">
              <w:rPr>
                <w:b/>
                <w:sz w:val="20"/>
                <w:szCs w:val="20"/>
                <w:lang w:val="en-US"/>
              </w:rPr>
              <w:t xml:space="preserve"> (</w:t>
            </w:r>
            <w:r w:rsidRPr="00506748">
              <w:rPr>
                <w:b/>
                <w:sz w:val="20"/>
                <w:szCs w:val="20"/>
                <w:lang w:val="en-US"/>
              </w:rPr>
              <w:t>Ont</w:t>
            </w:r>
            <w:r w:rsidR="001C57C3" w:rsidRPr="00506748">
              <w:rPr>
                <w:b/>
                <w:sz w:val="20"/>
                <w:szCs w:val="20"/>
                <w:lang w:val="en-US"/>
              </w:rPr>
              <w:t>.)</w:t>
            </w:r>
          </w:p>
          <w:p w:rsidR="001C57C3" w:rsidRPr="00506748" w:rsidRDefault="001C57C3" w:rsidP="001C57C3">
            <w:pPr>
              <w:tabs>
                <w:tab w:val="left" w:pos="-1440"/>
                <w:tab w:val="left" w:pos="-720"/>
              </w:tabs>
              <w:rPr>
                <w:sz w:val="20"/>
                <w:szCs w:val="20"/>
                <w:lang w:val="en-US"/>
              </w:rPr>
            </w:pPr>
            <w:r w:rsidRPr="00506748">
              <w:rPr>
                <w:sz w:val="20"/>
                <w:szCs w:val="20"/>
                <w:lang w:val="en-US"/>
              </w:rPr>
              <w:tab/>
            </w:r>
            <w:r w:rsidR="00F1494E" w:rsidRPr="00506748">
              <w:rPr>
                <w:sz w:val="20"/>
                <w:szCs w:val="20"/>
                <w:lang w:val="en-US"/>
              </w:rPr>
              <w:t>Curry, J. Thomas</w:t>
            </w:r>
          </w:p>
          <w:p w:rsidR="00F1494E" w:rsidRPr="00506748" w:rsidRDefault="001C57C3" w:rsidP="001C57C3">
            <w:pPr>
              <w:tabs>
                <w:tab w:val="left" w:pos="-1440"/>
                <w:tab w:val="left" w:pos="-720"/>
              </w:tabs>
              <w:rPr>
                <w:sz w:val="20"/>
                <w:szCs w:val="20"/>
              </w:rPr>
            </w:pPr>
            <w:r w:rsidRPr="00506748">
              <w:rPr>
                <w:sz w:val="20"/>
                <w:szCs w:val="20"/>
                <w:lang w:val="en-US"/>
              </w:rPr>
              <w:tab/>
            </w:r>
            <w:r w:rsidR="00F1494E" w:rsidRPr="00506748">
              <w:rPr>
                <w:sz w:val="20"/>
                <w:szCs w:val="20"/>
              </w:rPr>
              <w:t xml:space="preserve">Lenczner Slaght Royce Smith Griffin </w:t>
            </w:r>
          </w:p>
          <w:p w:rsidR="001C57C3" w:rsidRPr="00506748" w:rsidRDefault="00F1494E" w:rsidP="001C57C3">
            <w:pPr>
              <w:tabs>
                <w:tab w:val="left" w:pos="-1440"/>
                <w:tab w:val="left" w:pos="-720"/>
              </w:tabs>
              <w:rPr>
                <w:sz w:val="20"/>
                <w:szCs w:val="20"/>
              </w:rPr>
            </w:pPr>
            <w:r w:rsidRPr="00506748">
              <w:rPr>
                <w:sz w:val="20"/>
                <w:szCs w:val="20"/>
                <w:lang w:val="en-US"/>
              </w:rPr>
              <w:tab/>
            </w:r>
            <w:r w:rsidRPr="00506748">
              <w:rPr>
                <w:sz w:val="20"/>
                <w:szCs w:val="20"/>
              </w:rPr>
              <w:t>LLP</w:t>
            </w:r>
          </w:p>
          <w:p w:rsidR="001C57C3" w:rsidRPr="00506748" w:rsidRDefault="001C57C3" w:rsidP="001C57C3">
            <w:pPr>
              <w:tabs>
                <w:tab w:val="left" w:pos="-1440"/>
                <w:tab w:val="left" w:pos="-720"/>
              </w:tabs>
              <w:rPr>
                <w:sz w:val="20"/>
                <w:szCs w:val="20"/>
              </w:rPr>
            </w:pPr>
          </w:p>
          <w:p w:rsidR="00F1494E" w:rsidRPr="00506748" w:rsidRDefault="00F1494E" w:rsidP="00F1494E">
            <w:pPr>
              <w:rPr>
                <w:sz w:val="20"/>
                <w:szCs w:val="20"/>
              </w:rPr>
            </w:pPr>
            <w:r w:rsidRPr="00506748">
              <w:rPr>
                <w:sz w:val="20"/>
                <w:szCs w:val="20"/>
              </w:rPr>
              <w:t>FILING DATE: October 25, 2022</w:t>
            </w:r>
          </w:p>
          <w:p w:rsidR="001C57C3" w:rsidRPr="00506748" w:rsidRDefault="001C57C3" w:rsidP="001C57C3">
            <w:pPr>
              <w:rPr>
                <w:sz w:val="20"/>
                <w:szCs w:val="20"/>
              </w:rPr>
            </w:pPr>
          </w:p>
          <w:p w:rsidR="001C57C3" w:rsidRPr="00506748" w:rsidRDefault="00C9268A" w:rsidP="001C57C3">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F1494E" w:rsidRPr="00506748" w:rsidRDefault="00F1494E"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F1494E" w:rsidRPr="00506748" w:rsidRDefault="00F1494E" w:rsidP="00F138C1">
            <w:pPr>
              <w:jc w:val="center"/>
              <w:rPr>
                <w:sz w:val="20"/>
                <w:szCs w:val="20"/>
                <w:lang w:val="en-US"/>
              </w:rPr>
            </w:pPr>
          </w:p>
          <w:p w:rsidR="00F1494E" w:rsidRPr="00506748" w:rsidRDefault="00F1494E" w:rsidP="00F138C1">
            <w:pPr>
              <w:jc w:val="center"/>
              <w:rPr>
                <w:sz w:val="20"/>
                <w:szCs w:val="20"/>
                <w:lang w:val="en-US"/>
              </w:rPr>
            </w:pPr>
          </w:p>
          <w:p w:rsidR="00F1494E" w:rsidRPr="00506748" w:rsidRDefault="00F1494E"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tc>
        <w:tc>
          <w:tcPr>
            <w:tcW w:w="4239" w:type="dxa"/>
            <w:shd w:val="clear" w:color="auto" w:fill="auto"/>
          </w:tcPr>
          <w:p w:rsidR="001C57C3" w:rsidRPr="00506748" w:rsidRDefault="00F1494E" w:rsidP="001C57C3">
            <w:pPr>
              <w:rPr>
                <w:sz w:val="20"/>
                <w:szCs w:val="20"/>
                <w:lang w:val="fr-CA"/>
              </w:rPr>
            </w:pPr>
            <w:r w:rsidRPr="00506748">
              <w:rPr>
                <w:b/>
                <w:sz w:val="20"/>
                <w:szCs w:val="20"/>
                <w:lang w:val="fr-CA"/>
              </w:rPr>
              <w:t>Cambie Surgeries Corporation, et al.</w:t>
            </w:r>
          </w:p>
          <w:p w:rsidR="001C57C3" w:rsidRPr="00506748" w:rsidRDefault="001C57C3" w:rsidP="001C57C3">
            <w:pPr>
              <w:tabs>
                <w:tab w:val="left" w:pos="-1440"/>
                <w:tab w:val="left" w:pos="-720"/>
              </w:tabs>
              <w:rPr>
                <w:sz w:val="20"/>
                <w:szCs w:val="20"/>
                <w:lang w:val="en-US"/>
              </w:rPr>
            </w:pPr>
            <w:r w:rsidRPr="00506748">
              <w:rPr>
                <w:sz w:val="20"/>
                <w:szCs w:val="20"/>
                <w:lang w:val="fr-CA"/>
              </w:rPr>
              <w:tab/>
            </w:r>
            <w:r w:rsidR="00F1494E" w:rsidRPr="00506748">
              <w:rPr>
                <w:sz w:val="20"/>
                <w:szCs w:val="20"/>
                <w:lang w:val="en-US"/>
              </w:rPr>
              <w:t>Cowper, K.C., D. Geoffrey G.</w:t>
            </w:r>
          </w:p>
          <w:p w:rsidR="001C57C3" w:rsidRPr="00506748" w:rsidRDefault="001C57C3" w:rsidP="001C57C3">
            <w:pPr>
              <w:tabs>
                <w:tab w:val="left" w:pos="-1440"/>
                <w:tab w:val="left" w:pos="-720"/>
              </w:tabs>
              <w:rPr>
                <w:sz w:val="20"/>
                <w:szCs w:val="20"/>
                <w:lang w:val="en-US"/>
              </w:rPr>
            </w:pPr>
            <w:r w:rsidRPr="00506748">
              <w:rPr>
                <w:sz w:val="20"/>
                <w:szCs w:val="20"/>
                <w:lang w:val="en-US"/>
              </w:rPr>
              <w:tab/>
            </w:r>
            <w:r w:rsidR="00F1494E" w:rsidRPr="00506748">
              <w:rPr>
                <w:sz w:val="20"/>
                <w:szCs w:val="20"/>
                <w:lang w:val="en-US"/>
              </w:rPr>
              <w:t>Fasken Martineau DuMoulin LLP</w:t>
            </w:r>
          </w:p>
          <w:p w:rsidR="001C57C3" w:rsidRPr="00506748" w:rsidRDefault="001C57C3" w:rsidP="001C57C3">
            <w:pPr>
              <w:tabs>
                <w:tab w:val="left" w:pos="-1440"/>
                <w:tab w:val="left" w:pos="-720"/>
              </w:tabs>
              <w:rPr>
                <w:sz w:val="20"/>
                <w:szCs w:val="20"/>
                <w:lang w:val="en-US"/>
              </w:rPr>
            </w:pPr>
          </w:p>
          <w:p w:rsidR="00F1494E" w:rsidRPr="00506748" w:rsidRDefault="00F1494E" w:rsidP="00F1494E">
            <w:pPr>
              <w:tabs>
                <w:tab w:val="left" w:pos="-1440"/>
                <w:tab w:val="left" w:pos="-720"/>
              </w:tabs>
              <w:rPr>
                <w:sz w:val="20"/>
                <w:szCs w:val="20"/>
                <w:lang w:val="en-US"/>
              </w:rPr>
            </w:pPr>
            <w:r w:rsidRPr="00506748">
              <w:rPr>
                <w:sz w:val="20"/>
                <w:szCs w:val="20"/>
                <w:lang w:val="en-US"/>
              </w:rPr>
              <w:tab/>
              <w:t>v. (40412)</w:t>
            </w:r>
          </w:p>
          <w:p w:rsidR="001C57C3" w:rsidRPr="00506748" w:rsidRDefault="001C57C3" w:rsidP="001C57C3">
            <w:pPr>
              <w:tabs>
                <w:tab w:val="left" w:pos="-1440"/>
                <w:tab w:val="left" w:pos="-720"/>
              </w:tabs>
              <w:rPr>
                <w:sz w:val="20"/>
                <w:szCs w:val="20"/>
                <w:lang w:val="en-US"/>
              </w:rPr>
            </w:pPr>
          </w:p>
          <w:p w:rsidR="001C57C3" w:rsidRPr="00506748" w:rsidRDefault="00F1494E" w:rsidP="001C57C3">
            <w:pPr>
              <w:tabs>
                <w:tab w:val="left" w:pos="-1440"/>
                <w:tab w:val="left" w:pos="-720"/>
              </w:tabs>
              <w:rPr>
                <w:b/>
                <w:sz w:val="20"/>
                <w:szCs w:val="20"/>
                <w:lang w:val="en-US"/>
              </w:rPr>
            </w:pPr>
            <w:r w:rsidRPr="00506748">
              <w:rPr>
                <w:b/>
                <w:sz w:val="20"/>
                <w:szCs w:val="20"/>
                <w:lang w:val="en-US"/>
              </w:rPr>
              <w:t>Attorney General of British Columbia, et al.</w:t>
            </w:r>
            <w:r w:rsidR="001C57C3" w:rsidRPr="00506748">
              <w:rPr>
                <w:b/>
                <w:sz w:val="20"/>
                <w:szCs w:val="20"/>
                <w:lang w:val="en-US"/>
              </w:rPr>
              <w:t xml:space="preserve"> (</w:t>
            </w:r>
            <w:r w:rsidRPr="00506748">
              <w:rPr>
                <w:b/>
                <w:sz w:val="20"/>
                <w:szCs w:val="20"/>
                <w:lang w:val="en-US"/>
              </w:rPr>
              <w:t>B.C</w:t>
            </w:r>
            <w:r w:rsidR="001C57C3" w:rsidRPr="00506748">
              <w:rPr>
                <w:b/>
                <w:sz w:val="20"/>
                <w:szCs w:val="20"/>
                <w:lang w:val="en-US"/>
              </w:rPr>
              <w:t>.)</w:t>
            </w:r>
          </w:p>
          <w:p w:rsidR="001C57C3" w:rsidRPr="00506748" w:rsidRDefault="001C57C3" w:rsidP="001C57C3">
            <w:pPr>
              <w:tabs>
                <w:tab w:val="left" w:pos="-1440"/>
                <w:tab w:val="left" w:pos="-720"/>
              </w:tabs>
              <w:rPr>
                <w:sz w:val="20"/>
                <w:szCs w:val="20"/>
                <w:lang w:val="en-US"/>
              </w:rPr>
            </w:pPr>
            <w:r w:rsidRPr="00506748">
              <w:rPr>
                <w:sz w:val="20"/>
                <w:szCs w:val="20"/>
                <w:lang w:val="en-US"/>
              </w:rPr>
              <w:tab/>
            </w:r>
            <w:r w:rsidR="00F1494E" w:rsidRPr="00506748">
              <w:rPr>
                <w:sz w:val="20"/>
                <w:szCs w:val="20"/>
                <w:lang w:val="en-US"/>
              </w:rPr>
              <w:t>Penner, Jonathan G.</w:t>
            </w:r>
          </w:p>
          <w:p w:rsidR="001C57C3" w:rsidRPr="00506748" w:rsidRDefault="001C57C3" w:rsidP="001C57C3">
            <w:pPr>
              <w:tabs>
                <w:tab w:val="left" w:pos="-1440"/>
                <w:tab w:val="left" w:pos="-720"/>
              </w:tabs>
              <w:rPr>
                <w:sz w:val="20"/>
                <w:szCs w:val="20"/>
              </w:rPr>
            </w:pPr>
            <w:r w:rsidRPr="00506748">
              <w:rPr>
                <w:sz w:val="20"/>
                <w:szCs w:val="20"/>
                <w:lang w:val="en-US"/>
              </w:rPr>
              <w:tab/>
            </w:r>
            <w:r w:rsidR="00F1494E" w:rsidRPr="00506748">
              <w:rPr>
                <w:sz w:val="20"/>
                <w:szCs w:val="20"/>
              </w:rPr>
              <w:t>Attorney General of British Columbia</w:t>
            </w:r>
          </w:p>
          <w:p w:rsidR="001C57C3" w:rsidRPr="00506748" w:rsidRDefault="001C57C3" w:rsidP="001C57C3">
            <w:pPr>
              <w:tabs>
                <w:tab w:val="left" w:pos="-1440"/>
                <w:tab w:val="left" w:pos="-720"/>
              </w:tabs>
              <w:rPr>
                <w:sz w:val="20"/>
                <w:szCs w:val="20"/>
              </w:rPr>
            </w:pPr>
          </w:p>
          <w:p w:rsidR="00F1494E" w:rsidRPr="00506748" w:rsidRDefault="00F1494E" w:rsidP="00F1494E">
            <w:pPr>
              <w:rPr>
                <w:sz w:val="20"/>
                <w:szCs w:val="20"/>
              </w:rPr>
            </w:pPr>
            <w:r w:rsidRPr="00506748">
              <w:rPr>
                <w:sz w:val="20"/>
                <w:szCs w:val="20"/>
              </w:rPr>
              <w:t>FILING DATE: October 26, 2022</w:t>
            </w:r>
          </w:p>
          <w:p w:rsidR="001C57C3" w:rsidRPr="00506748" w:rsidRDefault="001C57C3" w:rsidP="001C57C3">
            <w:pPr>
              <w:rPr>
                <w:sz w:val="20"/>
                <w:szCs w:val="20"/>
              </w:rPr>
            </w:pPr>
          </w:p>
          <w:p w:rsidR="001C57C3" w:rsidRPr="00506748" w:rsidRDefault="00C9268A" w:rsidP="001C57C3">
            <w:pPr>
              <w:rPr>
                <w:b/>
                <w:sz w:val="20"/>
                <w:szCs w:val="20"/>
                <w:lang w:val="en-US"/>
              </w:rPr>
            </w:pPr>
            <w:r>
              <w:rPr>
                <w:sz w:val="20"/>
                <w:szCs w:val="20"/>
                <w:lang w:val="fr-CA"/>
              </w:rPr>
              <w:pict>
                <v:rect id="_x0000_i1034" style="width:108pt;height:1pt" o:hrpct="0" o:hrstd="t" o:hrnoshade="t" o:hr="t" fillcolor="black [3213]" stroked="f"/>
              </w:pict>
            </w:r>
          </w:p>
        </w:tc>
      </w:tr>
      <w:tr w:rsidR="001C57C3" w:rsidRPr="00506748" w:rsidTr="00F138C1">
        <w:tc>
          <w:tcPr>
            <w:tcW w:w="4239" w:type="dxa"/>
            <w:shd w:val="clear" w:color="auto" w:fill="auto"/>
          </w:tcPr>
          <w:p w:rsidR="001C57C3" w:rsidRPr="00506748" w:rsidRDefault="003C4416" w:rsidP="001C57C3">
            <w:pPr>
              <w:rPr>
                <w:sz w:val="20"/>
                <w:szCs w:val="20"/>
                <w:lang w:val="en-US"/>
              </w:rPr>
            </w:pPr>
            <w:r w:rsidRPr="00506748">
              <w:rPr>
                <w:b/>
                <w:sz w:val="20"/>
                <w:szCs w:val="20"/>
                <w:lang w:val="en-US"/>
              </w:rPr>
              <w:t>Silverio Pereira</w:t>
            </w:r>
          </w:p>
          <w:p w:rsidR="001C57C3" w:rsidRPr="00506748" w:rsidRDefault="001C57C3" w:rsidP="001C57C3">
            <w:pPr>
              <w:tabs>
                <w:tab w:val="left" w:pos="-1440"/>
                <w:tab w:val="left" w:pos="-720"/>
              </w:tabs>
              <w:rPr>
                <w:sz w:val="20"/>
                <w:szCs w:val="20"/>
                <w:lang w:val="en-US"/>
              </w:rPr>
            </w:pPr>
            <w:r w:rsidRPr="00506748">
              <w:rPr>
                <w:sz w:val="20"/>
                <w:szCs w:val="20"/>
                <w:lang w:val="en-US"/>
              </w:rPr>
              <w:tab/>
            </w:r>
            <w:r w:rsidR="003C4416" w:rsidRPr="00506748">
              <w:rPr>
                <w:sz w:val="20"/>
                <w:szCs w:val="20"/>
                <w:lang w:val="en-US"/>
              </w:rPr>
              <w:t>Silverio Pereira</w:t>
            </w:r>
          </w:p>
          <w:p w:rsidR="001C57C3" w:rsidRPr="00506748" w:rsidRDefault="001C57C3" w:rsidP="001C57C3">
            <w:pPr>
              <w:tabs>
                <w:tab w:val="left" w:pos="-1440"/>
                <w:tab w:val="left" w:pos="-720"/>
              </w:tabs>
              <w:rPr>
                <w:sz w:val="20"/>
                <w:szCs w:val="20"/>
                <w:lang w:val="en-US"/>
              </w:rPr>
            </w:pPr>
          </w:p>
          <w:p w:rsidR="003C4416" w:rsidRPr="00506748" w:rsidRDefault="003C4416" w:rsidP="003C4416">
            <w:pPr>
              <w:tabs>
                <w:tab w:val="left" w:pos="-1440"/>
                <w:tab w:val="left" w:pos="-720"/>
              </w:tabs>
              <w:rPr>
                <w:sz w:val="20"/>
                <w:szCs w:val="20"/>
                <w:lang w:val="en-US"/>
              </w:rPr>
            </w:pPr>
            <w:r w:rsidRPr="00506748">
              <w:rPr>
                <w:sz w:val="20"/>
                <w:szCs w:val="20"/>
                <w:lang w:val="en-US"/>
              </w:rPr>
              <w:tab/>
              <w:t>v. (40413)</w:t>
            </w:r>
          </w:p>
          <w:p w:rsidR="001C57C3" w:rsidRPr="00506748" w:rsidRDefault="001C57C3" w:rsidP="001C57C3">
            <w:pPr>
              <w:tabs>
                <w:tab w:val="left" w:pos="-1440"/>
                <w:tab w:val="left" w:pos="-720"/>
              </w:tabs>
              <w:rPr>
                <w:sz w:val="20"/>
                <w:szCs w:val="20"/>
                <w:lang w:val="en-US"/>
              </w:rPr>
            </w:pPr>
          </w:p>
          <w:p w:rsidR="001C57C3" w:rsidRPr="00506748" w:rsidRDefault="003C4416" w:rsidP="001C57C3">
            <w:pPr>
              <w:tabs>
                <w:tab w:val="left" w:pos="-1440"/>
                <w:tab w:val="left" w:pos="-720"/>
              </w:tabs>
              <w:rPr>
                <w:b/>
                <w:sz w:val="20"/>
                <w:szCs w:val="20"/>
                <w:lang w:val="en-US"/>
              </w:rPr>
            </w:pPr>
            <w:r w:rsidRPr="00506748">
              <w:rPr>
                <w:b/>
                <w:sz w:val="20"/>
                <w:szCs w:val="20"/>
                <w:lang w:val="en-US"/>
              </w:rPr>
              <w:t>Aviva General Insurance Company</w:t>
            </w:r>
            <w:r w:rsidR="001C57C3" w:rsidRPr="00506748">
              <w:rPr>
                <w:b/>
                <w:sz w:val="20"/>
                <w:szCs w:val="20"/>
                <w:lang w:val="en-US"/>
              </w:rPr>
              <w:t xml:space="preserve"> (</w:t>
            </w:r>
            <w:r w:rsidRPr="00506748">
              <w:rPr>
                <w:b/>
                <w:sz w:val="20"/>
                <w:szCs w:val="20"/>
                <w:lang w:val="en-US"/>
              </w:rPr>
              <w:t>Ont</w:t>
            </w:r>
            <w:r w:rsidR="001C57C3" w:rsidRPr="00506748">
              <w:rPr>
                <w:b/>
                <w:sz w:val="20"/>
                <w:szCs w:val="20"/>
                <w:lang w:val="en-US"/>
              </w:rPr>
              <w:t>.)</w:t>
            </w:r>
          </w:p>
          <w:p w:rsidR="001C57C3" w:rsidRPr="00506748" w:rsidRDefault="001C57C3" w:rsidP="001C57C3">
            <w:pPr>
              <w:tabs>
                <w:tab w:val="left" w:pos="-1440"/>
                <w:tab w:val="left" w:pos="-720"/>
              </w:tabs>
              <w:rPr>
                <w:sz w:val="20"/>
                <w:szCs w:val="20"/>
                <w:lang w:val="en-US"/>
              </w:rPr>
            </w:pPr>
            <w:r w:rsidRPr="00506748">
              <w:rPr>
                <w:sz w:val="20"/>
                <w:szCs w:val="20"/>
                <w:lang w:val="en-US"/>
              </w:rPr>
              <w:tab/>
            </w:r>
            <w:r w:rsidR="003C4416" w:rsidRPr="00506748">
              <w:rPr>
                <w:sz w:val="20"/>
                <w:szCs w:val="20"/>
                <w:lang w:val="en-US"/>
              </w:rPr>
              <w:t>Griffiths, Kevin</w:t>
            </w:r>
          </w:p>
          <w:p w:rsidR="001C57C3" w:rsidRPr="00506748" w:rsidRDefault="001C57C3" w:rsidP="001C57C3">
            <w:pPr>
              <w:tabs>
                <w:tab w:val="left" w:pos="-1440"/>
                <w:tab w:val="left" w:pos="-720"/>
              </w:tabs>
              <w:rPr>
                <w:sz w:val="20"/>
                <w:szCs w:val="20"/>
              </w:rPr>
            </w:pPr>
            <w:r w:rsidRPr="00506748">
              <w:rPr>
                <w:sz w:val="20"/>
                <w:szCs w:val="20"/>
                <w:lang w:val="en-US"/>
              </w:rPr>
              <w:tab/>
            </w:r>
            <w:r w:rsidR="003C4416" w:rsidRPr="00506748">
              <w:rPr>
                <w:sz w:val="20"/>
                <w:szCs w:val="20"/>
              </w:rPr>
              <w:t>Evans Philp LLP</w:t>
            </w:r>
          </w:p>
          <w:p w:rsidR="001C57C3" w:rsidRPr="00506748" w:rsidRDefault="001C57C3" w:rsidP="001C57C3">
            <w:pPr>
              <w:tabs>
                <w:tab w:val="left" w:pos="-1440"/>
                <w:tab w:val="left" w:pos="-720"/>
              </w:tabs>
              <w:rPr>
                <w:sz w:val="20"/>
                <w:szCs w:val="20"/>
              </w:rPr>
            </w:pPr>
          </w:p>
          <w:p w:rsidR="001C57C3" w:rsidRPr="00506748" w:rsidRDefault="001C57C3" w:rsidP="001C57C3">
            <w:pPr>
              <w:rPr>
                <w:sz w:val="20"/>
                <w:szCs w:val="20"/>
              </w:rPr>
            </w:pPr>
            <w:r w:rsidRPr="00506748">
              <w:rPr>
                <w:sz w:val="20"/>
                <w:szCs w:val="20"/>
              </w:rPr>
              <w:t xml:space="preserve">FILING DATE: </w:t>
            </w:r>
            <w:r w:rsidR="003C4416" w:rsidRPr="00506748">
              <w:rPr>
                <w:sz w:val="20"/>
                <w:szCs w:val="20"/>
              </w:rPr>
              <w:t>October</w:t>
            </w:r>
            <w:r w:rsidRPr="00506748">
              <w:rPr>
                <w:sz w:val="20"/>
                <w:szCs w:val="20"/>
              </w:rPr>
              <w:t xml:space="preserve"> </w:t>
            </w:r>
            <w:r w:rsidR="003C4416" w:rsidRPr="00506748">
              <w:rPr>
                <w:sz w:val="20"/>
                <w:szCs w:val="20"/>
              </w:rPr>
              <w:t>2</w:t>
            </w:r>
            <w:r w:rsidRPr="00506748">
              <w:rPr>
                <w:sz w:val="20"/>
                <w:szCs w:val="20"/>
              </w:rPr>
              <w:t>6, 2022</w:t>
            </w:r>
          </w:p>
          <w:p w:rsidR="001C57C3" w:rsidRPr="00506748" w:rsidRDefault="001C57C3" w:rsidP="001C57C3">
            <w:pPr>
              <w:rPr>
                <w:sz w:val="20"/>
                <w:szCs w:val="20"/>
              </w:rPr>
            </w:pPr>
          </w:p>
          <w:p w:rsidR="001C57C3" w:rsidRPr="00506748" w:rsidRDefault="00C9268A" w:rsidP="001C57C3">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3C4416" w:rsidRPr="00506748" w:rsidRDefault="003C4416" w:rsidP="00F138C1">
            <w:pPr>
              <w:jc w:val="center"/>
              <w:rPr>
                <w:sz w:val="20"/>
                <w:szCs w:val="20"/>
                <w:lang w:val="en-US"/>
              </w:rPr>
            </w:pPr>
          </w:p>
          <w:p w:rsidR="003C4416" w:rsidRPr="00506748" w:rsidRDefault="003C4416" w:rsidP="00F138C1">
            <w:pPr>
              <w:jc w:val="center"/>
              <w:rPr>
                <w:sz w:val="20"/>
                <w:szCs w:val="20"/>
                <w:lang w:val="en-US"/>
              </w:rPr>
            </w:pPr>
          </w:p>
          <w:p w:rsidR="001C57C3" w:rsidRPr="00506748" w:rsidRDefault="001C57C3" w:rsidP="00F138C1">
            <w:pPr>
              <w:jc w:val="center"/>
              <w:rPr>
                <w:sz w:val="20"/>
                <w:szCs w:val="20"/>
                <w:lang w:val="en-US"/>
              </w:rPr>
            </w:pPr>
          </w:p>
        </w:tc>
        <w:tc>
          <w:tcPr>
            <w:tcW w:w="4239" w:type="dxa"/>
            <w:shd w:val="clear" w:color="auto" w:fill="auto"/>
          </w:tcPr>
          <w:p w:rsidR="001C57C3" w:rsidRPr="00506748" w:rsidRDefault="003C4416" w:rsidP="001C57C3">
            <w:pPr>
              <w:rPr>
                <w:sz w:val="20"/>
                <w:szCs w:val="20"/>
                <w:lang w:val="fr-CA"/>
              </w:rPr>
            </w:pPr>
            <w:r w:rsidRPr="00506748">
              <w:rPr>
                <w:b/>
                <w:sz w:val="20"/>
                <w:szCs w:val="20"/>
                <w:lang w:val="fr-CA"/>
              </w:rPr>
              <w:t>Noel Ayangma</w:t>
            </w:r>
          </w:p>
          <w:p w:rsidR="001C57C3" w:rsidRPr="00506748" w:rsidRDefault="001C57C3" w:rsidP="001C57C3">
            <w:pPr>
              <w:tabs>
                <w:tab w:val="left" w:pos="-1440"/>
                <w:tab w:val="left" w:pos="-720"/>
              </w:tabs>
              <w:rPr>
                <w:sz w:val="20"/>
                <w:szCs w:val="20"/>
                <w:lang w:val="fr-CA"/>
              </w:rPr>
            </w:pPr>
            <w:r w:rsidRPr="00506748">
              <w:rPr>
                <w:sz w:val="20"/>
                <w:szCs w:val="20"/>
                <w:lang w:val="fr-CA"/>
              </w:rPr>
              <w:tab/>
            </w:r>
            <w:r w:rsidR="003C4416" w:rsidRPr="00506748">
              <w:rPr>
                <w:sz w:val="20"/>
                <w:szCs w:val="20"/>
                <w:lang w:val="fr-CA"/>
              </w:rPr>
              <w:t>Noel Ayangma</w:t>
            </w:r>
          </w:p>
          <w:p w:rsidR="001C57C3" w:rsidRPr="00506748" w:rsidRDefault="001C57C3" w:rsidP="001C57C3">
            <w:pPr>
              <w:tabs>
                <w:tab w:val="left" w:pos="-1440"/>
                <w:tab w:val="left" w:pos="-720"/>
              </w:tabs>
              <w:rPr>
                <w:sz w:val="20"/>
                <w:szCs w:val="20"/>
                <w:lang w:val="fr-CA"/>
              </w:rPr>
            </w:pPr>
          </w:p>
          <w:p w:rsidR="003C4416" w:rsidRPr="00506748" w:rsidRDefault="003C4416" w:rsidP="003C4416">
            <w:pPr>
              <w:tabs>
                <w:tab w:val="left" w:pos="-1440"/>
                <w:tab w:val="left" w:pos="-720"/>
              </w:tabs>
              <w:rPr>
                <w:sz w:val="20"/>
                <w:szCs w:val="20"/>
                <w:lang w:val="fr-CA"/>
              </w:rPr>
            </w:pPr>
            <w:r w:rsidRPr="00506748">
              <w:rPr>
                <w:sz w:val="20"/>
                <w:szCs w:val="20"/>
                <w:lang w:val="fr-CA"/>
              </w:rPr>
              <w:tab/>
              <w:t>v. (40414)</w:t>
            </w:r>
          </w:p>
          <w:p w:rsidR="001C57C3" w:rsidRPr="00506748" w:rsidRDefault="001C57C3" w:rsidP="001C57C3">
            <w:pPr>
              <w:tabs>
                <w:tab w:val="left" w:pos="-1440"/>
                <w:tab w:val="left" w:pos="-720"/>
              </w:tabs>
              <w:rPr>
                <w:sz w:val="20"/>
                <w:szCs w:val="20"/>
                <w:lang w:val="fr-CA"/>
              </w:rPr>
            </w:pPr>
          </w:p>
          <w:p w:rsidR="001C57C3" w:rsidRPr="00506748" w:rsidRDefault="003C4416" w:rsidP="001C57C3">
            <w:pPr>
              <w:tabs>
                <w:tab w:val="left" w:pos="-1440"/>
                <w:tab w:val="left" w:pos="-720"/>
              </w:tabs>
              <w:rPr>
                <w:b/>
                <w:sz w:val="20"/>
                <w:szCs w:val="20"/>
                <w:lang w:val="en-US"/>
              </w:rPr>
            </w:pPr>
            <w:r w:rsidRPr="00506748">
              <w:rPr>
                <w:b/>
                <w:sz w:val="20"/>
                <w:szCs w:val="20"/>
                <w:lang w:val="en-US"/>
              </w:rPr>
              <w:t>Prince Edward Island Teachers Federation, et al.</w:t>
            </w:r>
            <w:r w:rsidR="001C57C3" w:rsidRPr="00506748">
              <w:rPr>
                <w:b/>
                <w:sz w:val="20"/>
                <w:szCs w:val="20"/>
                <w:lang w:val="en-US"/>
              </w:rPr>
              <w:t xml:space="preserve"> (</w:t>
            </w:r>
            <w:r w:rsidRPr="00506748">
              <w:rPr>
                <w:b/>
                <w:sz w:val="20"/>
                <w:szCs w:val="20"/>
                <w:lang w:val="en-US"/>
              </w:rPr>
              <w:t>P.E.I.</w:t>
            </w:r>
            <w:r w:rsidR="001C57C3" w:rsidRPr="00506748">
              <w:rPr>
                <w:b/>
                <w:sz w:val="20"/>
                <w:szCs w:val="20"/>
                <w:lang w:val="en-US"/>
              </w:rPr>
              <w:t>)</w:t>
            </w:r>
          </w:p>
          <w:p w:rsidR="001C57C3" w:rsidRPr="00506748" w:rsidRDefault="001C57C3" w:rsidP="001C57C3">
            <w:pPr>
              <w:tabs>
                <w:tab w:val="left" w:pos="-1440"/>
                <w:tab w:val="left" w:pos="-720"/>
              </w:tabs>
              <w:rPr>
                <w:sz w:val="20"/>
                <w:szCs w:val="20"/>
                <w:lang w:val="en-US"/>
              </w:rPr>
            </w:pPr>
            <w:r w:rsidRPr="00506748">
              <w:rPr>
                <w:sz w:val="20"/>
                <w:szCs w:val="20"/>
                <w:lang w:val="en-US"/>
              </w:rPr>
              <w:tab/>
            </w:r>
            <w:r w:rsidR="003C4416" w:rsidRPr="00506748">
              <w:rPr>
                <w:sz w:val="20"/>
                <w:szCs w:val="20"/>
                <w:lang w:val="en-US"/>
              </w:rPr>
              <w:t>Rolf, Mary</w:t>
            </w:r>
          </w:p>
          <w:p w:rsidR="001C57C3" w:rsidRPr="00506748" w:rsidRDefault="001C57C3" w:rsidP="001C57C3">
            <w:pPr>
              <w:tabs>
                <w:tab w:val="left" w:pos="-1440"/>
                <w:tab w:val="left" w:pos="-720"/>
              </w:tabs>
              <w:rPr>
                <w:sz w:val="20"/>
                <w:szCs w:val="20"/>
              </w:rPr>
            </w:pPr>
            <w:r w:rsidRPr="00506748">
              <w:rPr>
                <w:sz w:val="20"/>
                <w:szCs w:val="20"/>
                <w:lang w:val="en-US"/>
              </w:rPr>
              <w:tab/>
            </w:r>
            <w:r w:rsidR="003C4416" w:rsidRPr="00506748">
              <w:rPr>
                <w:sz w:val="20"/>
                <w:szCs w:val="20"/>
              </w:rPr>
              <w:t>Pink Larkin</w:t>
            </w:r>
          </w:p>
          <w:p w:rsidR="001C57C3" w:rsidRPr="00506748" w:rsidRDefault="001C57C3" w:rsidP="001C57C3">
            <w:pPr>
              <w:tabs>
                <w:tab w:val="left" w:pos="-1440"/>
                <w:tab w:val="left" w:pos="-720"/>
              </w:tabs>
              <w:rPr>
                <w:sz w:val="20"/>
                <w:szCs w:val="20"/>
              </w:rPr>
            </w:pPr>
          </w:p>
          <w:p w:rsidR="003C4416" w:rsidRPr="00506748" w:rsidRDefault="003C4416" w:rsidP="003C4416">
            <w:pPr>
              <w:rPr>
                <w:sz w:val="20"/>
                <w:szCs w:val="20"/>
              </w:rPr>
            </w:pPr>
            <w:r w:rsidRPr="00506748">
              <w:rPr>
                <w:sz w:val="20"/>
                <w:szCs w:val="20"/>
              </w:rPr>
              <w:t>FILING DATE: October 26, 2022</w:t>
            </w:r>
          </w:p>
          <w:p w:rsidR="001C57C3" w:rsidRPr="00506748" w:rsidRDefault="001C57C3" w:rsidP="001C57C3">
            <w:pPr>
              <w:rPr>
                <w:sz w:val="20"/>
                <w:szCs w:val="20"/>
              </w:rPr>
            </w:pPr>
          </w:p>
          <w:p w:rsidR="001C57C3" w:rsidRPr="00506748" w:rsidRDefault="00C9268A" w:rsidP="001C57C3">
            <w:pPr>
              <w:rPr>
                <w:b/>
                <w:sz w:val="20"/>
                <w:szCs w:val="20"/>
                <w:lang w:val="en-US"/>
              </w:rPr>
            </w:pPr>
            <w:r>
              <w:rPr>
                <w:sz w:val="20"/>
                <w:szCs w:val="20"/>
                <w:lang w:val="fr-CA"/>
              </w:rPr>
              <w:pict>
                <v:rect id="_x0000_i1036" style="width:108pt;height:1pt" o:hrpct="0" o:hrstd="t" o:hrnoshade="t" o:hr="t" fillcolor="black [3213]" stroked="f"/>
              </w:pict>
            </w:r>
          </w:p>
        </w:tc>
      </w:tr>
    </w:tbl>
    <w:p w:rsidR="003C4416" w:rsidRPr="00506748" w:rsidRDefault="003C4416">
      <w:r w:rsidRPr="00506748">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1C57C3" w:rsidRPr="00506748" w:rsidTr="00F138C1">
        <w:tc>
          <w:tcPr>
            <w:tcW w:w="4239" w:type="dxa"/>
            <w:shd w:val="clear" w:color="auto" w:fill="auto"/>
          </w:tcPr>
          <w:p w:rsidR="001C57C3" w:rsidRPr="00506748" w:rsidRDefault="00D97FC7" w:rsidP="001C57C3">
            <w:pPr>
              <w:rPr>
                <w:sz w:val="20"/>
                <w:szCs w:val="20"/>
                <w:lang w:val="en-US"/>
              </w:rPr>
            </w:pPr>
            <w:r w:rsidRPr="00506748">
              <w:rPr>
                <w:b/>
                <w:sz w:val="20"/>
                <w:szCs w:val="20"/>
                <w:lang w:val="en-US"/>
              </w:rPr>
              <w:t>His Majesty the King in right of Ontario</w:t>
            </w:r>
          </w:p>
          <w:p w:rsidR="001C57C3" w:rsidRPr="00506748" w:rsidRDefault="001C57C3" w:rsidP="001C57C3">
            <w:pPr>
              <w:tabs>
                <w:tab w:val="left" w:pos="-1440"/>
                <w:tab w:val="left" w:pos="-720"/>
              </w:tabs>
              <w:rPr>
                <w:sz w:val="20"/>
                <w:szCs w:val="20"/>
                <w:lang w:val="en-US"/>
              </w:rPr>
            </w:pPr>
            <w:r w:rsidRPr="00506748">
              <w:rPr>
                <w:sz w:val="20"/>
                <w:szCs w:val="20"/>
                <w:lang w:val="en-US"/>
              </w:rPr>
              <w:tab/>
            </w:r>
            <w:r w:rsidR="00D97FC7" w:rsidRPr="00506748">
              <w:rPr>
                <w:sz w:val="20"/>
                <w:szCs w:val="20"/>
                <w:lang w:val="en-US"/>
              </w:rPr>
              <w:t>Kloeze, Darrell L.</w:t>
            </w:r>
          </w:p>
          <w:p w:rsidR="001C57C3" w:rsidRPr="00506748" w:rsidRDefault="001C57C3" w:rsidP="001C57C3">
            <w:pPr>
              <w:tabs>
                <w:tab w:val="left" w:pos="-1440"/>
                <w:tab w:val="left" w:pos="-720"/>
              </w:tabs>
              <w:rPr>
                <w:sz w:val="20"/>
                <w:szCs w:val="20"/>
                <w:lang w:val="en-US"/>
              </w:rPr>
            </w:pPr>
            <w:r w:rsidRPr="00506748">
              <w:rPr>
                <w:sz w:val="20"/>
                <w:szCs w:val="20"/>
                <w:lang w:val="en-US"/>
              </w:rPr>
              <w:tab/>
            </w:r>
            <w:r w:rsidR="00D97FC7" w:rsidRPr="00506748">
              <w:rPr>
                <w:sz w:val="20"/>
                <w:szCs w:val="20"/>
                <w:lang w:val="en-US"/>
              </w:rPr>
              <w:t>Attorney General of Ontario</w:t>
            </w:r>
          </w:p>
          <w:p w:rsidR="001C57C3" w:rsidRPr="00506748" w:rsidRDefault="001C57C3" w:rsidP="001C57C3">
            <w:pPr>
              <w:tabs>
                <w:tab w:val="left" w:pos="-1440"/>
                <w:tab w:val="left" w:pos="-720"/>
              </w:tabs>
              <w:rPr>
                <w:sz w:val="20"/>
                <w:szCs w:val="20"/>
                <w:lang w:val="en-US"/>
              </w:rPr>
            </w:pPr>
          </w:p>
          <w:p w:rsidR="003C4416" w:rsidRPr="00506748" w:rsidRDefault="003C4416" w:rsidP="003C4416">
            <w:pPr>
              <w:tabs>
                <w:tab w:val="left" w:pos="-1440"/>
                <w:tab w:val="left" w:pos="-720"/>
              </w:tabs>
              <w:rPr>
                <w:sz w:val="20"/>
                <w:szCs w:val="20"/>
                <w:lang w:val="en-US"/>
              </w:rPr>
            </w:pPr>
            <w:r w:rsidRPr="00506748">
              <w:rPr>
                <w:sz w:val="20"/>
                <w:szCs w:val="20"/>
                <w:lang w:val="en-US"/>
              </w:rPr>
              <w:tab/>
              <w:t>v. (40415)</w:t>
            </w:r>
          </w:p>
          <w:p w:rsidR="001C57C3" w:rsidRPr="00506748" w:rsidRDefault="001C57C3" w:rsidP="001C57C3">
            <w:pPr>
              <w:tabs>
                <w:tab w:val="left" w:pos="-1440"/>
                <w:tab w:val="left" w:pos="-720"/>
              </w:tabs>
              <w:rPr>
                <w:sz w:val="20"/>
                <w:szCs w:val="20"/>
                <w:lang w:val="en-US"/>
              </w:rPr>
            </w:pPr>
          </w:p>
          <w:p w:rsidR="001C57C3" w:rsidRPr="00506748" w:rsidRDefault="00D97FC7" w:rsidP="001C57C3">
            <w:pPr>
              <w:tabs>
                <w:tab w:val="left" w:pos="-1440"/>
                <w:tab w:val="left" w:pos="-720"/>
              </w:tabs>
              <w:rPr>
                <w:b/>
                <w:sz w:val="20"/>
                <w:szCs w:val="20"/>
                <w:lang w:val="en-US"/>
              </w:rPr>
            </w:pPr>
            <w:r w:rsidRPr="00506748">
              <w:rPr>
                <w:b/>
                <w:sz w:val="20"/>
                <w:szCs w:val="20"/>
                <w:lang w:val="en-US"/>
              </w:rPr>
              <w:t>Aylmer Meat Packers Inc.</w:t>
            </w:r>
            <w:r w:rsidR="001C57C3" w:rsidRPr="00506748">
              <w:rPr>
                <w:b/>
                <w:sz w:val="20"/>
                <w:szCs w:val="20"/>
                <w:lang w:val="en-US"/>
              </w:rPr>
              <w:t xml:space="preserve"> (</w:t>
            </w:r>
            <w:r w:rsidRPr="00506748">
              <w:rPr>
                <w:b/>
                <w:sz w:val="20"/>
                <w:szCs w:val="20"/>
                <w:lang w:val="en-US"/>
              </w:rPr>
              <w:t>Ont</w:t>
            </w:r>
            <w:r w:rsidR="001C57C3" w:rsidRPr="00506748">
              <w:rPr>
                <w:b/>
                <w:sz w:val="20"/>
                <w:szCs w:val="20"/>
                <w:lang w:val="en-US"/>
              </w:rPr>
              <w:t>.)</w:t>
            </w:r>
          </w:p>
          <w:p w:rsidR="001C57C3" w:rsidRPr="00506748" w:rsidRDefault="001C57C3" w:rsidP="001C57C3">
            <w:pPr>
              <w:tabs>
                <w:tab w:val="left" w:pos="-1440"/>
                <w:tab w:val="left" w:pos="-720"/>
              </w:tabs>
              <w:rPr>
                <w:sz w:val="20"/>
                <w:szCs w:val="20"/>
                <w:lang w:val="en-US"/>
              </w:rPr>
            </w:pPr>
            <w:r w:rsidRPr="00506748">
              <w:rPr>
                <w:sz w:val="20"/>
                <w:szCs w:val="20"/>
                <w:lang w:val="en-US"/>
              </w:rPr>
              <w:tab/>
            </w:r>
            <w:r w:rsidR="00D97FC7" w:rsidRPr="00506748">
              <w:rPr>
                <w:sz w:val="20"/>
                <w:szCs w:val="20"/>
                <w:lang w:val="en-US"/>
              </w:rPr>
              <w:t>Lisus, Jonathan C.</w:t>
            </w:r>
          </w:p>
          <w:p w:rsidR="001C57C3" w:rsidRPr="00506748" w:rsidRDefault="001C57C3" w:rsidP="001C57C3">
            <w:pPr>
              <w:tabs>
                <w:tab w:val="left" w:pos="-1440"/>
                <w:tab w:val="left" w:pos="-720"/>
              </w:tabs>
              <w:rPr>
                <w:sz w:val="20"/>
                <w:szCs w:val="20"/>
              </w:rPr>
            </w:pPr>
            <w:r w:rsidRPr="00506748">
              <w:rPr>
                <w:sz w:val="20"/>
                <w:szCs w:val="20"/>
                <w:lang w:val="en-US"/>
              </w:rPr>
              <w:tab/>
            </w:r>
            <w:r w:rsidR="00D97FC7" w:rsidRPr="00506748">
              <w:rPr>
                <w:sz w:val="20"/>
                <w:szCs w:val="20"/>
              </w:rPr>
              <w:t>Lax O'Sullivan Lisus Gottlieb LLP</w:t>
            </w:r>
          </w:p>
          <w:p w:rsidR="001C57C3" w:rsidRPr="00506748" w:rsidRDefault="001C57C3" w:rsidP="001C57C3">
            <w:pPr>
              <w:tabs>
                <w:tab w:val="left" w:pos="-1440"/>
                <w:tab w:val="left" w:pos="-720"/>
              </w:tabs>
              <w:rPr>
                <w:sz w:val="20"/>
                <w:szCs w:val="20"/>
              </w:rPr>
            </w:pPr>
          </w:p>
          <w:p w:rsidR="00D97FC7" w:rsidRPr="00506748" w:rsidRDefault="00D97FC7" w:rsidP="00D97FC7">
            <w:pPr>
              <w:rPr>
                <w:sz w:val="20"/>
                <w:szCs w:val="20"/>
              </w:rPr>
            </w:pPr>
            <w:r w:rsidRPr="00506748">
              <w:rPr>
                <w:sz w:val="20"/>
                <w:szCs w:val="20"/>
              </w:rPr>
              <w:t>FILING DATE: October 26, 2022</w:t>
            </w:r>
          </w:p>
          <w:p w:rsidR="001C57C3" w:rsidRPr="00506748" w:rsidRDefault="001C57C3" w:rsidP="001C57C3">
            <w:pPr>
              <w:rPr>
                <w:sz w:val="20"/>
                <w:szCs w:val="20"/>
              </w:rPr>
            </w:pPr>
          </w:p>
          <w:p w:rsidR="001C57C3" w:rsidRPr="00506748" w:rsidRDefault="00C9268A" w:rsidP="001C57C3">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p w:rsidR="001C57C3" w:rsidRPr="00506748" w:rsidRDefault="001C57C3" w:rsidP="00F138C1">
            <w:pPr>
              <w:jc w:val="center"/>
              <w:rPr>
                <w:sz w:val="20"/>
                <w:szCs w:val="20"/>
                <w:lang w:val="en-US"/>
              </w:rPr>
            </w:pPr>
          </w:p>
        </w:tc>
        <w:tc>
          <w:tcPr>
            <w:tcW w:w="4239" w:type="dxa"/>
            <w:shd w:val="clear" w:color="auto" w:fill="auto"/>
          </w:tcPr>
          <w:p w:rsidR="00FF394B" w:rsidRPr="00506748" w:rsidRDefault="002A0C7C" w:rsidP="00FF394B">
            <w:pPr>
              <w:rPr>
                <w:sz w:val="20"/>
                <w:szCs w:val="20"/>
                <w:lang w:val="fr-CA"/>
              </w:rPr>
            </w:pPr>
            <w:r w:rsidRPr="00506748">
              <w:rPr>
                <w:b/>
                <w:sz w:val="20"/>
                <w:szCs w:val="20"/>
                <w:lang w:val="fr-CA"/>
              </w:rPr>
              <w:t>Salim Rana</w:t>
            </w:r>
          </w:p>
          <w:p w:rsidR="00FF394B" w:rsidRPr="00506748" w:rsidRDefault="00FF394B" w:rsidP="00FF394B">
            <w:pPr>
              <w:tabs>
                <w:tab w:val="left" w:pos="-1440"/>
                <w:tab w:val="left" w:pos="-720"/>
              </w:tabs>
              <w:rPr>
                <w:sz w:val="20"/>
                <w:szCs w:val="20"/>
                <w:lang w:val="fr-CA"/>
              </w:rPr>
            </w:pPr>
            <w:r w:rsidRPr="00506748">
              <w:rPr>
                <w:sz w:val="20"/>
                <w:szCs w:val="20"/>
                <w:lang w:val="fr-CA"/>
              </w:rPr>
              <w:tab/>
            </w:r>
            <w:r w:rsidR="002A0C7C" w:rsidRPr="00506748">
              <w:rPr>
                <w:sz w:val="20"/>
                <w:szCs w:val="20"/>
                <w:lang w:val="fr-CA"/>
              </w:rPr>
              <w:t>Salim Rana</w:t>
            </w:r>
          </w:p>
          <w:p w:rsidR="00FF394B" w:rsidRPr="00506748" w:rsidRDefault="00FF394B" w:rsidP="00FF394B">
            <w:pPr>
              <w:tabs>
                <w:tab w:val="left" w:pos="-1440"/>
                <w:tab w:val="left" w:pos="-720"/>
              </w:tabs>
              <w:jc w:val="center"/>
              <w:rPr>
                <w:sz w:val="20"/>
                <w:szCs w:val="20"/>
                <w:lang w:val="fr-CA"/>
              </w:rPr>
            </w:pPr>
          </w:p>
          <w:p w:rsidR="00FF394B" w:rsidRPr="00506748" w:rsidRDefault="00FF394B" w:rsidP="00FF394B">
            <w:pPr>
              <w:tabs>
                <w:tab w:val="left" w:pos="-1440"/>
                <w:tab w:val="left" w:pos="-720"/>
              </w:tabs>
              <w:rPr>
                <w:sz w:val="20"/>
                <w:szCs w:val="20"/>
                <w:lang w:val="fr-CA"/>
              </w:rPr>
            </w:pPr>
            <w:r w:rsidRPr="00506748">
              <w:rPr>
                <w:sz w:val="20"/>
                <w:szCs w:val="20"/>
                <w:lang w:val="fr-CA"/>
              </w:rPr>
              <w:tab/>
              <w:t>v. (40404)</w:t>
            </w:r>
          </w:p>
          <w:p w:rsidR="00FF394B" w:rsidRPr="00506748" w:rsidRDefault="00FF394B" w:rsidP="00FF394B">
            <w:pPr>
              <w:tabs>
                <w:tab w:val="left" w:pos="-1440"/>
                <w:tab w:val="left" w:pos="-720"/>
              </w:tabs>
              <w:rPr>
                <w:sz w:val="20"/>
                <w:szCs w:val="20"/>
                <w:lang w:val="fr-CA"/>
              </w:rPr>
            </w:pPr>
          </w:p>
          <w:p w:rsidR="00FF394B" w:rsidRPr="00506748" w:rsidRDefault="002A0C7C" w:rsidP="00FF394B">
            <w:pPr>
              <w:tabs>
                <w:tab w:val="left" w:pos="-1440"/>
                <w:tab w:val="left" w:pos="-720"/>
              </w:tabs>
              <w:rPr>
                <w:b/>
                <w:sz w:val="20"/>
                <w:szCs w:val="20"/>
                <w:lang w:val="en-US"/>
              </w:rPr>
            </w:pPr>
            <w:r w:rsidRPr="00506748">
              <w:rPr>
                <w:b/>
                <w:sz w:val="20"/>
                <w:szCs w:val="20"/>
                <w:lang w:val="en-US"/>
              </w:rPr>
              <w:t>Zahir Rana, Attorney for Gulzar Rana</w:t>
            </w:r>
            <w:r w:rsidR="00FF394B" w:rsidRPr="00506748">
              <w:rPr>
                <w:b/>
                <w:sz w:val="20"/>
                <w:szCs w:val="20"/>
                <w:lang w:val="en-US"/>
              </w:rPr>
              <w:t xml:space="preserve"> (Alta.)</w:t>
            </w:r>
          </w:p>
          <w:p w:rsidR="00FF394B" w:rsidRPr="00506748" w:rsidRDefault="00FF394B" w:rsidP="00FF394B">
            <w:pPr>
              <w:tabs>
                <w:tab w:val="left" w:pos="-1440"/>
                <w:tab w:val="left" w:pos="-720"/>
              </w:tabs>
              <w:rPr>
                <w:sz w:val="20"/>
                <w:szCs w:val="20"/>
                <w:lang w:val="en-US"/>
              </w:rPr>
            </w:pPr>
            <w:r w:rsidRPr="00506748">
              <w:rPr>
                <w:sz w:val="20"/>
                <w:szCs w:val="20"/>
                <w:lang w:val="en-US"/>
              </w:rPr>
              <w:tab/>
            </w:r>
            <w:r w:rsidR="002A0C7C" w:rsidRPr="00506748">
              <w:rPr>
                <w:sz w:val="20"/>
                <w:szCs w:val="20"/>
                <w:lang w:val="en-US"/>
              </w:rPr>
              <w:t>Wilson, Andrew</w:t>
            </w:r>
          </w:p>
          <w:p w:rsidR="002A0C7C" w:rsidRPr="00506748" w:rsidRDefault="00FF394B" w:rsidP="00FF394B">
            <w:pPr>
              <w:tabs>
                <w:tab w:val="left" w:pos="-1440"/>
                <w:tab w:val="left" w:pos="-720"/>
              </w:tabs>
              <w:rPr>
                <w:sz w:val="20"/>
                <w:szCs w:val="20"/>
              </w:rPr>
            </w:pPr>
            <w:r w:rsidRPr="00506748">
              <w:rPr>
                <w:sz w:val="20"/>
                <w:szCs w:val="20"/>
                <w:lang w:val="en-US"/>
              </w:rPr>
              <w:tab/>
            </w:r>
            <w:r w:rsidR="002A0C7C" w:rsidRPr="00506748">
              <w:rPr>
                <w:sz w:val="20"/>
                <w:szCs w:val="20"/>
              </w:rPr>
              <w:t xml:space="preserve">Jensen Shawa Solomon Duguid Hawkes </w:t>
            </w:r>
          </w:p>
          <w:p w:rsidR="00FF394B" w:rsidRPr="00506748" w:rsidRDefault="002A0C7C" w:rsidP="00FF394B">
            <w:pPr>
              <w:tabs>
                <w:tab w:val="left" w:pos="-1440"/>
                <w:tab w:val="left" w:pos="-720"/>
              </w:tabs>
              <w:rPr>
                <w:sz w:val="20"/>
                <w:szCs w:val="20"/>
              </w:rPr>
            </w:pPr>
            <w:r w:rsidRPr="00506748">
              <w:rPr>
                <w:sz w:val="20"/>
                <w:szCs w:val="20"/>
                <w:lang w:val="en-US"/>
              </w:rPr>
              <w:tab/>
            </w:r>
            <w:r w:rsidRPr="00506748">
              <w:rPr>
                <w:sz w:val="20"/>
                <w:szCs w:val="20"/>
              </w:rPr>
              <w:t>LLP</w:t>
            </w:r>
          </w:p>
          <w:p w:rsidR="00FF394B" w:rsidRPr="00506748" w:rsidRDefault="00FF394B" w:rsidP="00FF394B">
            <w:pPr>
              <w:tabs>
                <w:tab w:val="left" w:pos="-1440"/>
                <w:tab w:val="left" w:pos="-720"/>
              </w:tabs>
              <w:rPr>
                <w:sz w:val="20"/>
                <w:szCs w:val="20"/>
              </w:rPr>
            </w:pPr>
          </w:p>
          <w:p w:rsidR="00FF394B" w:rsidRPr="00506748" w:rsidRDefault="00FF394B" w:rsidP="00FF394B">
            <w:pPr>
              <w:rPr>
                <w:sz w:val="20"/>
                <w:szCs w:val="20"/>
              </w:rPr>
            </w:pPr>
            <w:r w:rsidRPr="00506748">
              <w:rPr>
                <w:sz w:val="20"/>
                <w:szCs w:val="20"/>
              </w:rPr>
              <w:t>FILING DATE: October 21, 2022</w:t>
            </w:r>
          </w:p>
          <w:p w:rsidR="00FF394B" w:rsidRPr="00506748" w:rsidRDefault="00FF394B" w:rsidP="00FF394B">
            <w:pPr>
              <w:rPr>
                <w:sz w:val="20"/>
                <w:szCs w:val="20"/>
              </w:rPr>
            </w:pPr>
          </w:p>
          <w:p w:rsidR="001C57C3" w:rsidRPr="00506748" w:rsidRDefault="00C9268A" w:rsidP="00FF394B">
            <w:pPr>
              <w:rPr>
                <w:b/>
                <w:sz w:val="20"/>
                <w:szCs w:val="20"/>
                <w:lang w:val="en-US"/>
              </w:rPr>
            </w:pPr>
            <w:r>
              <w:rPr>
                <w:sz w:val="20"/>
                <w:szCs w:val="20"/>
                <w:lang w:val="fr-CA"/>
              </w:rPr>
              <w:pict>
                <v:rect id="_x0000_i1038" style="width:108pt;height:1pt" o:hrpct="0" o:hrstd="t" o:hrnoshade="t" o:hr="t" fillcolor="black [3213]" stroked="f"/>
              </w:pict>
            </w:r>
          </w:p>
        </w:tc>
      </w:tr>
    </w:tbl>
    <w:p w:rsidR="00C01FCB" w:rsidRPr="00506748" w:rsidRDefault="00C01FCB" w:rsidP="0095096B">
      <w:pPr>
        <w:tabs>
          <w:tab w:val="right" w:pos="9360"/>
        </w:tabs>
        <w:rPr>
          <w:sz w:val="20"/>
          <w:szCs w:val="20"/>
          <w:lang w:val="fr-CA"/>
        </w:rPr>
      </w:pPr>
    </w:p>
    <w:p w:rsidR="00BF3A9C" w:rsidRPr="00506748" w:rsidRDefault="00BF3A9C" w:rsidP="0095096B">
      <w:pPr>
        <w:tabs>
          <w:tab w:val="right" w:pos="9360"/>
        </w:tabs>
        <w:rPr>
          <w:sz w:val="20"/>
          <w:szCs w:val="20"/>
          <w:lang w:val="fr-CA"/>
        </w:rPr>
      </w:pPr>
    </w:p>
    <w:p w:rsidR="00242AEE" w:rsidRPr="00506748" w:rsidRDefault="00242AEE" w:rsidP="0095096B">
      <w:pPr>
        <w:tabs>
          <w:tab w:val="right" w:pos="9360"/>
        </w:tabs>
        <w:rPr>
          <w:sz w:val="20"/>
          <w:szCs w:val="20"/>
          <w:lang w:val="fr-CA"/>
        </w:rPr>
        <w:sectPr w:rsidR="00242AEE" w:rsidRPr="00506748"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506748" w:rsidRDefault="00DD0BDC" w:rsidP="00567602">
      <w:pPr>
        <w:pStyle w:val="Header1StyleE"/>
        <w:pBdr>
          <w:bottom w:val="single" w:sz="12" w:space="1" w:color="auto"/>
        </w:pBdr>
        <w:rPr>
          <w:lang w:val="fr-CA"/>
        </w:rPr>
      </w:pPr>
      <w:bookmarkStart w:id="1" w:name="QuickMark_1"/>
      <w:bookmarkStart w:id="2" w:name="_Toc119658300"/>
      <w:bookmarkEnd w:id="1"/>
      <w:r w:rsidRPr="00506748">
        <w:rPr>
          <w:lang w:val="fr-CA"/>
        </w:rPr>
        <w:t>Judgments on applications</w:t>
      </w:r>
      <w:r w:rsidR="000C1D9D" w:rsidRPr="00506748">
        <w:rPr>
          <w:lang w:val="fr-CA"/>
        </w:rPr>
        <w:t xml:space="preserve"> </w:t>
      </w:r>
      <w:r w:rsidRPr="00506748">
        <w:rPr>
          <w:lang w:val="fr-CA"/>
        </w:rPr>
        <w:t>for leave</w:t>
      </w:r>
      <w:r w:rsidR="00693C38" w:rsidRPr="00506748">
        <w:rPr>
          <w:noProof/>
          <w:sz w:val="20"/>
          <w:lang w:val="fr-CA"/>
        </w:rPr>
        <w:t xml:space="preserve"> </w:t>
      </w:r>
      <w:r w:rsidR="00271E1E" w:rsidRPr="00506748">
        <w:rPr>
          <w:noProof/>
          <w:sz w:val="20"/>
          <w:lang w:val="fr-CA"/>
        </w:rPr>
        <w:t xml:space="preserve">/ </w:t>
      </w:r>
      <w:r w:rsidR="00693C38" w:rsidRPr="00506748">
        <w:rPr>
          <w:noProof/>
          <w:sz w:val="20"/>
          <w:lang w:val="fr-CA"/>
        </w:rPr>
        <w:br/>
      </w:r>
      <w:r w:rsidRPr="00506748">
        <w:rPr>
          <w:lang w:val="fr-CA"/>
        </w:rPr>
        <w:t>Jugements rendus sur les demandes d’autorisation</w:t>
      </w:r>
      <w:bookmarkEnd w:id="2"/>
    </w:p>
    <w:p w:rsidR="00FB1DB6" w:rsidRPr="00506748" w:rsidRDefault="00FB1DB6" w:rsidP="00693C38">
      <w:pPr>
        <w:rPr>
          <w:sz w:val="20"/>
          <w:szCs w:val="20"/>
          <w:lang w:val="fr-CA"/>
        </w:rPr>
      </w:pPr>
    </w:p>
    <w:p w:rsidR="00F16063" w:rsidRPr="00506748" w:rsidRDefault="00DB15A3" w:rsidP="00F16063">
      <w:pPr>
        <w:rPr>
          <w:b/>
          <w:sz w:val="20"/>
          <w:szCs w:val="20"/>
        </w:rPr>
      </w:pPr>
      <w:r w:rsidRPr="00506748">
        <w:rPr>
          <w:b/>
          <w:sz w:val="20"/>
          <w:szCs w:val="20"/>
        </w:rPr>
        <w:t>NOVEMBER</w:t>
      </w:r>
      <w:r w:rsidR="00F16063" w:rsidRPr="00506748">
        <w:rPr>
          <w:b/>
          <w:sz w:val="20"/>
          <w:szCs w:val="20"/>
        </w:rPr>
        <w:t xml:space="preserve"> </w:t>
      </w:r>
      <w:r w:rsidR="00691D1D" w:rsidRPr="00506748">
        <w:rPr>
          <w:b/>
          <w:sz w:val="20"/>
          <w:szCs w:val="20"/>
        </w:rPr>
        <w:t>1</w:t>
      </w:r>
      <w:r w:rsidRPr="00506748">
        <w:rPr>
          <w:b/>
          <w:sz w:val="20"/>
          <w:szCs w:val="20"/>
        </w:rPr>
        <w:t>7</w:t>
      </w:r>
      <w:r w:rsidR="00F16063" w:rsidRPr="00506748">
        <w:rPr>
          <w:b/>
          <w:sz w:val="20"/>
          <w:szCs w:val="20"/>
        </w:rPr>
        <w:t xml:space="preserve">, </w:t>
      </w:r>
      <w:r w:rsidR="0034657E" w:rsidRPr="00506748">
        <w:rPr>
          <w:b/>
          <w:sz w:val="20"/>
          <w:szCs w:val="20"/>
        </w:rPr>
        <w:t>20</w:t>
      </w:r>
      <w:r w:rsidR="005967EF" w:rsidRPr="00506748">
        <w:rPr>
          <w:b/>
          <w:sz w:val="20"/>
          <w:szCs w:val="20"/>
        </w:rPr>
        <w:t>2</w:t>
      </w:r>
      <w:r w:rsidR="00E8642A" w:rsidRPr="00506748">
        <w:rPr>
          <w:b/>
          <w:sz w:val="20"/>
          <w:szCs w:val="20"/>
        </w:rPr>
        <w:t>2</w:t>
      </w:r>
      <w:r w:rsidR="00F16063" w:rsidRPr="00506748">
        <w:rPr>
          <w:b/>
          <w:sz w:val="20"/>
          <w:szCs w:val="20"/>
        </w:rPr>
        <w:t xml:space="preserve"> / LE </w:t>
      </w:r>
      <w:r w:rsidR="00691D1D" w:rsidRPr="00506748">
        <w:rPr>
          <w:b/>
          <w:sz w:val="20"/>
          <w:szCs w:val="20"/>
        </w:rPr>
        <w:t>1</w:t>
      </w:r>
      <w:r w:rsidRPr="00506748">
        <w:rPr>
          <w:b/>
          <w:sz w:val="20"/>
          <w:szCs w:val="20"/>
        </w:rPr>
        <w:t>7</w:t>
      </w:r>
      <w:r w:rsidR="002C13E1" w:rsidRPr="00506748">
        <w:rPr>
          <w:b/>
          <w:sz w:val="20"/>
          <w:szCs w:val="20"/>
        </w:rPr>
        <w:t xml:space="preserve"> </w:t>
      </w:r>
      <w:r w:rsidRPr="00506748">
        <w:rPr>
          <w:b/>
          <w:sz w:val="20"/>
          <w:szCs w:val="20"/>
        </w:rPr>
        <w:t>NOVEM</w:t>
      </w:r>
      <w:r w:rsidR="002C13E1" w:rsidRPr="00506748">
        <w:rPr>
          <w:b/>
          <w:sz w:val="20"/>
          <w:szCs w:val="20"/>
        </w:rPr>
        <w:t>BRE</w:t>
      </w:r>
      <w:r w:rsidR="00F16063" w:rsidRPr="00506748">
        <w:rPr>
          <w:b/>
          <w:sz w:val="20"/>
          <w:szCs w:val="20"/>
        </w:rPr>
        <w:t xml:space="preserve"> </w:t>
      </w:r>
      <w:r w:rsidR="0034657E" w:rsidRPr="00506748">
        <w:rPr>
          <w:b/>
          <w:sz w:val="20"/>
          <w:szCs w:val="20"/>
        </w:rPr>
        <w:t>20</w:t>
      </w:r>
      <w:r w:rsidR="005967EF" w:rsidRPr="00506748">
        <w:rPr>
          <w:b/>
          <w:sz w:val="20"/>
          <w:szCs w:val="20"/>
        </w:rPr>
        <w:t>2</w:t>
      </w:r>
      <w:r w:rsidR="00E8642A" w:rsidRPr="00506748">
        <w:rPr>
          <w:b/>
          <w:sz w:val="20"/>
          <w:szCs w:val="20"/>
        </w:rPr>
        <w:t>2</w:t>
      </w:r>
    </w:p>
    <w:p w:rsidR="00DB15A3" w:rsidRPr="00506748" w:rsidRDefault="00DB15A3" w:rsidP="00DB15A3">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B15A3" w:rsidRPr="00506748" w:rsidTr="00DB15A3">
        <w:tc>
          <w:tcPr>
            <w:tcW w:w="543" w:type="pct"/>
          </w:tcPr>
          <w:p w:rsidR="00DB15A3" w:rsidRPr="00506748" w:rsidRDefault="00DB15A3" w:rsidP="00DB15A3">
            <w:pPr>
              <w:jc w:val="both"/>
              <w:rPr>
                <w:sz w:val="20"/>
                <w:szCs w:val="20"/>
              </w:rPr>
            </w:pPr>
            <w:r w:rsidRPr="00506748">
              <w:rPr>
                <w:rStyle w:val="SCCFileNumberChar"/>
                <w:sz w:val="20"/>
                <w:szCs w:val="20"/>
              </w:rPr>
              <w:t>40280</w:t>
            </w:r>
          </w:p>
        </w:tc>
        <w:tc>
          <w:tcPr>
            <w:tcW w:w="4457" w:type="pct"/>
            <w:gridSpan w:val="3"/>
          </w:tcPr>
          <w:p w:rsidR="00DB15A3" w:rsidRPr="00506748" w:rsidRDefault="00DB15A3" w:rsidP="00DB15A3">
            <w:pPr>
              <w:pStyle w:val="SCCLsocParty"/>
              <w:jc w:val="both"/>
              <w:rPr>
                <w:b/>
                <w:sz w:val="20"/>
                <w:szCs w:val="20"/>
                <w:lang w:val="en-CA"/>
              </w:rPr>
            </w:pPr>
            <w:r w:rsidRPr="00506748">
              <w:rPr>
                <w:b/>
                <w:sz w:val="20"/>
                <w:szCs w:val="20"/>
                <w:lang w:val="en-CA"/>
              </w:rPr>
              <w:t>Émile Yombo v. His Majesty the King</w:t>
            </w:r>
          </w:p>
          <w:p w:rsidR="00DB15A3" w:rsidRPr="00506748" w:rsidRDefault="00DB15A3" w:rsidP="00DB15A3">
            <w:pPr>
              <w:jc w:val="both"/>
              <w:rPr>
                <w:sz w:val="20"/>
                <w:szCs w:val="20"/>
              </w:rPr>
            </w:pPr>
            <w:r w:rsidRPr="00506748">
              <w:rPr>
                <w:sz w:val="20"/>
                <w:szCs w:val="20"/>
              </w:rPr>
              <w:t>(Que.) (Criminal) (By Leave)</w:t>
            </w:r>
          </w:p>
        </w:tc>
      </w:tr>
      <w:tr w:rsidR="00DB15A3" w:rsidRPr="00506748" w:rsidTr="00DB15A3">
        <w:tc>
          <w:tcPr>
            <w:tcW w:w="5000" w:type="pct"/>
            <w:gridSpan w:val="4"/>
          </w:tcPr>
          <w:p w:rsidR="00DB15A3" w:rsidRPr="00506748" w:rsidRDefault="00DB15A3" w:rsidP="00DB15A3">
            <w:pPr>
              <w:jc w:val="both"/>
              <w:rPr>
                <w:sz w:val="20"/>
                <w:szCs w:val="20"/>
                <w:lang w:val="en-US"/>
              </w:rPr>
            </w:pPr>
            <w:r w:rsidRPr="00506748">
              <w:rPr>
                <w:sz w:val="20"/>
                <w:szCs w:val="20"/>
                <w:lang w:val="en-US"/>
              </w:rPr>
              <w:t xml:space="preserve">The motion for an extension of time to serve and file the reply is granted. </w:t>
            </w:r>
            <w:r w:rsidRPr="00506748">
              <w:rPr>
                <w:sz w:val="20"/>
                <w:szCs w:val="20"/>
              </w:rPr>
              <w:t>The application for leave to appeal from the judgment of the</w:t>
            </w:r>
            <w:bookmarkStart w:id="3" w:name="BM_1_"/>
            <w:bookmarkEnd w:id="3"/>
            <w:r w:rsidRPr="00506748">
              <w:rPr>
                <w:sz w:val="20"/>
                <w:szCs w:val="20"/>
              </w:rPr>
              <w:t xml:space="preserve"> </w:t>
            </w:r>
            <w:r w:rsidRPr="00506748">
              <w:rPr>
                <w:sz w:val="20"/>
                <w:szCs w:val="20"/>
                <w:lang w:val="en-US"/>
              </w:rPr>
              <w:t>Court of Appeal of Quebec (Montréal)</w:t>
            </w:r>
            <w:r w:rsidRPr="00506748">
              <w:rPr>
                <w:sz w:val="20"/>
                <w:szCs w:val="20"/>
              </w:rPr>
              <w:t xml:space="preserve">, Number 500-10-007593-211, </w:t>
            </w:r>
            <w:r w:rsidRPr="00506748">
              <w:rPr>
                <w:sz w:val="20"/>
                <w:szCs w:val="20"/>
                <w:lang w:val="en-US"/>
              </w:rPr>
              <w:t>2022 QCCA 667</w:t>
            </w:r>
            <w:r w:rsidRPr="00506748">
              <w:rPr>
                <w:sz w:val="20"/>
                <w:szCs w:val="20"/>
              </w:rPr>
              <w:t xml:space="preserve">, dated </w:t>
            </w:r>
            <w:r w:rsidRPr="00506748">
              <w:rPr>
                <w:sz w:val="20"/>
                <w:szCs w:val="20"/>
                <w:lang w:val="en-US"/>
              </w:rPr>
              <w:t>May 10, 2022,</w:t>
            </w:r>
            <w:r w:rsidRPr="00506748">
              <w:rPr>
                <w:sz w:val="20"/>
                <w:szCs w:val="20"/>
              </w:rPr>
              <w:t xml:space="preserve"> is </w:t>
            </w:r>
            <w:r w:rsidRPr="00506748">
              <w:rPr>
                <w:sz w:val="20"/>
                <w:szCs w:val="20"/>
                <w:lang w:val="en-US"/>
              </w:rPr>
              <w:t>dismissed.</w:t>
            </w:r>
          </w:p>
          <w:p w:rsidR="00DB15A3" w:rsidRPr="00506748" w:rsidRDefault="00DB15A3" w:rsidP="00DB15A3">
            <w:pPr>
              <w:jc w:val="both"/>
              <w:rPr>
                <w:sz w:val="20"/>
                <w:szCs w:val="20"/>
                <w:lang w:val="en-US"/>
              </w:rPr>
            </w:pPr>
          </w:p>
        </w:tc>
      </w:tr>
      <w:tr w:rsidR="00DB15A3" w:rsidRPr="00506748" w:rsidTr="00DB15A3">
        <w:tc>
          <w:tcPr>
            <w:tcW w:w="5000" w:type="pct"/>
            <w:gridSpan w:val="4"/>
          </w:tcPr>
          <w:p w:rsidR="00DB15A3" w:rsidRPr="00506748" w:rsidRDefault="00DB15A3" w:rsidP="00DB15A3">
            <w:pPr>
              <w:jc w:val="both"/>
              <w:rPr>
                <w:sz w:val="20"/>
                <w:szCs w:val="20"/>
              </w:rPr>
            </w:pPr>
            <w:r w:rsidRPr="00506748">
              <w:rPr>
                <w:sz w:val="20"/>
                <w:szCs w:val="20"/>
              </w:rPr>
              <w:t>Criminal law — Appeals — Assessment of evidence — Whether Court of Appeal erred in dismissing motion for summary rejection of respondent’s brief — Whether Court of Appeal erred in interpreting transcript of February 1, 2021 as indicating that applicant had purposely intended not to return to courtroom — Whether Court of Appeal erred in not allowing applicant to play videos during hearing of appeal — Whether Court of Appeal misinterpreted video evidence by failing to consider evidence that was favourable to applicant, resulting in miscarriage of justice.</w:t>
            </w:r>
          </w:p>
        </w:tc>
      </w:tr>
      <w:tr w:rsidR="00DB15A3" w:rsidRPr="00506748" w:rsidTr="00DB15A3">
        <w:tc>
          <w:tcPr>
            <w:tcW w:w="5000" w:type="pct"/>
            <w:gridSpan w:val="4"/>
          </w:tcPr>
          <w:p w:rsidR="00DB15A3" w:rsidRPr="00506748" w:rsidRDefault="00DB15A3" w:rsidP="00DB15A3">
            <w:pPr>
              <w:jc w:val="both"/>
              <w:rPr>
                <w:sz w:val="20"/>
                <w:szCs w:val="20"/>
              </w:rPr>
            </w:pPr>
          </w:p>
          <w:p w:rsidR="00DB15A3" w:rsidRPr="00506748" w:rsidRDefault="00DB15A3" w:rsidP="00DB15A3">
            <w:pPr>
              <w:jc w:val="both"/>
              <w:rPr>
                <w:sz w:val="20"/>
                <w:szCs w:val="20"/>
              </w:rPr>
            </w:pPr>
            <w:r w:rsidRPr="00506748">
              <w:rPr>
                <w:sz w:val="20"/>
                <w:szCs w:val="20"/>
              </w:rPr>
              <w:t>The applicant, Émile Yombo, was charged with two counts of sexual assault; he was alleged to have intentionally touched the buttocks of two young women he did not know after following them for a certain time. At the time of the incidents, the applicant was subject to a long-term supervision order.</w:t>
            </w:r>
          </w:p>
          <w:p w:rsidR="00DB15A3" w:rsidRPr="00506748" w:rsidRDefault="00DB15A3" w:rsidP="00DB15A3">
            <w:pPr>
              <w:jc w:val="both"/>
              <w:rPr>
                <w:sz w:val="20"/>
                <w:szCs w:val="20"/>
              </w:rPr>
            </w:pPr>
          </w:p>
          <w:p w:rsidR="00DB15A3" w:rsidRPr="00506748" w:rsidRDefault="00DB15A3" w:rsidP="00DB15A3">
            <w:pPr>
              <w:jc w:val="both"/>
              <w:rPr>
                <w:rFonts w:eastAsia="Times New Roman" w:cs="Times New Roman"/>
                <w:sz w:val="20"/>
                <w:szCs w:val="20"/>
                <w:lang w:eastAsia="en-CA"/>
              </w:rPr>
            </w:pPr>
            <w:r w:rsidRPr="00506748">
              <w:rPr>
                <w:rFonts w:eastAsia="Times New Roman" w:cs="Times New Roman"/>
                <w:sz w:val="20"/>
                <w:szCs w:val="20"/>
                <w:lang w:eastAsia="en-CA"/>
              </w:rPr>
              <w:t>The Court of Québec convicted the applicant of two counts of sexual assault and two counts of failure to comply with the conditions of a supervision order. The Quebec Court of Appeal struck the statement in the respondent’s brief that the applicant had threatened the judge during the trial proceedings, and it dismissed the applicant’s appeal from his conviction on the four charges.</w:t>
            </w:r>
          </w:p>
        </w:tc>
      </w:tr>
      <w:tr w:rsidR="00DB15A3" w:rsidRPr="00506748" w:rsidTr="00DB15A3">
        <w:tc>
          <w:tcPr>
            <w:tcW w:w="5000" w:type="pct"/>
            <w:gridSpan w:val="4"/>
          </w:tcPr>
          <w:p w:rsidR="00DB15A3" w:rsidRPr="00506748" w:rsidRDefault="00DB15A3" w:rsidP="00DB15A3">
            <w:pPr>
              <w:jc w:val="both"/>
              <w:rPr>
                <w:sz w:val="20"/>
                <w:szCs w:val="20"/>
              </w:rPr>
            </w:pPr>
          </w:p>
        </w:tc>
      </w:tr>
      <w:tr w:rsidR="00DB15A3" w:rsidRPr="00506748" w:rsidTr="00DB15A3">
        <w:tc>
          <w:tcPr>
            <w:tcW w:w="2427" w:type="pct"/>
            <w:gridSpan w:val="2"/>
          </w:tcPr>
          <w:p w:rsidR="00DB15A3" w:rsidRPr="00506748" w:rsidRDefault="00DB15A3" w:rsidP="00DB15A3">
            <w:pPr>
              <w:jc w:val="both"/>
              <w:rPr>
                <w:sz w:val="20"/>
                <w:szCs w:val="20"/>
              </w:rPr>
            </w:pPr>
            <w:r w:rsidRPr="00506748">
              <w:rPr>
                <w:sz w:val="20"/>
                <w:szCs w:val="20"/>
              </w:rPr>
              <w:t>May 13, 2021</w:t>
            </w:r>
          </w:p>
          <w:p w:rsidR="00DB15A3" w:rsidRPr="00506748" w:rsidRDefault="00DB15A3" w:rsidP="00DB15A3">
            <w:pPr>
              <w:jc w:val="both"/>
              <w:rPr>
                <w:sz w:val="20"/>
                <w:szCs w:val="20"/>
              </w:rPr>
            </w:pPr>
            <w:r w:rsidRPr="00506748">
              <w:rPr>
                <w:sz w:val="20"/>
                <w:szCs w:val="20"/>
              </w:rPr>
              <w:t>Court of Québec</w:t>
            </w:r>
          </w:p>
          <w:p w:rsidR="00DB15A3" w:rsidRPr="00506748" w:rsidRDefault="00DB15A3" w:rsidP="00DB15A3">
            <w:pPr>
              <w:jc w:val="both"/>
              <w:rPr>
                <w:sz w:val="20"/>
                <w:szCs w:val="20"/>
              </w:rPr>
            </w:pPr>
            <w:r w:rsidRPr="00506748">
              <w:rPr>
                <w:sz w:val="20"/>
                <w:szCs w:val="20"/>
              </w:rPr>
              <w:t>(Judge Poulin)</w:t>
            </w:r>
          </w:p>
          <w:p w:rsidR="00DB15A3" w:rsidRPr="00506748" w:rsidRDefault="00C9268A" w:rsidP="00DB15A3">
            <w:pPr>
              <w:jc w:val="both"/>
              <w:rPr>
                <w:sz w:val="20"/>
                <w:szCs w:val="20"/>
              </w:rPr>
            </w:pPr>
            <w:hyperlink r:id="rId15" w:history="1">
              <w:r w:rsidR="00DB15A3" w:rsidRPr="00506748">
                <w:rPr>
                  <w:rStyle w:val="Hyperlink"/>
                  <w:sz w:val="20"/>
                  <w:szCs w:val="20"/>
                </w:rPr>
                <w:t>2021 QCCQ 3733</w:t>
              </w:r>
            </w:hyperlink>
          </w:p>
          <w:p w:rsidR="00DB15A3" w:rsidRPr="00506748" w:rsidRDefault="00DB15A3" w:rsidP="00DB15A3">
            <w:pPr>
              <w:jc w:val="both"/>
              <w:rPr>
                <w:sz w:val="20"/>
                <w:szCs w:val="20"/>
              </w:rPr>
            </w:pPr>
          </w:p>
        </w:tc>
        <w:tc>
          <w:tcPr>
            <w:tcW w:w="243" w:type="pct"/>
          </w:tcPr>
          <w:p w:rsidR="00DB15A3" w:rsidRPr="00506748" w:rsidRDefault="00DB15A3" w:rsidP="00DB15A3">
            <w:pPr>
              <w:jc w:val="both"/>
              <w:rPr>
                <w:sz w:val="20"/>
                <w:szCs w:val="20"/>
              </w:rPr>
            </w:pPr>
          </w:p>
        </w:tc>
        <w:tc>
          <w:tcPr>
            <w:tcW w:w="2330" w:type="pct"/>
          </w:tcPr>
          <w:p w:rsidR="00DB15A3" w:rsidRPr="00506748" w:rsidRDefault="00DB15A3" w:rsidP="00DB15A3">
            <w:pPr>
              <w:jc w:val="both"/>
              <w:rPr>
                <w:sz w:val="20"/>
                <w:szCs w:val="20"/>
              </w:rPr>
            </w:pPr>
            <w:r w:rsidRPr="00506748">
              <w:rPr>
                <w:sz w:val="20"/>
                <w:szCs w:val="20"/>
              </w:rPr>
              <w:t xml:space="preserve">Applicant convicted of </w:t>
            </w:r>
            <w:r w:rsidRPr="00506748">
              <w:rPr>
                <w:rFonts w:eastAsia="Times New Roman" w:cs="Times New Roman"/>
                <w:sz w:val="20"/>
                <w:szCs w:val="20"/>
                <w:lang w:eastAsia="en-CA"/>
              </w:rPr>
              <w:t>two counts of sexual assault and two counts of failure to comply with conditions of long-term supervision order</w:t>
            </w:r>
          </w:p>
          <w:p w:rsidR="00DB15A3" w:rsidRPr="00506748" w:rsidRDefault="00DB15A3" w:rsidP="00DB15A3">
            <w:pPr>
              <w:jc w:val="both"/>
              <w:rPr>
                <w:sz w:val="20"/>
                <w:szCs w:val="20"/>
              </w:rPr>
            </w:pPr>
          </w:p>
        </w:tc>
      </w:tr>
      <w:tr w:rsidR="00DB15A3" w:rsidRPr="00506748" w:rsidTr="00DB15A3">
        <w:tc>
          <w:tcPr>
            <w:tcW w:w="2427" w:type="pct"/>
            <w:gridSpan w:val="2"/>
          </w:tcPr>
          <w:p w:rsidR="00DB15A3" w:rsidRPr="00506748" w:rsidRDefault="00DB15A3" w:rsidP="00DB15A3">
            <w:pPr>
              <w:jc w:val="both"/>
              <w:rPr>
                <w:sz w:val="20"/>
                <w:szCs w:val="20"/>
              </w:rPr>
            </w:pPr>
            <w:r w:rsidRPr="00506748">
              <w:rPr>
                <w:sz w:val="20"/>
                <w:szCs w:val="20"/>
              </w:rPr>
              <w:t>May 10, 2022</w:t>
            </w:r>
          </w:p>
          <w:p w:rsidR="00DB15A3" w:rsidRPr="00506748" w:rsidRDefault="00DB15A3" w:rsidP="00DB15A3">
            <w:pPr>
              <w:jc w:val="both"/>
              <w:rPr>
                <w:sz w:val="20"/>
                <w:szCs w:val="20"/>
              </w:rPr>
            </w:pPr>
            <w:r w:rsidRPr="00506748">
              <w:rPr>
                <w:sz w:val="20"/>
                <w:szCs w:val="20"/>
              </w:rPr>
              <w:t>Quebec Court of Appeal (Montréal)</w:t>
            </w:r>
          </w:p>
          <w:p w:rsidR="00DB15A3" w:rsidRPr="00506748" w:rsidRDefault="00DB15A3" w:rsidP="00DB15A3">
            <w:pPr>
              <w:jc w:val="both"/>
              <w:rPr>
                <w:sz w:val="20"/>
                <w:szCs w:val="20"/>
              </w:rPr>
            </w:pPr>
            <w:r w:rsidRPr="00506748">
              <w:rPr>
                <w:sz w:val="20"/>
                <w:szCs w:val="20"/>
              </w:rPr>
              <w:t>(Vauclair, Cournoyer and Bachand JJ.A.)</w:t>
            </w:r>
          </w:p>
          <w:p w:rsidR="00DB15A3" w:rsidRPr="00506748" w:rsidRDefault="00C9268A" w:rsidP="00DB15A3">
            <w:pPr>
              <w:jc w:val="both"/>
              <w:rPr>
                <w:sz w:val="20"/>
                <w:szCs w:val="20"/>
              </w:rPr>
            </w:pPr>
            <w:hyperlink r:id="rId16" w:history="1">
              <w:r w:rsidR="00DB15A3" w:rsidRPr="00506748">
                <w:rPr>
                  <w:rStyle w:val="Hyperlink"/>
                  <w:sz w:val="20"/>
                  <w:szCs w:val="20"/>
                </w:rPr>
                <w:t>2022 QCCA 667</w:t>
              </w:r>
            </w:hyperlink>
          </w:p>
          <w:p w:rsidR="00DB15A3" w:rsidRPr="00506748" w:rsidRDefault="00DB15A3" w:rsidP="00DB15A3">
            <w:pPr>
              <w:jc w:val="both"/>
              <w:rPr>
                <w:sz w:val="20"/>
                <w:szCs w:val="20"/>
              </w:rPr>
            </w:pPr>
          </w:p>
        </w:tc>
        <w:tc>
          <w:tcPr>
            <w:tcW w:w="243" w:type="pct"/>
          </w:tcPr>
          <w:p w:rsidR="00DB15A3" w:rsidRPr="00506748" w:rsidRDefault="00DB15A3" w:rsidP="00DB15A3">
            <w:pPr>
              <w:jc w:val="both"/>
              <w:rPr>
                <w:sz w:val="20"/>
                <w:szCs w:val="20"/>
              </w:rPr>
            </w:pPr>
          </w:p>
        </w:tc>
        <w:tc>
          <w:tcPr>
            <w:tcW w:w="2330" w:type="pct"/>
          </w:tcPr>
          <w:p w:rsidR="00DB15A3" w:rsidRPr="00506748" w:rsidRDefault="00DB15A3" w:rsidP="00DB15A3">
            <w:pPr>
              <w:jc w:val="both"/>
              <w:rPr>
                <w:sz w:val="20"/>
                <w:szCs w:val="20"/>
              </w:rPr>
            </w:pPr>
            <w:r w:rsidRPr="00506748">
              <w:rPr>
                <w:sz w:val="20"/>
                <w:szCs w:val="20"/>
              </w:rPr>
              <w:t>Motion for summary rejection of respondent’s brief allowed in part and appeal dismissed</w:t>
            </w:r>
          </w:p>
          <w:p w:rsidR="00DB15A3" w:rsidRPr="00506748" w:rsidRDefault="00DB15A3" w:rsidP="00DB15A3">
            <w:pPr>
              <w:jc w:val="both"/>
              <w:rPr>
                <w:sz w:val="20"/>
                <w:szCs w:val="20"/>
              </w:rPr>
            </w:pPr>
          </w:p>
        </w:tc>
      </w:tr>
      <w:tr w:rsidR="00DB15A3" w:rsidRPr="00506748" w:rsidTr="00DB15A3">
        <w:tc>
          <w:tcPr>
            <w:tcW w:w="2427" w:type="pct"/>
            <w:gridSpan w:val="2"/>
          </w:tcPr>
          <w:p w:rsidR="00DB15A3" w:rsidRPr="00506748" w:rsidRDefault="00DB15A3" w:rsidP="00DB15A3">
            <w:pPr>
              <w:jc w:val="both"/>
              <w:rPr>
                <w:sz w:val="20"/>
                <w:szCs w:val="20"/>
              </w:rPr>
            </w:pPr>
            <w:r w:rsidRPr="00506748">
              <w:rPr>
                <w:sz w:val="20"/>
                <w:szCs w:val="20"/>
              </w:rPr>
              <w:t>June 30, 2022</w:t>
            </w:r>
          </w:p>
          <w:p w:rsidR="00DB15A3" w:rsidRPr="00506748" w:rsidRDefault="00DB15A3" w:rsidP="00DB15A3">
            <w:pPr>
              <w:jc w:val="both"/>
              <w:rPr>
                <w:sz w:val="20"/>
                <w:szCs w:val="20"/>
              </w:rPr>
            </w:pPr>
            <w:r w:rsidRPr="00506748">
              <w:rPr>
                <w:sz w:val="20"/>
                <w:szCs w:val="20"/>
              </w:rPr>
              <w:t>Supreme Court of Canada</w:t>
            </w:r>
          </w:p>
        </w:tc>
        <w:tc>
          <w:tcPr>
            <w:tcW w:w="243" w:type="pct"/>
          </w:tcPr>
          <w:p w:rsidR="00DB15A3" w:rsidRPr="00506748" w:rsidRDefault="00DB15A3" w:rsidP="00DB15A3">
            <w:pPr>
              <w:jc w:val="both"/>
              <w:rPr>
                <w:sz w:val="20"/>
                <w:szCs w:val="20"/>
              </w:rPr>
            </w:pPr>
          </w:p>
        </w:tc>
        <w:tc>
          <w:tcPr>
            <w:tcW w:w="2330" w:type="pct"/>
          </w:tcPr>
          <w:p w:rsidR="00DB15A3" w:rsidRPr="00506748" w:rsidRDefault="00DB15A3" w:rsidP="00DB15A3">
            <w:pPr>
              <w:jc w:val="both"/>
              <w:rPr>
                <w:sz w:val="20"/>
                <w:szCs w:val="20"/>
              </w:rPr>
            </w:pPr>
            <w:r w:rsidRPr="00506748">
              <w:rPr>
                <w:sz w:val="20"/>
                <w:szCs w:val="20"/>
              </w:rPr>
              <w:t>Application for leave to appeal filed</w:t>
            </w:r>
          </w:p>
          <w:p w:rsidR="00DB15A3" w:rsidRPr="00506748" w:rsidRDefault="00DB15A3" w:rsidP="00DB15A3">
            <w:pPr>
              <w:jc w:val="both"/>
              <w:rPr>
                <w:sz w:val="20"/>
                <w:szCs w:val="20"/>
              </w:rPr>
            </w:pPr>
          </w:p>
        </w:tc>
      </w:tr>
    </w:tbl>
    <w:p w:rsidR="00DB15A3" w:rsidRPr="00506748" w:rsidRDefault="00DB15A3" w:rsidP="00DB15A3">
      <w:pPr>
        <w:jc w:val="both"/>
        <w:rPr>
          <w:sz w:val="20"/>
        </w:rPr>
      </w:pPr>
    </w:p>
    <w:p w:rsidR="00DB15A3" w:rsidRPr="00506748" w:rsidRDefault="00C9268A" w:rsidP="00DB15A3">
      <w:pPr>
        <w:jc w:val="both"/>
        <w:rPr>
          <w:sz w:val="20"/>
        </w:rPr>
      </w:pPr>
      <w:r>
        <w:rPr>
          <w:sz w:val="20"/>
        </w:rPr>
        <w:pict>
          <v:rect id="_x0000_i1041" style="width:2in;height:1pt" o:hrpct="0" o:hralign="center" o:hrstd="t" o:hrnoshade="t" o:hr="t" fillcolor="black [3213]" stroked="f"/>
        </w:pict>
      </w:r>
    </w:p>
    <w:p w:rsidR="00DB15A3" w:rsidRPr="00506748" w:rsidRDefault="00DB15A3" w:rsidP="00DB15A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B15A3" w:rsidRPr="00506748" w:rsidTr="00DB15A3">
        <w:tc>
          <w:tcPr>
            <w:tcW w:w="543" w:type="pct"/>
          </w:tcPr>
          <w:p w:rsidR="00DB15A3" w:rsidRPr="00506748" w:rsidRDefault="00DB15A3" w:rsidP="00DB15A3">
            <w:pPr>
              <w:jc w:val="both"/>
              <w:rPr>
                <w:sz w:val="20"/>
                <w:szCs w:val="20"/>
              </w:rPr>
            </w:pPr>
            <w:r w:rsidRPr="00506748">
              <w:rPr>
                <w:rStyle w:val="SCCFileNumberChar"/>
                <w:sz w:val="20"/>
                <w:szCs w:val="20"/>
              </w:rPr>
              <w:t>40280</w:t>
            </w:r>
          </w:p>
        </w:tc>
        <w:tc>
          <w:tcPr>
            <w:tcW w:w="4457" w:type="pct"/>
          </w:tcPr>
          <w:p w:rsidR="00DB15A3" w:rsidRPr="00506748" w:rsidRDefault="00DB15A3" w:rsidP="00DB15A3">
            <w:pPr>
              <w:pStyle w:val="SCCLsocParty"/>
              <w:jc w:val="both"/>
              <w:rPr>
                <w:b/>
                <w:sz w:val="20"/>
                <w:szCs w:val="20"/>
              </w:rPr>
            </w:pPr>
            <w:r w:rsidRPr="00506748">
              <w:rPr>
                <w:b/>
                <w:sz w:val="20"/>
                <w:szCs w:val="20"/>
              </w:rPr>
              <w:t>Émile Yombo c. Sa Majesté le Roi</w:t>
            </w:r>
          </w:p>
          <w:p w:rsidR="00DB15A3" w:rsidRPr="00506748" w:rsidRDefault="00DB15A3" w:rsidP="00DB15A3">
            <w:pPr>
              <w:jc w:val="both"/>
              <w:rPr>
                <w:sz w:val="20"/>
                <w:szCs w:val="20"/>
              </w:rPr>
            </w:pPr>
            <w:r w:rsidRPr="00506748">
              <w:rPr>
                <w:sz w:val="20"/>
                <w:szCs w:val="20"/>
              </w:rPr>
              <w:t>(Qc) (Criminelle) (Autorisation)</w:t>
            </w:r>
          </w:p>
        </w:tc>
      </w:tr>
      <w:tr w:rsidR="00DB15A3" w:rsidRPr="00506748" w:rsidTr="00DB15A3">
        <w:tc>
          <w:tcPr>
            <w:tcW w:w="5000" w:type="pct"/>
            <w:gridSpan w:val="2"/>
          </w:tcPr>
          <w:p w:rsidR="00DB15A3" w:rsidRPr="00506748" w:rsidRDefault="00DB15A3" w:rsidP="00DB15A3">
            <w:pPr>
              <w:jc w:val="both"/>
              <w:rPr>
                <w:sz w:val="20"/>
                <w:szCs w:val="20"/>
                <w:lang w:val="fr-CA"/>
              </w:rPr>
            </w:pPr>
            <w:r w:rsidRPr="00506748">
              <w:rPr>
                <w:sz w:val="20"/>
                <w:szCs w:val="20"/>
                <w:lang w:val="fr-CA"/>
              </w:rPr>
              <w:t>La requête en prorogation du délai de signification et de dépôt de la réplique est accueillie. La demande d’autorisation d’appel de l’arrêt de la Cour d’appel du Québec (Montréal), numéro 500-10-007593-211, 2022 QCCA 667, daté du 10 mai 2022, est rejetée.</w:t>
            </w:r>
          </w:p>
          <w:p w:rsidR="00DB15A3" w:rsidRPr="00506748" w:rsidRDefault="00DB15A3" w:rsidP="00DB15A3">
            <w:pPr>
              <w:tabs>
                <w:tab w:val="left" w:pos="1600"/>
              </w:tabs>
              <w:jc w:val="both"/>
              <w:rPr>
                <w:sz w:val="20"/>
                <w:szCs w:val="20"/>
                <w:lang w:val="fr-CA"/>
              </w:rPr>
            </w:pPr>
          </w:p>
        </w:tc>
      </w:tr>
    </w:tbl>
    <w:p w:rsidR="00440C9E" w:rsidRPr="00506748" w:rsidRDefault="00440C9E">
      <w:pPr>
        <w:rPr>
          <w:lang w:val="fr-CA"/>
        </w:rPr>
      </w:pPr>
      <w:r w:rsidRPr="0050674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B15A3" w:rsidRPr="00506748" w:rsidTr="00DB15A3">
        <w:tc>
          <w:tcPr>
            <w:tcW w:w="5000" w:type="pct"/>
            <w:gridSpan w:val="3"/>
          </w:tcPr>
          <w:p w:rsidR="00DB15A3" w:rsidRPr="00506748" w:rsidRDefault="00DB15A3" w:rsidP="00DB15A3">
            <w:pPr>
              <w:jc w:val="both"/>
              <w:rPr>
                <w:sz w:val="20"/>
                <w:szCs w:val="20"/>
                <w:lang w:val="fr-CA"/>
              </w:rPr>
            </w:pPr>
            <w:r w:rsidRPr="00506748">
              <w:rPr>
                <w:sz w:val="20"/>
                <w:szCs w:val="20"/>
                <w:lang w:val="fr-CA"/>
              </w:rPr>
              <w:t>Droit criminel — Appels — Appréciation de la preuve — La Cour d’appel a-t-elle erré en rejetant la requête en rejet sommaire du mémoire de l’intimé? — La Cour d’appel a-t-elle erré en interprétant la transcription du 1 février 2021 à l’effet que le demandeur n’a volontairement pas voulu retourner dans la salle d’audience? — La Cour d’appel a-t-elle erré en ne permettant pas au demandeur de jouer des vidéos pendant l’audience de l’appel? — La Cour d’appel a-t-elle mal interprété la preuve vidéo en omettant de prendre en considération des éléments favorables au demandeur, résultant en une erreur judiciaire?</w:t>
            </w:r>
          </w:p>
        </w:tc>
      </w:tr>
      <w:tr w:rsidR="00DB15A3" w:rsidRPr="00506748" w:rsidTr="00DB15A3">
        <w:tc>
          <w:tcPr>
            <w:tcW w:w="5000" w:type="pct"/>
            <w:gridSpan w:val="3"/>
          </w:tcPr>
          <w:p w:rsidR="00DB15A3" w:rsidRPr="00506748" w:rsidRDefault="00DB15A3" w:rsidP="00DB15A3">
            <w:pPr>
              <w:jc w:val="both"/>
              <w:rPr>
                <w:sz w:val="20"/>
                <w:szCs w:val="20"/>
                <w:lang w:val="fr-CA"/>
              </w:rPr>
            </w:pPr>
          </w:p>
          <w:p w:rsidR="00DB15A3" w:rsidRPr="00506748" w:rsidRDefault="00DB15A3" w:rsidP="00DB15A3">
            <w:pPr>
              <w:jc w:val="both"/>
              <w:rPr>
                <w:sz w:val="20"/>
                <w:szCs w:val="20"/>
                <w:lang w:val="fr-CA"/>
              </w:rPr>
            </w:pPr>
            <w:r w:rsidRPr="00506748">
              <w:rPr>
                <w:sz w:val="20"/>
                <w:szCs w:val="20"/>
                <w:lang w:val="fr-CA"/>
              </w:rPr>
              <w:t>Le demandeur, Émile Yombo, est accusé d’avoir commis deux agressions sexuelles au cours desquelles il aurait délibérément touché les fesses de deux jeunes femmes qu’il ne connaissait pas après les avoir suivies pendant un certain temps. Au moment des événements, le demandeur est soumis à une ordonnance de surveillance de longue durée.</w:t>
            </w:r>
          </w:p>
          <w:p w:rsidR="00DB15A3" w:rsidRPr="00506748" w:rsidRDefault="00DB15A3" w:rsidP="00DB15A3">
            <w:pPr>
              <w:jc w:val="both"/>
              <w:rPr>
                <w:sz w:val="20"/>
                <w:szCs w:val="20"/>
                <w:lang w:val="fr-CA"/>
              </w:rPr>
            </w:pPr>
          </w:p>
          <w:p w:rsidR="00DB15A3" w:rsidRPr="00506748" w:rsidRDefault="00DB15A3" w:rsidP="00DB15A3">
            <w:pPr>
              <w:jc w:val="both"/>
              <w:rPr>
                <w:rFonts w:eastAsia="Times New Roman" w:cs="Times New Roman"/>
                <w:sz w:val="20"/>
                <w:szCs w:val="20"/>
                <w:lang w:val="fr-CA" w:eastAsia="en-CA"/>
              </w:rPr>
            </w:pPr>
            <w:r w:rsidRPr="00506748">
              <w:rPr>
                <w:rFonts w:eastAsia="Times New Roman" w:cs="Times New Roman"/>
                <w:sz w:val="20"/>
                <w:szCs w:val="20"/>
                <w:lang w:val="fr-CA" w:eastAsia="en-CA"/>
              </w:rPr>
              <w:t>La Cour du Québec déclare le demandeur coupable de deux chefs d’agression sexuelle et de deux chefs d’omission de se conformer aux conditions d’une ordonnance de surveillance. La Cour d’appel du Québec</w:t>
            </w:r>
            <w:r w:rsidRPr="00506748">
              <w:rPr>
                <w:rFonts w:eastAsia="Times New Roman" w:cs="Times New Roman"/>
                <w:b/>
                <w:sz w:val="20"/>
                <w:szCs w:val="20"/>
                <w:lang w:val="fr-CA" w:eastAsia="en-CA"/>
              </w:rPr>
              <w:t xml:space="preserve"> </w:t>
            </w:r>
            <w:r w:rsidRPr="00506748">
              <w:rPr>
                <w:rFonts w:eastAsia="Times New Roman" w:cs="Times New Roman"/>
                <w:sz w:val="20"/>
                <w:szCs w:val="20"/>
                <w:lang w:val="fr-CA" w:eastAsia="en-CA"/>
              </w:rPr>
              <w:t>écarte la mention dans le mémoire de l’intimé à l’effet que le demandeur aurait proféré des menaces au juge lors des procédures en première instance et rejette l’appel du demandeur de sa culpabilité sur les quatre chefs d’accusation.</w:t>
            </w:r>
          </w:p>
        </w:tc>
      </w:tr>
      <w:tr w:rsidR="00DB15A3" w:rsidRPr="00506748" w:rsidTr="00DB15A3">
        <w:tc>
          <w:tcPr>
            <w:tcW w:w="5000" w:type="pct"/>
            <w:gridSpan w:val="3"/>
          </w:tcPr>
          <w:p w:rsidR="00DB15A3" w:rsidRPr="00506748" w:rsidRDefault="00DB15A3" w:rsidP="00DB15A3">
            <w:pPr>
              <w:jc w:val="both"/>
              <w:rPr>
                <w:sz w:val="20"/>
                <w:szCs w:val="20"/>
                <w:lang w:val="fr-CA"/>
              </w:rPr>
            </w:pPr>
          </w:p>
        </w:tc>
      </w:tr>
      <w:tr w:rsidR="00DB15A3" w:rsidRPr="00506748" w:rsidTr="00DB15A3">
        <w:tc>
          <w:tcPr>
            <w:tcW w:w="2427" w:type="pct"/>
          </w:tcPr>
          <w:p w:rsidR="00DB15A3" w:rsidRPr="00506748" w:rsidRDefault="00DB15A3" w:rsidP="00DB15A3">
            <w:pPr>
              <w:jc w:val="both"/>
              <w:rPr>
                <w:sz w:val="20"/>
                <w:szCs w:val="20"/>
                <w:lang w:val="fr-CA"/>
              </w:rPr>
            </w:pPr>
            <w:r w:rsidRPr="00506748">
              <w:rPr>
                <w:sz w:val="20"/>
                <w:szCs w:val="20"/>
                <w:lang w:val="fr-CA"/>
              </w:rPr>
              <w:t>Le 13 mai 2021</w:t>
            </w:r>
          </w:p>
          <w:p w:rsidR="00DB15A3" w:rsidRPr="00506748" w:rsidRDefault="00DB15A3" w:rsidP="00DB15A3">
            <w:pPr>
              <w:jc w:val="both"/>
              <w:rPr>
                <w:sz w:val="20"/>
                <w:szCs w:val="20"/>
                <w:lang w:val="fr-CA"/>
              </w:rPr>
            </w:pPr>
            <w:r w:rsidRPr="00506748">
              <w:rPr>
                <w:sz w:val="20"/>
                <w:szCs w:val="20"/>
                <w:lang w:val="fr-CA"/>
              </w:rPr>
              <w:t>Cour du Québec</w:t>
            </w:r>
          </w:p>
          <w:p w:rsidR="00DB15A3" w:rsidRPr="00506748" w:rsidRDefault="00DB15A3" w:rsidP="00DB15A3">
            <w:pPr>
              <w:jc w:val="both"/>
              <w:rPr>
                <w:sz w:val="20"/>
                <w:szCs w:val="20"/>
                <w:lang w:val="fr-CA"/>
              </w:rPr>
            </w:pPr>
            <w:r w:rsidRPr="00506748">
              <w:rPr>
                <w:sz w:val="20"/>
                <w:szCs w:val="20"/>
                <w:lang w:val="fr-CA"/>
              </w:rPr>
              <w:t>(Le juge Poulin)</w:t>
            </w:r>
          </w:p>
          <w:p w:rsidR="00DB15A3" w:rsidRPr="00506748" w:rsidRDefault="00C9268A" w:rsidP="00DB15A3">
            <w:pPr>
              <w:jc w:val="both"/>
              <w:rPr>
                <w:sz w:val="20"/>
                <w:szCs w:val="20"/>
              </w:rPr>
            </w:pPr>
            <w:hyperlink r:id="rId17" w:history="1">
              <w:r w:rsidR="00DB15A3" w:rsidRPr="00506748">
                <w:rPr>
                  <w:rStyle w:val="Hyperlink"/>
                  <w:sz w:val="20"/>
                  <w:szCs w:val="20"/>
                </w:rPr>
                <w:t>2021 QCCQ 3733</w:t>
              </w:r>
            </w:hyperlink>
          </w:p>
          <w:p w:rsidR="00DB15A3" w:rsidRPr="00506748" w:rsidRDefault="00DB15A3" w:rsidP="00DB15A3">
            <w:pPr>
              <w:jc w:val="both"/>
              <w:rPr>
                <w:sz w:val="20"/>
                <w:szCs w:val="20"/>
              </w:rPr>
            </w:pPr>
          </w:p>
        </w:tc>
        <w:tc>
          <w:tcPr>
            <w:tcW w:w="243" w:type="pct"/>
          </w:tcPr>
          <w:p w:rsidR="00DB15A3" w:rsidRPr="00506748" w:rsidRDefault="00DB15A3" w:rsidP="00DB15A3">
            <w:pPr>
              <w:jc w:val="both"/>
              <w:rPr>
                <w:sz w:val="20"/>
                <w:szCs w:val="20"/>
              </w:rPr>
            </w:pPr>
          </w:p>
        </w:tc>
        <w:tc>
          <w:tcPr>
            <w:tcW w:w="2330" w:type="pct"/>
          </w:tcPr>
          <w:p w:rsidR="00DB15A3" w:rsidRPr="00506748" w:rsidRDefault="00DB15A3" w:rsidP="00DB15A3">
            <w:pPr>
              <w:jc w:val="both"/>
              <w:rPr>
                <w:sz w:val="20"/>
                <w:szCs w:val="20"/>
                <w:lang w:val="fr-CA"/>
              </w:rPr>
            </w:pPr>
            <w:r w:rsidRPr="00506748">
              <w:rPr>
                <w:sz w:val="20"/>
                <w:szCs w:val="20"/>
                <w:lang w:val="fr-CA"/>
              </w:rPr>
              <w:t>Demandeur déclaré coupable de deux chefs d’agression sexuelle et deux chefs d’omission de se conformer aux conditions d’une ordonnance de surveillance de longue durée.</w:t>
            </w:r>
          </w:p>
          <w:p w:rsidR="00DB15A3" w:rsidRPr="00506748" w:rsidRDefault="00DB15A3" w:rsidP="00DB15A3">
            <w:pPr>
              <w:jc w:val="both"/>
              <w:rPr>
                <w:sz w:val="20"/>
                <w:szCs w:val="20"/>
                <w:lang w:val="fr-CA"/>
              </w:rPr>
            </w:pPr>
          </w:p>
        </w:tc>
      </w:tr>
      <w:tr w:rsidR="00DB15A3" w:rsidRPr="00506748" w:rsidTr="00DB15A3">
        <w:tc>
          <w:tcPr>
            <w:tcW w:w="2427" w:type="pct"/>
          </w:tcPr>
          <w:p w:rsidR="00DB15A3" w:rsidRPr="00506748" w:rsidRDefault="00DB15A3" w:rsidP="00DB15A3">
            <w:pPr>
              <w:jc w:val="both"/>
              <w:rPr>
                <w:sz w:val="20"/>
                <w:szCs w:val="20"/>
                <w:lang w:val="fr-CA"/>
              </w:rPr>
            </w:pPr>
            <w:r w:rsidRPr="00506748">
              <w:rPr>
                <w:sz w:val="20"/>
                <w:szCs w:val="20"/>
                <w:lang w:val="fr-CA"/>
              </w:rPr>
              <w:t>Le 10 mai 2022</w:t>
            </w:r>
          </w:p>
          <w:p w:rsidR="00DB15A3" w:rsidRPr="00506748" w:rsidRDefault="00DB15A3" w:rsidP="00DB15A3">
            <w:pPr>
              <w:jc w:val="both"/>
              <w:rPr>
                <w:sz w:val="20"/>
                <w:szCs w:val="20"/>
                <w:lang w:val="fr-CA"/>
              </w:rPr>
            </w:pPr>
            <w:r w:rsidRPr="00506748">
              <w:rPr>
                <w:sz w:val="20"/>
                <w:szCs w:val="20"/>
                <w:lang w:val="fr-CA"/>
              </w:rPr>
              <w:t>Cour d’appel du Québec (Montréal)</w:t>
            </w:r>
          </w:p>
          <w:p w:rsidR="00DB15A3" w:rsidRPr="00506748" w:rsidRDefault="00DB15A3" w:rsidP="00DB15A3">
            <w:pPr>
              <w:jc w:val="both"/>
              <w:rPr>
                <w:sz w:val="20"/>
                <w:szCs w:val="20"/>
                <w:lang w:val="fr-CA"/>
              </w:rPr>
            </w:pPr>
            <w:r w:rsidRPr="00506748">
              <w:rPr>
                <w:sz w:val="20"/>
                <w:szCs w:val="20"/>
                <w:lang w:val="fr-CA"/>
              </w:rPr>
              <w:t>(Les juges Vauclair, Cournoyer et Bachand)</w:t>
            </w:r>
          </w:p>
          <w:p w:rsidR="00DB15A3" w:rsidRPr="00506748" w:rsidRDefault="00C9268A" w:rsidP="00DB15A3">
            <w:pPr>
              <w:jc w:val="both"/>
              <w:rPr>
                <w:sz w:val="20"/>
                <w:szCs w:val="20"/>
              </w:rPr>
            </w:pPr>
            <w:hyperlink r:id="rId18" w:history="1">
              <w:r w:rsidR="00DB15A3" w:rsidRPr="00506748">
                <w:rPr>
                  <w:rStyle w:val="Hyperlink"/>
                  <w:sz w:val="20"/>
                  <w:szCs w:val="20"/>
                </w:rPr>
                <w:t>2022 QCCA 667</w:t>
              </w:r>
            </w:hyperlink>
          </w:p>
          <w:p w:rsidR="00DB15A3" w:rsidRPr="00506748" w:rsidRDefault="00DB15A3" w:rsidP="00DB15A3">
            <w:pPr>
              <w:jc w:val="both"/>
              <w:rPr>
                <w:sz w:val="20"/>
                <w:szCs w:val="20"/>
              </w:rPr>
            </w:pPr>
          </w:p>
        </w:tc>
        <w:tc>
          <w:tcPr>
            <w:tcW w:w="243" w:type="pct"/>
          </w:tcPr>
          <w:p w:rsidR="00DB15A3" w:rsidRPr="00506748" w:rsidRDefault="00DB15A3" w:rsidP="00DB15A3">
            <w:pPr>
              <w:jc w:val="both"/>
              <w:rPr>
                <w:sz w:val="20"/>
                <w:szCs w:val="20"/>
              </w:rPr>
            </w:pPr>
          </w:p>
        </w:tc>
        <w:tc>
          <w:tcPr>
            <w:tcW w:w="2330" w:type="pct"/>
          </w:tcPr>
          <w:p w:rsidR="00DB15A3" w:rsidRPr="00506748" w:rsidRDefault="00DB15A3" w:rsidP="00DB15A3">
            <w:pPr>
              <w:jc w:val="both"/>
              <w:rPr>
                <w:sz w:val="20"/>
                <w:szCs w:val="20"/>
                <w:lang w:val="fr-CA"/>
              </w:rPr>
            </w:pPr>
            <w:r w:rsidRPr="00506748">
              <w:rPr>
                <w:sz w:val="20"/>
                <w:szCs w:val="20"/>
                <w:lang w:val="fr-CA"/>
              </w:rPr>
              <w:t>Requête en rejet sommaire du mémoire de l’intimé accueillie en partie et appel rejeté.</w:t>
            </w:r>
          </w:p>
          <w:p w:rsidR="00DB15A3" w:rsidRPr="00506748" w:rsidRDefault="00DB15A3" w:rsidP="00DB15A3">
            <w:pPr>
              <w:jc w:val="both"/>
              <w:rPr>
                <w:sz w:val="20"/>
                <w:szCs w:val="20"/>
                <w:lang w:val="fr-CA"/>
              </w:rPr>
            </w:pPr>
          </w:p>
        </w:tc>
      </w:tr>
      <w:tr w:rsidR="00DB15A3" w:rsidRPr="00506748" w:rsidTr="00DB15A3">
        <w:tc>
          <w:tcPr>
            <w:tcW w:w="2427" w:type="pct"/>
          </w:tcPr>
          <w:p w:rsidR="00DB15A3" w:rsidRPr="00506748" w:rsidRDefault="00DB15A3" w:rsidP="00DB15A3">
            <w:pPr>
              <w:jc w:val="both"/>
              <w:rPr>
                <w:sz w:val="20"/>
                <w:szCs w:val="20"/>
                <w:lang w:val="fr-CA"/>
              </w:rPr>
            </w:pPr>
            <w:r w:rsidRPr="00506748">
              <w:rPr>
                <w:sz w:val="20"/>
                <w:szCs w:val="20"/>
                <w:lang w:val="fr-CA"/>
              </w:rPr>
              <w:t>Le 30 juin 2022</w:t>
            </w:r>
          </w:p>
          <w:p w:rsidR="00DB15A3" w:rsidRPr="00506748" w:rsidRDefault="00DB15A3" w:rsidP="00DB15A3">
            <w:pPr>
              <w:jc w:val="both"/>
              <w:rPr>
                <w:sz w:val="20"/>
                <w:szCs w:val="20"/>
                <w:lang w:val="fr-CA"/>
              </w:rPr>
            </w:pPr>
            <w:r w:rsidRPr="00506748">
              <w:rPr>
                <w:sz w:val="20"/>
                <w:szCs w:val="20"/>
                <w:lang w:val="fr-CA"/>
              </w:rPr>
              <w:t>Cour suprême du Canada</w:t>
            </w:r>
          </w:p>
        </w:tc>
        <w:tc>
          <w:tcPr>
            <w:tcW w:w="243" w:type="pct"/>
          </w:tcPr>
          <w:p w:rsidR="00DB15A3" w:rsidRPr="00506748" w:rsidRDefault="00DB15A3" w:rsidP="00DB15A3">
            <w:pPr>
              <w:jc w:val="both"/>
              <w:rPr>
                <w:sz w:val="20"/>
                <w:szCs w:val="20"/>
                <w:lang w:val="fr-CA"/>
              </w:rPr>
            </w:pPr>
          </w:p>
        </w:tc>
        <w:tc>
          <w:tcPr>
            <w:tcW w:w="2330" w:type="pct"/>
          </w:tcPr>
          <w:p w:rsidR="00DB15A3" w:rsidRPr="00506748" w:rsidRDefault="00DB15A3" w:rsidP="00DB15A3">
            <w:pPr>
              <w:jc w:val="both"/>
              <w:rPr>
                <w:sz w:val="20"/>
                <w:szCs w:val="20"/>
              </w:rPr>
            </w:pPr>
            <w:r w:rsidRPr="00506748">
              <w:rPr>
                <w:sz w:val="20"/>
                <w:szCs w:val="20"/>
              </w:rPr>
              <w:t>Demande d'autorisation d'appel déposée.</w:t>
            </w:r>
          </w:p>
          <w:p w:rsidR="00DB15A3" w:rsidRPr="00506748" w:rsidRDefault="00DB15A3" w:rsidP="00DB15A3">
            <w:pPr>
              <w:jc w:val="both"/>
              <w:rPr>
                <w:sz w:val="20"/>
                <w:szCs w:val="20"/>
              </w:rPr>
            </w:pPr>
          </w:p>
        </w:tc>
      </w:tr>
    </w:tbl>
    <w:p w:rsidR="004B2E86" w:rsidRPr="00506748" w:rsidRDefault="004B2E86" w:rsidP="004B2E86">
      <w:pPr>
        <w:jc w:val="both"/>
        <w:rPr>
          <w:sz w:val="20"/>
          <w:szCs w:val="20"/>
          <w:lang w:val="fr-CA"/>
        </w:rPr>
      </w:pPr>
    </w:p>
    <w:p w:rsidR="00102792" w:rsidRPr="00506748" w:rsidRDefault="00C9268A" w:rsidP="004B2E86">
      <w:pPr>
        <w:jc w:val="both"/>
        <w:rPr>
          <w:sz w:val="20"/>
          <w:szCs w:val="20"/>
          <w:lang w:val="fr-CA"/>
        </w:rPr>
      </w:pPr>
      <w:r>
        <w:rPr>
          <w:sz w:val="20"/>
          <w:szCs w:val="20"/>
        </w:rPr>
        <w:pict>
          <v:rect id="_x0000_i1042" style="width:2in;height:1pt" o:hrpct="0" o:hralign="center" o:hrstd="t" o:hrnoshade="t" o:hr="t" fillcolor="black" stroked="f"/>
        </w:pict>
      </w:r>
    </w:p>
    <w:p w:rsidR="00E06F20" w:rsidRPr="00506748" w:rsidRDefault="00E06F20" w:rsidP="00102792">
      <w:pPr>
        <w:jc w:val="both"/>
        <w:rPr>
          <w:sz w:val="20"/>
          <w:lang w:val="fr-CA"/>
        </w:rPr>
      </w:pPr>
    </w:p>
    <w:p w:rsidR="00890FEB" w:rsidRPr="00506748" w:rsidRDefault="00890FEB" w:rsidP="008D292F">
      <w:pPr>
        <w:rPr>
          <w:sz w:val="20"/>
          <w:szCs w:val="20"/>
          <w:lang w:val="fr-CA"/>
        </w:rPr>
      </w:pPr>
    </w:p>
    <w:p w:rsidR="00890FEB" w:rsidRPr="00506748" w:rsidRDefault="00890FEB" w:rsidP="008D292F">
      <w:pPr>
        <w:rPr>
          <w:b/>
          <w:sz w:val="20"/>
          <w:szCs w:val="20"/>
          <w:lang w:val="fr-CA"/>
        </w:rPr>
        <w:sectPr w:rsidR="00890FEB" w:rsidRPr="00506748" w:rsidSect="008D292F">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p w:rsidR="00567602" w:rsidRPr="00506748" w:rsidRDefault="001434B9" w:rsidP="00567602">
      <w:pPr>
        <w:pStyle w:val="Header1StyleE"/>
        <w:pBdr>
          <w:bottom w:val="single" w:sz="12" w:space="1" w:color="auto"/>
        </w:pBdr>
        <w:rPr>
          <w:sz w:val="20"/>
          <w:lang w:val="en-US"/>
        </w:rPr>
      </w:pPr>
      <w:bookmarkStart w:id="4" w:name="_Toc119658301"/>
      <w:r w:rsidRPr="00506748">
        <w:t>Notices of appeal filed since the last issue</w:t>
      </w:r>
      <w:r w:rsidR="00271E1E" w:rsidRPr="00506748">
        <w:t xml:space="preserve"> / </w:t>
      </w:r>
      <w:r w:rsidR="00567602" w:rsidRPr="00506748">
        <w:br/>
      </w:r>
      <w:r w:rsidRPr="00506748">
        <w:rPr>
          <w:lang w:val="fr-CA"/>
        </w:rPr>
        <w:t>Avis d’appel déposés depuis la dernière parution</w:t>
      </w:r>
      <w:bookmarkEnd w:id="4"/>
    </w:p>
    <w:p w:rsidR="00FB1DB6" w:rsidRPr="00506748"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506748" w:rsidTr="005F1ED8">
        <w:trPr>
          <w:cantSplit/>
        </w:trPr>
        <w:tc>
          <w:tcPr>
            <w:tcW w:w="2206" w:type="pct"/>
            <w:tcMar>
              <w:left w:w="0" w:type="dxa"/>
              <w:right w:w="0" w:type="dxa"/>
            </w:tcMar>
          </w:tcPr>
          <w:p w:rsidR="0086340B" w:rsidRPr="00506748" w:rsidRDefault="000C6B18" w:rsidP="005F1ED8">
            <w:pPr>
              <w:rPr>
                <w:sz w:val="20"/>
                <w:szCs w:val="20"/>
                <w:lang w:val="fr-CA"/>
              </w:rPr>
            </w:pPr>
            <w:r w:rsidRPr="00506748">
              <w:rPr>
                <w:sz w:val="20"/>
                <w:szCs w:val="20"/>
                <w:lang w:val="fr-CA"/>
              </w:rPr>
              <w:t>Le 25 octobre</w:t>
            </w:r>
            <w:r w:rsidR="008859F1" w:rsidRPr="00506748">
              <w:rPr>
                <w:sz w:val="20"/>
                <w:szCs w:val="20"/>
                <w:lang w:val="fr-CA"/>
              </w:rPr>
              <w:t xml:space="preserve"> 20</w:t>
            </w:r>
            <w:r w:rsidR="005967EF" w:rsidRPr="00506748">
              <w:rPr>
                <w:sz w:val="20"/>
                <w:szCs w:val="20"/>
                <w:lang w:val="fr-CA"/>
              </w:rPr>
              <w:t>2</w:t>
            </w:r>
            <w:r w:rsidR="00E8642A" w:rsidRPr="00506748">
              <w:rPr>
                <w:sz w:val="20"/>
                <w:szCs w:val="20"/>
                <w:lang w:val="fr-CA"/>
              </w:rPr>
              <w:t>2</w:t>
            </w:r>
          </w:p>
          <w:p w:rsidR="0034657E" w:rsidRPr="00506748" w:rsidRDefault="0034657E" w:rsidP="005F1ED8">
            <w:pPr>
              <w:rPr>
                <w:sz w:val="20"/>
                <w:szCs w:val="20"/>
                <w:lang w:val="fr-CA"/>
              </w:rPr>
            </w:pPr>
          </w:p>
          <w:p w:rsidR="0086340B" w:rsidRPr="00506748" w:rsidRDefault="000C6B18" w:rsidP="005F1ED8">
            <w:pPr>
              <w:rPr>
                <w:b/>
                <w:sz w:val="20"/>
                <w:szCs w:val="20"/>
                <w:lang w:val="fr-CA"/>
              </w:rPr>
            </w:pPr>
            <w:r w:rsidRPr="00506748">
              <w:rPr>
                <w:b/>
                <w:sz w:val="20"/>
                <w:szCs w:val="20"/>
                <w:lang w:val="fr-CA"/>
              </w:rPr>
              <w:t>Société des casinos du Québec inc., et al.</w:t>
            </w:r>
          </w:p>
          <w:p w:rsidR="0086340B" w:rsidRPr="00506748" w:rsidRDefault="0086340B" w:rsidP="005F1ED8">
            <w:pPr>
              <w:rPr>
                <w:sz w:val="20"/>
                <w:szCs w:val="20"/>
                <w:lang w:val="fr-CA"/>
              </w:rPr>
            </w:pPr>
          </w:p>
          <w:p w:rsidR="0086340B" w:rsidRPr="00506748" w:rsidRDefault="0086340B" w:rsidP="005F1ED8">
            <w:pPr>
              <w:rPr>
                <w:b/>
                <w:sz w:val="20"/>
                <w:szCs w:val="20"/>
                <w:lang w:val="fr-CA"/>
              </w:rPr>
            </w:pPr>
            <w:r w:rsidRPr="00506748">
              <w:rPr>
                <w:b/>
                <w:sz w:val="20"/>
                <w:szCs w:val="20"/>
                <w:lang w:val="fr-CA"/>
              </w:rPr>
              <w:tab/>
            </w:r>
            <w:r w:rsidR="000C6B18" w:rsidRPr="00506748">
              <w:rPr>
                <w:b/>
                <w:sz w:val="20"/>
                <w:szCs w:val="20"/>
                <w:lang w:val="fr-CA"/>
              </w:rPr>
              <w:t>c</w:t>
            </w:r>
            <w:r w:rsidRPr="00506748">
              <w:rPr>
                <w:b/>
                <w:sz w:val="20"/>
                <w:szCs w:val="20"/>
                <w:lang w:val="fr-CA"/>
              </w:rPr>
              <w:t>. (4</w:t>
            </w:r>
            <w:r w:rsidR="000C6B18" w:rsidRPr="00506748">
              <w:rPr>
                <w:b/>
                <w:sz w:val="20"/>
                <w:szCs w:val="20"/>
                <w:lang w:val="fr-CA"/>
              </w:rPr>
              <w:t>0123</w:t>
            </w:r>
            <w:r w:rsidRPr="00506748">
              <w:rPr>
                <w:b/>
                <w:sz w:val="20"/>
                <w:szCs w:val="20"/>
                <w:lang w:val="fr-CA"/>
              </w:rPr>
              <w:t>)</w:t>
            </w:r>
          </w:p>
          <w:p w:rsidR="0086340B" w:rsidRPr="00506748" w:rsidRDefault="0086340B" w:rsidP="005F1ED8">
            <w:pPr>
              <w:rPr>
                <w:sz w:val="20"/>
                <w:szCs w:val="20"/>
                <w:lang w:val="fr-CA"/>
              </w:rPr>
            </w:pPr>
          </w:p>
          <w:p w:rsidR="0086340B" w:rsidRPr="00506748" w:rsidRDefault="000C6B18" w:rsidP="005F1ED8">
            <w:pPr>
              <w:rPr>
                <w:b/>
                <w:sz w:val="20"/>
                <w:szCs w:val="20"/>
              </w:rPr>
            </w:pPr>
            <w:r w:rsidRPr="00506748">
              <w:rPr>
                <w:b/>
                <w:sz w:val="20"/>
                <w:szCs w:val="20"/>
                <w:lang w:val="fr-CA"/>
              </w:rPr>
              <w:t xml:space="preserve">Association des cadres de la Société des casinos du Québec, et al. </w:t>
            </w:r>
            <w:r w:rsidR="0086340B" w:rsidRPr="00506748">
              <w:rPr>
                <w:b/>
                <w:sz w:val="20"/>
                <w:szCs w:val="20"/>
              </w:rPr>
              <w:t>(</w:t>
            </w:r>
            <w:r w:rsidRPr="00506748">
              <w:rPr>
                <w:b/>
                <w:sz w:val="20"/>
                <w:szCs w:val="20"/>
              </w:rPr>
              <w:t>Qc</w:t>
            </w:r>
            <w:r w:rsidR="0086340B" w:rsidRPr="00506748">
              <w:rPr>
                <w:b/>
                <w:sz w:val="20"/>
                <w:szCs w:val="20"/>
              </w:rPr>
              <w:t>)</w:t>
            </w:r>
          </w:p>
          <w:p w:rsidR="0086340B" w:rsidRPr="00506748" w:rsidRDefault="0086340B" w:rsidP="005F1ED8">
            <w:pPr>
              <w:rPr>
                <w:sz w:val="20"/>
                <w:szCs w:val="20"/>
              </w:rPr>
            </w:pPr>
          </w:p>
          <w:p w:rsidR="0086340B" w:rsidRPr="00506748" w:rsidRDefault="0086340B" w:rsidP="005F1ED8">
            <w:pPr>
              <w:rPr>
                <w:sz w:val="20"/>
                <w:szCs w:val="20"/>
              </w:rPr>
            </w:pPr>
            <w:r w:rsidRPr="00506748">
              <w:rPr>
                <w:sz w:val="20"/>
                <w:szCs w:val="20"/>
              </w:rPr>
              <w:t>(</w:t>
            </w:r>
            <w:r w:rsidR="000C6B18" w:rsidRPr="00506748">
              <w:rPr>
                <w:sz w:val="20"/>
                <w:szCs w:val="20"/>
              </w:rPr>
              <w:t>Autorisation</w:t>
            </w:r>
            <w:r w:rsidRPr="00506748">
              <w:rPr>
                <w:sz w:val="20"/>
                <w:szCs w:val="20"/>
              </w:rPr>
              <w:t>)</w:t>
            </w:r>
          </w:p>
          <w:p w:rsidR="0086340B" w:rsidRPr="00506748" w:rsidRDefault="0086340B" w:rsidP="005F1ED8">
            <w:pPr>
              <w:rPr>
                <w:sz w:val="20"/>
                <w:szCs w:val="20"/>
              </w:rPr>
            </w:pPr>
          </w:p>
          <w:p w:rsidR="0086340B" w:rsidRPr="00506748" w:rsidRDefault="00C9268A" w:rsidP="005F1ED8">
            <w:pPr>
              <w:rPr>
                <w:sz w:val="20"/>
                <w:szCs w:val="20"/>
                <w:lang w:val="fr-CA"/>
              </w:rPr>
            </w:pPr>
            <w:r>
              <w:rPr>
                <w:sz w:val="20"/>
                <w:szCs w:val="20"/>
                <w:lang w:val="fr-CA"/>
              </w:rPr>
              <w:pict>
                <v:rect id="_x0000_i1045" style="width:106.1pt;height:1pt" o:hrpct="500" o:hrstd="t" o:hrnoshade="t" o:hr="t" fillcolor="black [3213]" stroked="f"/>
              </w:pict>
            </w:r>
          </w:p>
        </w:tc>
        <w:tc>
          <w:tcPr>
            <w:tcW w:w="588" w:type="pct"/>
          </w:tcPr>
          <w:p w:rsidR="0086340B" w:rsidRPr="00506748" w:rsidRDefault="0086340B" w:rsidP="005F1ED8">
            <w:pPr>
              <w:jc w:val="center"/>
              <w:rPr>
                <w:sz w:val="20"/>
                <w:szCs w:val="20"/>
              </w:rPr>
            </w:pPr>
          </w:p>
          <w:p w:rsidR="0086340B" w:rsidRPr="00506748" w:rsidRDefault="0086340B" w:rsidP="005F1ED8">
            <w:pPr>
              <w:jc w:val="center"/>
              <w:rPr>
                <w:sz w:val="20"/>
                <w:szCs w:val="20"/>
              </w:rPr>
            </w:pPr>
          </w:p>
          <w:p w:rsidR="0086340B" w:rsidRPr="00506748" w:rsidRDefault="0086340B" w:rsidP="005F1ED8">
            <w:pPr>
              <w:jc w:val="center"/>
              <w:rPr>
                <w:sz w:val="20"/>
                <w:szCs w:val="20"/>
              </w:rPr>
            </w:pPr>
          </w:p>
          <w:p w:rsidR="0086340B" w:rsidRPr="00506748" w:rsidRDefault="0086340B" w:rsidP="005F1ED8">
            <w:pPr>
              <w:jc w:val="center"/>
              <w:rPr>
                <w:sz w:val="20"/>
                <w:szCs w:val="20"/>
              </w:rPr>
            </w:pPr>
          </w:p>
          <w:p w:rsidR="0086340B" w:rsidRPr="00506748" w:rsidRDefault="0086340B" w:rsidP="005F1ED8">
            <w:pPr>
              <w:jc w:val="center"/>
              <w:rPr>
                <w:sz w:val="20"/>
                <w:szCs w:val="20"/>
              </w:rPr>
            </w:pPr>
          </w:p>
          <w:p w:rsidR="0086340B" w:rsidRPr="00506748" w:rsidRDefault="0086340B" w:rsidP="005F1ED8">
            <w:pPr>
              <w:jc w:val="center"/>
              <w:rPr>
                <w:sz w:val="20"/>
                <w:szCs w:val="20"/>
              </w:rPr>
            </w:pPr>
          </w:p>
          <w:p w:rsidR="0086340B" w:rsidRPr="00506748" w:rsidRDefault="0086340B" w:rsidP="005F1ED8">
            <w:pPr>
              <w:jc w:val="center"/>
              <w:rPr>
                <w:sz w:val="20"/>
                <w:szCs w:val="20"/>
              </w:rPr>
            </w:pPr>
          </w:p>
          <w:p w:rsidR="0086340B" w:rsidRPr="00506748" w:rsidRDefault="0086340B" w:rsidP="005F1ED8">
            <w:pPr>
              <w:jc w:val="center"/>
              <w:rPr>
                <w:sz w:val="20"/>
                <w:szCs w:val="20"/>
              </w:rPr>
            </w:pPr>
          </w:p>
          <w:p w:rsidR="0086340B" w:rsidRPr="00506748" w:rsidRDefault="0086340B" w:rsidP="005F1ED8">
            <w:pPr>
              <w:jc w:val="center"/>
              <w:rPr>
                <w:sz w:val="20"/>
                <w:szCs w:val="20"/>
              </w:rPr>
            </w:pPr>
          </w:p>
          <w:p w:rsidR="0086340B" w:rsidRPr="00506748" w:rsidRDefault="0086340B" w:rsidP="005F1ED8">
            <w:pPr>
              <w:jc w:val="center"/>
              <w:rPr>
                <w:sz w:val="20"/>
                <w:szCs w:val="20"/>
              </w:rPr>
            </w:pPr>
          </w:p>
          <w:p w:rsidR="0086340B" w:rsidRPr="00506748" w:rsidRDefault="0086340B" w:rsidP="005F1ED8">
            <w:pPr>
              <w:jc w:val="center"/>
              <w:rPr>
                <w:sz w:val="20"/>
                <w:szCs w:val="20"/>
              </w:rPr>
            </w:pPr>
          </w:p>
          <w:p w:rsidR="00E06F20" w:rsidRPr="00506748" w:rsidRDefault="00E06F20" w:rsidP="005F1ED8">
            <w:pPr>
              <w:jc w:val="center"/>
              <w:rPr>
                <w:sz w:val="20"/>
                <w:szCs w:val="20"/>
              </w:rPr>
            </w:pPr>
          </w:p>
          <w:p w:rsidR="0086340B" w:rsidRPr="00506748" w:rsidRDefault="0086340B" w:rsidP="005F1ED8">
            <w:pPr>
              <w:jc w:val="center"/>
              <w:rPr>
                <w:sz w:val="20"/>
                <w:szCs w:val="20"/>
              </w:rPr>
            </w:pPr>
          </w:p>
        </w:tc>
        <w:tc>
          <w:tcPr>
            <w:tcW w:w="2206" w:type="pct"/>
          </w:tcPr>
          <w:p w:rsidR="000C6B18" w:rsidRPr="00506748" w:rsidRDefault="000C6B18" w:rsidP="000C6B18">
            <w:pPr>
              <w:rPr>
                <w:sz w:val="20"/>
                <w:szCs w:val="20"/>
                <w:lang w:val="fr-CA"/>
              </w:rPr>
            </w:pPr>
            <w:r w:rsidRPr="00506748">
              <w:rPr>
                <w:sz w:val="20"/>
                <w:szCs w:val="20"/>
                <w:lang w:val="fr-CA"/>
              </w:rPr>
              <w:t>Le 31 octobre 2022</w:t>
            </w:r>
          </w:p>
          <w:p w:rsidR="000C6B18" w:rsidRPr="00506748" w:rsidRDefault="000C6B18" w:rsidP="000C6B18">
            <w:pPr>
              <w:rPr>
                <w:sz w:val="20"/>
                <w:szCs w:val="20"/>
                <w:lang w:val="fr-CA"/>
              </w:rPr>
            </w:pPr>
          </w:p>
          <w:p w:rsidR="000C6B18" w:rsidRPr="00506748" w:rsidRDefault="000C6B18" w:rsidP="000C6B18">
            <w:pPr>
              <w:rPr>
                <w:b/>
                <w:sz w:val="20"/>
                <w:szCs w:val="20"/>
                <w:lang w:val="fr-CA"/>
              </w:rPr>
            </w:pPr>
            <w:r w:rsidRPr="00506748">
              <w:rPr>
                <w:b/>
                <w:sz w:val="20"/>
                <w:szCs w:val="20"/>
                <w:lang w:val="fr-CA"/>
              </w:rPr>
              <w:t>Société des casinos du Québec inc., et al.</w:t>
            </w:r>
          </w:p>
          <w:p w:rsidR="000C6B18" w:rsidRPr="00506748" w:rsidRDefault="000C6B18" w:rsidP="000C6B18">
            <w:pPr>
              <w:rPr>
                <w:sz w:val="20"/>
                <w:szCs w:val="20"/>
                <w:lang w:val="fr-CA"/>
              </w:rPr>
            </w:pPr>
          </w:p>
          <w:p w:rsidR="000C6B18" w:rsidRPr="00506748" w:rsidRDefault="000C6B18" w:rsidP="000C6B18">
            <w:pPr>
              <w:rPr>
                <w:b/>
                <w:sz w:val="20"/>
                <w:szCs w:val="20"/>
                <w:lang w:val="fr-CA"/>
              </w:rPr>
            </w:pPr>
            <w:r w:rsidRPr="00506748">
              <w:rPr>
                <w:b/>
                <w:sz w:val="20"/>
                <w:szCs w:val="20"/>
                <w:lang w:val="fr-CA"/>
              </w:rPr>
              <w:tab/>
              <w:t>c. (40123)</w:t>
            </w:r>
          </w:p>
          <w:p w:rsidR="000C6B18" w:rsidRPr="00506748" w:rsidRDefault="000C6B18" w:rsidP="000C6B18">
            <w:pPr>
              <w:rPr>
                <w:sz w:val="20"/>
                <w:szCs w:val="20"/>
                <w:lang w:val="fr-CA"/>
              </w:rPr>
            </w:pPr>
          </w:p>
          <w:p w:rsidR="000C6B18" w:rsidRPr="00506748" w:rsidRDefault="000C6B18" w:rsidP="000C6B18">
            <w:pPr>
              <w:rPr>
                <w:b/>
                <w:sz w:val="20"/>
                <w:szCs w:val="20"/>
              </w:rPr>
            </w:pPr>
            <w:r w:rsidRPr="00506748">
              <w:rPr>
                <w:b/>
                <w:sz w:val="20"/>
                <w:szCs w:val="20"/>
                <w:lang w:val="fr-CA"/>
              </w:rPr>
              <w:t xml:space="preserve">Association des cadres de la Société des casinos du Québec, et al. </w:t>
            </w:r>
            <w:r w:rsidRPr="00506748">
              <w:rPr>
                <w:b/>
                <w:sz w:val="20"/>
                <w:szCs w:val="20"/>
              </w:rPr>
              <w:t>(Qc)</w:t>
            </w:r>
          </w:p>
          <w:p w:rsidR="000C6B18" w:rsidRPr="00506748" w:rsidRDefault="000C6B18" w:rsidP="000C6B18">
            <w:pPr>
              <w:rPr>
                <w:sz w:val="20"/>
                <w:szCs w:val="20"/>
              </w:rPr>
            </w:pPr>
          </w:p>
          <w:p w:rsidR="000C6B18" w:rsidRPr="00506748" w:rsidRDefault="000C6B18" w:rsidP="000C6B18">
            <w:pPr>
              <w:rPr>
                <w:sz w:val="20"/>
                <w:szCs w:val="20"/>
              </w:rPr>
            </w:pPr>
            <w:r w:rsidRPr="00506748">
              <w:rPr>
                <w:sz w:val="20"/>
                <w:szCs w:val="20"/>
              </w:rPr>
              <w:t>(Autorisation)</w:t>
            </w:r>
          </w:p>
          <w:p w:rsidR="000C6B18" w:rsidRPr="00506748" w:rsidRDefault="000C6B18" w:rsidP="000C6B18">
            <w:pPr>
              <w:rPr>
                <w:sz w:val="20"/>
                <w:szCs w:val="20"/>
              </w:rPr>
            </w:pPr>
          </w:p>
          <w:p w:rsidR="0086340B" w:rsidRPr="00506748" w:rsidRDefault="00C9268A" w:rsidP="000C6B18">
            <w:pPr>
              <w:rPr>
                <w:sz w:val="20"/>
                <w:szCs w:val="20"/>
              </w:rPr>
            </w:pPr>
            <w:r>
              <w:rPr>
                <w:sz w:val="20"/>
                <w:szCs w:val="20"/>
                <w:lang w:val="fr-CA"/>
              </w:rPr>
              <w:pict>
                <v:rect id="_x0000_i1046" style="width:106.1pt;height:1pt" o:hrpct="500" o:hrstd="t" o:hrnoshade="t" o:hr="t" fillcolor="black [3213]" stroked="f"/>
              </w:pict>
            </w:r>
          </w:p>
        </w:tc>
      </w:tr>
    </w:tbl>
    <w:p w:rsidR="008277C4" w:rsidRPr="00506748" w:rsidRDefault="008277C4" w:rsidP="00F40249">
      <w:pPr>
        <w:rPr>
          <w:sz w:val="20"/>
          <w:szCs w:val="20"/>
        </w:rPr>
      </w:pPr>
    </w:p>
    <w:p w:rsidR="008277C4" w:rsidRPr="00506748" w:rsidRDefault="008277C4" w:rsidP="00F40249">
      <w:pPr>
        <w:rPr>
          <w:sz w:val="20"/>
          <w:szCs w:val="20"/>
        </w:rPr>
      </w:pPr>
    </w:p>
    <w:p w:rsidR="0010587F" w:rsidRPr="00506748" w:rsidRDefault="0010587F" w:rsidP="00F40249">
      <w:pPr>
        <w:rPr>
          <w:sz w:val="20"/>
          <w:szCs w:val="20"/>
        </w:rPr>
      </w:pPr>
    </w:p>
    <w:p w:rsidR="00EB2B90" w:rsidRPr="00506748" w:rsidRDefault="00EB2B90" w:rsidP="00F40249">
      <w:pPr>
        <w:rPr>
          <w:sz w:val="20"/>
          <w:szCs w:val="20"/>
        </w:rPr>
        <w:sectPr w:rsidR="00EB2B90" w:rsidRPr="00506748" w:rsidSect="00F4024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p w:rsidR="00567602" w:rsidRPr="00506748" w:rsidRDefault="001434B9" w:rsidP="00567602">
      <w:pPr>
        <w:pStyle w:val="Header1StyleE"/>
        <w:pBdr>
          <w:bottom w:val="single" w:sz="12" w:space="1" w:color="auto"/>
        </w:pBdr>
        <w:rPr>
          <w:lang w:val="fr-CA"/>
        </w:rPr>
      </w:pPr>
      <w:bookmarkStart w:id="5" w:name="_Toc119658302"/>
      <w:r w:rsidRPr="00506748">
        <w:rPr>
          <w:lang w:val="fr-CA"/>
        </w:rPr>
        <w:t>Pronouncements of reserved</w:t>
      </w:r>
      <w:r w:rsidR="00271E1E" w:rsidRPr="00506748">
        <w:rPr>
          <w:lang w:val="fr-CA"/>
        </w:rPr>
        <w:t xml:space="preserve"> appeals / </w:t>
      </w:r>
      <w:r w:rsidR="00567602" w:rsidRPr="00506748">
        <w:rPr>
          <w:lang w:val="fr-CA"/>
        </w:rPr>
        <w:br/>
      </w:r>
      <w:r w:rsidRPr="00506748">
        <w:rPr>
          <w:lang w:val="fr-CA"/>
        </w:rPr>
        <w:t>Jugements rendus sur les appels en délibéré</w:t>
      </w:r>
      <w:bookmarkEnd w:id="5"/>
    </w:p>
    <w:p w:rsidR="00FF6EEC" w:rsidRPr="00506748" w:rsidRDefault="00FF6EEC" w:rsidP="00FF6EEC">
      <w:pPr>
        <w:rPr>
          <w:sz w:val="20"/>
          <w:szCs w:val="20"/>
          <w:lang w:val="fr-CA"/>
        </w:rPr>
      </w:pPr>
    </w:p>
    <w:p w:rsidR="00102792" w:rsidRPr="00506748" w:rsidRDefault="00440C9E" w:rsidP="00102792">
      <w:pPr>
        <w:rPr>
          <w:b/>
          <w:sz w:val="20"/>
          <w:szCs w:val="20"/>
          <w:lang w:val="fr-CA"/>
        </w:rPr>
      </w:pPr>
      <w:r w:rsidRPr="00506748">
        <w:rPr>
          <w:b/>
          <w:sz w:val="20"/>
          <w:szCs w:val="20"/>
          <w:lang w:val="fr-CA"/>
        </w:rPr>
        <w:t>NOVEMBER</w:t>
      </w:r>
      <w:r w:rsidR="00102792" w:rsidRPr="00506748">
        <w:rPr>
          <w:b/>
          <w:sz w:val="20"/>
          <w:szCs w:val="20"/>
          <w:lang w:val="fr-CA"/>
        </w:rPr>
        <w:t xml:space="preserve"> </w:t>
      </w:r>
      <w:r w:rsidRPr="00506748">
        <w:rPr>
          <w:b/>
          <w:sz w:val="20"/>
          <w:szCs w:val="20"/>
          <w:lang w:val="fr-CA"/>
        </w:rPr>
        <w:t>17</w:t>
      </w:r>
      <w:r w:rsidR="00102792" w:rsidRPr="00506748">
        <w:rPr>
          <w:b/>
          <w:sz w:val="20"/>
          <w:szCs w:val="20"/>
          <w:lang w:val="fr-CA"/>
        </w:rPr>
        <w:t xml:space="preserve">, </w:t>
      </w:r>
      <w:r w:rsidR="0034657E" w:rsidRPr="00506748">
        <w:rPr>
          <w:b/>
          <w:sz w:val="20"/>
          <w:szCs w:val="20"/>
          <w:lang w:val="fr-CA"/>
        </w:rPr>
        <w:t>20</w:t>
      </w:r>
      <w:r w:rsidR="00172473" w:rsidRPr="00506748">
        <w:rPr>
          <w:b/>
          <w:sz w:val="20"/>
          <w:szCs w:val="20"/>
          <w:lang w:val="fr-CA"/>
        </w:rPr>
        <w:t>2</w:t>
      </w:r>
      <w:r w:rsidR="00E8642A" w:rsidRPr="00506748">
        <w:rPr>
          <w:b/>
          <w:sz w:val="20"/>
          <w:szCs w:val="20"/>
          <w:lang w:val="fr-CA"/>
        </w:rPr>
        <w:t>2</w:t>
      </w:r>
      <w:r w:rsidR="00102792" w:rsidRPr="00506748">
        <w:rPr>
          <w:b/>
          <w:sz w:val="20"/>
          <w:szCs w:val="20"/>
          <w:lang w:val="fr-CA"/>
        </w:rPr>
        <w:t xml:space="preserve"> / LE </w:t>
      </w:r>
      <w:r w:rsidRPr="00506748">
        <w:rPr>
          <w:b/>
          <w:sz w:val="20"/>
          <w:szCs w:val="20"/>
          <w:lang w:val="fr-CA"/>
        </w:rPr>
        <w:t>17</w:t>
      </w:r>
      <w:r w:rsidR="002C13E1" w:rsidRPr="00506748">
        <w:rPr>
          <w:b/>
          <w:sz w:val="20"/>
          <w:szCs w:val="20"/>
          <w:lang w:val="fr-CA"/>
        </w:rPr>
        <w:t xml:space="preserve"> </w:t>
      </w:r>
      <w:r w:rsidRPr="00506748">
        <w:rPr>
          <w:b/>
          <w:sz w:val="20"/>
          <w:szCs w:val="20"/>
          <w:lang w:val="fr-CA"/>
        </w:rPr>
        <w:t>NOVEMBRE</w:t>
      </w:r>
      <w:r w:rsidR="00102792" w:rsidRPr="00506748">
        <w:rPr>
          <w:b/>
          <w:sz w:val="20"/>
          <w:szCs w:val="20"/>
          <w:lang w:val="fr-CA"/>
        </w:rPr>
        <w:t xml:space="preserve"> </w:t>
      </w:r>
      <w:r w:rsidR="0034657E" w:rsidRPr="00506748">
        <w:rPr>
          <w:b/>
          <w:sz w:val="20"/>
          <w:szCs w:val="20"/>
          <w:lang w:val="fr-CA"/>
        </w:rPr>
        <w:t>20</w:t>
      </w:r>
      <w:r w:rsidR="00172473" w:rsidRPr="00506748">
        <w:rPr>
          <w:b/>
          <w:sz w:val="20"/>
          <w:szCs w:val="20"/>
          <w:lang w:val="fr-CA"/>
        </w:rPr>
        <w:t>2</w:t>
      </w:r>
      <w:r w:rsidR="00E8642A" w:rsidRPr="00506748">
        <w:rPr>
          <w:b/>
          <w:sz w:val="20"/>
          <w:szCs w:val="20"/>
          <w:lang w:val="fr-CA"/>
        </w:rPr>
        <w:t>2</w:t>
      </w:r>
    </w:p>
    <w:p w:rsidR="00102792" w:rsidRPr="00506748" w:rsidRDefault="00102792" w:rsidP="00102792">
      <w:pPr>
        <w:rPr>
          <w:sz w:val="20"/>
          <w:szCs w:val="20"/>
          <w:lang w:val="fr-CA"/>
        </w:rPr>
      </w:pPr>
    </w:p>
    <w:p w:rsidR="00102792" w:rsidRPr="00506748" w:rsidRDefault="00102792" w:rsidP="00102792">
      <w:pPr>
        <w:ind w:left="1440" w:hanging="1440"/>
        <w:jc w:val="both"/>
        <w:rPr>
          <w:rFonts w:eastAsia="Times New Roman" w:cs="Times New Roman"/>
          <w:color w:val="000000"/>
          <w:sz w:val="20"/>
          <w:szCs w:val="20"/>
          <w:lang w:val="fr-CA"/>
        </w:rPr>
      </w:pPr>
      <w:r w:rsidRPr="00506748">
        <w:rPr>
          <w:rFonts w:eastAsia="Times New Roman" w:cs="Times New Roman"/>
          <w:b/>
          <w:bCs/>
          <w:color w:val="000000"/>
          <w:sz w:val="20"/>
          <w:szCs w:val="20"/>
          <w:lang w:val="fr-CA"/>
        </w:rPr>
        <w:t>3</w:t>
      </w:r>
      <w:r w:rsidR="00440C9E" w:rsidRPr="00506748">
        <w:rPr>
          <w:rFonts w:eastAsia="Times New Roman" w:cs="Times New Roman"/>
          <w:b/>
          <w:bCs/>
          <w:color w:val="000000"/>
          <w:sz w:val="20"/>
          <w:szCs w:val="20"/>
          <w:lang w:val="fr-CA"/>
        </w:rPr>
        <w:t>9879</w:t>
      </w:r>
      <w:r w:rsidR="00172473" w:rsidRPr="00506748">
        <w:rPr>
          <w:rFonts w:eastAsia="Times New Roman" w:cs="Times New Roman"/>
          <w:b/>
          <w:bCs/>
          <w:color w:val="000000"/>
          <w:sz w:val="20"/>
          <w:szCs w:val="20"/>
          <w:lang w:val="fr-CA"/>
        </w:rPr>
        <w:tab/>
      </w:r>
      <w:r w:rsidR="00440C9E" w:rsidRPr="00506748">
        <w:rPr>
          <w:rFonts w:eastAsia="Times New Roman" w:cs="Times New Roman"/>
          <w:b/>
          <w:bCs/>
          <w:color w:val="000000"/>
          <w:sz w:val="20"/>
          <w:szCs w:val="20"/>
          <w:lang w:val="fr-CA"/>
        </w:rPr>
        <w:t>Yves Des Groseillers et Groupe BMTC inc. c. Agence du revenu du Québec (Qc)</w:t>
      </w:r>
    </w:p>
    <w:p w:rsidR="00102792" w:rsidRPr="00506748" w:rsidRDefault="00102792" w:rsidP="00102792">
      <w:pPr>
        <w:ind w:left="1440"/>
        <w:jc w:val="both"/>
        <w:rPr>
          <w:rFonts w:eastAsia="Times New Roman" w:cs="Times New Roman"/>
          <w:color w:val="000000"/>
          <w:sz w:val="20"/>
          <w:szCs w:val="20"/>
          <w:lang w:val="fr-CA"/>
        </w:rPr>
      </w:pPr>
      <w:r w:rsidRPr="00506748">
        <w:rPr>
          <w:rFonts w:eastAsia="Times New Roman" w:cs="Times New Roman"/>
          <w:b/>
          <w:bCs/>
          <w:color w:val="000000"/>
          <w:sz w:val="20"/>
          <w:szCs w:val="20"/>
          <w:lang w:val="fr-CA"/>
        </w:rPr>
        <w:t>20</w:t>
      </w:r>
      <w:r w:rsidR="00172473" w:rsidRPr="00506748">
        <w:rPr>
          <w:rFonts w:eastAsia="Times New Roman" w:cs="Times New Roman"/>
          <w:b/>
          <w:bCs/>
          <w:color w:val="000000"/>
          <w:sz w:val="20"/>
          <w:szCs w:val="20"/>
          <w:lang w:val="fr-CA"/>
        </w:rPr>
        <w:t>2</w:t>
      </w:r>
      <w:r w:rsidR="00E8642A" w:rsidRPr="00506748">
        <w:rPr>
          <w:rFonts w:eastAsia="Times New Roman" w:cs="Times New Roman"/>
          <w:b/>
          <w:bCs/>
          <w:color w:val="000000"/>
          <w:sz w:val="20"/>
          <w:szCs w:val="20"/>
          <w:lang w:val="fr-CA"/>
        </w:rPr>
        <w:t>2</w:t>
      </w:r>
      <w:r w:rsidRPr="00506748">
        <w:rPr>
          <w:rFonts w:eastAsia="Times New Roman" w:cs="Times New Roman"/>
          <w:b/>
          <w:bCs/>
          <w:color w:val="000000"/>
          <w:sz w:val="20"/>
          <w:szCs w:val="20"/>
          <w:lang w:val="fr-CA"/>
        </w:rPr>
        <w:t xml:space="preserve"> SCC </w:t>
      </w:r>
      <w:r w:rsidR="00440C9E" w:rsidRPr="00506748">
        <w:rPr>
          <w:rFonts w:eastAsia="Times New Roman" w:cs="Times New Roman"/>
          <w:b/>
          <w:bCs/>
          <w:color w:val="000000"/>
          <w:sz w:val="20"/>
          <w:szCs w:val="20"/>
          <w:lang w:val="fr-CA"/>
        </w:rPr>
        <w:t>42</w:t>
      </w:r>
      <w:r w:rsidRPr="00506748">
        <w:rPr>
          <w:rFonts w:eastAsia="Times New Roman" w:cs="Times New Roman"/>
          <w:b/>
          <w:bCs/>
          <w:color w:val="000000"/>
          <w:sz w:val="20"/>
          <w:szCs w:val="20"/>
          <w:lang w:val="fr-CA"/>
        </w:rPr>
        <w:t xml:space="preserve"> / 20</w:t>
      </w:r>
      <w:r w:rsidR="00172473" w:rsidRPr="00506748">
        <w:rPr>
          <w:rFonts w:eastAsia="Times New Roman" w:cs="Times New Roman"/>
          <w:b/>
          <w:bCs/>
          <w:color w:val="000000"/>
          <w:sz w:val="20"/>
          <w:szCs w:val="20"/>
          <w:lang w:val="fr-CA"/>
        </w:rPr>
        <w:t>2</w:t>
      </w:r>
      <w:r w:rsidR="00E8642A" w:rsidRPr="00506748">
        <w:rPr>
          <w:rFonts w:eastAsia="Times New Roman" w:cs="Times New Roman"/>
          <w:b/>
          <w:bCs/>
          <w:color w:val="000000"/>
          <w:sz w:val="20"/>
          <w:szCs w:val="20"/>
          <w:lang w:val="fr-CA"/>
        </w:rPr>
        <w:t>2</w:t>
      </w:r>
      <w:r w:rsidRPr="00506748">
        <w:rPr>
          <w:rFonts w:eastAsia="Times New Roman" w:cs="Times New Roman"/>
          <w:b/>
          <w:bCs/>
          <w:color w:val="000000"/>
          <w:sz w:val="20"/>
          <w:szCs w:val="20"/>
          <w:lang w:val="fr-CA"/>
        </w:rPr>
        <w:t xml:space="preserve"> CSC </w:t>
      </w:r>
      <w:r w:rsidR="00440C9E" w:rsidRPr="00506748">
        <w:rPr>
          <w:rFonts w:eastAsia="Times New Roman" w:cs="Times New Roman"/>
          <w:b/>
          <w:bCs/>
          <w:color w:val="000000"/>
          <w:sz w:val="20"/>
          <w:szCs w:val="20"/>
          <w:lang w:val="fr-CA"/>
        </w:rPr>
        <w:t>42</w:t>
      </w:r>
    </w:p>
    <w:p w:rsidR="00102792" w:rsidRPr="00506748" w:rsidRDefault="00102792" w:rsidP="00102792">
      <w:pPr>
        <w:jc w:val="both"/>
        <w:rPr>
          <w:rFonts w:eastAsia="Times New Roman" w:cs="Times New Roman"/>
          <w:color w:val="000000"/>
          <w:sz w:val="20"/>
          <w:szCs w:val="20"/>
          <w:lang w:val="fr-CA"/>
        </w:rPr>
      </w:pPr>
    </w:p>
    <w:p w:rsidR="00102792" w:rsidRPr="00506748" w:rsidRDefault="00172473" w:rsidP="00102792">
      <w:pPr>
        <w:ind w:left="1440" w:hanging="1440"/>
        <w:rPr>
          <w:rFonts w:eastAsia="Times New Roman" w:cs="Times New Roman"/>
          <w:color w:val="000000"/>
          <w:sz w:val="20"/>
          <w:szCs w:val="20"/>
          <w:lang w:val="fr-CA"/>
        </w:rPr>
      </w:pPr>
      <w:r w:rsidRPr="00506748">
        <w:rPr>
          <w:rFonts w:eastAsia="Times New Roman" w:cs="Times New Roman"/>
          <w:color w:val="000000"/>
          <w:sz w:val="20"/>
          <w:szCs w:val="20"/>
          <w:lang w:val="fr-CA"/>
        </w:rPr>
        <w:t>Coram:</w:t>
      </w:r>
      <w:r w:rsidRPr="00506748">
        <w:rPr>
          <w:rFonts w:eastAsia="Times New Roman" w:cs="Times New Roman"/>
          <w:color w:val="000000"/>
          <w:sz w:val="20"/>
          <w:szCs w:val="20"/>
          <w:lang w:val="fr-CA"/>
        </w:rPr>
        <w:tab/>
      </w:r>
      <w:r w:rsidR="00440C9E" w:rsidRPr="00506748">
        <w:rPr>
          <w:rFonts w:eastAsia="Times New Roman" w:cs="Times New Roman"/>
          <w:color w:val="000000"/>
          <w:sz w:val="20"/>
          <w:szCs w:val="20"/>
          <w:lang w:val="fr-CA"/>
        </w:rPr>
        <w:t>Le juge en chef Wagner et les juges Karakatsanis, Brown, Rowe, Martin, Kasirer et Jamal</w:t>
      </w:r>
    </w:p>
    <w:p w:rsidR="00102792" w:rsidRPr="00506748" w:rsidRDefault="00102792" w:rsidP="00102792">
      <w:pPr>
        <w:ind w:left="1440" w:hanging="1440"/>
        <w:rPr>
          <w:rFonts w:eastAsia="Times New Roman" w:cs="Times New Roman"/>
          <w:color w:val="000000"/>
          <w:sz w:val="20"/>
          <w:szCs w:val="20"/>
          <w:lang w:val="fr-CA"/>
        </w:rPr>
      </w:pPr>
    </w:p>
    <w:p w:rsidR="0009129A" w:rsidRPr="00506748" w:rsidRDefault="0009129A" w:rsidP="0009129A">
      <w:pPr>
        <w:jc w:val="both"/>
        <w:rPr>
          <w:sz w:val="20"/>
          <w:szCs w:val="20"/>
          <w:lang w:val="fr-CA"/>
        </w:rPr>
      </w:pPr>
      <w:r w:rsidRPr="00506748">
        <w:rPr>
          <w:sz w:val="20"/>
          <w:szCs w:val="20"/>
          <w:lang w:val="fr-CA"/>
        </w:rPr>
        <w:t>L’appel interjeté contre l’arrêt de la Cour d’appel du Québec (Montréal), numéro 500-09-028245-199, 2021 QCCA 906, daté du 1er juin 2021, entendu le 3 novembre 2022, est rejeté avec dépens devant toutes les cours.</w:t>
      </w:r>
    </w:p>
    <w:p w:rsidR="0009129A" w:rsidRPr="00506748" w:rsidRDefault="0009129A" w:rsidP="0009129A">
      <w:pPr>
        <w:jc w:val="both"/>
        <w:rPr>
          <w:sz w:val="20"/>
          <w:szCs w:val="20"/>
          <w:lang w:val="fr-CA"/>
        </w:rPr>
      </w:pPr>
    </w:p>
    <w:p w:rsidR="0009129A" w:rsidRPr="00506748" w:rsidRDefault="0009129A" w:rsidP="0009129A">
      <w:pPr>
        <w:widowControl w:val="0"/>
        <w:jc w:val="both"/>
        <w:rPr>
          <w:sz w:val="20"/>
          <w:szCs w:val="20"/>
        </w:rPr>
      </w:pPr>
      <w:r w:rsidRPr="00506748">
        <w:rPr>
          <w:sz w:val="20"/>
          <w:szCs w:val="20"/>
        </w:rPr>
        <w:t>The appeal from the judgment of the Court of Appeal of Quebec (Montréal), Number 500-09-028245-199, 2021 QCCA 906, dated June 1, 2021, heard on November 3, 2022, is dismissed with costs throughout.</w:t>
      </w:r>
    </w:p>
    <w:p w:rsidR="00102792" w:rsidRPr="00506748" w:rsidRDefault="00102792" w:rsidP="00102792">
      <w:pPr>
        <w:rPr>
          <w:sz w:val="20"/>
          <w:szCs w:val="20"/>
          <w:lang w:val="en-US"/>
        </w:rPr>
      </w:pPr>
    </w:p>
    <w:p w:rsidR="00102792" w:rsidRPr="00506748" w:rsidRDefault="00C9268A" w:rsidP="00102792">
      <w:pPr>
        <w:rPr>
          <w:sz w:val="20"/>
          <w:szCs w:val="20"/>
          <w:lang w:val="fr-CA"/>
        </w:rPr>
      </w:pPr>
      <w:hyperlink r:id="rId31" w:history="1">
        <w:r w:rsidR="00506BE1" w:rsidRPr="00506748">
          <w:rPr>
            <w:rStyle w:val="Hyperlink"/>
            <w:sz w:val="20"/>
            <w:szCs w:val="20"/>
            <w:lang w:val="fr-CA"/>
          </w:rPr>
          <w:t xml:space="preserve">LINK TO </w:t>
        </w:r>
        <w:r w:rsidR="00D82BFF" w:rsidRPr="00506748">
          <w:rPr>
            <w:rStyle w:val="Hyperlink"/>
            <w:sz w:val="20"/>
            <w:szCs w:val="20"/>
            <w:lang w:val="fr-CA"/>
          </w:rPr>
          <w:t>REASONS</w:t>
        </w:r>
      </w:hyperlink>
      <w:r w:rsidR="00102792" w:rsidRPr="00506748">
        <w:rPr>
          <w:sz w:val="20"/>
          <w:szCs w:val="20"/>
          <w:lang w:val="fr-CA"/>
        </w:rPr>
        <w:t xml:space="preserve"> / </w:t>
      </w:r>
      <w:hyperlink r:id="rId32" w:history="1">
        <w:r w:rsidR="00D82BFF" w:rsidRPr="00506748">
          <w:rPr>
            <w:rStyle w:val="Hyperlink"/>
            <w:sz w:val="20"/>
            <w:szCs w:val="20"/>
            <w:lang w:val="fr-CA"/>
          </w:rPr>
          <w:t>LIEN VERS LES MOTIFS</w:t>
        </w:r>
      </w:hyperlink>
    </w:p>
    <w:p w:rsidR="00102792" w:rsidRPr="00506748" w:rsidRDefault="00102792" w:rsidP="00102792">
      <w:pPr>
        <w:rPr>
          <w:sz w:val="20"/>
          <w:szCs w:val="20"/>
          <w:lang w:val="fr-CA"/>
        </w:rPr>
      </w:pPr>
    </w:p>
    <w:p w:rsidR="00D004FC" w:rsidRPr="00506748" w:rsidRDefault="00C9268A" w:rsidP="00102792">
      <w:pPr>
        <w:jc w:val="both"/>
        <w:rPr>
          <w:rFonts w:cs="Times New Roman"/>
          <w:b/>
          <w:sz w:val="20"/>
          <w:szCs w:val="20"/>
        </w:rPr>
      </w:pPr>
      <w:r>
        <w:rPr>
          <w:b/>
          <w:sz w:val="20"/>
          <w:szCs w:val="20"/>
        </w:rPr>
        <w:pict>
          <v:rect id="_x0000_i1049" style="width:144.3pt;height:1pt" o:hrpct="300" o:hralign="center" o:hrstd="t" o:hrnoshade="t" o:hr="t" fillcolor="black [3213]" stroked="f"/>
        </w:pict>
      </w:r>
    </w:p>
    <w:p w:rsidR="00D004FC" w:rsidRPr="00506748" w:rsidRDefault="00D004FC" w:rsidP="00D004FC">
      <w:pPr>
        <w:jc w:val="both"/>
        <w:rPr>
          <w:rFonts w:cs="Times New Roman"/>
          <w:sz w:val="20"/>
          <w:szCs w:val="20"/>
        </w:rPr>
      </w:pPr>
    </w:p>
    <w:p w:rsidR="00440C9E" w:rsidRPr="00506748" w:rsidRDefault="00440C9E" w:rsidP="00440C9E">
      <w:pPr>
        <w:rPr>
          <w:b/>
          <w:sz w:val="20"/>
          <w:szCs w:val="20"/>
          <w:lang w:val="en-US"/>
        </w:rPr>
      </w:pPr>
      <w:r w:rsidRPr="00506748">
        <w:rPr>
          <w:b/>
          <w:sz w:val="20"/>
          <w:szCs w:val="20"/>
          <w:lang w:val="en-US"/>
        </w:rPr>
        <w:t>NOVEMBER 18, 2022 / LE 18 NOVEMBRE 2022</w:t>
      </w:r>
    </w:p>
    <w:p w:rsidR="00440C9E" w:rsidRPr="00506748" w:rsidRDefault="00440C9E" w:rsidP="00440C9E">
      <w:pPr>
        <w:rPr>
          <w:sz w:val="20"/>
          <w:szCs w:val="20"/>
        </w:rPr>
      </w:pPr>
    </w:p>
    <w:p w:rsidR="00440C9E" w:rsidRPr="00506748" w:rsidRDefault="00440C9E" w:rsidP="00440C9E">
      <w:pPr>
        <w:ind w:left="1440" w:hanging="1440"/>
        <w:jc w:val="both"/>
        <w:rPr>
          <w:rFonts w:eastAsia="Times New Roman" w:cs="Times New Roman"/>
          <w:color w:val="000000"/>
          <w:sz w:val="20"/>
          <w:szCs w:val="20"/>
        </w:rPr>
      </w:pPr>
      <w:r w:rsidRPr="00506748">
        <w:rPr>
          <w:rFonts w:eastAsia="Times New Roman" w:cs="Times New Roman"/>
          <w:b/>
          <w:bCs/>
          <w:color w:val="000000"/>
          <w:sz w:val="20"/>
          <w:szCs w:val="20"/>
        </w:rPr>
        <w:t>39439</w:t>
      </w:r>
      <w:r w:rsidRPr="00506748">
        <w:rPr>
          <w:rFonts w:eastAsia="Times New Roman" w:cs="Times New Roman"/>
          <w:b/>
          <w:bCs/>
          <w:color w:val="000000"/>
          <w:sz w:val="20"/>
          <w:szCs w:val="20"/>
        </w:rPr>
        <w:tab/>
        <w:t xml:space="preserve">Nova Chemicals Corporation v. The Dow Chemical Company, Dow Global Technologies Inc. and Dow Chemical Canada ULC - and - </w:t>
      </w:r>
      <w:r w:rsidR="00BC67C6" w:rsidRPr="00506748">
        <w:rPr>
          <w:rFonts w:eastAsia="Times New Roman" w:cs="Times New Roman"/>
          <w:b/>
          <w:bCs/>
          <w:color w:val="000000"/>
          <w:sz w:val="20"/>
          <w:szCs w:val="20"/>
        </w:rPr>
        <w:t>Bell Canada, Rogers Communications Canada Inc., TELUS Communications Inc., Vidéotron ltée and Canadian Generic Pharmaceutical Association</w:t>
      </w:r>
      <w:r w:rsidRPr="00506748">
        <w:rPr>
          <w:rFonts w:eastAsia="Times New Roman" w:cs="Times New Roman"/>
          <w:b/>
          <w:bCs/>
          <w:color w:val="000000"/>
          <w:sz w:val="20"/>
          <w:szCs w:val="20"/>
        </w:rPr>
        <w:t xml:space="preserve"> (F.C.)</w:t>
      </w:r>
    </w:p>
    <w:p w:rsidR="00440C9E" w:rsidRPr="00506748" w:rsidRDefault="00440C9E" w:rsidP="00440C9E">
      <w:pPr>
        <w:ind w:left="1440"/>
        <w:jc w:val="both"/>
        <w:rPr>
          <w:rFonts w:eastAsia="Times New Roman" w:cs="Times New Roman"/>
          <w:color w:val="000000"/>
          <w:sz w:val="20"/>
          <w:szCs w:val="20"/>
          <w:lang w:val="en-US"/>
        </w:rPr>
      </w:pPr>
      <w:r w:rsidRPr="00506748">
        <w:rPr>
          <w:rFonts w:eastAsia="Times New Roman" w:cs="Times New Roman"/>
          <w:b/>
          <w:bCs/>
          <w:color w:val="000000"/>
          <w:sz w:val="20"/>
          <w:szCs w:val="20"/>
          <w:lang w:val="en-US"/>
        </w:rPr>
        <w:t>2022 SCC 43 / 2022 CSC 43</w:t>
      </w:r>
    </w:p>
    <w:p w:rsidR="00440C9E" w:rsidRPr="00506748" w:rsidRDefault="00440C9E" w:rsidP="00440C9E">
      <w:pPr>
        <w:jc w:val="both"/>
        <w:rPr>
          <w:rFonts w:eastAsia="Times New Roman" w:cs="Times New Roman"/>
          <w:color w:val="000000"/>
          <w:sz w:val="20"/>
          <w:szCs w:val="20"/>
          <w:lang w:val="en-US"/>
        </w:rPr>
      </w:pPr>
    </w:p>
    <w:p w:rsidR="00440C9E" w:rsidRPr="00506748" w:rsidRDefault="00440C9E" w:rsidP="00440C9E">
      <w:pPr>
        <w:ind w:left="1440" w:hanging="1440"/>
        <w:rPr>
          <w:rFonts w:eastAsia="Times New Roman" w:cs="Times New Roman"/>
          <w:color w:val="000000"/>
          <w:sz w:val="20"/>
          <w:szCs w:val="20"/>
          <w:lang w:val="en-US"/>
        </w:rPr>
      </w:pPr>
      <w:r w:rsidRPr="00506748">
        <w:rPr>
          <w:rFonts w:eastAsia="Times New Roman" w:cs="Times New Roman"/>
          <w:color w:val="000000"/>
          <w:sz w:val="20"/>
          <w:szCs w:val="20"/>
          <w:lang w:val="en-US"/>
        </w:rPr>
        <w:t>Coram:</w:t>
      </w:r>
      <w:r w:rsidRPr="00506748">
        <w:rPr>
          <w:rFonts w:eastAsia="Times New Roman" w:cs="Times New Roman"/>
          <w:color w:val="000000"/>
          <w:sz w:val="20"/>
          <w:szCs w:val="20"/>
          <w:lang w:val="en-US"/>
        </w:rPr>
        <w:tab/>
      </w:r>
      <w:r w:rsidRPr="00506748">
        <w:rPr>
          <w:sz w:val="20"/>
        </w:rPr>
        <w:t>Wagner C.J. and Moldaver, Karakatsanis, Côté, Brown, Rowe, Martin, Kasirer and Jamal JJ.</w:t>
      </w:r>
    </w:p>
    <w:p w:rsidR="00440C9E" w:rsidRPr="00506748" w:rsidRDefault="00440C9E" w:rsidP="00440C9E">
      <w:pPr>
        <w:ind w:left="1440" w:hanging="1440"/>
        <w:rPr>
          <w:rFonts w:eastAsia="Times New Roman" w:cs="Times New Roman"/>
          <w:color w:val="000000"/>
          <w:sz w:val="20"/>
          <w:szCs w:val="20"/>
          <w:lang w:val="en-US"/>
        </w:rPr>
      </w:pPr>
    </w:p>
    <w:p w:rsidR="00BC67C6" w:rsidRPr="00506748" w:rsidRDefault="00BC67C6" w:rsidP="00BC67C6">
      <w:pPr>
        <w:jc w:val="both"/>
        <w:rPr>
          <w:sz w:val="20"/>
          <w:szCs w:val="20"/>
          <w:lang w:val="fr-CA"/>
        </w:rPr>
      </w:pPr>
      <w:r w:rsidRPr="00506748">
        <w:rPr>
          <w:sz w:val="20"/>
          <w:szCs w:val="20"/>
        </w:rPr>
        <w:t xml:space="preserve">The appeal from the judgment of the Federal Court of Appeal, Numbers A-150-17 and A-227-17, 2020 FCA 141, dated September 15, 2020, heard on April 20, 2022, is dismissed with costs throughout. </w:t>
      </w:r>
      <w:r w:rsidRPr="00506748">
        <w:rPr>
          <w:sz w:val="20"/>
          <w:szCs w:val="20"/>
          <w:lang w:val="fr-CA"/>
        </w:rPr>
        <w:t>Côté J. dissents.</w:t>
      </w:r>
    </w:p>
    <w:p w:rsidR="00B918AA" w:rsidRPr="00506748" w:rsidRDefault="00B918AA" w:rsidP="00BC67C6">
      <w:pPr>
        <w:jc w:val="both"/>
        <w:rPr>
          <w:sz w:val="20"/>
          <w:szCs w:val="20"/>
          <w:lang w:val="fr-CA"/>
        </w:rPr>
      </w:pPr>
    </w:p>
    <w:p w:rsidR="00B918AA" w:rsidRPr="00506748" w:rsidRDefault="00B918AA" w:rsidP="00B918AA">
      <w:pPr>
        <w:jc w:val="both"/>
        <w:rPr>
          <w:sz w:val="20"/>
          <w:szCs w:val="20"/>
          <w:lang w:val="fr-CA"/>
        </w:rPr>
      </w:pPr>
      <w:r w:rsidRPr="00506748">
        <w:rPr>
          <w:sz w:val="20"/>
          <w:szCs w:val="20"/>
          <w:lang w:val="fr-CA"/>
        </w:rPr>
        <w:t xml:space="preserve">L’appel interjeté contre l’arrêt de la Cour d’appel fédérale, numéros A-150-17 </w:t>
      </w:r>
      <w:r w:rsidR="00C9268A">
        <w:rPr>
          <w:sz w:val="20"/>
          <w:szCs w:val="20"/>
          <w:lang w:val="fr-CA"/>
        </w:rPr>
        <w:t>et</w:t>
      </w:r>
      <w:bookmarkStart w:id="6" w:name="_GoBack"/>
      <w:bookmarkEnd w:id="6"/>
      <w:r w:rsidRPr="00506748">
        <w:rPr>
          <w:sz w:val="20"/>
          <w:szCs w:val="20"/>
          <w:lang w:val="fr-CA"/>
        </w:rPr>
        <w:t xml:space="preserve"> A-227-17, 2020 CAF 141, daté du 15 septembre 2020, entendu le 20 avril 2022, est</w:t>
      </w:r>
      <w:r w:rsidRPr="00506748">
        <w:rPr>
          <w:sz w:val="20"/>
          <w:lang w:val="fr-CA"/>
        </w:rPr>
        <w:t xml:space="preserve"> </w:t>
      </w:r>
      <w:r w:rsidRPr="00506748">
        <w:rPr>
          <w:sz w:val="20"/>
          <w:szCs w:val="20"/>
          <w:lang w:val="fr-CA"/>
        </w:rPr>
        <w:t>rejeté avec dépens devant toutes les cours. La juge Côté est dissidente.</w:t>
      </w:r>
    </w:p>
    <w:p w:rsidR="00440C9E" w:rsidRPr="00506748" w:rsidRDefault="00440C9E" w:rsidP="00440C9E">
      <w:pPr>
        <w:rPr>
          <w:sz w:val="20"/>
          <w:szCs w:val="20"/>
          <w:lang w:val="fr-CA"/>
        </w:rPr>
      </w:pPr>
    </w:p>
    <w:p w:rsidR="00440C9E" w:rsidRPr="00506748" w:rsidRDefault="00C9268A" w:rsidP="00440C9E">
      <w:pPr>
        <w:rPr>
          <w:sz w:val="20"/>
          <w:szCs w:val="20"/>
          <w:lang w:val="fr-CA"/>
        </w:rPr>
      </w:pPr>
      <w:hyperlink r:id="rId33" w:history="1">
        <w:r w:rsidR="00440C9E" w:rsidRPr="00506748">
          <w:rPr>
            <w:rStyle w:val="Hyperlink"/>
            <w:sz w:val="20"/>
            <w:szCs w:val="20"/>
            <w:lang w:val="fr-CA"/>
          </w:rPr>
          <w:t>LINK TO REASONS</w:t>
        </w:r>
      </w:hyperlink>
      <w:r w:rsidR="00440C9E" w:rsidRPr="00506748">
        <w:rPr>
          <w:sz w:val="20"/>
          <w:szCs w:val="20"/>
          <w:lang w:val="fr-CA"/>
        </w:rPr>
        <w:t xml:space="preserve"> / </w:t>
      </w:r>
      <w:hyperlink r:id="rId34" w:history="1">
        <w:r w:rsidR="00440C9E" w:rsidRPr="00506748">
          <w:rPr>
            <w:rStyle w:val="Hyperlink"/>
            <w:sz w:val="20"/>
            <w:szCs w:val="20"/>
            <w:lang w:val="fr-CA"/>
          </w:rPr>
          <w:t>LIEN VERS LES MOTIFS</w:t>
        </w:r>
      </w:hyperlink>
    </w:p>
    <w:p w:rsidR="00440C9E" w:rsidRPr="00506748" w:rsidRDefault="00440C9E" w:rsidP="00440C9E">
      <w:pPr>
        <w:rPr>
          <w:sz w:val="20"/>
          <w:szCs w:val="20"/>
          <w:lang w:val="fr-CA"/>
        </w:rPr>
      </w:pPr>
    </w:p>
    <w:p w:rsidR="00440C9E" w:rsidRPr="00506748" w:rsidRDefault="00C9268A" w:rsidP="00440C9E">
      <w:pPr>
        <w:jc w:val="both"/>
        <w:rPr>
          <w:rFonts w:cs="Times New Roman"/>
          <w:sz w:val="20"/>
          <w:szCs w:val="20"/>
        </w:rPr>
      </w:pPr>
      <w:r>
        <w:rPr>
          <w:b/>
          <w:sz w:val="20"/>
          <w:szCs w:val="20"/>
        </w:rPr>
        <w:pict>
          <v:rect id="_x0000_i1050" style="width:144.3pt;height:1pt" o:hrpct="300" o:hralign="center" o:hrstd="t" o:hrnoshade="t" o:hr="t" fillcolor="black [3213]" stroked="f"/>
        </w:pict>
      </w:r>
    </w:p>
    <w:p w:rsidR="00440C9E" w:rsidRPr="00506748" w:rsidRDefault="00440C9E" w:rsidP="00D004FC">
      <w:pPr>
        <w:jc w:val="both"/>
        <w:rPr>
          <w:rFonts w:cs="Times New Roman"/>
          <w:sz w:val="20"/>
          <w:szCs w:val="20"/>
        </w:rPr>
      </w:pPr>
    </w:p>
    <w:p w:rsidR="00440C9E" w:rsidRPr="00506748" w:rsidRDefault="00440C9E" w:rsidP="00D004FC">
      <w:pPr>
        <w:jc w:val="both"/>
        <w:rPr>
          <w:rFonts w:cs="Times New Roman"/>
          <w:sz w:val="20"/>
          <w:szCs w:val="20"/>
        </w:rPr>
      </w:pPr>
    </w:p>
    <w:p w:rsidR="00440C9E" w:rsidRPr="00506748" w:rsidRDefault="00440C9E" w:rsidP="00D004FC">
      <w:pPr>
        <w:jc w:val="both"/>
        <w:rPr>
          <w:rFonts w:cs="Times New Roman"/>
          <w:sz w:val="20"/>
          <w:szCs w:val="20"/>
        </w:rPr>
      </w:pPr>
    </w:p>
    <w:p w:rsidR="00281DA2" w:rsidRPr="00506748" w:rsidRDefault="00281DA2" w:rsidP="00D004FC">
      <w:pPr>
        <w:jc w:val="both"/>
        <w:rPr>
          <w:rFonts w:cs="Times New Roman"/>
          <w:sz w:val="20"/>
          <w:szCs w:val="20"/>
        </w:rPr>
      </w:pPr>
    </w:p>
    <w:p w:rsidR="0056248C" w:rsidRPr="00506748" w:rsidRDefault="0056248C" w:rsidP="00091BA6">
      <w:pPr>
        <w:rPr>
          <w:sz w:val="20"/>
          <w:szCs w:val="20"/>
          <w:lang w:val="fr-CA"/>
        </w:rPr>
      </w:pPr>
    </w:p>
    <w:p w:rsidR="00102926" w:rsidRPr="00506748" w:rsidRDefault="00102926" w:rsidP="00782AE4">
      <w:pPr>
        <w:jc w:val="both"/>
        <w:rPr>
          <w:sz w:val="20"/>
          <w:szCs w:val="20"/>
        </w:rPr>
        <w:sectPr w:rsidR="00102926" w:rsidRPr="00506748" w:rsidSect="00782AE4">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576" w:footer="960" w:gutter="0"/>
          <w:cols w:space="720"/>
          <w:titlePg/>
          <w:docGrid w:linePitch="272"/>
        </w:sectPr>
      </w:pPr>
    </w:p>
    <w:p w:rsidR="00567602" w:rsidRPr="00506748" w:rsidRDefault="001434B9" w:rsidP="001434B9">
      <w:pPr>
        <w:pStyle w:val="Header1StyleE"/>
        <w:pBdr>
          <w:bottom w:val="single" w:sz="12" w:space="0" w:color="auto"/>
        </w:pBdr>
        <w:rPr>
          <w:lang w:val="fr-CA"/>
        </w:rPr>
      </w:pPr>
      <w:bookmarkStart w:id="7" w:name="_Toc119658303"/>
      <w:r w:rsidRPr="00506748">
        <w:rPr>
          <w:lang w:val="fr-CA"/>
        </w:rPr>
        <w:t xml:space="preserve">Agenda and case summaries for </w:t>
      </w:r>
      <w:r w:rsidR="00440C9E" w:rsidRPr="00506748">
        <w:rPr>
          <w:lang w:val="fr-CA"/>
        </w:rPr>
        <w:t>November and December</w:t>
      </w:r>
      <w:r w:rsidR="00567602" w:rsidRPr="00506748">
        <w:rPr>
          <w:lang w:val="fr-CA"/>
        </w:rPr>
        <w:t xml:space="preserve"> </w:t>
      </w:r>
      <w:r w:rsidR="0034657E" w:rsidRPr="00506748">
        <w:rPr>
          <w:lang w:val="fr-CA"/>
        </w:rPr>
        <w:t>20</w:t>
      </w:r>
      <w:r w:rsidR="00172473" w:rsidRPr="00506748">
        <w:rPr>
          <w:lang w:val="fr-CA"/>
        </w:rPr>
        <w:t>2</w:t>
      </w:r>
      <w:r w:rsidR="00E8642A" w:rsidRPr="00506748">
        <w:rPr>
          <w:lang w:val="fr-CA"/>
        </w:rPr>
        <w:t>2</w:t>
      </w:r>
      <w:r w:rsidR="00271E1E" w:rsidRPr="00506748">
        <w:rPr>
          <w:lang w:val="fr-CA"/>
        </w:rPr>
        <w:t xml:space="preserve"> / </w:t>
      </w:r>
      <w:r w:rsidR="00567602" w:rsidRPr="00506748">
        <w:rPr>
          <w:lang w:val="fr-CA"/>
        </w:rPr>
        <w:br/>
      </w:r>
      <w:r w:rsidRPr="00506748">
        <w:rPr>
          <w:lang w:val="fr-CA"/>
        </w:rPr>
        <w:t>Calendrier et sommaires des causes d</w:t>
      </w:r>
      <w:r w:rsidR="00172473" w:rsidRPr="00506748">
        <w:rPr>
          <w:lang w:val="fr-CA"/>
        </w:rPr>
        <w:t xml:space="preserve">e </w:t>
      </w:r>
      <w:r w:rsidR="00440C9E" w:rsidRPr="00506748">
        <w:rPr>
          <w:lang w:val="fr-CA"/>
        </w:rPr>
        <w:t>novembre et décembre</w:t>
      </w:r>
      <w:r w:rsidR="00172473" w:rsidRPr="00506748">
        <w:rPr>
          <w:lang w:val="fr-CA"/>
        </w:rPr>
        <w:t xml:space="preserve"> </w:t>
      </w:r>
      <w:r w:rsidR="0034657E" w:rsidRPr="00506748">
        <w:rPr>
          <w:lang w:val="fr-CA"/>
        </w:rPr>
        <w:t>20</w:t>
      </w:r>
      <w:r w:rsidR="00172473" w:rsidRPr="00506748">
        <w:rPr>
          <w:lang w:val="fr-CA"/>
        </w:rPr>
        <w:t>2</w:t>
      </w:r>
      <w:r w:rsidR="00E8642A" w:rsidRPr="00506748">
        <w:rPr>
          <w:lang w:val="fr-CA"/>
        </w:rPr>
        <w:t>2</w:t>
      </w:r>
      <w:bookmarkEnd w:id="7"/>
    </w:p>
    <w:p w:rsidR="00567602" w:rsidRPr="00506748" w:rsidRDefault="00567602" w:rsidP="004B66B4">
      <w:pPr>
        <w:rPr>
          <w:sz w:val="20"/>
          <w:szCs w:val="20"/>
          <w:lang w:val="fr-CA"/>
        </w:rPr>
      </w:pPr>
    </w:p>
    <w:p w:rsidR="00102926" w:rsidRPr="00506748" w:rsidRDefault="00440C9E" w:rsidP="00782AE4">
      <w:pPr>
        <w:jc w:val="both"/>
        <w:rPr>
          <w:b/>
          <w:sz w:val="20"/>
          <w:szCs w:val="20"/>
          <w:lang w:val="fr-CA"/>
        </w:rPr>
      </w:pPr>
      <w:r w:rsidRPr="00506748">
        <w:rPr>
          <w:b/>
          <w:sz w:val="20"/>
          <w:szCs w:val="20"/>
          <w:lang w:val="fr-CA"/>
        </w:rPr>
        <w:t>NOVEMBER</w:t>
      </w:r>
      <w:r w:rsidR="00102792" w:rsidRPr="00506748">
        <w:rPr>
          <w:b/>
          <w:sz w:val="20"/>
          <w:szCs w:val="20"/>
          <w:lang w:val="fr-CA"/>
        </w:rPr>
        <w:t xml:space="preserve"> </w:t>
      </w:r>
      <w:r w:rsidRPr="00506748">
        <w:rPr>
          <w:b/>
          <w:sz w:val="20"/>
          <w:szCs w:val="20"/>
          <w:lang w:val="fr-CA"/>
        </w:rPr>
        <w:t>18</w:t>
      </w:r>
      <w:r w:rsidR="00102792" w:rsidRPr="00506748">
        <w:rPr>
          <w:b/>
          <w:sz w:val="20"/>
          <w:szCs w:val="20"/>
          <w:lang w:val="fr-CA"/>
        </w:rPr>
        <w:t xml:space="preserve">, </w:t>
      </w:r>
      <w:r w:rsidR="0034657E" w:rsidRPr="00506748">
        <w:rPr>
          <w:b/>
          <w:sz w:val="20"/>
          <w:szCs w:val="20"/>
          <w:lang w:val="fr-CA"/>
        </w:rPr>
        <w:t>20</w:t>
      </w:r>
      <w:r w:rsidR="00172473" w:rsidRPr="00506748">
        <w:rPr>
          <w:b/>
          <w:sz w:val="20"/>
          <w:szCs w:val="20"/>
          <w:lang w:val="fr-CA"/>
        </w:rPr>
        <w:t>2</w:t>
      </w:r>
      <w:r w:rsidR="00E8642A" w:rsidRPr="00506748">
        <w:rPr>
          <w:b/>
          <w:sz w:val="20"/>
          <w:szCs w:val="20"/>
          <w:lang w:val="fr-CA"/>
        </w:rPr>
        <w:t>2</w:t>
      </w:r>
      <w:r w:rsidR="00102792" w:rsidRPr="00506748">
        <w:rPr>
          <w:b/>
          <w:sz w:val="20"/>
          <w:szCs w:val="20"/>
          <w:lang w:val="fr-CA"/>
        </w:rPr>
        <w:t xml:space="preserve"> / LE </w:t>
      </w:r>
      <w:r w:rsidRPr="00506748">
        <w:rPr>
          <w:b/>
          <w:sz w:val="20"/>
          <w:szCs w:val="20"/>
          <w:lang w:val="fr-CA"/>
        </w:rPr>
        <w:t>18</w:t>
      </w:r>
      <w:r w:rsidR="00102792" w:rsidRPr="00506748">
        <w:rPr>
          <w:b/>
          <w:sz w:val="20"/>
          <w:szCs w:val="20"/>
          <w:lang w:val="fr-CA"/>
        </w:rPr>
        <w:t xml:space="preserve"> </w:t>
      </w:r>
      <w:r w:rsidRPr="00506748">
        <w:rPr>
          <w:b/>
          <w:sz w:val="20"/>
          <w:szCs w:val="20"/>
          <w:lang w:val="fr-CA"/>
        </w:rPr>
        <w:t>NOVEMBRE</w:t>
      </w:r>
      <w:r w:rsidR="00102792" w:rsidRPr="00506748">
        <w:rPr>
          <w:b/>
          <w:sz w:val="20"/>
          <w:szCs w:val="20"/>
          <w:lang w:val="fr-CA"/>
        </w:rPr>
        <w:t xml:space="preserve"> </w:t>
      </w:r>
      <w:r w:rsidR="0034657E" w:rsidRPr="00506748">
        <w:rPr>
          <w:b/>
          <w:sz w:val="20"/>
          <w:szCs w:val="20"/>
          <w:lang w:val="fr-CA"/>
        </w:rPr>
        <w:t>20</w:t>
      </w:r>
      <w:r w:rsidR="00172473" w:rsidRPr="00506748">
        <w:rPr>
          <w:b/>
          <w:sz w:val="20"/>
          <w:szCs w:val="20"/>
          <w:lang w:val="fr-CA"/>
        </w:rPr>
        <w:t>2</w:t>
      </w:r>
      <w:r w:rsidR="00E8642A" w:rsidRPr="00506748">
        <w:rPr>
          <w:b/>
          <w:sz w:val="20"/>
          <w:szCs w:val="20"/>
          <w:lang w:val="fr-CA"/>
        </w:rPr>
        <w:t>2</w:t>
      </w:r>
    </w:p>
    <w:p w:rsidR="00102792" w:rsidRPr="00506748"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C9268A" w:rsidTr="00C23C61">
        <w:tc>
          <w:tcPr>
            <w:tcW w:w="2397" w:type="dxa"/>
            <w:tcMar>
              <w:top w:w="58" w:type="dxa"/>
              <w:left w:w="58" w:type="dxa"/>
              <w:bottom w:w="58" w:type="dxa"/>
              <w:right w:w="58" w:type="dxa"/>
            </w:tcMar>
            <w:hideMark/>
          </w:tcPr>
          <w:p w:rsidR="00102792" w:rsidRPr="00506748" w:rsidRDefault="00102792">
            <w:pPr>
              <w:rPr>
                <w:b/>
                <w:color w:val="000000"/>
                <w:lang w:val="en-US"/>
              </w:rPr>
            </w:pPr>
            <w:r w:rsidRPr="00506748">
              <w:rPr>
                <w:b/>
                <w:color w:val="000000"/>
                <w:sz w:val="20"/>
                <w:szCs w:val="20"/>
              </w:rPr>
              <w:t>DATE OF HEARING /</w:t>
            </w:r>
          </w:p>
          <w:p w:rsidR="00102792" w:rsidRPr="00506748" w:rsidRDefault="00102792">
            <w:pPr>
              <w:rPr>
                <w:color w:val="000000"/>
              </w:rPr>
            </w:pPr>
            <w:r w:rsidRPr="00506748">
              <w:rPr>
                <w:b/>
                <w:color w:val="000000"/>
                <w:sz w:val="20"/>
                <w:szCs w:val="20"/>
              </w:rPr>
              <w:t>DATE D’AUDITION</w:t>
            </w:r>
          </w:p>
        </w:tc>
        <w:tc>
          <w:tcPr>
            <w:tcW w:w="7173" w:type="dxa"/>
            <w:tcMar>
              <w:top w:w="58" w:type="dxa"/>
              <w:left w:w="58" w:type="dxa"/>
              <w:bottom w:w="58" w:type="dxa"/>
              <w:right w:w="58" w:type="dxa"/>
            </w:tcMar>
            <w:hideMark/>
          </w:tcPr>
          <w:p w:rsidR="00102792" w:rsidRPr="00506748" w:rsidRDefault="00102792">
            <w:pPr>
              <w:rPr>
                <w:b/>
                <w:color w:val="000000"/>
                <w:lang w:val="fr-CA"/>
              </w:rPr>
            </w:pPr>
            <w:r w:rsidRPr="00506748">
              <w:rPr>
                <w:b/>
                <w:color w:val="000000"/>
                <w:sz w:val="20"/>
                <w:szCs w:val="20"/>
                <w:lang w:val="fr-CA"/>
              </w:rPr>
              <w:t>NAME AND CASE NUMBER /</w:t>
            </w:r>
          </w:p>
          <w:p w:rsidR="00102792" w:rsidRPr="00506748" w:rsidRDefault="00102792">
            <w:pPr>
              <w:rPr>
                <w:color w:val="000000"/>
                <w:lang w:val="fr-CA"/>
              </w:rPr>
            </w:pPr>
            <w:r w:rsidRPr="00506748">
              <w:rPr>
                <w:b/>
                <w:color w:val="000000"/>
                <w:sz w:val="20"/>
                <w:szCs w:val="20"/>
                <w:lang w:val="fr-CA"/>
              </w:rPr>
              <w:t>NOM DE LA CAUSE ET NUMÉRO</w:t>
            </w:r>
          </w:p>
        </w:tc>
      </w:tr>
      <w:tr w:rsidR="00102792" w:rsidRPr="00506748" w:rsidTr="00C23C61">
        <w:tc>
          <w:tcPr>
            <w:tcW w:w="2397" w:type="dxa"/>
            <w:tcMar>
              <w:top w:w="58" w:type="dxa"/>
              <w:left w:w="58" w:type="dxa"/>
              <w:bottom w:w="58" w:type="dxa"/>
              <w:right w:w="58" w:type="dxa"/>
            </w:tcMar>
            <w:hideMark/>
          </w:tcPr>
          <w:p w:rsidR="00102792" w:rsidRPr="00506748" w:rsidRDefault="00102792" w:rsidP="00C23C61">
            <w:pPr>
              <w:rPr>
                <w:color w:val="000000"/>
              </w:rPr>
            </w:pPr>
            <w:r w:rsidRPr="00506748">
              <w:rPr>
                <w:color w:val="000000"/>
                <w:sz w:val="20"/>
                <w:szCs w:val="20"/>
              </w:rPr>
              <w:t>20</w:t>
            </w:r>
            <w:r w:rsidR="00172473" w:rsidRPr="00506748">
              <w:rPr>
                <w:color w:val="000000"/>
                <w:sz w:val="20"/>
                <w:szCs w:val="20"/>
              </w:rPr>
              <w:t>2</w:t>
            </w:r>
            <w:r w:rsidR="00E8642A" w:rsidRPr="00506748">
              <w:rPr>
                <w:color w:val="000000"/>
                <w:sz w:val="20"/>
                <w:szCs w:val="20"/>
              </w:rPr>
              <w:t>2</w:t>
            </w:r>
            <w:r w:rsidRPr="00506748">
              <w:rPr>
                <w:color w:val="000000"/>
                <w:sz w:val="20"/>
                <w:szCs w:val="20"/>
              </w:rPr>
              <w:t>-</w:t>
            </w:r>
            <w:r w:rsidR="00C23C61" w:rsidRPr="00506748">
              <w:rPr>
                <w:color w:val="000000"/>
                <w:sz w:val="20"/>
                <w:szCs w:val="20"/>
              </w:rPr>
              <w:t>11</w:t>
            </w:r>
            <w:r w:rsidRPr="00506748">
              <w:rPr>
                <w:color w:val="000000"/>
                <w:sz w:val="20"/>
                <w:szCs w:val="20"/>
              </w:rPr>
              <w:t>-</w:t>
            </w:r>
            <w:r w:rsidR="00C23C61" w:rsidRPr="00506748">
              <w:rPr>
                <w:color w:val="000000"/>
                <w:sz w:val="20"/>
                <w:szCs w:val="20"/>
              </w:rPr>
              <w:t>29</w:t>
            </w:r>
          </w:p>
        </w:tc>
        <w:tc>
          <w:tcPr>
            <w:tcW w:w="7173" w:type="dxa"/>
            <w:tcMar>
              <w:top w:w="58" w:type="dxa"/>
              <w:left w:w="58" w:type="dxa"/>
              <w:bottom w:w="58" w:type="dxa"/>
              <w:right w:w="58" w:type="dxa"/>
            </w:tcMar>
            <w:hideMark/>
          </w:tcPr>
          <w:p w:rsidR="00102792" w:rsidRPr="00506748" w:rsidRDefault="003E4966">
            <w:pPr>
              <w:rPr>
                <w:color w:val="000000"/>
              </w:rPr>
            </w:pPr>
            <w:r w:rsidRPr="00506748">
              <w:rPr>
                <w:i/>
                <w:iCs/>
                <w:sz w:val="20"/>
              </w:rPr>
              <w:t>Earl Mason, et al. v. Minister of Citizenship and Immigration, et al.</w:t>
            </w:r>
            <w:r w:rsidRPr="00506748">
              <w:rPr>
                <w:iCs/>
                <w:sz w:val="20"/>
              </w:rPr>
              <w:t> (F.C.) (Civil) (By Leave) (</w:t>
            </w:r>
            <w:hyperlink r:id="rId41" w:history="1">
              <w:r w:rsidRPr="00506748">
                <w:rPr>
                  <w:rStyle w:val="Hyperlink"/>
                  <w:iCs/>
                  <w:sz w:val="20"/>
                </w:rPr>
                <w:t>39855</w:t>
              </w:r>
            </w:hyperlink>
            <w:r w:rsidRPr="00506748">
              <w:rPr>
                <w:iCs/>
                <w:sz w:val="20"/>
              </w:rPr>
              <w:t>)</w:t>
            </w:r>
          </w:p>
        </w:tc>
      </w:tr>
      <w:tr w:rsidR="00102792" w:rsidRPr="00506748" w:rsidTr="00C23C61">
        <w:tc>
          <w:tcPr>
            <w:tcW w:w="2397" w:type="dxa"/>
            <w:tcMar>
              <w:top w:w="58" w:type="dxa"/>
              <w:left w:w="58" w:type="dxa"/>
              <w:bottom w:w="58" w:type="dxa"/>
              <w:right w:w="58" w:type="dxa"/>
            </w:tcMar>
            <w:hideMark/>
          </w:tcPr>
          <w:p w:rsidR="00102792" w:rsidRPr="00506748" w:rsidRDefault="00102792" w:rsidP="00C23C61">
            <w:pPr>
              <w:rPr>
                <w:color w:val="000000"/>
              </w:rPr>
            </w:pPr>
            <w:r w:rsidRPr="00506748">
              <w:rPr>
                <w:color w:val="000000"/>
                <w:sz w:val="20"/>
                <w:szCs w:val="20"/>
              </w:rPr>
              <w:t>20</w:t>
            </w:r>
            <w:r w:rsidR="00172473" w:rsidRPr="00506748">
              <w:rPr>
                <w:color w:val="000000"/>
                <w:sz w:val="20"/>
                <w:szCs w:val="20"/>
              </w:rPr>
              <w:t>2</w:t>
            </w:r>
            <w:r w:rsidR="00E8642A" w:rsidRPr="00506748">
              <w:rPr>
                <w:color w:val="000000"/>
                <w:sz w:val="20"/>
                <w:szCs w:val="20"/>
              </w:rPr>
              <w:t>2</w:t>
            </w:r>
            <w:r w:rsidRPr="00506748">
              <w:rPr>
                <w:color w:val="000000"/>
                <w:sz w:val="20"/>
                <w:szCs w:val="20"/>
              </w:rPr>
              <w:t>-</w:t>
            </w:r>
            <w:r w:rsidR="00C23C61" w:rsidRPr="00506748">
              <w:rPr>
                <w:color w:val="000000"/>
                <w:sz w:val="20"/>
                <w:szCs w:val="20"/>
              </w:rPr>
              <w:t>11</w:t>
            </w:r>
            <w:r w:rsidRPr="00506748">
              <w:rPr>
                <w:color w:val="000000"/>
                <w:sz w:val="20"/>
                <w:szCs w:val="20"/>
              </w:rPr>
              <w:t>-</w:t>
            </w:r>
            <w:r w:rsidR="00C23C61" w:rsidRPr="00506748">
              <w:rPr>
                <w:color w:val="000000"/>
                <w:sz w:val="20"/>
                <w:szCs w:val="20"/>
              </w:rPr>
              <w:t>30</w:t>
            </w:r>
          </w:p>
        </w:tc>
        <w:tc>
          <w:tcPr>
            <w:tcW w:w="7173" w:type="dxa"/>
            <w:tcMar>
              <w:top w:w="58" w:type="dxa"/>
              <w:left w:w="58" w:type="dxa"/>
              <w:bottom w:w="58" w:type="dxa"/>
              <w:right w:w="58" w:type="dxa"/>
            </w:tcMar>
            <w:hideMark/>
          </w:tcPr>
          <w:p w:rsidR="00102792" w:rsidRPr="00506748" w:rsidRDefault="003E4966">
            <w:pPr>
              <w:rPr>
                <w:color w:val="000000"/>
                <w:lang w:val="fr-CA"/>
              </w:rPr>
            </w:pPr>
            <w:r w:rsidRPr="00506748">
              <w:rPr>
                <w:i/>
                <w:iCs/>
                <w:sz w:val="20"/>
              </w:rPr>
              <w:t>Ryan David Clark v. His Majesty the King </w:t>
            </w:r>
            <w:r w:rsidRPr="00506748">
              <w:rPr>
                <w:iCs/>
                <w:sz w:val="20"/>
              </w:rPr>
              <w:t>(Sask.) (Criminal) (As of Right) (</w:t>
            </w:r>
            <w:hyperlink r:id="rId42" w:history="1">
              <w:r w:rsidRPr="00506748">
                <w:rPr>
                  <w:rStyle w:val="Hyperlink"/>
                  <w:iCs/>
                  <w:sz w:val="20"/>
                </w:rPr>
                <w:t>40090</w:t>
              </w:r>
            </w:hyperlink>
            <w:r w:rsidRPr="00506748">
              <w:rPr>
                <w:iCs/>
                <w:sz w:val="20"/>
              </w:rPr>
              <w:t>)</w:t>
            </w:r>
          </w:p>
        </w:tc>
      </w:tr>
      <w:tr w:rsidR="00102792" w:rsidRPr="00506748" w:rsidTr="00C23C61">
        <w:tc>
          <w:tcPr>
            <w:tcW w:w="2397" w:type="dxa"/>
            <w:tcMar>
              <w:top w:w="58" w:type="dxa"/>
              <w:left w:w="58" w:type="dxa"/>
              <w:bottom w:w="58" w:type="dxa"/>
              <w:right w:w="58" w:type="dxa"/>
            </w:tcMar>
            <w:hideMark/>
          </w:tcPr>
          <w:p w:rsidR="00102792" w:rsidRPr="00506748" w:rsidRDefault="00102792" w:rsidP="00C23C61">
            <w:pPr>
              <w:rPr>
                <w:color w:val="000000"/>
              </w:rPr>
            </w:pPr>
            <w:r w:rsidRPr="00506748">
              <w:rPr>
                <w:color w:val="000000"/>
                <w:sz w:val="20"/>
                <w:szCs w:val="20"/>
              </w:rPr>
              <w:t>20</w:t>
            </w:r>
            <w:r w:rsidR="00172473" w:rsidRPr="00506748">
              <w:rPr>
                <w:color w:val="000000"/>
                <w:sz w:val="20"/>
                <w:szCs w:val="20"/>
              </w:rPr>
              <w:t>2</w:t>
            </w:r>
            <w:r w:rsidR="00E8642A" w:rsidRPr="00506748">
              <w:rPr>
                <w:color w:val="000000"/>
                <w:sz w:val="20"/>
                <w:szCs w:val="20"/>
              </w:rPr>
              <w:t>2</w:t>
            </w:r>
            <w:r w:rsidRPr="00506748">
              <w:rPr>
                <w:color w:val="000000"/>
                <w:sz w:val="20"/>
                <w:szCs w:val="20"/>
              </w:rPr>
              <w:t>-</w:t>
            </w:r>
            <w:r w:rsidR="00C23C61" w:rsidRPr="00506748">
              <w:rPr>
                <w:color w:val="000000"/>
                <w:sz w:val="20"/>
                <w:szCs w:val="20"/>
              </w:rPr>
              <w:t>12</w:t>
            </w:r>
            <w:r w:rsidRPr="00506748">
              <w:rPr>
                <w:color w:val="000000"/>
                <w:sz w:val="20"/>
                <w:szCs w:val="20"/>
              </w:rPr>
              <w:t>-</w:t>
            </w:r>
            <w:r w:rsidR="00C23C61" w:rsidRPr="00506748">
              <w:rPr>
                <w:color w:val="000000"/>
                <w:sz w:val="20"/>
                <w:szCs w:val="20"/>
              </w:rPr>
              <w:t>0</w:t>
            </w:r>
            <w:r w:rsidR="00873743" w:rsidRPr="00506748">
              <w:rPr>
                <w:color w:val="000000"/>
                <w:sz w:val="20"/>
                <w:szCs w:val="20"/>
              </w:rPr>
              <w:t>1</w:t>
            </w:r>
          </w:p>
        </w:tc>
        <w:tc>
          <w:tcPr>
            <w:tcW w:w="7173" w:type="dxa"/>
            <w:tcMar>
              <w:top w:w="58" w:type="dxa"/>
              <w:left w:w="58" w:type="dxa"/>
              <w:bottom w:w="58" w:type="dxa"/>
              <w:right w:w="58" w:type="dxa"/>
            </w:tcMar>
            <w:hideMark/>
          </w:tcPr>
          <w:p w:rsidR="00102792" w:rsidRPr="00506748" w:rsidRDefault="00364F54">
            <w:pPr>
              <w:rPr>
                <w:color w:val="000000"/>
              </w:rPr>
            </w:pPr>
            <w:r w:rsidRPr="00506748">
              <w:rPr>
                <w:i/>
                <w:iCs/>
                <w:sz w:val="20"/>
              </w:rPr>
              <w:t>D.R. v. His Majesty the King </w:t>
            </w:r>
            <w:r w:rsidRPr="00506748">
              <w:rPr>
                <w:iCs/>
                <w:sz w:val="20"/>
              </w:rPr>
              <w:t>(N.L.) (Criminal) (As of Right) (</w:t>
            </w:r>
            <w:hyperlink r:id="rId43" w:history="1">
              <w:r w:rsidRPr="00506748">
                <w:rPr>
                  <w:rStyle w:val="Hyperlink"/>
                  <w:iCs/>
                  <w:sz w:val="20"/>
                </w:rPr>
                <w:t>40039</w:t>
              </w:r>
            </w:hyperlink>
            <w:r w:rsidRPr="00506748">
              <w:rPr>
                <w:iCs/>
                <w:sz w:val="20"/>
              </w:rPr>
              <w:t>)</w:t>
            </w:r>
          </w:p>
        </w:tc>
      </w:tr>
      <w:tr w:rsidR="00102792" w:rsidRPr="00506748" w:rsidTr="00C23C61">
        <w:trPr>
          <w:trHeight w:val="302"/>
        </w:trPr>
        <w:tc>
          <w:tcPr>
            <w:tcW w:w="2397" w:type="dxa"/>
            <w:tcMar>
              <w:top w:w="58" w:type="dxa"/>
              <w:left w:w="58" w:type="dxa"/>
              <w:bottom w:w="58" w:type="dxa"/>
              <w:right w:w="58" w:type="dxa"/>
            </w:tcMar>
            <w:hideMark/>
          </w:tcPr>
          <w:p w:rsidR="00102792" w:rsidRPr="00506748" w:rsidRDefault="00102792" w:rsidP="00C23C61">
            <w:pPr>
              <w:rPr>
                <w:color w:val="000000"/>
              </w:rPr>
            </w:pPr>
            <w:r w:rsidRPr="00506748">
              <w:rPr>
                <w:color w:val="000000"/>
                <w:sz w:val="20"/>
                <w:szCs w:val="20"/>
              </w:rPr>
              <w:t>20</w:t>
            </w:r>
            <w:r w:rsidR="00172473" w:rsidRPr="00506748">
              <w:rPr>
                <w:color w:val="000000"/>
                <w:sz w:val="20"/>
                <w:szCs w:val="20"/>
              </w:rPr>
              <w:t>2</w:t>
            </w:r>
            <w:r w:rsidR="00E8642A" w:rsidRPr="00506748">
              <w:rPr>
                <w:color w:val="000000"/>
                <w:sz w:val="20"/>
                <w:szCs w:val="20"/>
              </w:rPr>
              <w:t>2</w:t>
            </w:r>
            <w:r w:rsidRPr="00506748">
              <w:rPr>
                <w:color w:val="000000"/>
                <w:sz w:val="20"/>
                <w:szCs w:val="20"/>
              </w:rPr>
              <w:t>-</w:t>
            </w:r>
            <w:r w:rsidR="00C23C61" w:rsidRPr="00506748">
              <w:rPr>
                <w:color w:val="000000"/>
                <w:sz w:val="20"/>
                <w:szCs w:val="20"/>
              </w:rPr>
              <w:t>12</w:t>
            </w:r>
            <w:r w:rsidRPr="00506748">
              <w:rPr>
                <w:color w:val="000000"/>
                <w:sz w:val="20"/>
                <w:szCs w:val="20"/>
              </w:rPr>
              <w:t>-</w:t>
            </w:r>
            <w:r w:rsidR="00C23C61" w:rsidRPr="00506748">
              <w:rPr>
                <w:color w:val="000000"/>
                <w:sz w:val="20"/>
                <w:szCs w:val="20"/>
              </w:rPr>
              <w:t>02</w:t>
            </w:r>
          </w:p>
        </w:tc>
        <w:tc>
          <w:tcPr>
            <w:tcW w:w="7173" w:type="dxa"/>
            <w:tcMar>
              <w:top w:w="58" w:type="dxa"/>
              <w:left w:w="58" w:type="dxa"/>
              <w:bottom w:w="58" w:type="dxa"/>
              <w:right w:w="58" w:type="dxa"/>
            </w:tcMar>
            <w:hideMark/>
          </w:tcPr>
          <w:p w:rsidR="00102792" w:rsidRPr="00506748" w:rsidRDefault="00364F54">
            <w:pPr>
              <w:rPr>
                <w:color w:val="000000"/>
              </w:rPr>
            </w:pPr>
            <w:r w:rsidRPr="00506748">
              <w:rPr>
                <w:i/>
                <w:iCs/>
                <w:sz w:val="20"/>
              </w:rPr>
              <w:t>His Majesty the King v. David Edward Furey</w:t>
            </w:r>
            <w:r w:rsidRPr="00506748">
              <w:rPr>
                <w:iCs/>
                <w:sz w:val="20"/>
              </w:rPr>
              <w:t> (N.L.) (Criminal) (As of Right) (</w:t>
            </w:r>
            <w:hyperlink r:id="rId44" w:history="1">
              <w:r w:rsidRPr="00506748">
                <w:rPr>
                  <w:rStyle w:val="Hyperlink"/>
                  <w:iCs/>
                  <w:sz w:val="20"/>
                </w:rPr>
                <w:t>40038</w:t>
              </w:r>
            </w:hyperlink>
            <w:r w:rsidRPr="00506748">
              <w:rPr>
                <w:iCs/>
                <w:sz w:val="20"/>
              </w:rPr>
              <w:t>)</w:t>
            </w:r>
          </w:p>
        </w:tc>
      </w:tr>
      <w:tr w:rsidR="00102792" w:rsidRPr="00506748" w:rsidTr="00C23C61">
        <w:tc>
          <w:tcPr>
            <w:tcW w:w="2397" w:type="dxa"/>
            <w:tcMar>
              <w:top w:w="58" w:type="dxa"/>
              <w:left w:w="58" w:type="dxa"/>
              <w:bottom w:w="58" w:type="dxa"/>
              <w:right w:w="58" w:type="dxa"/>
            </w:tcMar>
            <w:hideMark/>
          </w:tcPr>
          <w:p w:rsidR="00102792" w:rsidRPr="00506748" w:rsidRDefault="00102792" w:rsidP="00C23C61">
            <w:pPr>
              <w:rPr>
                <w:color w:val="000000"/>
              </w:rPr>
            </w:pPr>
            <w:r w:rsidRPr="00506748">
              <w:rPr>
                <w:color w:val="000000"/>
                <w:sz w:val="20"/>
                <w:szCs w:val="20"/>
              </w:rPr>
              <w:t>20</w:t>
            </w:r>
            <w:r w:rsidR="00172473" w:rsidRPr="00506748">
              <w:rPr>
                <w:color w:val="000000"/>
                <w:sz w:val="20"/>
                <w:szCs w:val="20"/>
              </w:rPr>
              <w:t>2</w:t>
            </w:r>
            <w:r w:rsidR="00E8642A" w:rsidRPr="00506748">
              <w:rPr>
                <w:color w:val="000000"/>
                <w:sz w:val="20"/>
                <w:szCs w:val="20"/>
              </w:rPr>
              <w:t>2</w:t>
            </w:r>
            <w:r w:rsidRPr="00506748">
              <w:rPr>
                <w:color w:val="000000"/>
                <w:sz w:val="20"/>
                <w:szCs w:val="20"/>
              </w:rPr>
              <w:t>-</w:t>
            </w:r>
            <w:r w:rsidR="00C23C61" w:rsidRPr="00506748">
              <w:rPr>
                <w:color w:val="000000"/>
                <w:sz w:val="20"/>
                <w:szCs w:val="20"/>
              </w:rPr>
              <w:t>12</w:t>
            </w:r>
            <w:r w:rsidRPr="00506748">
              <w:rPr>
                <w:color w:val="000000"/>
                <w:sz w:val="20"/>
                <w:szCs w:val="20"/>
              </w:rPr>
              <w:t>-</w:t>
            </w:r>
            <w:r w:rsidR="00C23C61" w:rsidRPr="00506748">
              <w:rPr>
                <w:color w:val="000000"/>
                <w:sz w:val="20"/>
                <w:szCs w:val="20"/>
              </w:rPr>
              <w:t>05</w:t>
            </w:r>
          </w:p>
        </w:tc>
        <w:tc>
          <w:tcPr>
            <w:tcW w:w="7173" w:type="dxa"/>
            <w:tcMar>
              <w:top w:w="58" w:type="dxa"/>
              <w:left w:w="58" w:type="dxa"/>
              <w:bottom w:w="58" w:type="dxa"/>
              <w:right w:w="58" w:type="dxa"/>
            </w:tcMar>
            <w:hideMark/>
          </w:tcPr>
          <w:p w:rsidR="00102792" w:rsidRPr="00506748" w:rsidRDefault="00364F54" w:rsidP="001C57C3">
            <w:pPr>
              <w:rPr>
                <w:color w:val="000000"/>
                <w:lang w:val="fr-CA"/>
              </w:rPr>
            </w:pPr>
            <w:r w:rsidRPr="00506748">
              <w:rPr>
                <w:i/>
                <w:iCs/>
                <w:sz w:val="20"/>
              </w:rPr>
              <w:t>James Allan Anderson v. Diana Anderson </w:t>
            </w:r>
            <w:r w:rsidRPr="00506748">
              <w:rPr>
                <w:iCs/>
                <w:sz w:val="20"/>
              </w:rPr>
              <w:t>(Sask.) (Civil) (By Leave) (</w:t>
            </w:r>
            <w:hyperlink r:id="rId45" w:history="1">
              <w:r w:rsidRPr="00506748">
                <w:rPr>
                  <w:rStyle w:val="Hyperlink"/>
                  <w:iCs/>
                  <w:sz w:val="20"/>
                </w:rPr>
                <w:t>39884</w:t>
              </w:r>
            </w:hyperlink>
            <w:r w:rsidRPr="00506748">
              <w:rPr>
                <w:iCs/>
                <w:sz w:val="20"/>
              </w:rPr>
              <w:t>)</w:t>
            </w:r>
          </w:p>
        </w:tc>
      </w:tr>
      <w:tr w:rsidR="00102792" w:rsidRPr="00C9268A" w:rsidTr="00C23C61">
        <w:tc>
          <w:tcPr>
            <w:tcW w:w="2397" w:type="dxa"/>
            <w:tcMar>
              <w:top w:w="58" w:type="dxa"/>
              <w:left w:w="58" w:type="dxa"/>
              <w:bottom w:w="58" w:type="dxa"/>
              <w:right w:w="58" w:type="dxa"/>
            </w:tcMar>
            <w:hideMark/>
          </w:tcPr>
          <w:p w:rsidR="00102792" w:rsidRPr="00506748" w:rsidRDefault="00102792" w:rsidP="003E4966">
            <w:pPr>
              <w:rPr>
                <w:color w:val="000000"/>
              </w:rPr>
            </w:pPr>
            <w:r w:rsidRPr="00506748">
              <w:rPr>
                <w:color w:val="000000"/>
                <w:sz w:val="20"/>
                <w:szCs w:val="20"/>
              </w:rPr>
              <w:t>20</w:t>
            </w:r>
            <w:r w:rsidR="00172473" w:rsidRPr="00506748">
              <w:rPr>
                <w:color w:val="000000"/>
                <w:sz w:val="20"/>
                <w:szCs w:val="20"/>
              </w:rPr>
              <w:t>2</w:t>
            </w:r>
            <w:r w:rsidR="00E8642A" w:rsidRPr="00506748">
              <w:rPr>
                <w:color w:val="000000"/>
                <w:sz w:val="20"/>
                <w:szCs w:val="20"/>
              </w:rPr>
              <w:t>2</w:t>
            </w:r>
            <w:r w:rsidRPr="00506748">
              <w:rPr>
                <w:color w:val="000000"/>
                <w:sz w:val="20"/>
                <w:szCs w:val="20"/>
              </w:rPr>
              <w:t>-</w:t>
            </w:r>
            <w:r w:rsidR="00C23C61" w:rsidRPr="00506748">
              <w:rPr>
                <w:color w:val="000000"/>
                <w:sz w:val="20"/>
                <w:szCs w:val="20"/>
              </w:rPr>
              <w:t>12</w:t>
            </w:r>
            <w:r w:rsidRPr="00506748">
              <w:rPr>
                <w:color w:val="000000"/>
                <w:sz w:val="20"/>
                <w:szCs w:val="20"/>
              </w:rPr>
              <w:t>-</w:t>
            </w:r>
            <w:r w:rsidR="003E4966" w:rsidRPr="00506748">
              <w:rPr>
                <w:color w:val="000000"/>
                <w:sz w:val="20"/>
                <w:szCs w:val="20"/>
              </w:rPr>
              <w:t>06</w:t>
            </w:r>
          </w:p>
        </w:tc>
        <w:tc>
          <w:tcPr>
            <w:tcW w:w="7173" w:type="dxa"/>
            <w:tcMar>
              <w:top w:w="58" w:type="dxa"/>
              <w:left w:w="58" w:type="dxa"/>
              <w:bottom w:w="58" w:type="dxa"/>
              <w:right w:w="58" w:type="dxa"/>
            </w:tcMar>
            <w:hideMark/>
          </w:tcPr>
          <w:p w:rsidR="00102792" w:rsidRPr="00506748" w:rsidRDefault="00364F54">
            <w:pPr>
              <w:rPr>
                <w:color w:val="000000"/>
                <w:lang w:val="fr-CA"/>
              </w:rPr>
            </w:pPr>
            <w:r w:rsidRPr="00506748">
              <w:rPr>
                <w:i/>
                <w:iCs/>
                <w:sz w:val="20"/>
                <w:lang w:val="fr-CA"/>
              </w:rPr>
              <w:t>Mikerlson Vernelus c. Sa Majesté le Roi </w:t>
            </w:r>
            <w:r w:rsidRPr="00506748">
              <w:rPr>
                <w:iCs/>
                <w:sz w:val="20"/>
                <w:lang w:val="fr-CA"/>
              </w:rPr>
              <w:t>(Qc) (Criminelle) (De plein droit) (</w:t>
            </w:r>
            <w:hyperlink r:id="rId46" w:history="1">
              <w:r w:rsidRPr="00506748">
                <w:rPr>
                  <w:rStyle w:val="Hyperlink"/>
                  <w:iCs/>
                  <w:sz w:val="20"/>
                  <w:lang w:val="fr-CA"/>
                </w:rPr>
                <w:t>40072</w:t>
              </w:r>
            </w:hyperlink>
            <w:r w:rsidRPr="00506748">
              <w:rPr>
                <w:iCs/>
                <w:sz w:val="20"/>
                <w:lang w:val="fr-CA"/>
              </w:rPr>
              <w:t>)</w:t>
            </w:r>
          </w:p>
        </w:tc>
      </w:tr>
      <w:tr w:rsidR="00102792" w:rsidRPr="00506748" w:rsidTr="00C23C61">
        <w:tc>
          <w:tcPr>
            <w:tcW w:w="2397" w:type="dxa"/>
            <w:tcMar>
              <w:top w:w="58" w:type="dxa"/>
              <w:left w:w="58" w:type="dxa"/>
              <w:bottom w:w="58" w:type="dxa"/>
              <w:right w:w="58" w:type="dxa"/>
            </w:tcMar>
            <w:hideMark/>
          </w:tcPr>
          <w:p w:rsidR="00102792" w:rsidRPr="00506748" w:rsidRDefault="00102792" w:rsidP="003E4966">
            <w:pPr>
              <w:rPr>
                <w:color w:val="000000"/>
              </w:rPr>
            </w:pPr>
            <w:r w:rsidRPr="00506748">
              <w:rPr>
                <w:color w:val="000000"/>
                <w:sz w:val="20"/>
                <w:szCs w:val="20"/>
              </w:rPr>
              <w:t>20</w:t>
            </w:r>
            <w:r w:rsidR="00172473" w:rsidRPr="00506748">
              <w:rPr>
                <w:color w:val="000000"/>
                <w:sz w:val="20"/>
                <w:szCs w:val="20"/>
              </w:rPr>
              <w:t>2</w:t>
            </w:r>
            <w:r w:rsidR="00E8642A" w:rsidRPr="00506748">
              <w:rPr>
                <w:color w:val="000000"/>
                <w:sz w:val="20"/>
                <w:szCs w:val="20"/>
              </w:rPr>
              <w:t>2</w:t>
            </w:r>
            <w:r w:rsidRPr="00506748">
              <w:rPr>
                <w:color w:val="000000"/>
                <w:sz w:val="20"/>
                <w:szCs w:val="20"/>
              </w:rPr>
              <w:t>-</w:t>
            </w:r>
            <w:r w:rsidR="00C23C61" w:rsidRPr="00506748">
              <w:rPr>
                <w:color w:val="000000"/>
                <w:sz w:val="20"/>
                <w:szCs w:val="20"/>
              </w:rPr>
              <w:t>12</w:t>
            </w:r>
            <w:r w:rsidRPr="00506748">
              <w:rPr>
                <w:color w:val="000000"/>
                <w:sz w:val="20"/>
                <w:szCs w:val="20"/>
              </w:rPr>
              <w:t>-</w:t>
            </w:r>
            <w:r w:rsidR="003E4966" w:rsidRPr="00506748">
              <w:rPr>
                <w:color w:val="000000"/>
                <w:sz w:val="20"/>
                <w:szCs w:val="20"/>
              </w:rPr>
              <w:t>07 - 2022-12-08</w:t>
            </w:r>
          </w:p>
        </w:tc>
        <w:tc>
          <w:tcPr>
            <w:tcW w:w="7173" w:type="dxa"/>
            <w:tcMar>
              <w:top w:w="58" w:type="dxa"/>
              <w:left w:w="58" w:type="dxa"/>
              <w:bottom w:w="58" w:type="dxa"/>
              <w:right w:w="58" w:type="dxa"/>
            </w:tcMar>
            <w:hideMark/>
          </w:tcPr>
          <w:p w:rsidR="00102792" w:rsidRPr="00506748" w:rsidRDefault="00364F54">
            <w:pPr>
              <w:rPr>
                <w:color w:val="000000"/>
                <w:lang w:val="fr-CA"/>
              </w:rPr>
            </w:pPr>
            <w:r w:rsidRPr="00506748">
              <w:rPr>
                <w:i/>
                <w:iCs/>
                <w:sz w:val="20"/>
                <w:lang w:val="fr-CA"/>
              </w:rPr>
              <w:t>Procureur général du Québec, et al. c. Procureur général du Canada, et al.</w:t>
            </w:r>
            <w:r w:rsidRPr="00506748">
              <w:rPr>
                <w:iCs/>
                <w:sz w:val="20"/>
                <w:lang w:val="fr-CA"/>
              </w:rPr>
              <w:t> </w:t>
            </w:r>
            <w:r w:rsidRPr="00506748">
              <w:rPr>
                <w:iCs/>
                <w:sz w:val="20"/>
              </w:rPr>
              <w:t>(Qc) (Civile) (De plein droit) (</w:t>
            </w:r>
            <w:hyperlink r:id="rId47" w:history="1">
              <w:r w:rsidRPr="00506748">
                <w:rPr>
                  <w:rStyle w:val="Hyperlink"/>
                  <w:iCs/>
                  <w:sz w:val="20"/>
                </w:rPr>
                <w:t>40061</w:t>
              </w:r>
            </w:hyperlink>
            <w:r w:rsidRPr="00506748">
              <w:rPr>
                <w:iCs/>
                <w:sz w:val="20"/>
              </w:rPr>
              <w:t>)</w:t>
            </w:r>
          </w:p>
        </w:tc>
      </w:tr>
    </w:tbl>
    <w:p w:rsidR="00102792" w:rsidRPr="00506748" w:rsidRDefault="00102792" w:rsidP="00102792">
      <w:pPr>
        <w:rPr>
          <w:color w:val="000000"/>
          <w:sz w:val="20"/>
          <w:szCs w:val="20"/>
        </w:rPr>
      </w:pPr>
    </w:p>
    <w:p w:rsidR="00102792" w:rsidRPr="00506748" w:rsidRDefault="00102792" w:rsidP="00102792">
      <w:pPr>
        <w:jc w:val="both"/>
        <w:rPr>
          <w:color w:val="000000"/>
          <w:sz w:val="20"/>
          <w:szCs w:val="20"/>
        </w:rPr>
      </w:pPr>
      <w:r w:rsidRPr="00506748">
        <w:rPr>
          <w:b/>
          <w:bCs/>
          <w:color w:val="000000"/>
          <w:sz w:val="20"/>
          <w:szCs w:val="20"/>
        </w:rPr>
        <w:t>NOTE:</w:t>
      </w:r>
      <w:r w:rsidRPr="00506748">
        <w:rPr>
          <w:color w:val="000000"/>
          <w:sz w:val="20"/>
          <w:szCs w:val="20"/>
        </w:rPr>
        <w:t> This agenda is subject to change. Hearings normally commence at 9:30 a.m.</w:t>
      </w:r>
      <w:r w:rsidR="00172473" w:rsidRPr="00506748">
        <w:rPr>
          <w:color w:val="000000"/>
          <w:sz w:val="20"/>
          <w:szCs w:val="20"/>
        </w:rPr>
        <w:t>, ET</w:t>
      </w:r>
      <w:r w:rsidRPr="00506748">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506748" w:rsidRDefault="00102792" w:rsidP="00102792">
      <w:pPr>
        <w:jc w:val="both"/>
        <w:rPr>
          <w:color w:val="000000"/>
          <w:sz w:val="20"/>
          <w:szCs w:val="20"/>
        </w:rPr>
      </w:pPr>
    </w:p>
    <w:p w:rsidR="00102792" w:rsidRPr="00506748" w:rsidRDefault="00102792" w:rsidP="00102792">
      <w:pPr>
        <w:jc w:val="both"/>
        <w:rPr>
          <w:color w:val="000000"/>
          <w:sz w:val="20"/>
          <w:szCs w:val="20"/>
          <w:lang w:val="fr-CA"/>
        </w:rPr>
      </w:pPr>
      <w:r w:rsidRPr="00506748">
        <w:rPr>
          <w:color w:val="000000"/>
          <w:sz w:val="20"/>
          <w:szCs w:val="20"/>
          <w:lang w:val="fr-CA"/>
        </w:rPr>
        <w:t>Ce calendrier est sujet à modification. Les audiences débutent normalement à 9h30</w:t>
      </w:r>
      <w:r w:rsidR="00172473" w:rsidRPr="00506748">
        <w:rPr>
          <w:color w:val="000000"/>
          <w:sz w:val="20"/>
          <w:szCs w:val="20"/>
          <w:lang w:val="fr-CA"/>
        </w:rPr>
        <w:t>, HE</w:t>
      </w:r>
      <w:r w:rsidRPr="00506748">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506748" w:rsidRDefault="00102792" w:rsidP="00102792">
      <w:pPr>
        <w:jc w:val="both"/>
        <w:rPr>
          <w:color w:val="000000"/>
          <w:sz w:val="20"/>
          <w:szCs w:val="20"/>
          <w:lang w:val="fr-CA"/>
        </w:rPr>
      </w:pPr>
    </w:p>
    <w:p w:rsidR="00102792" w:rsidRPr="00506748" w:rsidRDefault="00C9268A" w:rsidP="00102792">
      <w:pPr>
        <w:rPr>
          <w:color w:val="000000"/>
          <w:sz w:val="20"/>
          <w:szCs w:val="20"/>
          <w:lang w:val="fr-CA"/>
        </w:rPr>
      </w:pPr>
      <w:r>
        <w:rPr>
          <w:sz w:val="20"/>
        </w:rPr>
        <w:pict>
          <v:rect id="_x0000_i1053" style="width:2in;height:1pt" o:hrpct="0" o:hralign="center" o:hrstd="t" o:hrnoshade="t" o:hr="t" fillcolor="black [3213]" stroked="f"/>
        </w:pict>
      </w:r>
    </w:p>
    <w:p w:rsidR="00364F54" w:rsidRPr="00506748" w:rsidRDefault="00364F54" w:rsidP="00364F54">
      <w:pPr>
        <w:pStyle w:val="SCCLsocParty"/>
        <w:jc w:val="both"/>
        <w:rPr>
          <w:sz w:val="20"/>
          <w:szCs w:val="20"/>
        </w:rPr>
      </w:pPr>
    </w:p>
    <w:p w:rsidR="00364F54" w:rsidRPr="00506748" w:rsidRDefault="00364F54" w:rsidP="00364F54">
      <w:pPr>
        <w:widowControl w:val="0"/>
        <w:tabs>
          <w:tab w:val="left" w:pos="990"/>
        </w:tabs>
        <w:ind w:left="1440" w:hanging="1440"/>
        <w:jc w:val="both"/>
        <w:rPr>
          <w:b/>
          <w:i/>
          <w:sz w:val="20"/>
          <w:szCs w:val="20"/>
        </w:rPr>
      </w:pPr>
      <w:r w:rsidRPr="00506748">
        <w:rPr>
          <w:b/>
          <w:sz w:val="20"/>
          <w:szCs w:val="20"/>
        </w:rPr>
        <w:fldChar w:fldCharType="begin"/>
      </w:r>
      <w:r w:rsidRPr="00506748">
        <w:rPr>
          <w:b/>
          <w:sz w:val="20"/>
          <w:szCs w:val="20"/>
        </w:rPr>
        <w:instrText xml:space="preserve"> SEQ CHAPTER \h \r 1</w:instrText>
      </w:r>
      <w:r w:rsidRPr="00506748">
        <w:rPr>
          <w:b/>
          <w:sz w:val="20"/>
          <w:szCs w:val="20"/>
        </w:rPr>
        <w:fldChar w:fldCharType="end"/>
      </w:r>
      <w:r w:rsidRPr="00506748">
        <w:rPr>
          <w:b/>
          <w:sz w:val="20"/>
          <w:szCs w:val="20"/>
        </w:rPr>
        <w:t>39855</w:t>
      </w:r>
      <w:r w:rsidRPr="00506748">
        <w:rPr>
          <w:sz w:val="20"/>
          <w:szCs w:val="20"/>
        </w:rPr>
        <w:tab/>
      </w:r>
      <w:r w:rsidRPr="00506748">
        <w:rPr>
          <w:b/>
          <w:i/>
          <w:sz w:val="20"/>
          <w:szCs w:val="20"/>
        </w:rPr>
        <w:t>Earl Mason v. Minister of Citizenship and Immigration</w:t>
      </w:r>
    </w:p>
    <w:p w:rsidR="00364F54" w:rsidRPr="00506748" w:rsidRDefault="00364F54" w:rsidP="00364F54">
      <w:pPr>
        <w:widowControl w:val="0"/>
        <w:tabs>
          <w:tab w:val="left" w:pos="990"/>
        </w:tabs>
        <w:ind w:left="990" w:hanging="450"/>
        <w:jc w:val="both"/>
        <w:rPr>
          <w:b/>
          <w:i/>
          <w:sz w:val="20"/>
          <w:szCs w:val="20"/>
        </w:rPr>
      </w:pPr>
      <w:r w:rsidRPr="00506748">
        <w:rPr>
          <w:b/>
          <w:sz w:val="20"/>
          <w:szCs w:val="20"/>
        </w:rPr>
        <w:tab/>
      </w:r>
      <w:r w:rsidRPr="00506748">
        <w:rPr>
          <w:b/>
          <w:i/>
          <w:sz w:val="20"/>
          <w:szCs w:val="20"/>
        </w:rPr>
        <w:t>- and -</w:t>
      </w:r>
    </w:p>
    <w:p w:rsidR="00364F54" w:rsidRPr="00506748" w:rsidRDefault="00364F54" w:rsidP="00364F54">
      <w:pPr>
        <w:widowControl w:val="0"/>
        <w:ind w:left="990" w:hanging="450"/>
        <w:jc w:val="both"/>
        <w:rPr>
          <w:i/>
          <w:sz w:val="20"/>
          <w:szCs w:val="20"/>
        </w:rPr>
      </w:pPr>
      <w:r w:rsidRPr="00506748">
        <w:rPr>
          <w:b/>
          <w:i/>
          <w:sz w:val="20"/>
          <w:szCs w:val="20"/>
        </w:rPr>
        <w:tab/>
        <w:t>Seifeslam Dleiow v. Minister of Citizenship and Immigration</w:t>
      </w:r>
    </w:p>
    <w:p w:rsidR="00364F54" w:rsidRPr="00506748" w:rsidRDefault="00364F54" w:rsidP="00364F54">
      <w:pPr>
        <w:widowControl w:val="0"/>
        <w:tabs>
          <w:tab w:val="left" w:pos="990"/>
        </w:tabs>
        <w:ind w:left="990" w:hanging="450"/>
        <w:jc w:val="both"/>
        <w:rPr>
          <w:sz w:val="20"/>
          <w:szCs w:val="20"/>
        </w:rPr>
      </w:pPr>
      <w:r w:rsidRPr="00506748">
        <w:rPr>
          <w:sz w:val="20"/>
          <w:szCs w:val="20"/>
        </w:rPr>
        <w:tab/>
        <w:t>(F</w:t>
      </w:r>
      <w:r w:rsidRPr="00506748">
        <w:rPr>
          <w:sz w:val="20"/>
        </w:rPr>
        <w:t>.</w:t>
      </w:r>
      <w:r w:rsidRPr="00506748">
        <w:rPr>
          <w:sz w:val="20"/>
          <w:szCs w:val="20"/>
        </w:rPr>
        <w:t>C</w:t>
      </w:r>
      <w:r w:rsidRPr="00506748">
        <w:rPr>
          <w:sz w:val="20"/>
        </w:rPr>
        <w:t>.</w:t>
      </w:r>
      <w:r w:rsidRPr="00506748">
        <w:rPr>
          <w:sz w:val="20"/>
          <w:szCs w:val="20"/>
        </w:rPr>
        <w:t>) (Civil) (By Leave)</w:t>
      </w:r>
    </w:p>
    <w:p w:rsidR="00364F54" w:rsidRPr="00506748" w:rsidRDefault="00364F54" w:rsidP="00364F54">
      <w:pPr>
        <w:widowControl w:val="0"/>
        <w:jc w:val="both"/>
        <w:rPr>
          <w:sz w:val="20"/>
          <w:szCs w:val="20"/>
        </w:rPr>
      </w:pPr>
    </w:p>
    <w:p w:rsidR="00364F54" w:rsidRPr="00506748" w:rsidRDefault="00364F54" w:rsidP="00364F54">
      <w:pPr>
        <w:widowControl w:val="0"/>
        <w:jc w:val="both"/>
        <w:rPr>
          <w:sz w:val="20"/>
          <w:szCs w:val="20"/>
        </w:rPr>
      </w:pPr>
      <w:r w:rsidRPr="00506748">
        <w:rPr>
          <w:sz w:val="20"/>
          <w:szCs w:val="20"/>
        </w:rPr>
        <w:t xml:space="preserve">Immigration — Inadmissibility on security grounds for “engaging in acts of violence that would or might endanger the lives or safety of persons in Canada” — Judicial review — Interpretation of s. 34(1)(e) of </w:t>
      </w:r>
      <w:r w:rsidRPr="00506748">
        <w:rPr>
          <w:i/>
          <w:sz w:val="20"/>
          <w:szCs w:val="20"/>
        </w:rPr>
        <w:t>Immigration and Refugee Protection Act</w:t>
      </w:r>
      <w:r w:rsidRPr="00506748">
        <w:rPr>
          <w:sz w:val="20"/>
          <w:szCs w:val="20"/>
        </w:rPr>
        <w:t>, S.C. 2001, c. 27 (IRPA) — Whether reasonable interpretation of s. 34(1)(e) of IRPA requires national security nexus — Whether s. 34(1)(e) of IRPA can apply to conduct that does not require a nexus to “national security” or “security of Canada” — How should reviewing courts determine whether a legislative provision can bear only one reasonable interpretation and what constraints will bear on this assessment — Whether Federal Court of Appeal erred in overturning Federal Court’s findings that tribunal decisions were unreasonable.</w:t>
      </w:r>
    </w:p>
    <w:p w:rsidR="00364F54" w:rsidRPr="00506748" w:rsidRDefault="00364F54" w:rsidP="00364F54">
      <w:pPr>
        <w:widowControl w:val="0"/>
        <w:jc w:val="both"/>
        <w:rPr>
          <w:sz w:val="20"/>
          <w:szCs w:val="20"/>
        </w:rPr>
      </w:pPr>
    </w:p>
    <w:p w:rsidR="00364F54" w:rsidRPr="00506748" w:rsidRDefault="00364F54" w:rsidP="00364F54">
      <w:pPr>
        <w:widowControl w:val="0"/>
        <w:jc w:val="both"/>
        <w:rPr>
          <w:sz w:val="20"/>
          <w:szCs w:val="20"/>
        </w:rPr>
      </w:pPr>
      <w:r w:rsidRPr="00506748">
        <w:rPr>
          <w:sz w:val="20"/>
          <w:szCs w:val="20"/>
        </w:rPr>
        <w:t xml:space="preserve">Section 34(1)(e) of </w:t>
      </w:r>
      <w:r w:rsidRPr="00506748">
        <w:rPr>
          <w:i/>
          <w:sz w:val="20"/>
          <w:szCs w:val="20"/>
        </w:rPr>
        <w:t>Immigration and Refugee Protection Act</w:t>
      </w:r>
      <w:r w:rsidRPr="00506748">
        <w:rPr>
          <w:sz w:val="20"/>
          <w:szCs w:val="20"/>
        </w:rPr>
        <w:t xml:space="preserve">, S.C. 2001, c. 27 (“IRPA”) provides that permanent residents or foreign nationals are “inadmissible on security grounds” for “engaging in acts of violence that would or might endanger the lives or safety of persons in Canada”. The Minister alleged that both appellants were foreign nationals who were inadmissible under s. 34(1)(e) of the IRPA.  </w:t>
      </w:r>
    </w:p>
    <w:p w:rsidR="00364F54" w:rsidRPr="00506748" w:rsidRDefault="00364F54" w:rsidP="00364F54">
      <w:pPr>
        <w:widowControl w:val="0"/>
        <w:jc w:val="both"/>
        <w:rPr>
          <w:sz w:val="20"/>
          <w:szCs w:val="20"/>
        </w:rPr>
      </w:pPr>
    </w:p>
    <w:p w:rsidR="00364F54" w:rsidRPr="00506748" w:rsidRDefault="00364F54" w:rsidP="00364F54">
      <w:pPr>
        <w:widowControl w:val="0"/>
        <w:jc w:val="both"/>
        <w:rPr>
          <w:sz w:val="20"/>
          <w:szCs w:val="20"/>
        </w:rPr>
      </w:pPr>
      <w:r w:rsidRPr="00506748">
        <w:rPr>
          <w:sz w:val="20"/>
          <w:szCs w:val="20"/>
        </w:rPr>
        <w:t>The issue before the Immigration Board and the Immigration Appeal Division was whether s. 34(1)(e) applied only where there is a connection to national security. Both agreed with the Minister that it did not. In their view, s. 34(1)(e) operates whether or not there is a connection to national security.</w:t>
      </w:r>
    </w:p>
    <w:p w:rsidR="00364F54" w:rsidRPr="00506748" w:rsidRDefault="00364F54" w:rsidP="00364F54">
      <w:pPr>
        <w:widowControl w:val="0"/>
        <w:jc w:val="both"/>
        <w:rPr>
          <w:sz w:val="20"/>
          <w:szCs w:val="20"/>
        </w:rPr>
      </w:pPr>
    </w:p>
    <w:p w:rsidR="00364F54" w:rsidRPr="00506748" w:rsidRDefault="00364F54" w:rsidP="00364F54">
      <w:pPr>
        <w:widowControl w:val="0"/>
        <w:jc w:val="both"/>
        <w:rPr>
          <w:sz w:val="20"/>
          <w:szCs w:val="20"/>
        </w:rPr>
      </w:pPr>
      <w:r w:rsidRPr="00506748">
        <w:rPr>
          <w:sz w:val="20"/>
          <w:szCs w:val="20"/>
        </w:rPr>
        <w:t>On judicial review, the Federal Court quashed the decisions in the two cases.</w:t>
      </w:r>
    </w:p>
    <w:p w:rsidR="00364F54" w:rsidRPr="00506748" w:rsidRDefault="00364F54" w:rsidP="00364F54">
      <w:pPr>
        <w:widowControl w:val="0"/>
        <w:jc w:val="both"/>
        <w:rPr>
          <w:sz w:val="20"/>
          <w:szCs w:val="20"/>
        </w:rPr>
      </w:pPr>
    </w:p>
    <w:p w:rsidR="00364F54" w:rsidRPr="00506748" w:rsidRDefault="00364F54" w:rsidP="00364F54">
      <w:pPr>
        <w:widowControl w:val="0"/>
        <w:jc w:val="both"/>
        <w:rPr>
          <w:sz w:val="20"/>
          <w:szCs w:val="20"/>
        </w:rPr>
      </w:pPr>
      <w:r w:rsidRPr="00506748">
        <w:rPr>
          <w:sz w:val="20"/>
          <w:szCs w:val="20"/>
        </w:rPr>
        <w:t>Both cases were heard together at the Federal Court of Appeal. It allowed the appeals, set aside the judgments of the Federal Court and dismissed the applications for judicial review. It found the administrative interpretation of s. 34(1)(e) was reasonable and answered the following certified question:</w:t>
      </w:r>
    </w:p>
    <w:p w:rsidR="00364F54" w:rsidRPr="00506748" w:rsidRDefault="00364F54" w:rsidP="00364F54">
      <w:pPr>
        <w:widowControl w:val="0"/>
        <w:jc w:val="both"/>
        <w:rPr>
          <w:sz w:val="20"/>
          <w:szCs w:val="20"/>
        </w:rPr>
      </w:pPr>
    </w:p>
    <w:p w:rsidR="00364F54" w:rsidRPr="00506748" w:rsidRDefault="00364F54" w:rsidP="00364F54">
      <w:pPr>
        <w:widowControl w:val="0"/>
        <w:ind w:left="720"/>
        <w:jc w:val="both"/>
        <w:rPr>
          <w:sz w:val="20"/>
          <w:szCs w:val="20"/>
        </w:rPr>
      </w:pPr>
      <w:r w:rsidRPr="00506748">
        <w:rPr>
          <w:sz w:val="20"/>
          <w:szCs w:val="20"/>
        </w:rPr>
        <w:t xml:space="preserve">Q.: Is it reasonable to interpret para. 34(1)(e) of the </w:t>
      </w:r>
      <w:r w:rsidRPr="00506748">
        <w:rPr>
          <w:i/>
          <w:sz w:val="20"/>
          <w:szCs w:val="20"/>
        </w:rPr>
        <w:t>Immigration and Refugee Protection Act</w:t>
      </w:r>
      <w:r w:rsidRPr="00506748">
        <w:rPr>
          <w:sz w:val="20"/>
          <w:szCs w:val="20"/>
        </w:rPr>
        <w:t xml:space="preserve"> in a manner that does not require proof of conduct that has a nexus with “national security” or the “security of Canada”?</w:t>
      </w:r>
    </w:p>
    <w:p w:rsidR="00364F54" w:rsidRPr="00506748" w:rsidRDefault="00364F54" w:rsidP="00364F54">
      <w:pPr>
        <w:widowControl w:val="0"/>
        <w:ind w:left="720"/>
        <w:jc w:val="both"/>
        <w:rPr>
          <w:sz w:val="20"/>
          <w:szCs w:val="20"/>
        </w:rPr>
      </w:pPr>
    </w:p>
    <w:p w:rsidR="00364F54" w:rsidRPr="00506748" w:rsidRDefault="00364F54" w:rsidP="00364F54">
      <w:pPr>
        <w:widowControl w:val="0"/>
        <w:ind w:left="720"/>
        <w:jc w:val="both"/>
        <w:rPr>
          <w:sz w:val="20"/>
          <w:szCs w:val="20"/>
        </w:rPr>
      </w:pPr>
      <w:r w:rsidRPr="00506748">
        <w:rPr>
          <w:sz w:val="20"/>
          <w:szCs w:val="20"/>
        </w:rPr>
        <w:t>A. Yes.</w:t>
      </w:r>
    </w:p>
    <w:p w:rsidR="00364F54" w:rsidRPr="00506748" w:rsidRDefault="00364F54" w:rsidP="00364F54">
      <w:pPr>
        <w:widowControl w:val="0"/>
        <w:jc w:val="both"/>
        <w:rPr>
          <w:sz w:val="20"/>
        </w:rPr>
      </w:pPr>
    </w:p>
    <w:p w:rsidR="00364F54" w:rsidRPr="00506748" w:rsidRDefault="00C9268A" w:rsidP="00364F54">
      <w:pPr>
        <w:widowControl w:val="0"/>
        <w:jc w:val="both"/>
        <w:rPr>
          <w:sz w:val="20"/>
        </w:rPr>
      </w:pPr>
      <w:r>
        <w:rPr>
          <w:sz w:val="20"/>
        </w:rPr>
        <w:pict>
          <v:rect id="_x0000_i1054" style="width:2in;height:1pt" o:hrpct="0" o:hralign="center" o:hrstd="t" o:hrnoshade="t" o:hr="t" fillcolor="black [3213]" stroked="f"/>
        </w:pict>
      </w:r>
    </w:p>
    <w:p w:rsidR="00364F54" w:rsidRPr="00506748" w:rsidRDefault="00364F54" w:rsidP="00364F54">
      <w:pPr>
        <w:widowControl w:val="0"/>
        <w:jc w:val="both"/>
        <w:rPr>
          <w:sz w:val="20"/>
        </w:rPr>
      </w:pPr>
    </w:p>
    <w:p w:rsidR="00364F54" w:rsidRPr="00506748" w:rsidRDefault="00364F54" w:rsidP="00364F54">
      <w:pPr>
        <w:pStyle w:val="SCCLsocParty"/>
        <w:jc w:val="both"/>
        <w:rPr>
          <w:b/>
          <w:i/>
          <w:sz w:val="20"/>
          <w:szCs w:val="20"/>
        </w:rPr>
      </w:pPr>
      <w:r w:rsidRPr="00506748">
        <w:rPr>
          <w:rStyle w:val="SCCFileNumberChar"/>
          <w:sz w:val="20"/>
          <w:szCs w:val="20"/>
          <w:lang w:val="fr-CA"/>
        </w:rPr>
        <w:t>39855</w:t>
      </w:r>
      <w:r w:rsidRPr="00506748">
        <w:rPr>
          <w:rStyle w:val="SCCFileNumberChar"/>
          <w:sz w:val="20"/>
          <w:szCs w:val="20"/>
          <w:lang w:val="fr-CA"/>
        </w:rPr>
        <w:tab/>
      </w:r>
      <w:r w:rsidRPr="00506748">
        <w:rPr>
          <w:b/>
          <w:i/>
          <w:sz w:val="20"/>
          <w:szCs w:val="20"/>
        </w:rPr>
        <w:t>Earl Mason c. Ministre de la Citoyenneté et de l’Immigration</w:t>
      </w:r>
    </w:p>
    <w:p w:rsidR="00364F54" w:rsidRPr="00506748" w:rsidRDefault="00364F54" w:rsidP="00364F54">
      <w:pPr>
        <w:pStyle w:val="SCCLsocSubfileSeparator0"/>
        <w:ind w:firstLine="720"/>
        <w:rPr>
          <w:i/>
          <w:sz w:val="20"/>
          <w:szCs w:val="20"/>
          <w:lang w:val="fr-CA"/>
        </w:rPr>
      </w:pPr>
      <w:r w:rsidRPr="00506748">
        <w:rPr>
          <w:i/>
          <w:sz w:val="20"/>
          <w:szCs w:val="20"/>
          <w:lang w:val="fr-CA"/>
        </w:rPr>
        <w:t>- et -</w:t>
      </w:r>
    </w:p>
    <w:p w:rsidR="00364F54" w:rsidRPr="00506748" w:rsidRDefault="00364F54" w:rsidP="00364F54">
      <w:pPr>
        <w:pStyle w:val="SCCLsocParty"/>
        <w:ind w:firstLine="720"/>
        <w:jc w:val="both"/>
        <w:rPr>
          <w:b/>
          <w:i/>
          <w:sz w:val="20"/>
          <w:szCs w:val="20"/>
        </w:rPr>
      </w:pPr>
      <w:r w:rsidRPr="00506748">
        <w:rPr>
          <w:b/>
          <w:i/>
          <w:sz w:val="20"/>
          <w:szCs w:val="20"/>
        </w:rPr>
        <w:t>Seifeslam Dleiow c. Ministre de la Citoyenneté et de l’Immigration</w:t>
      </w:r>
    </w:p>
    <w:p w:rsidR="00364F54" w:rsidRPr="00506748" w:rsidRDefault="00364F54" w:rsidP="00364F54">
      <w:pPr>
        <w:widowControl w:val="0"/>
        <w:ind w:firstLine="720"/>
        <w:jc w:val="both"/>
        <w:rPr>
          <w:sz w:val="20"/>
          <w:szCs w:val="20"/>
          <w:lang w:val="fr-CA"/>
        </w:rPr>
      </w:pPr>
      <w:r w:rsidRPr="00506748">
        <w:rPr>
          <w:sz w:val="20"/>
          <w:szCs w:val="20"/>
          <w:lang w:val="fr-CA"/>
        </w:rPr>
        <w:t>(C</w:t>
      </w:r>
      <w:r w:rsidRPr="00506748">
        <w:rPr>
          <w:sz w:val="20"/>
          <w:lang w:val="fr-CA"/>
        </w:rPr>
        <w:t>.</w:t>
      </w:r>
      <w:r w:rsidRPr="00506748">
        <w:rPr>
          <w:sz w:val="20"/>
          <w:szCs w:val="20"/>
          <w:lang w:val="fr-CA"/>
        </w:rPr>
        <w:t>F</w:t>
      </w:r>
      <w:r w:rsidRPr="00506748">
        <w:rPr>
          <w:sz w:val="20"/>
          <w:lang w:val="fr-CA"/>
        </w:rPr>
        <w:t>.</w:t>
      </w:r>
      <w:r w:rsidRPr="00506748">
        <w:rPr>
          <w:sz w:val="20"/>
          <w:szCs w:val="20"/>
          <w:lang w:val="fr-CA"/>
        </w:rPr>
        <w:t>) (Civile) (Autorisation)</w:t>
      </w:r>
    </w:p>
    <w:p w:rsidR="00364F54" w:rsidRPr="00506748" w:rsidRDefault="00364F54" w:rsidP="00364F54">
      <w:pPr>
        <w:widowControl w:val="0"/>
        <w:jc w:val="both"/>
        <w:rPr>
          <w:sz w:val="20"/>
          <w:lang w:val="fr-CA"/>
        </w:rPr>
      </w:pPr>
    </w:p>
    <w:p w:rsidR="00364F54" w:rsidRPr="00506748" w:rsidRDefault="00364F54" w:rsidP="00364F54">
      <w:pPr>
        <w:widowControl w:val="0"/>
        <w:jc w:val="both"/>
        <w:rPr>
          <w:sz w:val="20"/>
          <w:lang w:val="fr-CA"/>
        </w:rPr>
      </w:pPr>
      <w:r w:rsidRPr="00506748">
        <w:rPr>
          <w:sz w:val="20"/>
          <w:szCs w:val="20"/>
          <w:lang w:val="fr-CA"/>
        </w:rPr>
        <w:t xml:space="preserve">Immigration — Interdiction de territoire pour des raisons de sécurité pour « l’auteur de tout acte de violence susceptible de mettre en danger la vie ou la sécurité d’autrui au Canada » — Contrôle judiciaire — Interprétation de l’al. 34(1)e) de la </w:t>
      </w:r>
      <w:r w:rsidRPr="00506748">
        <w:rPr>
          <w:i/>
          <w:sz w:val="20"/>
          <w:szCs w:val="20"/>
          <w:lang w:val="fr-CA"/>
        </w:rPr>
        <w:t>Loi sur l’immigration et la protection des réfugiés</w:t>
      </w:r>
      <w:r w:rsidRPr="00506748">
        <w:rPr>
          <w:sz w:val="20"/>
          <w:szCs w:val="20"/>
          <w:lang w:val="fr-CA"/>
        </w:rPr>
        <w:t>, L.C. 2001, c. 27 (LIPR) — L’interprétation raisonnable de l’al. 34(1)e) de la LIPR exige</w:t>
      </w:r>
      <w:r w:rsidRPr="00506748">
        <w:rPr>
          <w:sz w:val="20"/>
          <w:szCs w:val="20"/>
          <w:lang w:val="fr-CA"/>
        </w:rPr>
        <w:noBreakHyphen/>
        <w:t>t</w:t>
      </w:r>
      <w:r w:rsidRPr="00506748">
        <w:rPr>
          <w:sz w:val="20"/>
          <w:szCs w:val="20"/>
          <w:lang w:val="fr-CA"/>
        </w:rPr>
        <w:noBreakHyphen/>
        <w:t>elle un lien à la sécurité nationale? — L’alinéa 34(1)e) de la LIPR peut</w:t>
      </w:r>
      <w:r w:rsidRPr="00506748">
        <w:rPr>
          <w:sz w:val="20"/>
          <w:szCs w:val="20"/>
          <w:lang w:val="fr-CA"/>
        </w:rPr>
        <w:noBreakHyphen/>
        <w:t>il s’appliquer à une conduite qui n’exige pas de lien à la « sécurité nationale » ou à la « sécurité du Canada »? — Comment les tribunaux chargés du contrôle judiciaire devraient</w:t>
      </w:r>
      <w:r w:rsidRPr="00506748">
        <w:rPr>
          <w:sz w:val="20"/>
          <w:szCs w:val="20"/>
          <w:lang w:val="fr-CA"/>
        </w:rPr>
        <w:noBreakHyphen/>
        <w:t>ils déterminer si une disposition législative peut seulement être interprétée raisonnablement d’une manière et quelles contraintes pèseront sur cet examen? — La Cour d’appel fédérale a-t-elle commis une erreur en invalidant les conclusions de la Cour fédérale portant que les décisions du tribunal étaient déraisonnables?</w:t>
      </w:r>
    </w:p>
    <w:p w:rsidR="00364F54" w:rsidRPr="00506748" w:rsidRDefault="00364F54" w:rsidP="00364F54">
      <w:pPr>
        <w:widowControl w:val="0"/>
        <w:jc w:val="both"/>
        <w:rPr>
          <w:sz w:val="20"/>
          <w:lang w:val="fr-CA"/>
        </w:rPr>
      </w:pPr>
    </w:p>
    <w:p w:rsidR="00364F54" w:rsidRPr="00506748" w:rsidRDefault="00364F54" w:rsidP="00364F54">
      <w:pPr>
        <w:jc w:val="both"/>
        <w:rPr>
          <w:sz w:val="20"/>
          <w:szCs w:val="20"/>
          <w:lang w:val="fr-CA"/>
        </w:rPr>
      </w:pPr>
      <w:r w:rsidRPr="00506748">
        <w:rPr>
          <w:sz w:val="20"/>
          <w:szCs w:val="20"/>
          <w:lang w:val="fr-CA"/>
        </w:rPr>
        <w:t xml:space="preserve">L’al. 34(1)e) de la </w:t>
      </w:r>
      <w:r w:rsidRPr="00506748">
        <w:rPr>
          <w:i/>
          <w:sz w:val="20"/>
          <w:szCs w:val="20"/>
          <w:lang w:val="fr-CA"/>
        </w:rPr>
        <w:t>Loi sur l’immigration et la protection des réfugiés</w:t>
      </w:r>
      <w:r w:rsidRPr="00506748">
        <w:rPr>
          <w:sz w:val="20"/>
          <w:szCs w:val="20"/>
          <w:lang w:val="fr-CA"/>
        </w:rPr>
        <w:t>, L.C. 2001, c. 27 (« LIPR ») dispose que : « Emportent interdiction de territoire pour raison de sécurité » le fait d’être « l’auteur de tout acte de violence susceptible de mettre en danger la vie ou la sécurité d’autrui au Canada ». Le ministre allègue que les deux appelants sont des étrangers qui sont interdits de territoire sur le fondement de l’al. 34(1)e) de la LIPR.</w:t>
      </w:r>
    </w:p>
    <w:p w:rsidR="00364F54" w:rsidRPr="00506748" w:rsidRDefault="00364F54" w:rsidP="00364F54">
      <w:pPr>
        <w:jc w:val="both"/>
        <w:rPr>
          <w:sz w:val="20"/>
          <w:szCs w:val="20"/>
          <w:lang w:val="fr-CA"/>
        </w:rPr>
      </w:pPr>
    </w:p>
    <w:p w:rsidR="00364F54" w:rsidRPr="00506748" w:rsidRDefault="00364F54" w:rsidP="00364F54">
      <w:pPr>
        <w:jc w:val="both"/>
        <w:rPr>
          <w:sz w:val="20"/>
          <w:szCs w:val="20"/>
          <w:lang w:val="fr-CA"/>
        </w:rPr>
      </w:pPr>
      <w:r w:rsidRPr="00506748">
        <w:rPr>
          <w:sz w:val="20"/>
          <w:szCs w:val="20"/>
          <w:lang w:val="fr-CA"/>
        </w:rPr>
        <w:t>La question dont la Commission de l’immigration et la Section d’appel de l’immigration étaient saisies est celle de savoir si l’al. 34(1)e) s’applique seulement si la conduite a un lien à la sécurité nationale. Les deux décideurs étaient d’accord avec le ministre que tel n’était pas le cas. À leur avis, l’al. 34(1)e) s’applique qu’il y ait ou non un lien à la sécurité nationale.</w:t>
      </w:r>
    </w:p>
    <w:p w:rsidR="00364F54" w:rsidRPr="00506748" w:rsidRDefault="00364F54" w:rsidP="00364F54">
      <w:pPr>
        <w:jc w:val="both"/>
        <w:rPr>
          <w:sz w:val="20"/>
          <w:szCs w:val="20"/>
          <w:lang w:val="fr-CA"/>
        </w:rPr>
      </w:pPr>
    </w:p>
    <w:p w:rsidR="00364F54" w:rsidRPr="00506748" w:rsidRDefault="00364F54" w:rsidP="00364F54">
      <w:pPr>
        <w:jc w:val="both"/>
        <w:rPr>
          <w:sz w:val="20"/>
          <w:szCs w:val="20"/>
          <w:lang w:val="fr-CA"/>
        </w:rPr>
      </w:pPr>
      <w:r w:rsidRPr="00506748">
        <w:rPr>
          <w:sz w:val="20"/>
          <w:szCs w:val="20"/>
          <w:lang w:val="fr-CA"/>
        </w:rPr>
        <w:t>Lors du contrôle judiciaire, la Cour fédérale a annulé les décisions dans les deux affaires.</w:t>
      </w:r>
    </w:p>
    <w:p w:rsidR="00364F54" w:rsidRPr="00506748" w:rsidRDefault="00364F54" w:rsidP="00364F54">
      <w:pPr>
        <w:jc w:val="both"/>
        <w:rPr>
          <w:sz w:val="20"/>
          <w:szCs w:val="20"/>
          <w:lang w:val="fr-CA"/>
        </w:rPr>
      </w:pPr>
    </w:p>
    <w:p w:rsidR="00364F54" w:rsidRPr="00506748" w:rsidRDefault="00364F54" w:rsidP="00364F54">
      <w:pPr>
        <w:jc w:val="both"/>
        <w:rPr>
          <w:sz w:val="20"/>
          <w:lang w:val="fr-CA"/>
        </w:rPr>
      </w:pPr>
      <w:r w:rsidRPr="00506748">
        <w:rPr>
          <w:sz w:val="20"/>
          <w:szCs w:val="20"/>
          <w:lang w:val="fr-CA"/>
        </w:rPr>
        <w:t>Les deux affaires ont été entendues ensemble à la Cour d’appel fédérale. Cette dernière a accueilli les appels, annulé les décisions de la Cour fédérale et rejeté les demandes de contrôle judiciaire. Elle a conclu que l’interprétation administrative de l’al. 34(1)e) était raisonnable et a répondu ainsi à la question certifiée :</w:t>
      </w:r>
    </w:p>
    <w:p w:rsidR="00364F54" w:rsidRPr="00506748" w:rsidRDefault="00364F54" w:rsidP="00364F54">
      <w:pPr>
        <w:jc w:val="both"/>
        <w:rPr>
          <w:sz w:val="20"/>
          <w:szCs w:val="20"/>
          <w:lang w:val="fr-CA"/>
        </w:rPr>
      </w:pPr>
    </w:p>
    <w:p w:rsidR="00364F54" w:rsidRPr="00506748" w:rsidRDefault="00364F54" w:rsidP="00364F54">
      <w:pPr>
        <w:pStyle w:val="Quote"/>
        <w:ind w:left="709"/>
        <w:jc w:val="both"/>
        <w:rPr>
          <w:sz w:val="20"/>
          <w:lang w:val="fr-CA"/>
        </w:rPr>
      </w:pPr>
      <w:r w:rsidRPr="00506748">
        <w:rPr>
          <w:sz w:val="20"/>
          <w:lang w:val="fr-CA"/>
        </w:rPr>
        <w:t>Q. : Est</w:t>
      </w:r>
      <w:r w:rsidRPr="00506748">
        <w:rPr>
          <w:sz w:val="20"/>
          <w:lang w:val="fr-CA"/>
        </w:rPr>
        <w:noBreakHyphen/>
        <w:t xml:space="preserve">il raisonnable d’interpréter l’al. 34(1)e) de la Loi sur l’immigration et la protection des réfugiés, d’une manière qui n’exige pas la preuve d’une conduite liée à la « sécurité nationale » ou à la « sécurité du Canada »? </w:t>
      </w:r>
    </w:p>
    <w:p w:rsidR="006666D9" w:rsidRPr="00506748" w:rsidRDefault="006666D9" w:rsidP="006666D9">
      <w:pPr>
        <w:rPr>
          <w:lang w:val="fr-CA" w:eastAsia="en-CA"/>
        </w:rPr>
      </w:pPr>
    </w:p>
    <w:p w:rsidR="00364F54" w:rsidRPr="00506748" w:rsidRDefault="00364F54" w:rsidP="00364F54">
      <w:pPr>
        <w:widowControl w:val="0"/>
        <w:ind w:left="709"/>
        <w:jc w:val="both"/>
        <w:rPr>
          <w:sz w:val="20"/>
          <w:lang w:val="fr-CA"/>
        </w:rPr>
      </w:pPr>
      <w:r w:rsidRPr="00506748">
        <w:rPr>
          <w:sz w:val="20"/>
          <w:szCs w:val="20"/>
          <w:lang w:val="fr-CA"/>
        </w:rPr>
        <w:t>R. : Oui.</w:t>
      </w:r>
    </w:p>
    <w:p w:rsidR="00364F54" w:rsidRPr="00506748" w:rsidRDefault="00364F54" w:rsidP="00364F54">
      <w:pPr>
        <w:widowControl w:val="0"/>
        <w:jc w:val="both"/>
        <w:rPr>
          <w:sz w:val="20"/>
          <w:szCs w:val="20"/>
          <w:lang w:val="fr-CA"/>
        </w:rPr>
      </w:pPr>
    </w:p>
    <w:p w:rsidR="00364F54" w:rsidRPr="00506748" w:rsidRDefault="00C9268A" w:rsidP="00364F54">
      <w:pPr>
        <w:jc w:val="both"/>
        <w:rPr>
          <w:sz w:val="20"/>
          <w:szCs w:val="20"/>
          <w:lang w:val="fr-CA"/>
        </w:rPr>
      </w:pPr>
      <w:r>
        <w:rPr>
          <w:sz w:val="20"/>
        </w:rPr>
        <w:pict>
          <v:rect id="_x0000_i1055" style="width:2in;height:1pt" o:hrpct="0" o:hralign="center" o:hrstd="t" o:hrnoshade="t" o:hr="t" fillcolor="black [3213]" stroked="f"/>
        </w:pict>
      </w:r>
    </w:p>
    <w:p w:rsidR="00364F54" w:rsidRPr="00506748" w:rsidRDefault="00364F54" w:rsidP="00364F54">
      <w:pPr>
        <w:jc w:val="both"/>
        <w:rPr>
          <w:sz w:val="20"/>
          <w:szCs w:val="20"/>
          <w:lang w:val="fr-CA"/>
        </w:rPr>
      </w:pPr>
    </w:p>
    <w:p w:rsidR="00364F54" w:rsidRPr="00506748" w:rsidRDefault="00364F54">
      <w:pPr>
        <w:rPr>
          <w:b/>
          <w:sz w:val="20"/>
          <w:szCs w:val="20"/>
        </w:rPr>
      </w:pPr>
      <w:r w:rsidRPr="00506748">
        <w:rPr>
          <w:b/>
          <w:sz w:val="20"/>
          <w:szCs w:val="20"/>
        </w:rPr>
        <w:br w:type="page"/>
      </w:r>
    </w:p>
    <w:p w:rsidR="00364F54" w:rsidRPr="00506748" w:rsidRDefault="00364F54" w:rsidP="00364F54">
      <w:pPr>
        <w:widowControl w:val="0"/>
        <w:tabs>
          <w:tab w:val="left" w:pos="720"/>
        </w:tabs>
        <w:ind w:left="1440" w:hanging="1440"/>
        <w:jc w:val="both"/>
        <w:rPr>
          <w:b/>
          <w:i/>
          <w:sz w:val="20"/>
          <w:szCs w:val="20"/>
        </w:rPr>
      </w:pPr>
      <w:r w:rsidRPr="00506748">
        <w:rPr>
          <w:b/>
          <w:sz w:val="20"/>
          <w:szCs w:val="20"/>
        </w:rPr>
        <w:fldChar w:fldCharType="begin"/>
      </w:r>
      <w:r w:rsidRPr="00506748">
        <w:rPr>
          <w:b/>
          <w:sz w:val="20"/>
          <w:szCs w:val="20"/>
        </w:rPr>
        <w:instrText xml:space="preserve"> SEQ CHAPTER \h \r 1</w:instrText>
      </w:r>
      <w:r w:rsidRPr="00506748">
        <w:rPr>
          <w:b/>
          <w:sz w:val="20"/>
          <w:szCs w:val="20"/>
        </w:rPr>
        <w:fldChar w:fldCharType="end"/>
      </w:r>
      <w:r w:rsidRPr="00506748">
        <w:rPr>
          <w:b/>
          <w:sz w:val="20"/>
          <w:szCs w:val="20"/>
        </w:rPr>
        <w:t>40090</w:t>
      </w:r>
      <w:r w:rsidRPr="00506748">
        <w:rPr>
          <w:sz w:val="20"/>
          <w:szCs w:val="20"/>
        </w:rPr>
        <w:tab/>
      </w:r>
      <w:r w:rsidRPr="00506748">
        <w:rPr>
          <w:b/>
          <w:i/>
          <w:sz w:val="20"/>
          <w:szCs w:val="20"/>
        </w:rPr>
        <w:t>Ryan David Clark v. H</w:t>
      </w:r>
      <w:r w:rsidRPr="00506748">
        <w:rPr>
          <w:b/>
          <w:i/>
          <w:sz w:val="20"/>
        </w:rPr>
        <w:t>is</w:t>
      </w:r>
      <w:r w:rsidRPr="00506748">
        <w:rPr>
          <w:b/>
          <w:i/>
          <w:sz w:val="20"/>
          <w:szCs w:val="20"/>
        </w:rPr>
        <w:t xml:space="preserve"> Majesty the </w:t>
      </w:r>
      <w:r w:rsidRPr="00506748">
        <w:rPr>
          <w:b/>
          <w:i/>
          <w:sz w:val="20"/>
        </w:rPr>
        <w:t>King</w:t>
      </w:r>
    </w:p>
    <w:p w:rsidR="00364F54" w:rsidRPr="00506748" w:rsidRDefault="00364F54" w:rsidP="00364F54">
      <w:pPr>
        <w:widowControl w:val="0"/>
        <w:tabs>
          <w:tab w:val="left" w:pos="720"/>
        </w:tabs>
        <w:ind w:left="1440" w:hanging="1440"/>
        <w:jc w:val="both"/>
        <w:rPr>
          <w:sz w:val="20"/>
          <w:szCs w:val="20"/>
        </w:rPr>
      </w:pPr>
      <w:r w:rsidRPr="00506748">
        <w:rPr>
          <w:sz w:val="20"/>
          <w:szCs w:val="20"/>
        </w:rPr>
        <w:tab/>
        <w:t>(Sask.) (Criminal) (As of Right)</w:t>
      </w:r>
    </w:p>
    <w:p w:rsidR="00364F54" w:rsidRPr="00506748" w:rsidRDefault="00364F54" w:rsidP="00364F54">
      <w:pPr>
        <w:widowControl w:val="0"/>
        <w:jc w:val="both"/>
        <w:rPr>
          <w:sz w:val="20"/>
          <w:szCs w:val="20"/>
        </w:rPr>
      </w:pPr>
    </w:p>
    <w:p w:rsidR="00364F54" w:rsidRPr="00506748" w:rsidRDefault="00364F54" w:rsidP="00364F54">
      <w:pPr>
        <w:jc w:val="both"/>
        <w:rPr>
          <w:sz w:val="20"/>
          <w:szCs w:val="20"/>
        </w:rPr>
      </w:pPr>
      <w:r w:rsidRPr="00506748">
        <w:rPr>
          <w:sz w:val="20"/>
          <w:szCs w:val="20"/>
        </w:rPr>
        <w:t>Criminal law — Charge to jury — Eyewitness evidence — Identification — In-court identification — Caution — Whether the trial judge erred in not providing an adequate jury instruction or caution alerting jurors that a witness’s testimony had limited value for the purposes of identifying the assailant who killed the victim, and that this witness’s in court identification of the appellant had no evidentiary value — Whether the trial judge erred in not providing an adequate jury instruction or caution on the problematic nature of another witness’s in-court identification of the appellant, and that it would be dangerous to attribute to this identification any degree of certainty greater than what she had communicated to police prior — Whether the majority of the Court of Appeal erred in law by concluding the instructions on eyewitness identification evidence did not give rise to reversible legal error.</w:t>
      </w:r>
    </w:p>
    <w:p w:rsidR="00364F54" w:rsidRPr="00506748" w:rsidRDefault="00364F54" w:rsidP="00364F54">
      <w:pPr>
        <w:widowControl w:val="0"/>
        <w:tabs>
          <w:tab w:val="left" w:pos="938"/>
        </w:tabs>
        <w:jc w:val="both"/>
        <w:rPr>
          <w:sz w:val="20"/>
          <w:szCs w:val="20"/>
        </w:rPr>
      </w:pPr>
    </w:p>
    <w:p w:rsidR="00364F54" w:rsidRPr="00506748" w:rsidRDefault="00364F54" w:rsidP="00364F54">
      <w:pPr>
        <w:widowControl w:val="0"/>
        <w:tabs>
          <w:tab w:val="left" w:pos="938"/>
        </w:tabs>
        <w:jc w:val="both"/>
        <w:rPr>
          <w:sz w:val="20"/>
          <w:szCs w:val="20"/>
        </w:rPr>
      </w:pPr>
      <w:r w:rsidRPr="00506748">
        <w:rPr>
          <w:sz w:val="20"/>
          <w:szCs w:val="20"/>
        </w:rPr>
        <w:t xml:space="preserve">Before the Saskatchewan Court of Queen’s Bench, the appellant, Ryan David Clark, was convicted by a jury of second degree murder. The main issue at trial was the identity of the person who had beaten the deceased to death. </w:t>
      </w:r>
    </w:p>
    <w:p w:rsidR="00364F54" w:rsidRPr="00506748" w:rsidRDefault="00364F54" w:rsidP="00364F54">
      <w:pPr>
        <w:widowControl w:val="0"/>
        <w:tabs>
          <w:tab w:val="left" w:pos="938"/>
        </w:tabs>
        <w:jc w:val="both"/>
        <w:rPr>
          <w:sz w:val="20"/>
          <w:szCs w:val="20"/>
        </w:rPr>
      </w:pPr>
    </w:p>
    <w:p w:rsidR="00364F54" w:rsidRPr="00506748" w:rsidRDefault="00364F54" w:rsidP="00364F54">
      <w:pPr>
        <w:widowControl w:val="0"/>
        <w:tabs>
          <w:tab w:val="left" w:pos="938"/>
        </w:tabs>
        <w:jc w:val="both"/>
        <w:rPr>
          <w:sz w:val="20"/>
          <w:szCs w:val="20"/>
        </w:rPr>
      </w:pPr>
      <w:r w:rsidRPr="00506748">
        <w:rPr>
          <w:sz w:val="20"/>
          <w:szCs w:val="20"/>
        </w:rPr>
        <w:t xml:space="preserve">On appeal, Mr. Clark argued that the trial judge erred by failing to address the frailties of eyewitness evidence in his instructions to the jury, particularly with regard to in-court identification by two witnesses. He also argued that the trial judge </w:t>
      </w:r>
      <w:r w:rsidRPr="00506748">
        <w:rPr>
          <w:color w:val="000000"/>
          <w:sz w:val="20"/>
          <w:szCs w:val="20"/>
        </w:rPr>
        <w:t xml:space="preserve">erred by allowing other witnesses to provide bad character and post-offence conduct evidence and by failing to adequately caution the jury in relation to that testimony </w:t>
      </w:r>
      <w:r w:rsidRPr="00506748">
        <w:rPr>
          <w:sz w:val="20"/>
          <w:szCs w:val="20"/>
        </w:rPr>
        <w:t xml:space="preserve">and that the verdict was unreasonable. A majority of the Court of Appeal dismissed the appeal. The jury instructions properly equipped the jury to understand its task in evaluating all of the eyewitness identification evidence, including the in-court identification. It was adequately prepared to examine the frailties of the evidence of the two particular witnesses and to determine if it would accept their testimony as credible and reliable in accordance with the law. The trial judge also did not err in regard to post-offence conduct and bad character evidence and the verdict was not unreasonable. </w:t>
      </w:r>
    </w:p>
    <w:p w:rsidR="00364F54" w:rsidRPr="00506748" w:rsidRDefault="00364F54" w:rsidP="00364F54">
      <w:pPr>
        <w:widowControl w:val="0"/>
        <w:tabs>
          <w:tab w:val="left" w:pos="938"/>
        </w:tabs>
        <w:jc w:val="both"/>
        <w:rPr>
          <w:sz w:val="20"/>
          <w:szCs w:val="20"/>
        </w:rPr>
      </w:pPr>
    </w:p>
    <w:p w:rsidR="00364F54" w:rsidRPr="00506748" w:rsidRDefault="00364F54" w:rsidP="00364F54">
      <w:pPr>
        <w:widowControl w:val="0"/>
        <w:tabs>
          <w:tab w:val="left" w:pos="938"/>
        </w:tabs>
        <w:jc w:val="both"/>
        <w:rPr>
          <w:sz w:val="20"/>
          <w:szCs w:val="20"/>
        </w:rPr>
      </w:pPr>
      <w:r w:rsidRPr="00506748">
        <w:rPr>
          <w:sz w:val="20"/>
          <w:szCs w:val="20"/>
        </w:rPr>
        <w:t xml:space="preserve">In dissent, Leurer J.A. would have allowed Mr. Clark’s appeal and ordered a new trial. In his view, the jury charge did not adequately equip the jurors to deal with the frailties of the in-court eyewitness identification evidence in this case. </w:t>
      </w:r>
    </w:p>
    <w:p w:rsidR="00364F54" w:rsidRPr="00506748" w:rsidRDefault="00364F54" w:rsidP="00364F54">
      <w:pPr>
        <w:widowControl w:val="0"/>
        <w:jc w:val="both"/>
        <w:rPr>
          <w:sz w:val="20"/>
        </w:rPr>
      </w:pPr>
    </w:p>
    <w:p w:rsidR="00364F54" w:rsidRPr="00506748" w:rsidRDefault="00C9268A" w:rsidP="00364F54">
      <w:pPr>
        <w:widowControl w:val="0"/>
        <w:jc w:val="both"/>
        <w:rPr>
          <w:sz w:val="20"/>
        </w:rPr>
      </w:pPr>
      <w:r>
        <w:rPr>
          <w:sz w:val="20"/>
        </w:rPr>
        <w:pict>
          <v:rect id="_x0000_i1056" style="width:2in;height:1pt" o:hrpct="0" o:hralign="center" o:hrstd="t" o:hrnoshade="t" o:hr="t" fillcolor="black [3213]" stroked="f"/>
        </w:pict>
      </w:r>
    </w:p>
    <w:p w:rsidR="00364F54" w:rsidRPr="00506748" w:rsidRDefault="00364F54" w:rsidP="00364F54">
      <w:pPr>
        <w:widowControl w:val="0"/>
        <w:jc w:val="both"/>
        <w:rPr>
          <w:sz w:val="20"/>
          <w:szCs w:val="20"/>
        </w:rPr>
      </w:pPr>
    </w:p>
    <w:p w:rsidR="00364F54" w:rsidRPr="00506748" w:rsidRDefault="00364F54" w:rsidP="00364F54">
      <w:pPr>
        <w:widowControl w:val="0"/>
        <w:tabs>
          <w:tab w:val="left" w:pos="720"/>
        </w:tabs>
        <w:ind w:left="1440" w:hanging="1440"/>
        <w:jc w:val="both"/>
        <w:rPr>
          <w:b/>
          <w:i/>
          <w:sz w:val="20"/>
          <w:szCs w:val="20"/>
          <w:lang w:val="fr-CA"/>
        </w:rPr>
      </w:pPr>
      <w:r w:rsidRPr="00506748">
        <w:rPr>
          <w:b/>
          <w:sz w:val="20"/>
          <w:szCs w:val="20"/>
        </w:rPr>
        <w:fldChar w:fldCharType="begin"/>
      </w:r>
      <w:r w:rsidRPr="00506748">
        <w:rPr>
          <w:b/>
          <w:sz w:val="20"/>
          <w:szCs w:val="20"/>
          <w:lang w:val="fr-CA"/>
        </w:rPr>
        <w:instrText xml:space="preserve"> SEQ CHAPTER \h \r 1</w:instrText>
      </w:r>
      <w:r w:rsidRPr="00506748">
        <w:rPr>
          <w:b/>
          <w:sz w:val="20"/>
          <w:szCs w:val="20"/>
        </w:rPr>
        <w:fldChar w:fldCharType="end"/>
      </w:r>
      <w:r w:rsidRPr="00506748">
        <w:rPr>
          <w:b/>
          <w:sz w:val="20"/>
          <w:szCs w:val="20"/>
          <w:lang w:val="fr-CA"/>
        </w:rPr>
        <w:t>40090</w:t>
      </w:r>
      <w:r w:rsidRPr="00506748">
        <w:rPr>
          <w:sz w:val="20"/>
          <w:szCs w:val="20"/>
          <w:lang w:val="fr-CA"/>
        </w:rPr>
        <w:tab/>
      </w:r>
      <w:r w:rsidRPr="00506748">
        <w:rPr>
          <w:b/>
          <w:i/>
          <w:sz w:val="20"/>
          <w:szCs w:val="20"/>
          <w:lang w:val="fr-CA"/>
        </w:rPr>
        <w:t>Ryan David Clark c. Sa Majesté l</w:t>
      </w:r>
      <w:r w:rsidRPr="00506748">
        <w:rPr>
          <w:b/>
          <w:i/>
          <w:sz w:val="20"/>
          <w:lang w:val="fr-CA"/>
        </w:rPr>
        <w:t>e</w:t>
      </w:r>
      <w:r w:rsidRPr="00506748">
        <w:rPr>
          <w:b/>
          <w:i/>
          <w:sz w:val="20"/>
          <w:szCs w:val="20"/>
          <w:lang w:val="fr-CA"/>
        </w:rPr>
        <w:t xml:space="preserve"> R</w:t>
      </w:r>
      <w:r w:rsidRPr="00506748">
        <w:rPr>
          <w:b/>
          <w:i/>
          <w:sz w:val="20"/>
          <w:lang w:val="fr-CA"/>
        </w:rPr>
        <w:t>o</w:t>
      </w:r>
      <w:r w:rsidRPr="00506748">
        <w:rPr>
          <w:b/>
          <w:i/>
          <w:sz w:val="20"/>
          <w:szCs w:val="20"/>
          <w:lang w:val="fr-CA"/>
        </w:rPr>
        <w:t>i</w:t>
      </w:r>
    </w:p>
    <w:p w:rsidR="00364F54" w:rsidRPr="00506748" w:rsidRDefault="00364F54" w:rsidP="00364F54">
      <w:pPr>
        <w:widowControl w:val="0"/>
        <w:tabs>
          <w:tab w:val="left" w:pos="720"/>
        </w:tabs>
        <w:ind w:left="1440" w:hanging="1440"/>
        <w:jc w:val="both"/>
        <w:rPr>
          <w:sz w:val="20"/>
          <w:szCs w:val="20"/>
          <w:lang w:val="fr-CA"/>
        </w:rPr>
      </w:pPr>
      <w:r w:rsidRPr="00506748">
        <w:rPr>
          <w:sz w:val="20"/>
          <w:szCs w:val="20"/>
          <w:lang w:val="fr-CA"/>
        </w:rPr>
        <w:tab/>
        <w:t>(Sask.) (Criminelle) (De plein droit)</w:t>
      </w:r>
    </w:p>
    <w:p w:rsidR="00364F54" w:rsidRPr="00506748" w:rsidRDefault="00364F54" w:rsidP="00364F54">
      <w:pPr>
        <w:widowControl w:val="0"/>
        <w:jc w:val="both"/>
        <w:rPr>
          <w:sz w:val="20"/>
          <w:szCs w:val="20"/>
          <w:lang w:val="fr-CA"/>
        </w:rPr>
      </w:pPr>
    </w:p>
    <w:p w:rsidR="00364F54" w:rsidRPr="00506748" w:rsidRDefault="00364F54" w:rsidP="00364F54">
      <w:pPr>
        <w:widowControl w:val="0"/>
        <w:jc w:val="both"/>
        <w:rPr>
          <w:sz w:val="20"/>
          <w:szCs w:val="20"/>
          <w:lang w:val="fr-CA"/>
        </w:rPr>
      </w:pPr>
      <w:r w:rsidRPr="00506748">
        <w:rPr>
          <w:sz w:val="20"/>
          <w:szCs w:val="20"/>
          <w:lang w:val="fr-CA"/>
        </w:rPr>
        <w:t>Droit criminel — Exposé au jury — Déposition d’un témoin oculaire — Identification — Identification à l’audience — Mise en garde — Le juge du procès a</w:t>
      </w:r>
      <w:r w:rsidRPr="00506748">
        <w:rPr>
          <w:sz w:val="20"/>
          <w:szCs w:val="20"/>
          <w:lang w:val="fr-CA"/>
        </w:rPr>
        <w:noBreakHyphen/>
        <w:t>t</w:t>
      </w:r>
      <w:r w:rsidRPr="00506748">
        <w:rPr>
          <w:sz w:val="20"/>
          <w:szCs w:val="20"/>
          <w:lang w:val="fr-CA"/>
        </w:rPr>
        <w:noBreakHyphen/>
        <w:t>il commis une erreur en ne donnant pas de mise en garde au jury ou de directives adéquates afin d’alerter les jurés sur le fait que le témoignage donné par un témoin avait une valeur limitée aux fins de l’identification de l’assaillant qui a tué la victime, et que l’identification de l’appelant à l’audience par ce témoin n’avait pas de valeur probante? — Le juge du procès a</w:t>
      </w:r>
      <w:r w:rsidRPr="00506748">
        <w:rPr>
          <w:sz w:val="20"/>
          <w:szCs w:val="20"/>
          <w:lang w:val="fr-CA"/>
        </w:rPr>
        <w:noBreakHyphen/>
        <w:t>t</w:t>
      </w:r>
      <w:r w:rsidRPr="00506748">
        <w:rPr>
          <w:sz w:val="20"/>
          <w:szCs w:val="20"/>
          <w:lang w:val="fr-CA"/>
        </w:rPr>
        <w:noBreakHyphen/>
        <w:t>il commis une erreur en ne donnant pas de mise en garde au jury ou de directives adéquates sur le caractère problématique d’une autre témoin en ce qui a trait à l’identification de l’appelant à l’audience, et sur le fait qu’il serait dangereux d’attribuer à cette identification tout degré de certitude plus grand que ce que cette personne avait antérieurement communiqué à la police? — Les juges majoritaires de la Cour d’appel ont-ils commis une erreur de droit en concluant que les directives sur la preuve d’identification par un témoin oculaire ne constituaient pas une erreur de droit donnant lieu à révision?</w:t>
      </w:r>
    </w:p>
    <w:p w:rsidR="00364F54" w:rsidRPr="00506748" w:rsidRDefault="00364F54" w:rsidP="00364F54">
      <w:pPr>
        <w:widowControl w:val="0"/>
        <w:tabs>
          <w:tab w:val="left" w:pos="938"/>
        </w:tabs>
        <w:jc w:val="both"/>
        <w:rPr>
          <w:sz w:val="20"/>
          <w:szCs w:val="20"/>
          <w:lang w:val="fr-CA"/>
        </w:rPr>
      </w:pPr>
    </w:p>
    <w:p w:rsidR="00364F54" w:rsidRPr="00506748" w:rsidRDefault="00364F54" w:rsidP="00364F54">
      <w:pPr>
        <w:widowControl w:val="0"/>
        <w:tabs>
          <w:tab w:val="left" w:pos="938"/>
        </w:tabs>
        <w:jc w:val="both"/>
        <w:rPr>
          <w:sz w:val="20"/>
          <w:szCs w:val="20"/>
          <w:lang w:val="fr-CA"/>
        </w:rPr>
      </w:pPr>
      <w:r w:rsidRPr="00506748">
        <w:rPr>
          <w:sz w:val="20"/>
          <w:szCs w:val="20"/>
          <w:lang w:val="fr-CA"/>
        </w:rPr>
        <w:t>L’appelant, Ryan David Clark, a été déclaré coupable de meurtre au deuxième degré par un jury à la Cour du banc de la Reine de la Saskatchewan. La principale question lors du procès concernait l’identité de la personne qui avait battu le défunt à mort.</w:t>
      </w:r>
    </w:p>
    <w:p w:rsidR="00364F54" w:rsidRPr="00506748" w:rsidRDefault="00364F54" w:rsidP="00364F54">
      <w:pPr>
        <w:widowControl w:val="0"/>
        <w:tabs>
          <w:tab w:val="left" w:pos="938"/>
        </w:tabs>
        <w:jc w:val="both"/>
        <w:rPr>
          <w:sz w:val="20"/>
          <w:szCs w:val="20"/>
          <w:lang w:val="fr-CA"/>
        </w:rPr>
      </w:pPr>
    </w:p>
    <w:p w:rsidR="00364F54" w:rsidRPr="00506748" w:rsidRDefault="00364F54">
      <w:pPr>
        <w:rPr>
          <w:sz w:val="20"/>
          <w:szCs w:val="20"/>
          <w:lang w:val="fr-CA"/>
        </w:rPr>
      </w:pPr>
      <w:r w:rsidRPr="00506748">
        <w:rPr>
          <w:sz w:val="20"/>
          <w:szCs w:val="20"/>
          <w:lang w:val="fr-CA"/>
        </w:rPr>
        <w:br w:type="page"/>
      </w:r>
    </w:p>
    <w:p w:rsidR="00364F54" w:rsidRPr="00506748" w:rsidRDefault="00364F54" w:rsidP="00364F54">
      <w:pPr>
        <w:widowControl w:val="0"/>
        <w:tabs>
          <w:tab w:val="left" w:pos="938"/>
        </w:tabs>
        <w:jc w:val="both"/>
        <w:rPr>
          <w:sz w:val="20"/>
          <w:szCs w:val="20"/>
          <w:lang w:val="fr-CA"/>
        </w:rPr>
      </w:pPr>
      <w:r w:rsidRPr="00506748">
        <w:rPr>
          <w:sz w:val="20"/>
          <w:szCs w:val="20"/>
          <w:lang w:val="fr-CA"/>
        </w:rPr>
        <w:t>En appel, M. Clark a plaidé que le juge du procès a commis une erreur en omettant de souligner les faiblesses de la preuve du témoin oculaire dans les directives qu’il a données au jury, en particulier en ce qui concerne l’identification à l’audience faite par deux témoins. Il a aussi plaidé que le juge du procès a commis une erreur en permettant à d’autres témoins de donner des témoignages sur le mauvais caractère et sur la conduite postérieure à l’infraction, et en omettant de mettre adéquatement en garde le jury relativement à ce témoignage, et il a plaidé que le verdict était déraisonnable. Les juges majoritaires de la Cour d’appel ont rejeté l’appel. Les directives données au jury ont adéquatement outillé le jury pour qu’il comprenne sa tâche d’évaluation de la preuve de l’identification par des témoins oculaires, y compris l’identification à l’audience. Le jury était adéquatement préparé à examiner les faiblesses de la preuve de deux témoins en particulier et à déterminer s’il acceptait leurs témoignages comme étant crédibles et fiables, conformément au droit. Le juge du procès n’a pas non plus commis d’erreur en ce qui a trait à la conduite postérieure à l’infraction et à la preuve du mauvais caractère, et le verdict n’était pas déraisonnable.</w:t>
      </w:r>
    </w:p>
    <w:p w:rsidR="00364F54" w:rsidRPr="00506748" w:rsidRDefault="00364F54" w:rsidP="00364F54">
      <w:pPr>
        <w:widowControl w:val="0"/>
        <w:tabs>
          <w:tab w:val="left" w:pos="938"/>
        </w:tabs>
        <w:jc w:val="both"/>
        <w:rPr>
          <w:sz w:val="20"/>
          <w:szCs w:val="20"/>
          <w:lang w:val="fr-CA"/>
        </w:rPr>
      </w:pPr>
    </w:p>
    <w:p w:rsidR="00364F54" w:rsidRPr="00506748" w:rsidRDefault="00364F54" w:rsidP="00364F54">
      <w:pPr>
        <w:widowControl w:val="0"/>
        <w:tabs>
          <w:tab w:val="left" w:pos="938"/>
        </w:tabs>
        <w:jc w:val="both"/>
        <w:rPr>
          <w:sz w:val="20"/>
          <w:szCs w:val="20"/>
          <w:lang w:val="fr-CA"/>
        </w:rPr>
      </w:pPr>
      <w:r w:rsidRPr="00506748">
        <w:rPr>
          <w:sz w:val="20"/>
          <w:szCs w:val="20"/>
          <w:lang w:val="fr-CA"/>
        </w:rPr>
        <w:t>Le juge d’appel Leurer, dissident, aurait accueilli l’appel de M. Clark et aurait ordonné la tenue d’un nouveau procès. Selon lui, l’exposé au jury n’a pas adéquatement outillé les jurés pour qu’ils traitent des faiblesses de la preuve de l’identification à l’audience par des témoins oculaires, en l’espèce.</w:t>
      </w:r>
    </w:p>
    <w:p w:rsidR="00364F54" w:rsidRPr="00506748" w:rsidRDefault="00364F54" w:rsidP="00364F54">
      <w:pPr>
        <w:widowControl w:val="0"/>
        <w:jc w:val="both"/>
        <w:rPr>
          <w:sz w:val="20"/>
          <w:lang w:val="fr-CA"/>
        </w:rPr>
      </w:pPr>
    </w:p>
    <w:p w:rsidR="00364F54" w:rsidRPr="00506748" w:rsidRDefault="00C9268A" w:rsidP="00364F54">
      <w:pPr>
        <w:widowControl w:val="0"/>
        <w:jc w:val="both"/>
        <w:rPr>
          <w:sz w:val="20"/>
          <w:szCs w:val="20"/>
          <w:lang w:val="fr-CA"/>
        </w:rPr>
      </w:pPr>
      <w:r>
        <w:rPr>
          <w:sz w:val="20"/>
        </w:rPr>
        <w:pict>
          <v:rect id="_x0000_i1057" style="width:2in;height:1pt" o:hrpct="0" o:hralign="center" o:hrstd="t" o:hrnoshade="t" o:hr="t" fillcolor="black [3213]" stroked="f"/>
        </w:pict>
      </w:r>
    </w:p>
    <w:p w:rsidR="00364F54" w:rsidRPr="00506748" w:rsidRDefault="00364F54" w:rsidP="00364F54">
      <w:pPr>
        <w:jc w:val="both"/>
        <w:rPr>
          <w:sz w:val="20"/>
          <w:szCs w:val="20"/>
          <w:lang w:val="fr-CA"/>
        </w:rPr>
      </w:pPr>
    </w:p>
    <w:p w:rsidR="00364F54" w:rsidRPr="00506748" w:rsidRDefault="00364F54" w:rsidP="00364F54">
      <w:pPr>
        <w:widowControl w:val="0"/>
        <w:tabs>
          <w:tab w:val="left" w:pos="720"/>
        </w:tabs>
        <w:ind w:left="1440" w:hanging="1440"/>
        <w:jc w:val="both"/>
        <w:rPr>
          <w:b/>
          <w:i/>
          <w:sz w:val="20"/>
          <w:szCs w:val="20"/>
        </w:rPr>
      </w:pPr>
      <w:r w:rsidRPr="00506748">
        <w:rPr>
          <w:b/>
          <w:sz w:val="20"/>
          <w:szCs w:val="20"/>
        </w:rPr>
        <w:fldChar w:fldCharType="begin"/>
      </w:r>
      <w:r w:rsidRPr="00506748">
        <w:rPr>
          <w:b/>
          <w:sz w:val="20"/>
          <w:szCs w:val="20"/>
        </w:rPr>
        <w:instrText xml:space="preserve"> SEQ CHAPTER \h \r 1</w:instrText>
      </w:r>
      <w:r w:rsidRPr="00506748">
        <w:rPr>
          <w:b/>
          <w:sz w:val="20"/>
          <w:szCs w:val="20"/>
        </w:rPr>
        <w:fldChar w:fldCharType="end"/>
      </w:r>
      <w:r w:rsidRPr="00506748">
        <w:rPr>
          <w:b/>
          <w:sz w:val="20"/>
          <w:szCs w:val="20"/>
        </w:rPr>
        <w:t>40039</w:t>
      </w:r>
      <w:r w:rsidRPr="00506748">
        <w:rPr>
          <w:sz w:val="20"/>
          <w:szCs w:val="20"/>
        </w:rPr>
        <w:tab/>
      </w:r>
      <w:r w:rsidRPr="00506748">
        <w:rPr>
          <w:b/>
          <w:i/>
          <w:sz w:val="20"/>
          <w:szCs w:val="20"/>
        </w:rPr>
        <w:t>D.R. v. H</w:t>
      </w:r>
      <w:r w:rsidRPr="00506748">
        <w:rPr>
          <w:b/>
          <w:i/>
          <w:sz w:val="20"/>
        </w:rPr>
        <w:t>is</w:t>
      </w:r>
      <w:r w:rsidRPr="00506748">
        <w:rPr>
          <w:b/>
          <w:i/>
          <w:sz w:val="20"/>
          <w:szCs w:val="20"/>
        </w:rPr>
        <w:t xml:space="preserve"> Majesty the </w:t>
      </w:r>
      <w:r w:rsidRPr="00506748">
        <w:rPr>
          <w:b/>
          <w:i/>
          <w:sz w:val="20"/>
        </w:rPr>
        <w:t>King</w:t>
      </w:r>
    </w:p>
    <w:p w:rsidR="00364F54" w:rsidRPr="00506748" w:rsidRDefault="00364F54" w:rsidP="00364F54">
      <w:pPr>
        <w:widowControl w:val="0"/>
        <w:tabs>
          <w:tab w:val="left" w:pos="720"/>
        </w:tabs>
        <w:ind w:left="1440" w:hanging="1440"/>
        <w:jc w:val="both"/>
        <w:rPr>
          <w:sz w:val="20"/>
          <w:szCs w:val="20"/>
        </w:rPr>
      </w:pPr>
      <w:r w:rsidRPr="00506748">
        <w:rPr>
          <w:sz w:val="20"/>
          <w:szCs w:val="20"/>
        </w:rPr>
        <w:tab/>
        <w:t>(N.L.) (Criminal) (As of Right)</w:t>
      </w:r>
    </w:p>
    <w:p w:rsidR="00364F54" w:rsidRPr="00506748" w:rsidRDefault="00364F54" w:rsidP="00364F54">
      <w:pPr>
        <w:widowControl w:val="0"/>
        <w:jc w:val="both"/>
        <w:rPr>
          <w:sz w:val="20"/>
          <w:szCs w:val="20"/>
        </w:rPr>
      </w:pPr>
    </w:p>
    <w:p w:rsidR="00364F54" w:rsidRPr="00506748" w:rsidRDefault="00364F54" w:rsidP="00364F54">
      <w:pPr>
        <w:widowControl w:val="0"/>
        <w:jc w:val="both"/>
        <w:rPr>
          <w:smallCaps/>
          <w:sz w:val="20"/>
          <w:szCs w:val="20"/>
        </w:rPr>
      </w:pPr>
      <w:r w:rsidRPr="00506748">
        <w:rPr>
          <w:smallCaps/>
          <w:sz w:val="20"/>
          <w:szCs w:val="20"/>
        </w:rPr>
        <w:t>(Publication Ban)</w:t>
      </w:r>
    </w:p>
    <w:p w:rsidR="00364F54" w:rsidRPr="00506748" w:rsidRDefault="00364F54" w:rsidP="00364F54">
      <w:pPr>
        <w:widowControl w:val="0"/>
        <w:jc w:val="both"/>
        <w:rPr>
          <w:sz w:val="20"/>
          <w:szCs w:val="20"/>
        </w:rPr>
      </w:pPr>
    </w:p>
    <w:p w:rsidR="00364F54" w:rsidRPr="00506748" w:rsidRDefault="00364F54" w:rsidP="00364F54">
      <w:pPr>
        <w:widowControl w:val="0"/>
        <w:jc w:val="both"/>
        <w:rPr>
          <w:sz w:val="20"/>
          <w:szCs w:val="20"/>
        </w:rPr>
      </w:pPr>
      <w:r w:rsidRPr="00506748">
        <w:rPr>
          <w:sz w:val="20"/>
          <w:szCs w:val="20"/>
        </w:rPr>
        <w:t>Criminal law — Evidence — Credibility — Stereotypical reasoning — Whether the majority of the Court of Appeal erred in law in ruling that the trial judge relied upon impermissible stereotypes of victims of sexual abuse when he assessed the complainant’s credibility.</w:t>
      </w:r>
    </w:p>
    <w:p w:rsidR="00364F54" w:rsidRPr="00506748" w:rsidRDefault="00364F54" w:rsidP="00364F54">
      <w:pPr>
        <w:widowControl w:val="0"/>
        <w:jc w:val="both"/>
        <w:rPr>
          <w:sz w:val="20"/>
          <w:szCs w:val="20"/>
        </w:rPr>
      </w:pPr>
    </w:p>
    <w:p w:rsidR="00364F54" w:rsidRPr="00506748" w:rsidRDefault="00364F54" w:rsidP="00364F54">
      <w:pPr>
        <w:widowControl w:val="0"/>
        <w:jc w:val="both"/>
        <w:rPr>
          <w:sz w:val="20"/>
        </w:rPr>
      </w:pPr>
      <w:r w:rsidRPr="00506748">
        <w:rPr>
          <w:sz w:val="20"/>
          <w:szCs w:val="20"/>
        </w:rPr>
        <w:t>At trial, the appellant was acquitted of sexual interference, invitation to sexual touching and sexual assault respecting the complainant, a person under the age of 16 years. A majority of the Court of Appeal of Newfoundland and Labrador allowed the Crown’s appeal and ordered a new trial. It held that the trial judge engaged in impermissible stereotypical reasoning when assessing the complainant’s credibility by relying on the stereotypes that a victim could not be happy to see her abuser regardless of her age and circumstances, and that a victim will exhibit avoidant behaviour around her abuser if she were truly being abused. In dissent, White J.A. would have dismissed the appeal. In his view, the trial judge did not rely on any myth or stereotype about sexual assault when assessing the complainant’s credibility.</w:t>
      </w:r>
    </w:p>
    <w:p w:rsidR="00364F54" w:rsidRPr="00506748" w:rsidRDefault="00364F54" w:rsidP="00364F54">
      <w:pPr>
        <w:widowControl w:val="0"/>
        <w:jc w:val="both"/>
        <w:rPr>
          <w:sz w:val="20"/>
        </w:rPr>
      </w:pPr>
    </w:p>
    <w:p w:rsidR="00364F54" w:rsidRPr="00506748" w:rsidRDefault="00C9268A" w:rsidP="00364F54">
      <w:pPr>
        <w:widowControl w:val="0"/>
        <w:jc w:val="both"/>
        <w:rPr>
          <w:sz w:val="20"/>
        </w:rPr>
      </w:pPr>
      <w:r>
        <w:rPr>
          <w:sz w:val="20"/>
        </w:rPr>
        <w:pict>
          <v:rect id="_x0000_i1058" style="width:2in;height:1pt" o:hrpct="0" o:hralign="center" o:hrstd="t" o:hrnoshade="t" o:hr="t" fillcolor="black [3213]" stroked="f"/>
        </w:pict>
      </w:r>
    </w:p>
    <w:p w:rsidR="00364F54" w:rsidRPr="00506748" w:rsidRDefault="00364F54" w:rsidP="00364F54">
      <w:pPr>
        <w:widowControl w:val="0"/>
        <w:jc w:val="both"/>
        <w:rPr>
          <w:sz w:val="20"/>
          <w:szCs w:val="20"/>
        </w:rPr>
      </w:pPr>
    </w:p>
    <w:p w:rsidR="00364F54" w:rsidRPr="00506748" w:rsidRDefault="00364F54" w:rsidP="00364F54">
      <w:pPr>
        <w:widowControl w:val="0"/>
        <w:tabs>
          <w:tab w:val="left" w:pos="720"/>
        </w:tabs>
        <w:ind w:left="1440" w:hanging="1440"/>
        <w:jc w:val="both"/>
        <w:rPr>
          <w:b/>
          <w:i/>
          <w:sz w:val="20"/>
          <w:szCs w:val="20"/>
          <w:lang w:val="fr-CA"/>
        </w:rPr>
      </w:pPr>
      <w:r w:rsidRPr="00506748">
        <w:rPr>
          <w:b/>
          <w:sz w:val="20"/>
          <w:szCs w:val="20"/>
        </w:rPr>
        <w:fldChar w:fldCharType="begin"/>
      </w:r>
      <w:r w:rsidRPr="00506748">
        <w:rPr>
          <w:b/>
          <w:sz w:val="20"/>
          <w:szCs w:val="20"/>
          <w:lang w:val="fr-CA"/>
        </w:rPr>
        <w:instrText xml:space="preserve"> SEQ CHAPTER \h \r 1</w:instrText>
      </w:r>
      <w:r w:rsidRPr="00506748">
        <w:rPr>
          <w:b/>
          <w:sz w:val="20"/>
          <w:szCs w:val="20"/>
        </w:rPr>
        <w:fldChar w:fldCharType="end"/>
      </w:r>
      <w:r w:rsidRPr="00506748">
        <w:rPr>
          <w:b/>
          <w:sz w:val="20"/>
          <w:szCs w:val="20"/>
          <w:lang w:val="fr-CA"/>
        </w:rPr>
        <w:t>40039</w:t>
      </w:r>
      <w:r w:rsidRPr="00506748">
        <w:rPr>
          <w:sz w:val="20"/>
          <w:szCs w:val="20"/>
          <w:lang w:val="fr-CA"/>
        </w:rPr>
        <w:tab/>
      </w:r>
      <w:r w:rsidRPr="00506748">
        <w:rPr>
          <w:b/>
          <w:i/>
          <w:sz w:val="20"/>
          <w:szCs w:val="20"/>
          <w:lang w:val="fr-CA"/>
        </w:rPr>
        <w:t>D.R. c. Sa Majesté l</w:t>
      </w:r>
      <w:r w:rsidRPr="00506748">
        <w:rPr>
          <w:b/>
          <w:i/>
          <w:sz w:val="20"/>
          <w:lang w:val="fr-CA"/>
        </w:rPr>
        <w:t>e</w:t>
      </w:r>
      <w:r w:rsidRPr="00506748">
        <w:rPr>
          <w:b/>
          <w:i/>
          <w:sz w:val="20"/>
          <w:szCs w:val="20"/>
          <w:lang w:val="fr-CA"/>
        </w:rPr>
        <w:t xml:space="preserve"> R</w:t>
      </w:r>
      <w:r w:rsidRPr="00506748">
        <w:rPr>
          <w:b/>
          <w:i/>
          <w:sz w:val="20"/>
          <w:lang w:val="fr-CA"/>
        </w:rPr>
        <w:t>o</w:t>
      </w:r>
      <w:r w:rsidRPr="00506748">
        <w:rPr>
          <w:b/>
          <w:i/>
          <w:sz w:val="20"/>
          <w:szCs w:val="20"/>
          <w:lang w:val="fr-CA"/>
        </w:rPr>
        <w:t>i</w:t>
      </w:r>
    </w:p>
    <w:p w:rsidR="00364F54" w:rsidRPr="00506748" w:rsidRDefault="00364F54" w:rsidP="00364F54">
      <w:pPr>
        <w:widowControl w:val="0"/>
        <w:tabs>
          <w:tab w:val="left" w:pos="720"/>
        </w:tabs>
        <w:ind w:left="1440" w:hanging="1440"/>
        <w:jc w:val="both"/>
        <w:rPr>
          <w:sz w:val="20"/>
          <w:szCs w:val="20"/>
          <w:lang w:val="fr-CA"/>
        </w:rPr>
      </w:pPr>
      <w:r w:rsidRPr="00506748">
        <w:rPr>
          <w:sz w:val="20"/>
          <w:szCs w:val="20"/>
          <w:lang w:val="fr-CA"/>
        </w:rPr>
        <w:tab/>
        <w:t>(T.</w:t>
      </w:r>
      <w:r w:rsidRPr="00506748">
        <w:rPr>
          <w:sz w:val="20"/>
          <w:lang w:val="fr-CA"/>
        </w:rPr>
        <w:t>-</w:t>
      </w:r>
      <w:r w:rsidRPr="00506748">
        <w:rPr>
          <w:sz w:val="20"/>
          <w:szCs w:val="20"/>
          <w:lang w:val="fr-CA"/>
        </w:rPr>
        <w:t>N.</w:t>
      </w:r>
      <w:r w:rsidRPr="00506748">
        <w:rPr>
          <w:sz w:val="20"/>
          <w:lang w:val="fr-CA"/>
        </w:rPr>
        <w:t>-L.</w:t>
      </w:r>
      <w:r w:rsidRPr="00506748">
        <w:rPr>
          <w:sz w:val="20"/>
          <w:szCs w:val="20"/>
          <w:lang w:val="fr-CA"/>
        </w:rPr>
        <w:t>) (Criminelle) (De plein droit)</w:t>
      </w:r>
    </w:p>
    <w:p w:rsidR="00364F54" w:rsidRPr="00506748" w:rsidRDefault="00364F54" w:rsidP="00364F54">
      <w:pPr>
        <w:widowControl w:val="0"/>
        <w:jc w:val="both"/>
        <w:rPr>
          <w:sz w:val="20"/>
          <w:szCs w:val="20"/>
          <w:lang w:val="fr-CA"/>
        </w:rPr>
      </w:pPr>
    </w:p>
    <w:p w:rsidR="00364F54" w:rsidRPr="00506748" w:rsidRDefault="00364F54" w:rsidP="00364F54">
      <w:pPr>
        <w:widowControl w:val="0"/>
        <w:jc w:val="both"/>
        <w:rPr>
          <w:smallCaps/>
          <w:sz w:val="20"/>
          <w:szCs w:val="20"/>
          <w:lang w:val="fr-CA"/>
        </w:rPr>
      </w:pPr>
      <w:r w:rsidRPr="00506748">
        <w:rPr>
          <w:smallCaps/>
          <w:sz w:val="20"/>
          <w:szCs w:val="20"/>
          <w:lang w:val="fr-CA"/>
        </w:rPr>
        <w:t>(Interdiction de publication)</w:t>
      </w:r>
    </w:p>
    <w:p w:rsidR="00364F54" w:rsidRPr="00506748" w:rsidRDefault="00364F54" w:rsidP="00364F54">
      <w:pPr>
        <w:widowControl w:val="0"/>
        <w:jc w:val="both"/>
        <w:rPr>
          <w:sz w:val="20"/>
          <w:szCs w:val="20"/>
          <w:lang w:val="fr-CA"/>
        </w:rPr>
      </w:pPr>
    </w:p>
    <w:p w:rsidR="00364F54" w:rsidRPr="00506748" w:rsidRDefault="00364F54" w:rsidP="00364F54">
      <w:pPr>
        <w:widowControl w:val="0"/>
        <w:jc w:val="both"/>
        <w:rPr>
          <w:sz w:val="20"/>
          <w:szCs w:val="20"/>
          <w:lang w:val="fr-CA"/>
        </w:rPr>
      </w:pPr>
      <w:r w:rsidRPr="00506748">
        <w:rPr>
          <w:sz w:val="20"/>
          <w:szCs w:val="20"/>
          <w:lang w:val="fr-CA"/>
        </w:rPr>
        <w:t>Droit criminel — Preuve — Crédibilité — Raisonnement stéréotypé — Les juges majoritaires de la Cour d’appel ont</w:t>
      </w:r>
      <w:r w:rsidRPr="00506748">
        <w:rPr>
          <w:sz w:val="20"/>
          <w:szCs w:val="20"/>
          <w:lang w:val="fr-CA"/>
        </w:rPr>
        <w:noBreakHyphen/>
        <w:t>elles commis une erreur de droit en concluant que le juge du procès s’était fondé de manière inacceptable sur des stéréotypes des victimes d’abus sexuels lorsqu’il a évalué la crédibilité de la plaignante?</w:t>
      </w:r>
    </w:p>
    <w:p w:rsidR="00364F54" w:rsidRPr="00506748" w:rsidRDefault="00364F54" w:rsidP="00364F54">
      <w:pPr>
        <w:widowControl w:val="0"/>
        <w:jc w:val="both"/>
        <w:rPr>
          <w:sz w:val="20"/>
          <w:szCs w:val="20"/>
          <w:lang w:val="fr-CA"/>
        </w:rPr>
      </w:pPr>
    </w:p>
    <w:p w:rsidR="00364F54" w:rsidRPr="00506748" w:rsidRDefault="00364F54" w:rsidP="00364F54">
      <w:pPr>
        <w:widowControl w:val="0"/>
        <w:jc w:val="both"/>
        <w:rPr>
          <w:sz w:val="20"/>
          <w:szCs w:val="20"/>
          <w:lang w:val="fr-CA"/>
        </w:rPr>
      </w:pPr>
      <w:r w:rsidRPr="00506748">
        <w:rPr>
          <w:sz w:val="20"/>
          <w:szCs w:val="20"/>
          <w:lang w:val="fr-CA"/>
        </w:rPr>
        <w:t>Au procès, l’appelant a été acquitté de contacts sexuels, d’incitation à des contacts sexuels et d’agression sexuelle en lien avec la plaignante, une personne âgée de moins de 16 ans. Les juges majoritaires de la Cour d’appel de Terre</w:t>
      </w:r>
      <w:r w:rsidRPr="00506748">
        <w:rPr>
          <w:sz w:val="20"/>
          <w:szCs w:val="20"/>
          <w:lang w:val="fr-CA"/>
        </w:rPr>
        <w:noBreakHyphen/>
        <w:t>Neuve</w:t>
      </w:r>
      <w:r w:rsidRPr="00506748">
        <w:rPr>
          <w:sz w:val="20"/>
          <w:szCs w:val="20"/>
          <w:lang w:val="fr-CA"/>
        </w:rPr>
        <w:noBreakHyphen/>
        <w:t>et</w:t>
      </w:r>
      <w:r w:rsidRPr="00506748">
        <w:rPr>
          <w:sz w:val="20"/>
          <w:szCs w:val="20"/>
          <w:lang w:val="fr-CA"/>
        </w:rPr>
        <w:noBreakHyphen/>
        <w:t>Labrador ont accueilli l’appel de la Couronne et ordonné la tenue d’un nouveau procès. Elles ont conclu que le juge du procès avait adopté un raisonnement stéréotypé inacceptable lorsqu’il a évalué la crédibilité de la plaignante en se fondant sur les stéréotypes voulant qu’une victime ne puisse pas être heureuse de voir son agresseur, quels que soient son âge et les circonstances, et qu’une victime adopte un comportement d’évitement vis</w:t>
      </w:r>
      <w:r w:rsidRPr="00506748">
        <w:rPr>
          <w:sz w:val="20"/>
          <w:szCs w:val="20"/>
          <w:lang w:val="fr-CA"/>
        </w:rPr>
        <w:noBreakHyphen/>
        <w:t>à</w:t>
      </w:r>
      <w:r w:rsidRPr="00506748">
        <w:rPr>
          <w:sz w:val="20"/>
          <w:szCs w:val="20"/>
          <w:lang w:val="fr-CA"/>
        </w:rPr>
        <w:noBreakHyphen/>
        <w:t>vis de son agresseur si elle est réellement victime d’abus. Le juge White, dissident, aurait rejeté l’appel. Selon lui, le juge du procès ne s’est fondé sur aucun mythe ou stéréotype relatifs aux agressions sexuelles lorsqu’il a évalué la crédibilité de la plaignante.</w:t>
      </w:r>
    </w:p>
    <w:p w:rsidR="00364F54" w:rsidRPr="00506748" w:rsidRDefault="00364F54" w:rsidP="00364F54">
      <w:pPr>
        <w:widowControl w:val="0"/>
        <w:jc w:val="both"/>
        <w:rPr>
          <w:sz w:val="20"/>
          <w:lang w:val="fr-CA"/>
        </w:rPr>
      </w:pPr>
    </w:p>
    <w:p w:rsidR="00364F54" w:rsidRPr="00506748" w:rsidRDefault="00C9268A" w:rsidP="00364F54">
      <w:pPr>
        <w:widowControl w:val="0"/>
        <w:jc w:val="both"/>
        <w:rPr>
          <w:sz w:val="20"/>
          <w:lang w:val="fr-CA"/>
        </w:rPr>
      </w:pPr>
      <w:r>
        <w:rPr>
          <w:sz w:val="20"/>
        </w:rPr>
        <w:pict>
          <v:rect id="_x0000_i1059" style="width:2in;height:1pt" o:hrpct="0" o:hralign="center" o:hrstd="t" o:hrnoshade="t" o:hr="t" fillcolor="black [3213]" stroked="f"/>
        </w:pict>
      </w:r>
    </w:p>
    <w:p w:rsidR="00364F54" w:rsidRPr="00506748" w:rsidRDefault="00364F54" w:rsidP="00364F54">
      <w:pPr>
        <w:widowControl w:val="0"/>
        <w:jc w:val="both"/>
        <w:rPr>
          <w:sz w:val="20"/>
          <w:szCs w:val="20"/>
          <w:lang w:val="fr-CA"/>
        </w:rPr>
      </w:pPr>
    </w:p>
    <w:p w:rsidR="00364F54" w:rsidRPr="00506748" w:rsidRDefault="00364F54" w:rsidP="00364F54">
      <w:pPr>
        <w:widowControl w:val="0"/>
        <w:tabs>
          <w:tab w:val="left" w:pos="720"/>
        </w:tabs>
        <w:ind w:left="1440" w:hanging="1440"/>
        <w:jc w:val="both"/>
        <w:rPr>
          <w:b/>
          <w:i/>
          <w:sz w:val="20"/>
          <w:szCs w:val="20"/>
        </w:rPr>
      </w:pPr>
      <w:r w:rsidRPr="00506748">
        <w:rPr>
          <w:b/>
          <w:sz w:val="20"/>
          <w:szCs w:val="20"/>
        </w:rPr>
        <w:fldChar w:fldCharType="begin"/>
      </w:r>
      <w:r w:rsidRPr="00506748">
        <w:rPr>
          <w:b/>
          <w:sz w:val="20"/>
          <w:szCs w:val="20"/>
        </w:rPr>
        <w:instrText xml:space="preserve"> SEQ CHAPTER \h \r 1</w:instrText>
      </w:r>
      <w:r w:rsidRPr="00506748">
        <w:rPr>
          <w:b/>
          <w:sz w:val="20"/>
          <w:szCs w:val="20"/>
        </w:rPr>
        <w:fldChar w:fldCharType="end"/>
      </w:r>
      <w:r w:rsidRPr="00506748">
        <w:rPr>
          <w:b/>
          <w:sz w:val="20"/>
          <w:szCs w:val="20"/>
        </w:rPr>
        <w:t>40038</w:t>
      </w:r>
      <w:r w:rsidRPr="00506748">
        <w:rPr>
          <w:sz w:val="20"/>
          <w:szCs w:val="20"/>
        </w:rPr>
        <w:tab/>
      </w:r>
      <w:r w:rsidRPr="00506748">
        <w:rPr>
          <w:b/>
          <w:i/>
          <w:sz w:val="20"/>
          <w:szCs w:val="20"/>
        </w:rPr>
        <w:t>H</w:t>
      </w:r>
      <w:r w:rsidRPr="00506748">
        <w:rPr>
          <w:b/>
          <w:i/>
          <w:sz w:val="20"/>
        </w:rPr>
        <w:t>is</w:t>
      </w:r>
      <w:r w:rsidRPr="00506748">
        <w:rPr>
          <w:b/>
          <w:i/>
          <w:sz w:val="20"/>
          <w:szCs w:val="20"/>
        </w:rPr>
        <w:t xml:space="preserve"> Majesty </w:t>
      </w:r>
      <w:r w:rsidRPr="00506748">
        <w:rPr>
          <w:b/>
          <w:i/>
          <w:sz w:val="20"/>
        </w:rPr>
        <w:t>t</w:t>
      </w:r>
      <w:r w:rsidRPr="00506748">
        <w:rPr>
          <w:b/>
          <w:i/>
          <w:sz w:val="20"/>
          <w:szCs w:val="20"/>
        </w:rPr>
        <w:t xml:space="preserve">he </w:t>
      </w:r>
      <w:r w:rsidRPr="00506748">
        <w:rPr>
          <w:b/>
          <w:i/>
          <w:sz w:val="20"/>
        </w:rPr>
        <w:t>King</w:t>
      </w:r>
      <w:r w:rsidRPr="00506748">
        <w:rPr>
          <w:b/>
          <w:i/>
          <w:sz w:val="20"/>
          <w:szCs w:val="20"/>
        </w:rPr>
        <w:t xml:space="preserve"> v. David Edward Furey</w:t>
      </w:r>
    </w:p>
    <w:p w:rsidR="00364F54" w:rsidRPr="00506748" w:rsidRDefault="00364F54" w:rsidP="00364F54">
      <w:pPr>
        <w:widowControl w:val="0"/>
        <w:tabs>
          <w:tab w:val="left" w:pos="720"/>
        </w:tabs>
        <w:ind w:left="1440" w:hanging="1440"/>
        <w:jc w:val="both"/>
        <w:rPr>
          <w:sz w:val="20"/>
          <w:szCs w:val="20"/>
        </w:rPr>
      </w:pPr>
      <w:r w:rsidRPr="00506748">
        <w:rPr>
          <w:sz w:val="20"/>
          <w:szCs w:val="20"/>
        </w:rPr>
        <w:tab/>
        <w:t>(N.L.) (Criminal) (As of Right)</w:t>
      </w:r>
    </w:p>
    <w:p w:rsidR="00364F54" w:rsidRPr="00506748" w:rsidRDefault="00364F54" w:rsidP="00364F54">
      <w:pPr>
        <w:widowControl w:val="0"/>
        <w:jc w:val="both"/>
        <w:rPr>
          <w:color w:val="000000"/>
          <w:sz w:val="20"/>
          <w:szCs w:val="20"/>
        </w:rPr>
      </w:pPr>
    </w:p>
    <w:p w:rsidR="00364F54" w:rsidRPr="00506748" w:rsidRDefault="00364F54" w:rsidP="00364F54">
      <w:pPr>
        <w:widowControl w:val="0"/>
        <w:jc w:val="both"/>
        <w:rPr>
          <w:color w:val="000000"/>
          <w:sz w:val="20"/>
          <w:szCs w:val="20"/>
        </w:rPr>
      </w:pPr>
      <w:r w:rsidRPr="00506748">
        <w:rPr>
          <w:color w:val="000000"/>
          <w:sz w:val="20"/>
          <w:szCs w:val="20"/>
        </w:rPr>
        <w:t>Criminal law — Evidence — Admissibility — Hearsay — Videotaped out</w:t>
      </w:r>
      <w:r w:rsidRPr="00506748">
        <w:rPr>
          <w:color w:val="000000"/>
          <w:sz w:val="20"/>
          <w:szCs w:val="20"/>
        </w:rPr>
        <w:noBreakHyphen/>
        <w:t>of</w:t>
      </w:r>
      <w:r w:rsidRPr="00506748">
        <w:rPr>
          <w:color w:val="000000"/>
          <w:sz w:val="20"/>
          <w:szCs w:val="20"/>
        </w:rPr>
        <w:noBreakHyphen/>
        <w:t>court statement given by complainant who died before trial — Whether the majority of the Newfoundland and Labrador Court of Appeal erred in law in allowing the appeal, setting aside the convictions and ordering a new trial because the trial judge failed to apply the correct legal principles in assessing the “threshold” admissibility of an out</w:t>
      </w:r>
      <w:r w:rsidRPr="00506748">
        <w:rPr>
          <w:color w:val="000000"/>
          <w:sz w:val="20"/>
          <w:szCs w:val="20"/>
        </w:rPr>
        <w:noBreakHyphen/>
        <w:t>of</w:t>
      </w:r>
      <w:r w:rsidRPr="00506748">
        <w:rPr>
          <w:color w:val="000000"/>
          <w:sz w:val="20"/>
          <w:szCs w:val="20"/>
        </w:rPr>
        <w:noBreakHyphen/>
        <w:t>court statement.</w:t>
      </w:r>
    </w:p>
    <w:p w:rsidR="00364F54" w:rsidRPr="00506748" w:rsidRDefault="00364F54" w:rsidP="00364F54">
      <w:pPr>
        <w:widowControl w:val="0"/>
        <w:jc w:val="both"/>
        <w:rPr>
          <w:sz w:val="20"/>
          <w:szCs w:val="20"/>
        </w:rPr>
      </w:pPr>
    </w:p>
    <w:p w:rsidR="00364F54" w:rsidRPr="00506748" w:rsidRDefault="00364F54" w:rsidP="00364F54">
      <w:pPr>
        <w:widowControl w:val="0"/>
        <w:jc w:val="both"/>
        <w:rPr>
          <w:sz w:val="20"/>
          <w:szCs w:val="20"/>
        </w:rPr>
      </w:pPr>
      <w:r w:rsidRPr="00506748">
        <w:rPr>
          <w:sz w:val="20"/>
          <w:szCs w:val="20"/>
        </w:rPr>
        <w:t>The respondent, David Edward Furey, was convicted of breaking and entering into a dwelling, assault with a weapon, assault causing bodily harm, possession of a knife for a purpose dangerous to the public peace, and breach of an undertaking. At trial, the judge admitted, for the truth of its contents, a videotaped out</w:t>
      </w:r>
      <w:r w:rsidRPr="00506748">
        <w:rPr>
          <w:sz w:val="20"/>
          <w:szCs w:val="20"/>
        </w:rPr>
        <w:noBreakHyphen/>
        <w:t>of</w:t>
      </w:r>
      <w:r w:rsidRPr="00506748">
        <w:rPr>
          <w:sz w:val="20"/>
          <w:szCs w:val="20"/>
        </w:rPr>
        <w:noBreakHyphen/>
        <w:t xml:space="preserve">court statement given by one of the complainants, who subsequently died of unrelated causes. The statement was given to the police soon after the altercations. </w:t>
      </w:r>
    </w:p>
    <w:p w:rsidR="00364F54" w:rsidRPr="00506748" w:rsidRDefault="00364F54" w:rsidP="00364F54">
      <w:pPr>
        <w:widowControl w:val="0"/>
        <w:jc w:val="both"/>
        <w:rPr>
          <w:sz w:val="20"/>
          <w:szCs w:val="20"/>
        </w:rPr>
      </w:pPr>
    </w:p>
    <w:p w:rsidR="00364F54" w:rsidRPr="00506748" w:rsidRDefault="00364F54" w:rsidP="00364F54">
      <w:pPr>
        <w:jc w:val="both"/>
        <w:rPr>
          <w:sz w:val="20"/>
        </w:rPr>
      </w:pPr>
      <w:r w:rsidRPr="00506748">
        <w:rPr>
          <w:sz w:val="20"/>
          <w:szCs w:val="20"/>
        </w:rPr>
        <w:t xml:space="preserve">A majority of the Court of Appeal allowed Mr. Furey’s appeal from convictions, set aside the decision of the trial judge, including the </w:t>
      </w:r>
      <w:r w:rsidRPr="00506748">
        <w:rPr>
          <w:i/>
          <w:sz w:val="20"/>
          <w:szCs w:val="20"/>
        </w:rPr>
        <w:t xml:space="preserve">voir dire </w:t>
      </w:r>
      <w:r w:rsidRPr="00506748">
        <w:rPr>
          <w:sz w:val="20"/>
          <w:szCs w:val="20"/>
        </w:rPr>
        <w:t>decision regarding the admissibility of the complainant’s out-of-court statement, and ordered a new trial. The majority concluded that the trial judge applied an erroneous statement of the law — that where there is greater necessity, less reliability is acceptable. As a result of her reliance on this statement, the trial judge erred in admitting the complainant’s out</w:t>
      </w:r>
      <w:r w:rsidRPr="00506748">
        <w:rPr>
          <w:sz w:val="20"/>
          <w:szCs w:val="20"/>
        </w:rPr>
        <w:noBreakHyphen/>
        <w:t>of</w:t>
      </w:r>
      <w:r w:rsidRPr="00506748">
        <w:rPr>
          <w:sz w:val="20"/>
          <w:szCs w:val="20"/>
        </w:rPr>
        <w:noBreakHyphen/>
        <w:t xml:space="preserve">court statement for the truth of its contents: she permitted the admissibility of the hearsay evidence without requiring that the requisite degree of reliability be established. In dissent, Knickle J.A. would have dismissed the appeal. In her view, the trial judge committed no error in her application of the principled approach to the hearsay evidence, as she engaged in the skeptical and cautious analysis that was required before admitting the statement, including that the two criteria of necessity and reliability must be assessed </w:t>
      </w:r>
      <w:r w:rsidRPr="00506748">
        <w:rPr>
          <w:sz w:val="20"/>
        </w:rPr>
        <w:t>in tandem and with flexibility.</w:t>
      </w:r>
    </w:p>
    <w:p w:rsidR="00364F54" w:rsidRPr="00506748" w:rsidRDefault="00364F54" w:rsidP="00364F54">
      <w:pPr>
        <w:jc w:val="both"/>
        <w:rPr>
          <w:sz w:val="20"/>
        </w:rPr>
      </w:pPr>
    </w:p>
    <w:p w:rsidR="00364F54" w:rsidRPr="00506748" w:rsidRDefault="00C9268A" w:rsidP="00364F54">
      <w:pPr>
        <w:jc w:val="both"/>
        <w:rPr>
          <w:sz w:val="20"/>
        </w:rPr>
      </w:pPr>
      <w:r>
        <w:rPr>
          <w:sz w:val="20"/>
        </w:rPr>
        <w:pict>
          <v:rect id="_x0000_i1060" style="width:2in;height:1pt" o:hrpct="0" o:hralign="center" o:hrstd="t" o:hrnoshade="t" o:hr="t" fillcolor="black [3213]" stroked="f"/>
        </w:pict>
      </w:r>
    </w:p>
    <w:p w:rsidR="00364F54" w:rsidRPr="00506748" w:rsidRDefault="00364F54" w:rsidP="00364F54">
      <w:pPr>
        <w:jc w:val="both"/>
        <w:rPr>
          <w:sz w:val="20"/>
          <w:szCs w:val="20"/>
        </w:rPr>
      </w:pPr>
    </w:p>
    <w:p w:rsidR="00364F54" w:rsidRPr="00506748" w:rsidRDefault="00364F54" w:rsidP="00364F54">
      <w:pPr>
        <w:widowControl w:val="0"/>
        <w:tabs>
          <w:tab w:val="left" w:pos="720"/>
        </w:tabs>
        <w:ind w:left="1440" w:hanging="1440"/>
        <w:jc w:val="both"/>
        <w:rPr>
          <w:b/>
          <w:i/>
          <w:sz w:val="20"/>
          <w:szCs w:val="20"/>
          <w:lang w:val="fr-CA"/>
        </w:rPr>
      </w:pPr>
      <w:r w:rsidRPr="00506748">
        <w:rPr>
          <w:b/>
          <w:sz w:val="20"/>
          <w:szCs w:val="20"/>
          <w:lang w:val="fr-CA"/>
        </w:rPr>
        <w:fldChar w:fldCharType="begin"/>
      </w:r>
      <w:r w:rsidRPr="00506748">
        <w:rPr>
          <w:b/>
          <w:sz w:val="20"/>
          <w:szCs w:val="20"/>
          <w:lang w:val="fr-CA"/>
        </w:rPr>
        <w:instrText xml:space="preserve"> SEQ CHAPTER \h \r 1</w:instrText>
      </w:r>
      <w:r w:rsidRPr="00506748">
        <w:rPr>
          <w:b/>
          <w:sz w:val="20"/>
          <w:szCs w:val="20"/>
          <w:lang w:val="fr-CA"/>
        </w:rPr>
        <w:fldChar w:fldCharType="end"/>
      </w:r>
      <w:r w:rsidRPr="00506748">
        <w:rPr>
          <w:b/>
          <w:sz w:val="20"/>
          <w:szCs w:val="20"/>
          <w:lang w:val="fr-CA"/>
        </w:rPr>
        <w:t>40038</w:t>
      </w:r>
      <w:r w:rsidRPr="00506748">
        <w:rPr>
          <w:sz w:val="20"/>
          <w:szCs w:val="20"/>
          <w:lang w:val="fr-CA"/>
        </w:rPr>
        <w:tab/>
      </w:r>
      <w:r w:rsidRPr="00506748">
        <w:rPr>
          <w:b/>
          <w:i/>
          <w:sz w:val="20"/>
          <w:szCs w:val="20"/>
          <w:lang w:val="fr-CA"/>
        </w:rPr>
        <w:t>Sa Majesté l</w:t>
      </w:r>
      <w:r w:rsidRPr="00506748">
        <w:rPr>
          <w:b/>
          <w:i/>
          <w:sz w:val="20"/>
          <w:lang w:val="fr-CA"/>
        </w:rPr>
        <w:t>e</w:t>
      </w:r>
      <w:r w:rsidRPr="00506748">
        <w:rPr>
          <w:b/>
          <w:i/>
          <w:sz w:val="20"/>
          <w:szCs w:val="20"/>
          <w:lang w:val="fr-CA"/>
        </w:rPr>
        <w:t xml:space="preserve"> R</w:t>
      </w:r>
      <w:r w:rsidRPr="00506748">
        <w:rPr>
          <w:b/>
          <w:i/>
          <w:sz w:val="20"/>
          <w:lang w:val="fr-CA"/>
        </w:rPr>
        <w:t>o</w:t>
      </w:r>
      <w:r w:rsidRPr="00506748">
        <w:rPr>
          <w:b/>
          <w:i/>
          <w:sz w:val="20"/>
          <w:szCs w:val="20"/>
          <w:lang w:val="fr-CA"/>
        </w:rPr>
        <w:t>i v. David Edward Furey</w:t>
      </w:r>
    </w:p>
    <w:p w:rsidR="00364F54" w:rsidRPr="00506748" w:rsidRDefault="00364F54" w:rsidP="00364F54">
      <w:pPr>
        <w:widowControl w:val="0"/>
        <w:tabs>
          <w:tab w:val="left" w:pos="720"/>
        </w:tabs>
        <w:ind w:left="1440" w:hanging="1440"/>
        <w:jc w:val="both"/>
        <w:rPr>
          <w:sz w:val="20"/>
          <w:szCs w:val="20"/>
          <w:lang w:val="fr-CA"/>
        </w:rPr>
      </w:pPr>
      <w:r w:rsidRPr="00506748">
        <w:rPr>
          <w:sz w:val="20"/>
          <w:szCs w:val="20"/>
          <w:lang w:val="fr-CA"/>
        </w:rPr>
        <w:tab/>
        <w:t>(T.</w:t>
      </w:r>
      <w:r w:rsidRPr="00506748">
        <w:rPr>
          <w:sz w:val="20"/>
          <w:szCs w:val="20"/>
          <w:lang w:val="fr-CA"/>
        </w:rPr>
        <w:noBreakHyphen/>
        <w:t>N.</w:t>
      </w:r>
      <w:r w:rsidRPr="00506748">
        <w:rPr>
          <w:sz w:val="20"/>
          <w:szCs w:val="20"/>
          <w:lang w:val="fr-CA"/>
        </w:rPr>
        <w:noBreakHyphen/>
        <w:t>L.) (Criminelle) (De plein droit)</w:t>
      </w:r>
    </w:p>
    <w:p w:rsidR="00364F54" w:rsidRPr="00506748" w:rsidRDefault="00364F54" w:rsidP="00364F54">
      <w:pPr>
        <w:widowControl w:val="0"/>
        <w:jc w:val="both"/>
        <w:rPr>
          <w:color w:val="000000"/>
          <w:sz w:val="20"/>
          <w:szCs w:val="20"/>
          <w:lang w:val="fr-CA"/>
        </w:rPr>
      </w:pPr>
    </w:p>
    <w:p w:rsidR="00364F54" w:rsidRPr="00506748" w:rsidRDefault="00364F54" w:rsidP="00364F54">
      <w:pPr>
        <w:widowControl w:val="0"/>
        <w:jc w:val="both"/>
        <w:rPr>
          <w:color w:val="000000"/>
          <w:sz w:val="20"/>
          <w:szCs w:val="20"/>
          <w:lang w:val="fr-CA"/>
        </w:rPr>
      </w:pPr>
      <w:r w:rsidRPr="00506748">
        <w:rPr>
          <w:color w:val="000000"/>
          <w:sz w:val="20"/>
          <w:szCs w:val="20"/>
          <w:lang w:val="fr-CA"/>
        </w:rPr>
        <w:t>Droit criminel — Preuve — Admissibilité — Ouï</w:t>
      </w:r>
      <w:r w:rsidRPr="00506748">
        <w:rPr>
          <w:color w:val="000000"/>
          <w:sz w:val="20"/>
          <w:szCs w:val="20"/>
          <w:lang w:val="fr-CA"/>
        </w:rPr>
        <w:noBreakHyphen/>
        <w:t>dire — Déclaration extrajudiciaire sur bande vidéo faite par le plaignant qui est décédé avant le procès — Les juges majoritaires de la Cour d’appel de Terre</w:t>
      </w:r>
      <w:r w:rsidRPr="00506748">
        <w:rPr>
          <w:color w:val="000000"/>
          <w:sz w:val="20"/>
          <w:szCs w:val="20"/>
          <w:lang w:val="fr-CA"/>
        </w:rPr>
        <w:noBreakHyphen/>
        <w:t>Neuve</w:t>
      </w:r>
      <w:r w:rsidRPr="00506748">
        <w:rPr>
          <w:color w:val="000000"/>
          <w:sz w:val="20"/>
          <w:szCs w:val="20"/>
          <w:lang w:val="fr-CA"/>
        </w:rPr>
        <w:noBreakHyphen/>
        <w:t>et</w:t>
      </w:r>
      <w:r w:rsidRPr="00506748">
        <w:rPr>
          <w:color w:val="000000"/>
          <w:sz w:val="20"/>
          <w:szCs w:val="20"/>
          <w:lang w:val="fr-CA"/>
        </w:rPr>
        <w:noBreakHyphen/>
        <w:t>Labrador ont</w:t>
      </w:r>
      <w:r w:rsidRPr="00506748">
        <w:rPr>
          <w:color w:val="000000"/>
          <w:sz w:val="20"/>
          <w:szCs w:val="20"/>
          <w:lang w:val="fr-CA"/>
        </w:rPr>
        <w:noBreakHyphen/>
        <w:t>ils commis une erreur de droit en accueillant l’appel, annulant les déclarations de culpabilité et ordonnant la tenue d’un nouveau procès au motif que la juge du procès n’a pas appliqué les bons principes juridiques lors de son évaluation du « seuil » d’admissibilité d’une déclaration extrajudiciaire ?</w:t>
      </w:r>
    </w:p>
    <w:p w:rsidR="00364F54" w:rsidRPr="00506748" w:rsidRDefault="00364F54" w:rsidP="00364F54">
      <w:pPr>
        <w:widowControl w:val="0"/>
        <w:jc w:val="both"/>
        <w:rPr>
          <w:sz w:val="20"/>
          <w:szCs w:val="20"/>
          <w:lang w:val="fr-CA"/>
        </w:rPr>
      </w:pPr>
    </w:p>
    <w:p w:rsidR="00364F54" w:rsidRPr="00506748" w:rsidRDefault="00364F54" w:rsidP="00364F54">
      <w:pPr>
        <w:widowControl w:val="0"/>
        <w:jc w:val="both"/>
        <w:rPr>
          <w:sz w:val="20"/>
          <w:szCs w:val="20"/>
          <w:lang w:val="fr-CA"/>
        </w:rPr>
      </w:pPr>
      <w:r w:rsidRPr="00506748">
        <w:rPr>
          <w:sz w:val="20"/>
          <w:szCs w:val="20"/>
          <w:lang w:val="fr-CA"/>
        </w:rPr>
        <w:t xml:space="preserve">L’intimé, David Edward Furey, a été déclaré coupable d’entrée par effraction dans une maison d’habitation, de voies de fait armées, de voies de fait causant des lésions corporelles, de possession d’un couteau dans un dessein dangereux pour la paix publique et de manquement à un engagement. Au procès, la juge a admis comme preuve de la véracité de son contenu une déclaration extrajudiciaire sur bande vidéo faite par l’un des plaignants, qui est par la suite décédé de causes non liées à l’incident. La déclaration avait été faite à la police peu de temps après les altercations qui ont eu lieu. </w:t>
      </w:r>
    </w:p>
    <w:p w:rsidR="00364F54" w:rsidRPr="00506748" w:rsidRDefault="00364F54" w:rsidP="00364F54">
      <w:pPr>
        <w:widowControl w:val="0"/>
        <w:jc w:val="both"/>
        <w:rPr>
          <w:sz w:val="20"/>
          <w:szCs w:val="20"/>
          <w:lang w:val="fr-CA"/>
        </w:rPr>
      </w:pPr>
    </w:p>
    <w:p w:rsidR="00364F54" w:rsidRPr="00506748" w:rsidRDefault="00364F54">
      <w:pPr>
        <w:rPr>
          <w:sz w:val="20"/>
          <w:szCs w:val="20"/>
          <w:lang w:val="fr-CA"/>
        </w:rPr>
      </w:pPr>
      <w:r w:rsidRPr="00506748">
        <w:rPr>
          <w:sz w:val="20"/>
          <w:szCs w:val="20"/>
          <w:lang w:val="fr-CA"/>
        </w:rPr>
        <w:br w:type="page"/>
      </w:r>
    </w:p>
    <w:p w:rsidR="00364F54" w:rsidRPr="00506748" w:rsidRDefault="00364F54" w:rsidP="00364F54">
      <w:pPr>
        <w:jc w:val="both"/>
        <w:rPr>
          <w:sz w:val="20"/>
          <w:szCs w:val="20"/>
          <w:lang w:val="fr-CA"/>
        </w:rPr>
      </w:pPr>
      <w:r w:rsidRPr="00506748">
        <w:rPr>
          <w:sz w:val="20"/>
          <w:szCs w:val="20"/>
          <w:lang w:val="fr-CA"/>
        </w:rPr>
        <w:t>Les juges majoritaires de la Cour d’appel ont accueilli l’appel des déclarations de culpabilité interjeté par M. Furey, ont annulé la décision de la juge du procès, y compris la décision sur le voir-dire concernant l’admissibilité de la déclaration extrajudiciaire du plaignant, et ont ordonné la tenue d’un nouveau procès. Les juges majoritaires ont conclu que la juge du procès a appliqué un énoncé erroné du droit — à savoir que lorsque le degré de nécessité est plus élevé, un degré de fiabilité moins élevé est acceptable. Parce qu’elle s’est fiée à cet énoncé, la juge du procès a commis une erreur en admettant comme preuve de la véracité de son contenu la déclaration extrajudiciaire du plaignant : elle a permis l’admissibilité de la preuve par</w:t>
      </w:r>
      <w:r w:rsidRPr="00506748">
        <w:rPr>
          <w:color w:val="000000"/>
          <w:sz w:val="20"/>
          <w:szCs w:val="20"/>
          <w:lang w:val="fr-CA"/>
        </w:rPr>
        <w:t xml:space="preserve"> </w:t>
      </w:r>
      <w:r w:rsidRPr="00506748">
        <w:rPr>
          <w:sz w:val="20"/>
          <w:szCs w:val="20"/>
          <w:lang w:val="fr-CA"/>
        </w:rPr>
        <w:t>ouï</w:t>
      </w:r>
      <w:r w:rsidRPr="00506748">
        <w:rPr>
          <w:sz w:val="20"/>
          <w:szCs w:val="20"/>
          <w:lang w:val="fr-CA"/>
        </w:rPr>
        <w:noBreakHyphen/>
        <w:t>dire sans exiger que le degré de fiabilité requis soit établi. La juge Knickle, dissidente, aurait rejeté l’appel. Selon cette dernière, la juge du procès n’a commis aucune erreur dans son application de l’approche raisonnée en matière de preuve par</w:t>
      </w:r>
      <w:r w:rsidRPr="00506748">
        <w:rPr>
          <w:color w:val="000000"/>
          <w:sz w:val="20"/>
          <w:szCs w:val="20"/>
          <w:lang w:val="fr-CA"/>
        </w:rPr>
        <w:t xml:space="preserve"> </w:t>
      </w:r>
      <w:r w:rsidRPr="00506748">
        <w:rPr>
          <w:sz w:val="20"/>
          <w:szCs w:val="20"/>
          <w:lang w:val="fr-CA"/>
        </w:rPr>
        <w:t>ouï</w:t>
      </w:r>
      <w:r w:rsidRPr="00506748">
        <w:rPr>
          <w:sz w:val="20"/>
          <w:szCs w:val="20"/>
          <w:lang w:val="fr-CA"/>
        </w:rPr>
        <w:noBreakHyphen/>
        <w:t xml:space="preserve">dire, puisqu’elle a fait preuve de la prudence et du scepticisme requis dans son analyse avant d’admettre la déclaration, notamment en ce qui a trait aux deux critères de la nécessité et de la fiabilité qui doivent être évalués ensemble et avec souplesse. </w:t>
      </w:r>
    </w:p>
    <w:p w:rsidR="00364F54" w:rsidRPr="00506748" w:rsidRDefault="00364F54" w:rsidP="00364F54">
      <w:pPr>
        <w:jc w:val="both"/>
        <w:rPr>
          <w:sz w:val="20"/>
          <w:lang w:val="fr-CA"/>
        </w:rPr>
      </w:pPr>
    </w:p>
    <w:p w:rsidR="00364F54" w:rsidRPr="00506748" w:rsidRDefault="00C9268A" w:rsidP="00364F54">
      <w:pPr>
        <w:jc w:val="both"/>
        <w:rPr>
          <w:sz w:val="20"/>
          <w:szCs w:val="20"/>
          <w:lang w:val="fr-CA"/>
        </w:rPr>
      </w:pPr>
      <w:r>
        <w:rPr>
          <w:sz w:val="20"/>
        </w:rPr>
        <w:pict>
          <v:rect id="_x0000_i1061" style="width:2in;height:1pt" o:hrpct="0" o:hralign="center" o:hrstd="t" o:hrnoshade="t" o:hr="t" fillcolor="black [3213]" stroked="f"/>
        </w:pict>
      </w:r>
    </w:p>
    <w:p w:rsidR="00364F54" w:rsidRPr="00506748" w:rsidRDefault="00364F54" w:rsidP="00364F54">
      <w:pPr>
        <w:jc w:val="both"/>
        <w:rPr>
          <w:sz w:val="20"/>
          <w:szCs w:val="20"/>
          <w:lang w:val="fr-CA"/>
        </w:rPr>
      </w:pPr>
    </w:p>
    <w:p w:rsidR="00364F54" w:rsidRPr="00506748" w:rsidRDefault="00364F54" w:rsidP="00364F54">
      <w:pPr>
        <w:widowControl w:val="0"/>
        <w:tabs>
          <w:tab w:val="left" w:pos="720"/>
        </w:tabs>
        <w:ind w:left="1440" w:hanging="1440"/>
        <w:jc w:val="both"/>
        <w:rPr>
          <w:b/>
          <w:i/>
          <w:sz w:val="20"/>
          <w:szCs w:val="20"/>
        </w:rPr>
      </w:pPr>
      <w:r w:rsidRPr="00506748">
        <w:rPr>
          <w:b/>
          <w:sz w:val="20"/>
          <w:szCs w:val="20"/>
        </w:rPr>
        <w:fldChar w:fldCharType="begin"/>
      </w:r>
      <w:r w:rsidRPr="00506748">
        <w:rPr>
          <w:b/>
          <w:sz w:val="20"/>
          <w:szCs w:val="20"/>
        </w:rPr>
        <w:instrText xml:space="preserve"> SEQ CHAPTER \h \r 1</w:instrText>
      </w:r>
      <w:r w:rsidRPr="00506748">
        <w:rPr>
          <w:b/>
          <w:sz w:val="20"/>
          <w:szCs w:val="20"/>
        </w:rPr>
        <w:fldChar w:fldCharType="end"/>
      </w:r>
      <w:r w:rsidRPr="00506748">
        <w:rPr>
          <w:b/>
          <w:sz w:val="20"/>
          <w:szCs w:val="20"/>
        </w:rPr>
        <w:t>39884</w:t>
      </w:r>
      <w:r w:rsidRPr="00506748">
        <w:rPr>
          <w:b/>
          <w:sz w:val="20"/>
          <w:szCs w:val="20"/>
        </w:rPr>
        <w:tab/>
      </w:r>
      <w:r w:rsidRPr="00506748">
        <w:rPr>
          <w:b/>
          <w:i/>
          <w:sz w:val="20"/>
          <w:szCs w:val="20"/>
        </w:rPr>
        <w:t>James Allan Anderson v. Diana Anderson</w:t>
      </w:r>
    </w:p>
    <w:p w:rsidR="00364F54" w:rsidRPr="00506748" w:rsidRDefault="00364F54" w:rsidP="00364F54">
      <w:pPr>
        <w:widowControl w:val="0"/>
        <w:tabs>
          <w:tab w:val="left" w:pos="720"/>
        </w:tabs>
        <w:ind w:left="1440" w:hanging="1440"/>
        <w:jc w:val="both"/>
        <w:rPr>
          <w:sz w:val="20"/>
          <w:szCs w:val="20"/>
        </w:rPr>
      </w:pPr>
      <w:r w:rsidRPr="00506748">
        <w:rPr>
          <w:sz w:val="20"/>
          <w:szCs w:val="20"/>
        </w:rPr>
        <w:tab/>
        <w:t>(Sask.) (Civil) (By Leave)</w:t>
      </w:r>
    </w:p>
    <w:p w:rsidR="00364F54" w:rsidRPr="00506748" w:rsidRDefault="00364F54" w:rsidP="00364F54">
      <w:pPr>
        <w:jc w:val="both"/>
        <w:rPr>
          <w:sz w:val="20"/>
          <w:szCs w:val="20"/>
        </w:rPr>
      </w:pPr>
    </w:p>
    <w:p w:rsidR="00364F54" w:rsidRPr="00506748" w:rsidRDefault="00364F54" w:rsidP="00364F54">
      <w:pPr>
        <w:jc w:val="both"/>
        <w:rPr>
          <w:sz w:val="20"/>
          <w:szCs w:val="20"/>
        </w:rPr>
      </w:pPr>
      <w:r w:rsidRPr="00506748">
        <w:rPr>
          <w:sz w:val="20"/>
          <w:szCs w:val="20"/>
        </w:rPr>
        <w:t xml:space="preserve">Family law — Division of property — Agreements — Whether the Saskatchewan Court of Appeal erred by applying </w:t>
      </w:r>
      <w:r w:rsidRPr="00506748">
        <w:rPr>
          <w:i/>
          <w:sz w:val="20"/>
          <w:szCs w:val="20"/>
        </w:rPr>
        <w:t>Miglin v. Miglin</w:t>
      </w:r>
      <w:r w:rsidRPr="00506748">
        <w:rPr>
          <w:sz w:val="20"/>
          <w:szCs w:val="20"/>
        </w:rPr>
        <w:t xml:space="preserve">, 2003 SCC 24, [2003] 1 S.C.R. 303, to an agreement being considered under s. 40 of </w:t>
      </w:r>
      <w:r w:rsidRPr="00506748">
        <w:rPr>
          <w:i/>
          <w:sz w:val="20"/>
          <w:szCs w:val="20"/>
        </w:rPr>
        <w:t>The Family Property Act</w:t>
      </w:r>
      <w:r w:rsidRPr="00506748">
        <w:rPr>
          <w:sz w:val="20"/>
          <w:szCs w:val="20"/>
        </w:rPr>
        <w:t xml:space="preserve"> — Whether the Saskatchewan Court of Appeal erred by determining that the agreement should govern the disposition of family property, and then departing dramatically from the terms of the agreement — Whether the Saskatchewan Court of Appeal failed to apply the correct standard of review — </w:t>
      </w:r>
      <w:r w:rsidRPr="00506748">
        <w:rPr>
          <w:i/>
          <w:sz w:val="20"/>
          <w:szCs w:val="20"/>
        </w:rPr>
        <w:t>The Family Property Act</w:t>
      </w:r>
      <w:r w:rsidRPr="00506748">
        <w:rPr>
          <w:sz w:val="20"/>
          <w:szCs w:val="20"/>
        </w:rPr>
        <w:t>, S.S. 1997, c. F</w:t>
      </w:r>
      <w:r w:rsidRPr="00506748">
        <w:rPr>
          <w:sz w:val="20"/>
          <w:szCs w:val="20"/>
        </w:rPr>
        <w:noBreakHyphen/>
        <w:t>6.3, s. 40.</w:t>
      </w:r>
    </w:p>
    <w:p w:rsidR="00364F54" w:rsidRPr="00506748" w:rsidRDefault="00364F54" w:rsidP="00364F54">
      <w:pPr>
        <w:jc w:val="both"/>
        <w:rPr>
          <w:sz w:val="20"/>
        </w:rPr>
      </w:pPr>
    </w:p>
    <w:p w:rsidR="00364F54" w:rsidRPr="00506748" w:rsidRDefault="00364F54" w:rsidP="00364F54">
      <w:pPr>
        <w:jc w:val="both"/>
        <w:rPr>
          <w:sz w:val="20"/>
          <w:szCs w:val="20"/>
        </w:rPr>
      </w:pPr>
      <w:r w:rsidRPr="00506748">
        <w:rPr>
          <w:sz w:val="20"/>
          <w:szCs w:val="20"/>
        </w:rPr>
        <w:t>The parties were married for three years. Both parties came into the marriage with considerable assets, including houses, vehicles, items of personal property, RRSPs, savings and pensions. Shortly after the parties separated, the respondent invited the appellant to a reconciliation meeting with mutual friends. At the end of the meeting, the respondent presented the appellant with a separation agreement she had drawn up. Neither party received independent legal advice, but they both signed the agreement. The agreement did not deal with all the family property issues as the family home was not specifically dealt with in a final way. Shortly thereafter, the respondent’s counsel drafted a formal interspousal agreement but the appellant refused to sign it or engage in any discussion with the respondent. The respondent issued a petition seeking a divorce and costs in December 2015 and the appellant issued a counter petition in May 2017 claiming for the first time a family property division as well as occupational rent.</w:t>
      </w:r>
    </w:p>
    <w:p w:rsidR="00364F54" w:rsidRPr="00506748" w:rsidRDefault="00364F54" w:rsidP="00364F54">
      <w:pPr>
        <w:jc w:val="both"/>
        <w:rPr>
          <w:sz w:val="20"/>
          <w:szCs w:val="20"/>
        </w:rPr>
      </w:pPr>
    </w:p>
    <w:p w:rsidR="00364F54" w:rsidRPr="00506748" w:rsidRDefault="00364F54" w:rsidP="00364F54">
      <w:pPr>
        <w:jc w:val="both"/>
        <w:rPr>
          <w:sz w:val="20"/>
          <w:szCs w:val="20"/>
        </w:rPr>
      </w:pPr>
      <w:r w:rsidRPr="00506748">
        <w:rPr>
          <w:sz w:val="20"/>
          <w:szCs w:val="20"/>
        </w:rPr>
        <w:t>The trial judge ordered that the respondent pay to the appellant the sum of $62,646.98 (this being the sum of the $70,646.98 equalization of non-taxable assets less the $8,000 equitable factor regarding the agreement), and either an RRSP rollover of $37,089.69 or a further cash payment of $27,817.27. The Court of Appeal set aside the trial judgment and directed that the division of the family property should be made in accordance with the December 2015 values. The appellant was thus ordered to pay the sum of $4,914.95 to the respondent to equalize the distribution of their family property.</w:t>
      </w:r>
    </w:p>
    <w:p w:rsidR="00364F54" w:rsidRPr="00506748" w:rsidRDefault="00364F54" w:rsidP="00364F54">
      <w:pPr>
        <w:jc w:val="both"/>
        <w:rPr>
          <w:sz w:val="20"/>
        </w:rPr>
      </w:pPr>
    </w:p>
    <w:p w:rsidR="00364F54" w:rsidRPr="00506748" w:rsidRDefault="00C9268A" w:rsidP="00364F54">
      <w:pPr>
        <w:jc w:val="both"/>
        <w:rPr>
          <w:sz w:val="20"/>
        </w:rPr>
      </w:pPr>
      <w:r>
        <w:rPr>
          <w:sz w:val="20"/>
        </w:rPr>
        <w:pict>
          <v:rect id="_x0000_i1062" style="width:2in;height:1pt" o:hrpct="0" o:hralign="center" o:hrstd="t" o:hrnoshade="t" o:hr="t" fillcolor="black [3213]" stroked="f"/>
        </w:pict>
      </w:r>
    </w:p>
    <w:p w:rsidR="00364F54" w:rsidRPr="00506748" w:rsidRDefault="00364F54" w:rsidP="00364F54">
      <w:pPr>
        <w:jc w:val="both"/>
        <w:rPr>
          <w:sz w:val="20"/>
        </w:rPr>
      </w:pPr>
    </w:p>
    <w:p w:rsidR="00364F54" w:rsidRPr="00506748" w:rsidRDefault="00364F54" w:rsidP="00364F54">
      <w:pPr>
        <w:pStyle w:val="SCCLsocParty"/>
        <w:jc w:val="both"/>
        <w:rPr>
          <w:b/>
          <w:i/>
          <w:sz w:val="20"/>
          <w:szCs w:val="20"/>
          <w:lang w:val="en-US"/>
        </w:rPr>
      </w:pPr>
      <w:r w:rsidRPr="00506748">
        <w:rPr>
          <w:rStyle w:val="SCCFileNumberChar"/>
          <w:sz w:val="20"/>
          <w:szCs w:val="20"/>
        </w:rPr>
        <w:t>39884</w:t>
      </w:r>
      <w:r w:rsidRPr="00506748">
        <w:rPr>
          <w:rStyle w:val="SCCFileNumberChar"/>
          <w:sz w:val="20"/>
          <w:szCs w:val="20"/>
        </w:rPr>
        <w:tab/>
      </w:r>
      <w:r w:rsidRPr="00506748">
        <w:rPr>
          <w:b/>
          <w:i/>
          <w:sz w:val="20"/>
          <w:szCs w:val="20"/>
          <w:lang w:val="en-US"/>
        </w:rPr>
        <w:t>James Allan Anderson c. Diana Anderson</w:t>
      </w:r>
    </w:p>
    <w:p w:rsidR="00364F54" w:rsidRPr="00506748" w:rsidRDefault="00364F54" w:rsidP="00364F54">
      <w:pPr>
        <w:ind w:firstLine="720"/>
        <w:jc w:val="both"/>
        <w:rPr>
          <w:sz w:val="20"/>
          <w:lang w:val="fr-CA"/>
        </w:rPr>
      </w:pPr>
      <w:r w:rsidRPr="00506748">
        <w:rPr>
          <w:sz w:val="20"/>
          <w:szCs w:val="20"/>
          <w:lang w:val="fr-CA"/>
        </w:rPr>
        <w:t>(Sask.) (Civile) (Sur autorisation)</w:t>
      </w:r>
    </w:p>
    <w:p w:rsidR="00364F54" w:rsidRPr="00506748" w:rsidRDefault="00364F54" w:rsidP="00364F54">
      <w:pPr>
        <w:jc w:val="both"/>
        <w:rPr>
          <w:sz w:val="20"/>
          <w:lang w:val="fr-CA"/>
        </w:rPr>
      </w:pPr>
    </w:p>
    <w:p w:rsidR="00364F54" w:rsidRPr="00506748" w:rsidRDefault="00364F54" w:rsidP="00364F54">
      <w:pPr>
        <w:jc w:val="both"/>
        <w:rPr>
          <w:sz w:val="20"/>
          <w:szCs w:val="20"/>
          <w:lang w:val="fr-CA"/>
        </w:rPr>
      </w:pPr>
      <w:r w:rsidRPr="00506748">
        <w:rPr>
          <w:sz w:val="20"/>
          <w:szCs w:val="20"/>
          <w:lang w:val="fr-CA"/>
        </w:rPr>
        <w:t xml:space="preserve">Droit de la famille — Partage des biens — Ententes — La Cour d’appel de la Saskatchewan a-t-elle commis une erreur en appliquant l’arrêt </w:t>
      </w:r>
      <w:r w:rsidRPr="00506748">
        <w:rPr>
          <w:i/>
          <w:sz w:val="20"/>
          <w:szCs w:val="20"/>
          <w:lang w:val="fr-CA"/>
        </w:rPr>
        <w:t>Miglin c. Miglin</w:t>
      </w:r>
      <w:r w:rsidRPr="00506748">
        <w:rPr>
          <w:sz w:val="20"/>
          <w:szCs w:val="20"/>
          <w:lang w:val="fr-CA"/>
        </w:rPr>
        <w:t xml:space="preserve">, 2003 CSC 24, [2003] 1 R.C.S. 303, à l’examen d’une entente en vertu de l’art. 40 de la </w:t>
      </w:r>
      <w:r w:rsidRPr="00506748">
        <w:rPr>
          <w:i/>
          <w:sz w:val="20"/>
          <w:szCs w:val="20"/>
          <w:lang w:val="fr-CA"/>
        </w:rPr>
        <w:t>Loi sur les biens familiaux</w:t>
      </w:r>
      <w:r w:rsidRPr="00506748">
        <w:rPr>
          <w:sz w:val="20"/>
          <w:szCs w:val="20"/>
          <w:lang w:val="fr-CA"/>
        </w:rPr>
        <w:t xml:space="preserve">? — La Cour d’appel de la Saskatchewan a-t-elle commis une erreur en concluant que l’entente devrait régir le partage des biens familiaux, pour ensuite s’écarter dramatiquement des conditions qui y sont prévues? La Cour d’appel de la Saskatchewan a-t-elle omis d’appliquer la norme de contrôle de la décision correcte? </w:t>
      </w:r>
      <w:r w:rsidRPr="00506748">
        <w:rPr>
          <w:i/>
          <w:sz w:val="20"/>
          <w:szCs w:val="20"/>
          <w:lang w:val="fr-CA"/>
        </w:rPr>
        <w:t>Loi sur les biens familiaux</w:t>
      </w:r>
      <w:r w:rsidRPr="00506748">
        <w:rPr>
          <w:sz w:val="20"/>
          <w:szCs w:val="20"/>
          <w:lang w:val="fr-CA"/>
        </w:rPr>
        <w:t>, L.S. 1997, c. F 6.3, art. 40.</w:t>
      </w:r>
    </w:p>
    <w:p w:rsidR="00364F54" w:rsidRPr="00506748" w:rsidRDefault="00364F54" w:rsidP="00364F54">
      <w:pPr>
        <w:jc w:val="both"/>
        <w:rPr>
          <w:sz w:val="20"/>
          <w:szCs w:val="20"/>
          <w:lang w:val="fr-CA"/>
        </w:rPr>
      </w:pPr>
    </w:p>
    <w:p w:rsidR="00364F54" w:rsidRPr="00506748" w:rsidRDefault="00364F54">
      <w:pPr>
        <w:rPr>
          <w:sz w:val="20"/>
          <w:szCs w:val="20"/>
          <w:lang w:val="fr-CA"/>
        </w:rPr>
      </w:pPr>
      <w:r w:rsidRPr="00506748">
        <w:rPr>
          <w:sz w:val="20"/>
          <w:szCs w:val="20"/>
          <w:lang w:val="fr-CA"/>
        </w:rPr>
        <w:br w:type="page"/>
      </w:r>
    </w:p>
    <w:p w:rsidR="00364F54" w:rsidRPr="00506748" w:rsidRDefault="00364F54" w:rsidP="00364F54">
      <w:pPr>
        <w:jc w:val="both"/>
        <w:rPr>
          <w:sz w:val="20"/>
          <w:lang w:val="fr-CA"/>
        </w:rPr>
      </w:pPr>
      <w:r w:rsidRPr="00506748">
        <w:rPr>
          <w:sz w:val="20"/>
          <w:szCs w:val="20"/>
          <w:lang w:val="fr-CA"/>
        </w:rPr>
        <w:t>Les parties ont été mariées durant trois ans. Elles détenaient toutes les deux des actifs considérables au moment du mariage, dont des maisons, des véhicules, des biens personnels, des REER, des économies et des régimes de retraite. Peu de temps après la séparation des parties, l’intimée a invité l’appelant à participer à une rencontre de réconciliation en présence d’amis communs. À la fin de la rencontre, l’intimée a présenté à l’appelant une entente de séparation qu’elle avait rédigée. Ni l’une ni l’autre des parties n’a reçu de conseils juridiques indépendants, mais elles ont toutes les deux signé l’entente. Cette dernière ne réglait pas toutes les questions relatives aux biens familiaux puisque celle de la résidence familiale n’y était pas résolue de façon définitive. Peu de temps après, l’avocat de l’intimée a rédigé une entente entre conjoints formelle, mais l’appelant a refusé de la signer ou de discuter avec l’intimée. En décembre 2015, celle</w:t>
      </w:r>
      <w:r w:rsidRPr="00506748">
        <w:rPr>
          <w:sz w:val="20"/>
          <w:szCs w:val="20"/>
          <w:lang w:val="fr-CA"/>
        </w:rPr>
        <w:noBreakHyphen/>
        <w:t>ci a intenté un recours pour obtenir un divorce et les dépens et l’appelant a présenté un recours reconventionnel en mai 2017 par lequel il réclamait pour la première fois le partage des biens familiaux ainsi qu’un loyer professionnel.</w:t>
      </w:r>
    </w:p>
    <w:p w:rsidR="00364F54" w:rsidRPr="00506748" w:rsidRDefault="00364F54" w:rsidP="00364F54">
      <w:pPr>
        <w:jc w:val="both"/>
        <w:rPr>
          <w:sz w:val="20"/>
          <w:szCs w:val="20"/>
          <w:lang w:val="fr-CA"/>
        </w:rPr>
      </w:pPr>
    </w:p>
    <w:p w:rsidR="00364F54" w:rsidRPr="00506748" w:rsidRDefault="00364F54" w:rsidP="00364F54">
      <w:pPr>
        <w:jc w:val="both"/>
        <w:rPr>
          <w:sz w:val="20"/>
          <w:szCs w:val="20"/>
          <w:lang w:val="fr-CA"/>
        </w:rPr>
      </w:pPr>
      <w:r w:rsidRPr="00506748">
        <w:rPr>
          <w:sz w:val="20"/>
          <w:szCs w:val="20"/>
          <w:lang w:val="fr-CA"/>
        </w:rPr>
        <w:t>Le juge du procès a ordonné que l’intimée paie à l’appelant la somme de 62 646,98 $ (soit le montant de 70 646,98 $ en compensation pour les actifs non imposables moins 8 000 $ découlant de l’application d’un facteur fondé sur l’équité relativement à l’entente), et à effectuer soit un roulement de REER de 37 089,69 $ soit le versement d’un montant comptant de 27 817,27 $. La Cour d’appel a annulé le jugement de première instance et ordonné que le partage des biens familiaux soit effectué en fonction des valeurs de décembre 2015. L’appelant a donc été condamné à payer la somme de 4 914,95 $ à l’intimée pour équilibrer la répartition de leurs biens familiaux.</w:t>
      </w:r>
    </w:p>
    <w:p w:rsidR="00364F54" w:rsidRPr="00506748" w:rsidRDefault="00364F54" w:rsidP="00364F54">
      <w:pPr>
        <w:jc w:val="both"/>
        <w:rPr>
          <w:sz w:val="20"/>
          <w:szCs w:val="20"/>
          <w:lang w:val="fr-CA"/>
        </w:rPr>
      </w:pPr>
    </w:p>
    <w:p w:rsidR="00364F54" w:rsidRPr="00506748" w:rsidRDefault="00C9268A" w:rsidP="00364F54">
      <w:pPr>
        <w:jc w:val="both"/>
        <w:rPr>
          <w:sz w:val="20"/>
          <w:szCs w:val="20"/>
          <w:lang w:val="fr-CA"/>
        </w:rPr>
      </w:pPr>
      <w:r>
        <w:rPr>
          <w:sz w:val="20"/>
        </w:rPr>
        <w:pict>
          <v:rect id="_x0000_i1063" style="width:2in;height:1pt" o:hrpct="0" o:hralign="center" o:hrstd="t" o:hrnoshade="t" o:hr="t" fillcolor="black [3213]" stroked="f"/>
        </w:pict>
      </w:r>
    </w:p>
    <w:p w:rsidR="00364F54" w:rsidRPr="00506748" w:rsidRDefault="00364F54" w:rsidP="00364F54">
      <w:pPr>
        <w:jc w:val="both"/>
        <w:rPr>
          <w:sz w:val="20"/>
          <w:szCs w:val="20"/>
          <w:lang w:val="fr-CA"/>
        </w:rPr>
      </w:pPr>
    </w:p>
    <w:p w:rsidR="00364F54" w:rsidRPr="00506748" w:rsidRDefault="00364F54" w:rsidP="00364F54">
      <w:pPr>
        <w:widowControl w:val="0"/>
        <w:tabs>
          <w:tab w:val="left" w:pos="720"/>
        </w:tabs>
        <w:ind w:left="2160" w:hanging="2160"/>
        <w:jc w:val="both"/>
        <w:rPr>
          <w:b/>
          <w:i/>
          <w:sz w:val="20"/>
          <w:szCs w:val="20"/>
        </w:rPr>
      </w:pPr>
      <w:r w:rsidRPr="00506748">
        <w:rPr>
          <w:b/>
          <w:sz w:val="20"/>
          <w:szCs w:val="20"/>
        </w:rPr>
        <w:fldChar w:fldCharType="begin"/>
      </w:r>
      <w:r w:rsidRPr="00506748">
        <w:rPr>
          <w:b/>
          <w:sz w:val="20"/>
          <w:szCs w:val="20"/>
        </w:rPr>
        <w:instrText xml:space="preserve"> SEQ CHAPTER \h \r 1</w:instrText>
      </w:r>
      <w:r w:rsidRPr="00506748">
        <w:rPr>
          <w:b/>
          <w:sz w:val="20"/>
          <w:szCs w:val="20"/>
        </w:rPr>
        <w:fldChar w:fldCharType="end"/>
      </w:r>
      <w:r w:rsidRPr="00506748">
        <w:rPr>
          <w:b/>
          <w:sz w:val="20"/>
          <w:szCs w:val="20"/>
        </w:rPr>
        <w:t>40072</w:t>
      </w:r>
      <w:r w:rsidRPr="00506748">
        <w:rPr>
          <w:sz w:val="20"/>
          <w:szCs w:val="20"/>
        </w:rPr>
        <w:tab/>
      </w:r>
      <w:r w:rsidRPr="00506748">
        <w:rPr>
          <w:b/>
          <w:i/>
          <w:sz w:val="20"/>
          <w:szCs w:val="20"/>
        </w:rPr>
        <w:t>Mikerlson Vernelus v. H</w:t>
      </w:r>
      <w:r w:rsidRPr="00506748">
        <w:rPr>
          <w:b/>
          <w:i/>
          <w:sz w:val="20"/>
        </w:rPr>
        <w:t>is</w:t>
      </w:r>
      <w:r w:rsidRPr="00506748">
        <w:rPr>
          <w:b/>
          <w:i/>
          <w:sz w:val="20"/>
          <w:szCs w:val="20"/>
        </w:rPr>
        <w:t xml:space="preserve"> Majesty the </w:t>
      </w:r>
      <w:r w:rsidRPr="00506748">
        <w:rPr>
          <w:b/>
          <w:i/>
          <w:sz w:val="20"/>
        </w:rPr>
        <w:t>King</w:t>
      </w:r>
    </w:p>
    <w:p w:rsidR="00364F54" w:rsidRPr="00506748" w:rsidRDefault="00364F54" w:rsidP="00364F54">
      <w:pPr>
        <w:widowControl w:val="0"/>
        <w:tabs>
          <w:tab w:val="left" w:pos="720"/>
        </w:tabs>
        <w:ind w:left="2160" w:hanging="2160"/>
        <w:jc w:val="both"/>
        <w:rPr>
          <w:sz w:val="20"/>
          <w:szCs w:val="20"/>
        </w:rPr>
      </w:pPr>
      <w:r w:rsidRPr="00506748">
        <w:rPr>
          <w:b/>
          <w:i/>
          <w:sz w:val="20"/>
          <w:szCs w:val="20"/>
        </w:rPr>
        <w:tab/>
      </w:r>
      <w:r w:rsidRPr="00506748">
        <w:rPr>
          <w:sz w:val="20"/>
          <w:szCs w:val="20"/>
        </w:rPr>
        <w:t>(Que.) (Criminal) (As of Right)</w:t>
      </w:r>
    </w:p>
    <w:p w:rsidR="00364F54" w:rsidRPr="00506748" w:rsidRDefault="00364F54" w:rsidP="00364F54">
      <w:pPr>
        <w:widowControl w:val="0"/>
        <w:jc w:val="both"/>
        <w:rPr>
          <w:sz w:val="20"/>
          <w:szCs w:val="20"/>
        </w:rPr>
      </w:pPr>
    </w:p>
    <w:p w:rsidR="00364F54" w:rsidRPr="00506748" w:rsidRDefault="00364F54" w:rsidP="00364F54">
      <w:pPr>
        <w:widowControl w:val="0"/>
        <w:jc w:val="both"/>
        <w:rPr>
          <w:b/>
          <w:sz w:val="20"/>
          <w:szCs w:val="20"/>
        </w:rPr>
      </w:pPr>
      <w:r w:rsidRPr="00506748">
        <w:rPr>
          <w:sz w:val="20"/>
          <w:szCs w:val="20"/>
        </w:rPr>
        <w:t>Criminal law — Appeals — Evidence — Reasonable inference — Verdict — Unreasonable verdict — Whether majority of Quebec Court of Appeal erred in law in holding that trial judge had not made error and had not reached unreasonable verdict by finding that appellant had possession of firearm for which he was charged, even though that inference was not only reasonable one that could be drawn from evidence or from lack of evidence.</w:t>
      </w:r>
    </w:p>
    <w:p w:rsidR="00364F54" w:rsidRPr="00506748" w:rsidRDefault="00364F54" w:rsidP="00364F54">
      <w:pPr>
        <w:widowControl w:val="0"/>
        <w:jc w:val="both"/>
        <w:rPr>
          <w:sz w:val="20"/>
          <w:szCs w:val="20"/>
        </w:rPr>
      </w:pPr>
    </w:p>
    <w:p w:rsidR="00364F54" w:rsidRPr="00506748" w:rsidRDefault="00364F54" w:rsidP="00364F54">
      <w:pPr>
        <w:widowControl w:val="0"/>
        <w:jc w:val="both"/>
        <w:rPr>
          <w:sz w:val="20"/>
          <w:szCs w:val="20"/>
        </w:rPr>
      </w:pPr>
      <w:r w:rsidRPr="00506748">
        <w:rPr>
          <w:sz w:val="20"/>
          <w:szCs w:val="20"/>
        </w:rPr>
        <w:t xml:space="preserve">After a trial in the Court of Québec, the appellant, Mikerlson Vernelus, was convicted of possession of a firearm and breach of a recognizance. A vehicle with the appellant and two other individuals in it had been stopped by the police and the appellant had been arrested for possession of cannabis. During the search incident to the arrest, the police had found a firearm in a bag belonging to the appellant. Testing of that weapon had found DNA only from the vehicle’s other occupant. The trial judge rejected the appellant’s testimony, as she did not find it credible. She then held that the defence as a whole did not raise any reasonable doubt as to knowledge, control and possession of the weapon found, including the appellant’s consent. The judge also noted that the fact that the appellant was calm when the weapon was found confirmed his knowledge that the weapon was hidden in his bag, which was under his control. </w:t>
      </w:r>
    </w:p>
    <w:p w:rsidR="00364F54" w:rsidRPr="00506748" w:rsidRDefault="00364F54" w:rsidP="00364F54">
      <w:pPr>
        <w:widowControl w:val="0"/>
        <w:jc w:val="both"/>
        <w:rPr>
          <w:sz w:val="20"/>
          <w:szCs w:val="20"/>
        </w:rPr>
      </w:pPr>
    </w:p>
    <w:p w:rsidR="00364F54" w:rsidRPr="00506748" w:rsidRDefault="00364F54" w:rsidP="00364F54">
      <w:pPr>
        <w:widowControl w:val="0"/>
        <w:jc w:val="both"/>
        <w:rPr>
          <w:sz w:val="20"/>
          <w:szCs w:val="20"/>
        </w:rPr>
      </w:pPr>
      <w:r w:rsidRPr="00506748">
        <w:rPr>
          <w:sz w:val="20"/>
          <w:szCs w:val="20"/>
        </w:rPr>
        <w:t xml:space="preserve">The Quebec Court of Appeal, for the reasons given by Moore J.A. and concurred in by Pelletier J.A., dismissed the accused’s appeal based on the unreasonableness of the verdict. The majority explained that the offence of possession of a firearm is grounded in control and knowledge. The trial judge had found from the evidence that these elements were established beyond a reasonable doubt, and it was open to her to make such a finding. First, the bag in which the weapon was found was the appellant’s bag, the weapon was not visible from the outside and was in the centre of the bag with clothing around it, and the bag was close to the appellant. These facts established the appellant’s control of the weapon. Second, the judge could infer from these indicia that the appellant knew of the weapon’s presence and thus that he was guilty. The fact that the appellant had not placed the weapon in the bag himself did not matter. The prosecution could establish, and had established here, that the weapon had not been placed in the bag without the appellant’s knowledge. The majority explained that, at the third step of </w:t>
      </w:r>
      <w:r w:rsidRPr="00506748">
        <w:rPr>
          <w:i/>
          <w:sz w:val="20"/>
          <w:szCs w:val="20"/>
        </w:rPr>
        <w:t>R. v. W.(D.)</w:t>
      </w:r>
      <w:r w:rsidRPr="00506748">
        <w:rPr>
          <w:sz w:val="20"/>
          <w:szCs w:val="20"/>
        </w:rPr>
        <w:t>, [1991] 1 S.C.R. 742, a possible, speculative inference that amounts to pure conjecture is not sufficient to raise a reasonable doubt.</w:t>
      </w:r>
    </w:p>
    <w:p w:rsidR="00364F54" w:rsidRPr="00506748" w:rsidRDefault="00364F54" w:rsidP="00364F54">
      <w:pPr>
        <w:widowControl w:val="0"/>
        <w:jc w:val="both"/>
        <w:rPr>
          <w:sz w:val="20"/>
          <w:szCs w:val="20"/>
        </w:rPr>
      </w:pPr>
    </w:p>
    <w:p w:rsidR="00364F54" w:rsidRPr="00506748" w:rsidRDefault="00364F54">
      <w:pPr>
        <w:rPr>
          <w:sz w:val="20"/>
          <w:szCs w:val="20"/>
        </w:rPr>
      </w:pPr>
      <w:r w:rsidRPr="00506748">
        <w:rPr>
          <w:sz w:val="20"/>
          <w:szCs w:val="20"/>
        </w:rPr>
        <w:br w:type="page"/>
      </w:r>
    </w:p>
    <w:p w:rsidR="00364F54" w:rsidRPr="00506748" w:rsidRDefault="00364F54" w:rsidP="00364F54">
      <w:pPr>
        <w:widowControl w:val="0"/>
        <w:jc w:val="both"/>
        <w:rPr>
          <w:sz w:val="20"/>
          <w:szCs w:val="20"/>
        </w:rPr>
      </w:pPr>
      <w:r w:rsidRPr="00506748">
        <w:rPr>
          <w:sz w:val="20"/>
          <w:szCs w:val="20"/>
        </w:rPr>
        <w:t xml:space="preserve">Schrager J.A., dissenting, would have set aside the judgment and substituted acquittals on the offences of possession of a firearm and breach of a recognizance. In his view, the verdict was unreasonable because the trial judge had misapplied the third step of </w:t>
      </w:r>
      <w:r w:rsidRPr="00506748">
        <w:rPr>
          <w:i/>
          <w:sz w:val="20"/>
          <w:szCs w:val="20"/>
        </w:rPr>
        <w:t>R. v. W.(D.)</w:t>
      </w:r>
      <w:r w:rsidRPr="00506748">
        <w:rPr>
          <w:sz w:val="20"/>
          <w:szCs w:val="20"/>
        </w:rPr>
        <w:t>, [1991] 1 S.C.R. 742. In light of the possibility that the firearm had been placed in the bag without the appellant’s knowledge, which was a reasonable inference from the evidence, the appellant had not been given the benefit of the reasonable doubt to which he was entitled because the evidence did not reasonably support the guilty verdict.</w:t>
      </w:r>
    </w:p>
    <w:p w:rsidR="00364F54" w:rsidRPr="00506748" w:rsidRDefault="00364F54" w:rsidP="00364F54">
      <w:pPr>
        <w:widowControl w:val="0"/>
        <w:jc w:val="both"/>
        <w:rPr>
          <w:sz w:val="20"/>
        </w:rPr>
      </w:pPr>
    </w:p>
    <w:p w:rsidR="00364F54" w:rsidRPr="00506748" w:rsidRDefault="00C9268A" w:rsidP="00364F54">
      <w:pPr>
        <w:widowControl w:val="0"/>
        <w:jc w:val="both"/>
        <w:rPr>
          <w:sz w:val="20"/>
        </w:rPr>
      </w:pPr>
      <w:r>
        <w:rPr>
          <w:sz w:val="20"/>
        </w:rPr>
        <w:pict>
          <v:rect id="_x0000_i1064" style="width:2in;height:1pt" o:hrpct="0" o:hralign="center" o:hrstd="t" o:hrnoshade="t" o:hr="t" fillcolor="black [3213]" stroked="f"/>
        </w:pict>
      </w:r>
    </w:p>
    <w:p w:rsidR="00364F54" w:rsidRPr="00506748" w:rsidRDefault="00364F54" w:rsidP="00364F54">
      <w:pPr>
        <w:widowControl w:val="0"/>
        <w:jc w:val="both"/>
        <w:rPr>
          <w:sz w:val="20"/>
          <w:szCs w:val="20"/>
        </w:rPr>
      </w:pPr>
    </w:p>
    <w:p w:rsidR="00364F54" w:rsidRPr="00506748" w:rsidRDefault="00364F54" w:rsidP="00364F54">
      <w:pPr>
        <w:widowControl w:val="0"/>
        <w:tabs>
          <w:tab w:val="left" w:pos="720"/>
        </w:tabs>
        <w:ind w:left="2160" w:hanging="2160"/>
        <w:jc w:val="both"/>
        <w:rPr>
          <w:b/>
          <w:i/>
          <w:sz w:val="20"/>
          <w:szCs w:val="20"/>
          <w:lang w:val="fr-CA"/>
        </w:rPr>
      </w:pPr>
      <w:r w:rsidRPr="00506748">
        <w:rPr>
          <w:b/>
          <w:sz w:val="20"/>
          <w:szCs w:val="20"/>
          <w:lang w:val="fr-CA"/>
        </w:rPr>
        <w:fldChar w:fldCharType="begin"/>
      </w:r>
      <w:r w:rsidRPr="00506748">
        <w:rPr>
          <w:b/>
          <w:sz w:val="20"/>
          <w:szCs w:val="20"/>
          <w:lang w:val="fr-CA"/>
        </w:rPr>
        <w:instrText xml:space="preserve"> SEQ CHAPTER \h \r 1</w:instrText>
      </w:r>
      <w:r w:rsidRPr="00506748">
        <w:rPr>
          <w:b/>
          <w:sz w:val="20"/>
          <w:szCs w:val="20"/>
        </w:rPr>
        <w:fldChar w:fldCharType="end"/>
      </w:r>
      <w:r w:rsidRPr="00506748">
        <w:rPr>
          <w:b/>
          <w:sz w:val="20"/>
          <w:szCs w:val="20"/>
          <w:lang w:val="fr-CA"/>
        </w:rPr>
        <w:t>40072</w:t>
      </w:r>
      <w:r w:rsidRPr="00506748">
        <w:rPr>
          <w:sz w:val="20"/>
          <w:szCs w:val="20"/>
          <w:lang w:val="fr-CA"/>
        </w:rPr>
        <w:tab/>
      </w:r>
      <w:r w:rsidRPr="00506748">
        <w:rPr>
          <w:b/>
          <w:i/>
          <w:sz w:val="20"/>
          <w:szCs w:val="20"/>
          <w:lang w:val="fr-CA"/>
        </w:rPr>
        <w:t>Mikerlson Vernelus c. Sa Majesté l</w:t>
      </w:r>
      <w:r w:rsidRPr="00506748">
        <w:rPr>
          <w:b/>
          <w:i/>
          <w:sz w:val="20"/>
          <w:lang w:val="fr-CA"/>
        </w:rPr>
        <w:t>e</w:t>
      </w:r>
      <w:r w:rsidRPr="00506748">
        <w:rPr>
          <w:b/>
          <w:i/>
          <w:sz w:val="20"/>
          <w:szCs w:val="20"/>
          <w:lang w:val="fr-CA"/>
        </w:rPr>
        <w:t xml:space="preserve"> R</w:t>
      </w:r>
      <w:r w:rsidRPr="00506748">
        <w:rPr>
          <w:b/>
          <w:i/>
          <w:sz w:val="20"/>
          <w:lang w:val="fr-CA"/>
        </w:rPr>
        <w:t>o</w:t>
      </w:r>
      <w:r w:rsidRPr="00506748">
        <w:rPr>
          <w:b/>
          <w:i/>
          <w:sz w:val="20"/>
          <w:szCs w:val="20"/>
          <w:lang w:val="fr-CA"/>
        </w:rPr>
        <w:t>i</w:t>
      </w:r>
    </w:p>
    <w:p w:rsidR="00364F54" w:rsidRPr="00506748" w:rsidRDefault="00364F54" w:rsidP="00364F54">
      <w:pPr>
        <w:widowControl w:val="0"/>
        <w:tabs>
          <w:tab w:val="left" w:pos="720"/>
        </w:tabs>
        <w:ind w:left="2160" w:hanging="2160"/>
        <w:jc w:val="both"/>
        <w:rPr>
          <w:sz w:val="20"/>
          <w:szCs w:val="20"/>
          <w:lang w:val="fr-CA"/>
        </w:rPr>
      </w:pPr>
      <w:r w:rsidRPr="00506748">
        <w:rPr>
          <w:b/>
          <w:i/>
          <w:sz w:val="20"/>
          <w:szCs w:val="20"/>
          <w:lang w:val="fr-CA"/>
        </w:rPr>
        <w:tab/>
      </w:r>
      <w:r w:rsidRPr="00506748">
        <w:rPr>
          <w:sz w:val="20"/>
          <w:szCs w:val="20"/>
          <w:lang w:val="fr-CA"/>
        </w:rPr>
        <w:t>(Que.) (Criminelle) (De plein droit)</w:t>
      </w:r>
    </w:p>
    <w:p w:rsidR="00364F54" w:rsidRPr="00506748" w:rsidRDefault="00364F54" w:rsidP="00364F54">
      <w:pPr>
        <w:widowControl w:val="0"/>
        <w:jc w:val="both"/>
        <w:rPr>
          <w:sz w:val="20"/>
          <w:szCs w:val="20"/>
          <w:lang w:val="fr-CA"/>
        </w:rPr>
      </w:pPr>
    </w:p>
    <w:p w:rsidR="00364F54" w:rsidRPr="00506748" w:rsidRDefault="00364F54" w:rsidP="00364F54">
      <w:pPr>
        <w:widowControl w:val="0"/>
        <w:jc w:val="both"/>
        <w:rPr>
          <w:b/>
          <w:sz w:val="20"/>
          <w:szCs w:val="20"/>
          <w:lang w:val="fr-CA"/>
        </w:rPr>
      </w:pPr>
      <w:r w:rsidRPr="00506748">
        <w:rPr>
          <w:sz w:val="20"/>
          <w:szCs w:val="20"/>
          <w:lang w:val="fr-CA"/>
        </w:rPr>
        <w:t>Droit criminel — Appels — Preuve — Inférence raisonnable — Verdict — Verdict déraisonnable — La majorité de la Cour d’appel du Québec a</w:t>
      </w:r>
      <w:r w:rsidRPr="00506748">
        <w:rPr>
          <w:sz w:val="20"/>
          <w:szCs w:val="20"/>
          <w:lang w:val="fr-CA"/>
        </w:rPr>
        <w:noBreakHyphen/>
        <w:t>t</w:t>
      </w:r>
      <w:r w:rsidRPr="00506748">
        <w:rPr>
          <w:sz w:val="20"/>
          <w:szCs w:val="20"/>
          <w:lang w:val="fr-CA"/>
        </w:rPr>
        <w:noBreakHyphen/>
        <w:t>elle erré en droit en concluant que la juge de première instance n’avait pas commis d’erreur et n’avait pas rendu un verdict déraisonnable en concluant que l’appelant possédait l’arme à feu faisant l’objet des accusations, alors qu’il ne s’agissait pas de la seule inférence raisonnable qui pouvait être tirée de la preuve ou de l’absence de la preuve?</w:t>
      </w:r>
    </w:p>
    <w:p w:rsidR="00364F54" w:rsidRPr="00506748" w:rsidRDefault="00364F54" w:rsidP="00364F54">
      <w:pPr>
        <w:widowControl w:val="0"/>
        <w:jc w:val="both"/>
        <w:rPr>
          <w:sz w:val="20"/>
          <w:szCs w:val="20"/>
          <w:lang w:val="fr-CA"/>
        </w:rPr>
      </w:pPr>
    </w:p>
    <w:p w:rsidR="00364F54" w:rsidRPr="00506748" w:rsidRDefault="00364F54" w:rsidP="00364F54">
      <w:pPr>
        <w:widowControl w:val="0"/>
        <w:jc w:val="both"/>
        <w:rPr>
          <w:sz w:val="20"/>
          <w:szCs w:val="20"/>
          <w:lang w:val="fr-CA"/>
        </w:rPr>
      </w:pPr>
      <w:r w:rsidRPr="00506748">
        <w:rPr>
          <w:sz w:val="20"/>
          <w:szCs w:val="20"/>
          <w:lang w:val="fr-CA"/>
        </w:rPr>
        <w:t xml:space="preserve">Au terme d’un procès devant la Cour du Québec, l’appelant, Mikerlson Vernelus, est déclaré coupable de possession d’une arme à feu et bris d’engagement. Un véhicule dans lequel se trouvaient l’appelant et deux autres individus a été intercepté par la police. L’appelant a été arrêté pour possession de cannabis. Lors de la fouille accessoire à l’arrestation, les policiers ont découvert une arme à feu dans un sac appartenant à l’appelant. Une analyse de l’arme a révélé seulement la présence de l’ADN de l’autre occupant du véhicule. La juge de première instance rejette le témoignage de l’appelant, ne le trouvant pas crédible. Elle conclut ensuite que la défense dans son ensemble ne soulève aucun doute raisonnable quant à la connaissance, le contrôle et la possession de l’arme retrouvée, incluant son consentement. La juge note aussi que le calme affiché par l’appelant lors de la découverte de l’arme confirme qu’il savait que cette arme était cachée dans son sac, dont il avait le contrôle. </w:t>
      </w:r>
    </w:p>
    <w:p w:rsidR="00364F54" w:rsidRPr="00506748" w:rsidRDefault="00364F54" w:rsidP="00364F54">
      <w:pPr>
        <w:widowControl w:val="0"/>
        <w:jc w:val="both"/>
        <w:rPr>
          <w:sz w:val="20"/>
          <w:szCs w:val="20"/>
          <w:lang w:val="fr-CA"/>
        </w:rPr>
      </w:pPr>
    </w:p>
    <w:p w:rsidR="00364F54" w:rsidRPr="00506748" w:rsidRDefault="00364F54" w:rsidP="00364F54">
      <w:pPr>
        <w:widowControl w:val="0"/>
        <w:jc w:val="both"/>
        <w:rPr>
          <w:sz w:val="20"/>
          <w:szCs w:val="20"/>
          <w:lang w:val="fr-CA"/>
        </w:rPr>
      </w:pPr>
      <w:r w:rsidRPr="00506748">
        <w:rPr>
          <w:sz w:val="20"/>
          <w:szCs w:val="20"/>
          <w:lang w:val="fr-CA"/>
        </w:rPr>
        <w:t>La Cour d’appel du Québec, pour les motifs du juge Moore auxquels souscrit le juge Pelletier, rejette l’appel de l’accusé basé sur le caractère déraisonnable du verdict. La majorité explique que l’infraction de possession d’une arme à feu repose sur le contrôle et la connaissance. La juge de première instance a retenu de la preuve que ces éléments étaient établis hors de tout doute raisonnable et elle pouvait arriver à une telle conclusion. Premièrement, le sac dans lequel l’arme est retrouvée est celui de l’appelant, l’arme n’est pas visible de l’extérieure, se trouve au centre du sac à travers des vêtements et le sac est prêt de l’appelant. Ces éléments établissent le contrôle de l’arme par l’appelant. Deuxièmement, ces indices permettaient à la juge d’inférer la connaissance par l’appelant de la présence de l’arme et donc, de sa culpabilité. Le fait que l’appelant n’ait pas placé lui</w:t>
      </w:r>
      <w:r w:rsidRPr="00506748">
        <w:rPr>
          <w:sz w:val="20"/>
          <w:szCs w:val="20"/>
          <w:lang w:val="fr-CA"/>
        </w:rPr>
        <w:noBreakHyphen/>
        <w:t xml:space="preserve">même l’arme dans le sac importe peu. La poursuite pouvait établir, et avait établi ici que l’arme n’y avait pas été mise à l’insu de l’appelant. La majorité explique qu’à la troisième étape de </w:t>
      </w:r>
      <w:r w:rsidRPr="00506748">
        <w:rPr>
          <w:i/>
          <w:sz w:val="20"/>
          <w:szCs w:val="20"/>
          <w:lang w:val="fr-CA"/>
        </w:rPr>
        <w:t>R. c. W.(D.)</w:t>
      </w:r>
      <w:r w:rsidRPr="00506748">
        <w:rPr>
          <w:sz w:val="20"/>
          <w:szCs w:val="20"/>
          <w:lang w:val="fr-CA"/>
        </w:rPr>
        <w:t xml:space="preserve">, [1991] 1 R.C.S. 742, une inférence possible et théorique qui constitue une pure conjecture ne suffit pas pour soulever un doute raisonnable. </w:t>
      </w:r>
    </w:p>
    <w:p w:rsidR="00364F54" w:rsidRPr="00506748" w:rsidRDefault="00364F54" w:rsidP="00364F54">
      <w:pPr>
        <w:widowControl w:val="0"/>
        <w:jc w:val="both"/>
        <w:rPr>
          <w:sz w:val="20"/>
          <w:szCs w:val="20"/>
          <w:lang w:val="fr-CA"/>
        </w:rPr>
      </w:pPr>
    </w:p>
    <w:p w:rsidR="00364F54" w:rsidRPr="00506748" w:rsidRDefault="00364F54" w:rsidP="00364F54">
      <w:pPr>
        <w:widowControl w:val="0"/>
        <w:jc w:val="both"/>
        <w:rPr>
          <w:sz w:val="20"/>
          <w:szCs w:val="20"/>
          <w:lang w:val="fr-CA"/>
        </w:rPr>
      </w:pPr>
      <w:r w:rsidRPr="00506748">
        <w:rPr>
          <w:sz w:val="20"/>
          <w:szCs w:val="20"/>
          <w:lang w:val="fr-CA"/>
        </w:rPr>
        <w:t xml:space="preserve">Le juge Schrager, dissident, aurait infirmé le jugement et substitué des acquittements pour les infractions de possession d’une arme à feu et bris d’engagement. À son avis, le verdict est déraisonnable à cause d’une application erronée par la juge de première instance de la troisième étape de </w:t>
      </w:r>
      <w:r w:rsidRPr="00506748">
        <w:rPr>
          <w:i/>
          <w:sz w:val="20"/>
          <w:szCs w:val="20"/>
          <w:lang w:val="fr-CA"/>
        </w:rPr>
        <w:t>R. c. W.(D.)</w:t>
      </w:r>
      <w:r w:rsidRPr="00506748">
        <w:rPr>
          <w:sz w:val="20"/>
          <w:szCs w:val="20"/>
          <w:lang w:val="fr-CA"/>
        </w:rPr>
        <w:t xml:space="preserve">, [1991] 1 R.C.S. 742. Devant la possibilité que l’arme à feu ait été placée dans le sac à l’insu de l’appelant, une inférence raisonnable de la preuve, l’appelant n’a pas bénéficié du doute raisonnable auquel il avait droit parce que la preuve ne supportait pas raisonnablement le verdict de culpabilité. </w:t>
      </w:r>
    </w:p>
    <w:p w:rsidR="00364F54" w:rsidRPr="00506748" w:rsidRDefault="00364F54" w:rsidP="00364F54">
      <w:pPr>
        <w:widowControl w:val="0"/>
        <w:jc w:val="both"/>
        <w:rPr>
          <w:sz w:val="20"/>
          <w:szCs w:val="20"/>
          <w:lang w:val="fr-CA"/>
        </w:rPr>
      </w:pPr>
    </w:p>
    <w:p w:rsidR="00364F54" w:rsidRPr="00506748" w:rsidRDefault="00C9268A" w:rsidP="00364F54">
      <w:pPr>
        <w:jc w:val="both"/>
        <w:rPr>
          <w:sz w:val="20"/>
          <w:szCs w:val="20"/>
          <w:lang w:val="fr-CA"/>
        </w:rPr>
      </w:pPr>
      <w:r>
        <w:rPr>
          <w:sz w:val="20"/>
        </w:rPr>
        <w:pict>
          <v:rect id="_x0000_i1065" style="width:2in;height:1pt" o:hrpct="0" o:hralign="center" o:hrstd="t" o:hrnoshade="t" o:hr="t" fillcolor="black [3213]" stroked="f"/>
        </w:pict>
      </w:r>
    </w:p>
    <w:p w:rsidR="00364F54" w:rsidRPr="00506748" w:rsidRDefault="00364F54" w:rsidP="00364F54">
      <w:pPr>
        <w:jc w:val="both"/>
        <w:rPr>
          <w:sz w:val="20"/>
          <w:szCs w:val="20"/>
          <w:lang w:val="fr-CA"/>
        </w:rPr>
      </w:pPr>
    </w:p>
    <w:p w:rsidR="00364F54" w:rsidRPr="00506748" w:rsidRDefault="00364F54">
      <w:pPr>
        <w:rPr>
          <w:b/>
          <w:sz w:val="20"/>
          <w:szCs w:val="20"/>
        </w:rPr>
      </w:pPr>
      <w:r w:rsidRPr="00506748">
        <w:rPr>
          <w:b/>
          <w:sz w:val="20"/>
          <w:szCs w:val="20"/>
        </w:rPr>
        <w:br w:type="page"/>
      </w:r>
    </w:p>
    <w:p w:rsidR="00364F54" w:rsidRPr="00506748" w:rsidRDefault="00364F54" w:rsidP="00364F54">
      <w:pPr>
        <w:widowControl w:val="0"/>
        <w:tabs>
          <w:tab w:val="left" w:pos="720"/>
        </w:tabs>
        <w:ind w:left="2160" w:hanging="2160"/>
        <w:jc w:val="both"/>
        <w:rPr>
          <w:b/>
          <w:i/>
          <w:sz w:val="20"/>
          <w:szCs w:val="20"/>
        </w:rPr>
      </w:pPr>
      <w:r w:rsidRPr="00506748">
        <w:rPr>
          <w:b/>
          <w:sz w:val="20"/>
          <w:szCs w:val="20"/>
        </w:rPr>
        <w:t>40061</w:t>
      </w:r>
      <w:r w:rsidRPr="00506748">
        <w:rPr>
          <w:sz w:val="20"/>
          <w:szCs w:val="20"/>
        </w:rPr>
        <w:fldChar w:fldCharType="begin"/>
      </w:r>
      <w:r w:rsidRPr="00506748">
        <w:rPr>
          <w:sz w:val="20"/>
          <w:szCs w:val="20"/>
        </w:rPr>
        <w:instrText xml:space="preserve"> SEQ CHAPTER \h \r 1</w:instrText>
      </w:r>
      <w:r w:rsidRPr="00506748">
        <w:rPr>
          <w:sz w:val="20"/>
          <w:szCs w:val="20"/>
        </w:rPr>
        <w:fldChar w:fldCharType="end"/>
      </w:r>
      <w:r w:rsidRPr="00506748">
        <w:rPr>
          <w:sz w:val="20"/>
          <w:szCs w:val="20"/>
        </w:rPr>
        <w:tab/>
      </w:r>
      <w:r w:rsidRPr="00506748">
        <w:rPr>
          <w:b/>
          <w:i/>
          <w:sz w:val="20"/>
          <w:szCs w:val="20"/>
        </w:rPr>
        <w:t xml:space="preserve">Attorney General of Quebec v. Attorney General of Canada et al. </w:t>
      </w:r>
    </w:p>
    <w:p w:rsidR="00364F54" w:rsidRPr="00506748" w:rsidRDefault="00364F54" w:rsidP="00364F54">
      <w:pPr>
        <w:widowControl w:val="0"/>
        <w:tabs>
          <w:tab w:val="left" w:pos="720"/>
        </w:tabs>
        <w:ind w:left="2160" w:hanging="2160"/>
        <w:jc w:val="both"/>
        <w:rPr>
          <w:sz w:val="20"/>
          <w:szCs w:val="20"/>
        </w:rPr>
      </w:pPr>
      <w:r w:rsidRPr="00506748">
        <w:rPr>
          <w:b/>
          <w:sz w:val="20"/>
          <w:szCs w:val="20"/>
        </w:rPr>
        <w:tab/>
      </w:r>
      <w:r w:rsidRPr="00506748">
        <w:rPr>
          <w:sz w:val="20"/>
          <w:szCs w:val="20"/>
        </w:rPr>
        <w:t>(Quebec) (Civil) (As of Right)</w:t>
      </w:r>
    </w:p>
    <w:p w:rsidR="00364F54" w:rsidRPr="00506748" w:rsidRDefault="00364F54" w:rsidP="00364F54">
      <w:pPr>
        <w:widowControl w:val="0"/>
        <w:jc w:val="both"/>
        <w:rPr>
          <w:sz w:val="20"/>
          <w:szCs w:val="20"/>
        </w:rPr>
      </w:pPr>
    </w:p>
    <w:p w:rsidR="00364F54" w:rsidRPr="00506748" w:rsidRDefault="00364F54" w:rsidP="00364F54">
      <w:pPr>
        <w:widowControl w:val="0"/>
        <w:jc w:val="both"/>
        <w:rPr>
          <w:sz w:val="20"/>
          <w:szCs w:val="20"/>
        </w:rPr>
      </w:pPr>
      <w:r w:rsidRPr="00506748">
        <w:rPr>
          <w:sz w:val="20"/>
          <w:szCs w:val="20"/>
        </w:rPr>
        <w:t>Constitutional law — Division of powers — Pith and substance — Aboriginal peoples — Aboriginal rights — Self</w:t>
      </w:r>
      <w:r w:rsidRPr="00506748">
        <w:rPr>
          <w:sz w:val="20"/>
          <w:szCs w:val="20"/>
        </w:rPr>
        <w:noBreakHyphen/>
        <w:t xml:space="preserve">government — Child and family services — Whether </w:t>
      </w:r>
      <w:r w:rsidRPr="00506748">
        <w:rPr>
          <w:i/>
          <w:sz w:val="20"/>
          <w:szCs w:val="20"/>
        </w:rPr>
        <w:t>An Act respecting First Nations, Inuit and Métis children, youth and families</w:t>
      </w:r>
      <w:r w:rsidRPr="00506748">
        <w:rPr>
          <w:sz w:val="20"/>
          <w:szCs w:val="20"/>
        </w:rPr>
        <w:t xml:space="preserve">, S.C. 2019, c. 24, is </w:t>
      </w:r>
      <w:r w:rsidRPr="00506748">
        <w:rPr>
          <w:i/>
          <w:sz w:val="20"/>
          <w:szCs w:val="20"/>
        </w:rPr>
        <w:t>ultra vires</w:t>
      </w:r>
      <w:r w:rsidRPr="00506748">
        <w:rPr>
          <w:sz w:val="20"/>
          <w:szCs w:val="20"/>
        </w:rPr>
        <w:t xml:space="preserve"> Parliament of Canada under Constitution of Canada — </w:t>
      </w:r>
      <w:r w:rsidRPr="00506748">
        <w:rPr>
          <w:i/>
          <w:sz w:val="20"/>
          <w:szCs w:val="20"/>
        </w:rPr>
        <w:t>Constitution Act, 1867</w:t>
      </w:r>
      <w:r w:rsidRPr="00506748">
        <w:rPr>
          <w:sz w:val="20"/>
          <w:szCs w:val="20"/>
        </w:rPr>
        <w:t xml:space="preserve">, s. 91(24) — </w:t>
      </w:r>
      <w:r w:rsidRPr="00506748">
        <w:rPr>
          <w:i/>
          <w:sz w:val="20"/>
          <w:szCs w:val="20"/>
        </w:rPr>
        <w:t>Constitution Act, 1982</w:t>
      </w:r>
      <w:r w:rsidRPr="00506748">
        <w:rPr>
          <w:sz w:val="20"/>
          <w:szCs w:val="20"/>
        </w:rPr>
        <w:t>, s. 35.</w:t>
      </w:r>
    </w:p>
    <w:p w:rsidR="00364F54" w:rsidRPr="00506748" w:rsidRDefault="00364F54" w:rsidP="00364F54">
      <w:pPr>
        <w:widowControl w:val="0"/>
        <w:jc w:val="both"/>
        <w:rPr>
          <w:sz w:val="20"/>
          <w:szCs w:val="20"/>
        </w:rPr>
      </w:pPr>
    </w:p>
    <w:p w:rsidR="00364F54" w:rsidRPr="00506748" w:rsidRDefault="00364F54" w:rsidP="00364F54">
      <w:pPr>
        <w:widowControl w:val="0"/>
        <w:jc w:val="both"/>
        <w:rPr>
          <w:sz w:val="20"/>
          <w:szCs w:val="20"/>
        </w:rPr>
      </w:pPr>
      <w:r w:rsidRPr="00506748">
        <w:rPr>
          <w:sz w:val="20"/>
          <w:szCs w:val="20"/>
        </w:rPr>
        <w:t>By Order in Council 1288</w:t>
      </w:r>
      <w:r w:rsidRPr="00506748">
        <w:rPr>
          <w:sz w:val="20"/>
          <w:szCs w:val="20"/>
        </w:rPr>
        <w:noBreakHyphen/>
        <w:t>2019 of December 18, 2019, the Quebec government submitted the following question to the Quebec Court of Appeal:</w:t>
      </w:r>
    </w:p>
    <w:p w:rsidR="00364F54" w:rsidRPr="00506748" w:rsidRDefault="00364F54" w:rsidP="00364F54">
      <w:pPr>
        <w:widowControl w:val="0"/>
        <w:jc w:val="both"/>
        <w:rPr>
          <w:sz w:val="20"/>
          <w:szCs w:val="20"/>
        </w:rPr>
      </w:pPr>
    </w:p>
    <w:p w:rsidR="00364F54" w:rsidRPr="00506748" w:rsidRDefault="00364F54" w:rsidP="00364F54">
      <w:pPr>
        <w:widowControl w:val="0"/>
        <w:ind w:left="360"/>
        <w:jc w:val="both"/>
        <w:rPr>
          <w:sz w:val="20"/>
          <w:szCs w:val="20"/>
        </w:rPr>
      </w:pPr>
      <w:r w:rsidRPr="00506748">
        <w:rPr>
          <w:sz w:val="20"/>
          <w:szCs w:val="20"/>
        </w:rPr>
        <w:t xml:space="preserve">Is </w:t>
      </w:r>
      <w:r w:rsidRPr="00506748">
        <w:rPr>
          <w:i/>
          <w:sz w:val="20"/>
          <w:szCs w:val="20"/>
        </w:rPr>
        <w:t>An Act respecting First Nations, Inuit and Métis children, youth and families</w:t>
      </w:r>
      <w:r w:rsidRPr="00506748">
        <w:rPr>
          <w:sz w:val="20"/>
          <w:szCs w:val="20"/>
        </w:rPr>
        <w:t xml:space="preserve">, S.C. 2019, c. 24, </w:t>
      </w:r>
      <w:r w:rsidRPr="00506748">
        <w:rPr>
          <w:i/>
          <w:sz w:val="20"/>
          <w:szCs w:val="20"/>
        </w:rPr>
        <w:t>ultra vires</w:t>
      </w:r>
      <w:r w:rsidRPr="00506748">
        <w:rPr>
          <w:sz w:val="20"/>
          <w:szCs w:val="20"/>
        </w:rPr>
        <w:t xml:space="preserve"> the Parliament of Canada under the Constitution of Canada?</w:t>
      </w:r>
    </w:p>
    <w:p w:rsidR="00364F54" w:rsidRPr="00506748" w:rsidRDefault="00364F54" w:rsidP="00364F54">
      <w:pPr>
        <w:widowControl w:val="0"/>
        <w:ind w:left="360"/>
        <w:jc w:val="both"/>
        <w:rPr>
          <w:sz w:val="20"/>
          <w:szCs w:val="20"/>
        </w:rPr>
      </w:pPr>
    </w:p>
    <w:p w:rsidR="00364F54" w:rsidRPr="00506748" w:rsidRDefault="00364F54" w:rsidP="00364F54">
      <w:pPr>
        <w:widowControl w:val="0"/>
        <w:jc w:val="both"/>
        <w:rPr>
          <w:sz w:val="20"/>
          <w:szCs w:val="20"/>
        </w:rPr>
      </w:pPr>
      <w:r w:rsidRPr="00506748">
        <w:rPr>
          <w:sz w:val="20"/>
          <w:szCs w:val="20"/>
        </w:rPr>
        <w:t>The Court of Appeal answered that the Act, which came into force on January 1, 2020, is constitutional, except for ss. 21 and 22(3), which are not. It found that the pith and substance of the Act is to ensure the well</w:t>
      </w:r>
      <w:r w:rsidRPr="00506748">
        <w:rPr>
          <w:sz w:val="20"/>
          <w:szCs w:val="20"/>
        </w:rPr>
        <w:noBreakHyphen/>
        <w:t>being of Indigenous children by fostering culturally appropriate services that will reduce their over</w:t>
      </w:r>
      <w:r w:rsidRPr="00506748">
        <w:rPr>
          <w:sz w:val="20"/>
          <w:szCs w:val="20"/>
        </w:rPr>
        <w:noBreakHyphen/>
        <w:t>representation in provincial child welfare systems. The well</w:t>
      </w:r>
      <w:r w:rsidRPr="00506748">
        <w:rPr>
          <w:sz w:val="20"/>
          <w:szCs w:val="20"/>
        </w:rPr>
        <w:noBreakHyphen/>
        <w:t xml:space="preserve">being of Indigenous persons is part of the essence of the federal head of power set out in s. 91(24) of the </w:t>
      </w:r>
      <w:r w:rsidRPr="00506748">
        <w:rPr>
          <w:i/>
          <w:sz w:val="20"/>
          <w:szCs w:val="20"/>
        </w:rPr>
        <w:t>Constitution Act, 1867</w:t>
      </w:r>
      <w:r w:rsidRPr="00506748">
        <w:rPr>
          <w:sz w:val="20"/>
          <w:szCs w:val="20"/>
        </w:rPr>
        <w:t>, and the national principles stated in general terms in the Act are compatible with Quebec’s child welfare legislation. The Court of Appeal also held that the right of self</w:t>
      </w:r>
      <w:r w:rsidRPr="00506748">
        <w:rPr>
          <w:sz w:val="20"/>
          <w:szCs w:val="20"/>
        </w:rPr>
        <w:noBreakHyphen/>
        <w:t xml:space="preserve">government in relation to child and family services falls within s. 35 of the </w:t>
      </w:r>
      <w:r w:rsidRPr="00506748">
        <w:rPr>
          <w:i/>
          <w:sz w:val="20"/>
          <w:szCs w:val="20"/>
        </w:rPr>
        <w:t>Constitution Act, 1982</w:t>
      </w:r>
      <w:r w:rsidRPr="00506748">
        <w:rPr>
          <w:sz w:val="20"/>
          <w:szCs w:val="20"/>
        </w:rPr>
        <w:t xml:space="preserve">. Examining the framework established by the Act for circumscribing the exercise of this generic Aboriginal right, the court found that the aim of s. 21 is to make the doctrine of federal paramountcy applicable to Indigenous laws. Because this alters the fundamental architecture of the Constitution, s. 21 is </w:t>
      </w:r>
      <w:r w:rsidRPr="00506748">
        <w:rPr>
          <w:i/>
          <w:sz w:val="20"/>
          <w:szCs w:val="20"/>
        </w:rPr>
        <w:t>ultra vires</w:t>
      </w:r>
      <w:r w:rsidRPr="00506748">
        <w:rPr>
          <w:sz w:val="20"/>
          <w:szCs w:val="20"/>
        </w:rPr>
        <w:t xml:space="preserve">. The same is true of s. 22(3), which provides that Indigenous laws prevail over any conflicting or inconsistent provisions of provincial legislation. Section 91(24) of the </w:t>
      </w:r>
      <w:r w:rsidRPr="00506748">
        <w:rPr>
          <w:i/>
          <w:sz w:val="20"/>
          <w:szCs w:val="20"/>
        </w:rPr>
        <w:t>Constitution Act, 1867</w:t>
      </w:r>
      <w:r w:rsidRPr="00506748">
        <w:rPr>
          <w:sz w:val="20"/>
          <w:szCs w:val="20"/>
        </w:rPr>
        <w:t xml:space="preserve"> does not authorize Parliament to give absolute priority to an Aboriginal right.</w:t>
      </w:r>
    </w:p>
    <w:p w:rsidR="00364F54" w:rsidRPr="00506748" w:rsidRDefault="00364F54" w:rsidP="00364F54">
      <w:pPr>
        <w:widowControl w:val="0"/>
        <w:jc w:val="both"/>
        <w:rPr>
          <w:sz w:val="20"/>
        </w:rPr>
      </w:pPr>
    </w:p>
    <w:p w:rsidR="00364F54" w:rsidRPr="00506748" w:rsidRDefault="00C9268A" w:rsidP="00364F54">
      <w:pPr>
        <w:widowControl w:val="0"/>
        <w:jc w:val="both"/>
        <w:rPr>
          <w:sz w:val="20"/>
          <w:szCs w:val="20"/>
        </w:rPr>
      </w:pPr>
      <w:r>
        <w:rPr>
          <w:sz w:val="20"/>
        </w:rPr>
        <w:pict>
          <v:rect id="_x0000_i1066" style="width:2in;height:1pt" o:hrpct="0" o:hralign="center" o:hrstd="t" o:hrnoshade="t" o:hr="t" fillcolor="black [3213]" stroked="f"/>
        </w:pict>
      </w:r>
    </w:p>
    <w:p w:rsidR="00364F54" w:rsidRPr="00506748" w:rsidRDefault="00364F54" w:rsidP="00364F54">
      <w:pPr>
        <w:widowControl w:val="0"/>
        <w:jc w:val="both"/>
        <w:rPr>
          <w:sz w:val="20"/>
          <w:szCs w:val="20"/>
        </w:rPr>
      </w:pPr>
    </w:p>
    <w:p w:rsidR="00364F54" w:rsidRPr="00506748" w:rsidRDefault="00364F54" w:rsidP="00364F54">
      <w:pPr>
        <w:widowControl w:val="0"/>
        <w:tabs>
          <w:tab w:val="left" w:pos="720"/>
        </w:tabs>
        <w:ind w:left="2160" w:hanging="2160"/>
        <w:jc w:val="both"/>
        <w:rPr>
          <w:b/>
          <w:i/>
          <w:sz w:val="20"/>
          <w:szCs w:val="20"/>
          <w:lang w:val="fr-CA"/>
        </w:rPr>
      </w:pPr>
      <w:r w:rsidRPr="00506748">
        <w:rPr>
          <w:b/>
          <w:sz w:val="20"/>
          <w:szCs w:val="20"/>
          <w:lang w:val="fr-CA"/>
        </w:rPr>
        <w:t>40061</w:t>
      </w:r>
      <w:r w:rsidRPr="00506748">
        <w:rPr>
          <w:sz w:val="20"/>
          <w:szCs w:val="20"/>
          <w:lang w:val="fr-CA"/>
        </w:rPr>
        <w:fldChar w:fldCharType="begin"/>
      </w:r>
      <w:r w:rsidRPr="00506748">
        <w:rPr>
          <w:sz w:val="20"/>
          <w:szCs w:val="20"/>
          <w:lang w:val="fr-CA"/>
        </w:rPr>
        <w:instrText xml:space="preserve"> SEQ CHAPTER \h \r 1</w:instrText>
      </w:r>
      <w:r w:rsidRPr="00506748">
        <w:rPr>
          <w:sz w:val="20"/>
          <w:szCs w:val="20"/>
        </w:rPr>
        <w:fldChar w:fldCharType="end"/>
      </w:r>
      <w:r w:rsidRPr="00506748">
        <w:rPr>
          <w:sz w:val="20"/>
          <w:szCs w:val="20"/>
          <w:lang w:val="fr-CA"/>
        </w:rPr>
        <w:tab/>
      </w:r>
      <w:r w:rsidRPr="00506748">
        <w:rPr>
          <w:b/>
          <w:i/>
          <w:sz w:val="20"/>
          <w:szCs w:val="20"/>
          <w:lang w:val="fr-CA"/>
        </w:rPr>
        <w:t xml:space="preserve">Procureur général du Québec c. Procureur général du Canada et al. </w:t>
      </w:r>
    </w:p>
    <w:p w:rsidR="00364F54" w:rsidRPr="00506748" w:rsidRDefault="00364F54" w:rsidP="00364F54">
      <w:pPr>
        <w:widowControl w:val="0"/>
        <w:tabs>
          <w:tab w:val="left" w:pos="720"/>
        </w:tabs>
        <w:ind w:left="2160" w:hanging="2160"/>
        <w:jc w:val="both"/>
        <w:rPr>
          <w:sz w:val="20"/>
          <w:szCs w:val="20"/>
          <w:lang w:val="fr-CA"/>
        </w:rPr>
      </w:pPr>
      <w:r w:rsidRPr="00506748">
        <w:rPr>
          <w:b/>
          <w:sz w:val="20"/>
          <w:szCs w:val="20"/>
          <w:lang w:val="fr-CA"/>
        </w:rPr>
        <w:tab/>
      </w:r>
      <w:r w:rsidRPr="00506748">
        <w:rPr>
          <w:sz w:val="20"/>
          <w:szCs w:val="20"/>
          <w:lang w:val="fr-CA"/>
        </w:rPr>
        <w:t>(Q</w:t>
      </w:r>
      <w:r w:rsidR="001C57C3" w:rsidRPr="00506748">
        <w:rPr>
          <w:sz w:val="20"/>
          <w:szCs w:val="20"/>
          <w:lang w:val="fr-CA"/>
        </w:rPr>
        <w:t>c</w:t>
      </w:r>
      <w:r w:rsidRPr="00506748">
        <w:rPr>
          <w:sz w:val="20"/>
          <w:szCs w:val="20"/>
          <w:lang w:val="fr-CA"/>
        </w:rPr>
        <w:t>) (Civile) (De plein droit)</w:t>
      </w:r>
    </w:p>
    <w:p w:rsidR="00364F54" w:rsidRPr="00506748" w:rsidRDefault="00364F54" w:rsidP="00364F54">
      <w:pPr>
        <w:widowControl w:val="0"/>
        <w:jc w:val="both"/>
        <w:rPr>
          <w:sz w:val="20"/>
          <w:szCs w:val="20"/>
          <w:lang w:val="fr-CA"/>
        </w:rPr>
      </w:pPr>
    </w:p>
    <w:p w:rsidR="00364F54" w:rsidRPr="00506748" w:rsidRDefault="00364F54" w:rsidP="00364F54">
      <w:pPr>
        <w:widowControl w:val="0"/>
        <w:jc w:val="both"/>
        <w:rPr>
          <w:sz w:val="20"/>
          <w:szCs w:val="20"/>
          <w:lang w:val="fr-CA"/>
        </w:rPr>
      </w:pPr>
      <w:r w:rsidRPr="00506748">
        <w:rPr>
          <w:sz w:val="20"/>
          <w:szCs w:val="20"/>
          <w:lang w:val="fr-CA"/>
        </w:rPr>
        <w:t xml:space="preserve">Droit constitutionnel — Partage des compétences — Caractère véritable — Peuples autochtones — Droits ancestraux — Autonomie gouvernementale — Services à l’enfance et aux familles — La </w:t>
      </w:r>
      <w:r w:rsidRPr="00506748">
        <w:rPr>
          <w:i/>
          <w:sz w:val="20"/>
          <w:szCs w:val="20"/>
          <w:lang w:val="fr-CA"/>
        </w:rPr>
        <w:t>Loi concernant les enfants, les jeunes et les familles des Premières nations, des Inuits et des Métis</w:t>
      </w:r>
      <w:r w:rsidRPr="00506748">
        <w:rPr>
          <w:sz w:val="20"/>
          <w:szCs w:val="20"/>
          <w:lang w:val="fr-CA"/>
        </w:rPr>
        <w:t>, L.C. 2019, c. 24, est</w:t>
      </w:r>
      <w:r w:rsidRPr="00506748">
        <w:rPr>
          <w:sz w:val="20"/>
          <w:szCs w:val="20"/>
          <w:lang w:val="fr-CA"/>
        </w:rPr>
        <w:noBreakHyphen/>
        <w:t xml:space="preserve">elle ultra vires de la compétence du Parlement du Canada en vertu de la Constitution du Canada? — </w:t>
      </w:r>
      <w:r w:rsidRPr="00506748">
        <w:rPr>
          <w:i/>
          <w:sz w:val="20"/>
          <w:szCs w:val="20"/>
          <w:lang w:val="fr-CA"/>
        </w:rPr>
        <w:t>Loi constitutionnelle de 1867</w:t>
      </w:r>
      <w:r w:rsidRPr="00506748">
        <w:rPr>
          <w:sz w:val="20"/>
          <w:szCs w:val="20"/>
          <w:lang w:val="fr-CA"/>
        </w:rPr>
        <w:t xml:space="preserve">, art. 91(24) — </w:t>
      </w:r>
      <w:r w:rsidRPr="00506748">
        <w:rPr>
          <w:i/>
          <w:sz w:val="20"/>
          <w:szCs w:val="20"/>
          <w:lang w:val="fr-CA"/>
        </w:rPr>
        <w:t>Loi constitutionnelle de 1982</w:t>
      </w:r>
      <w:r w:rsidRPr="00506748">
        <w:rPr>
          <w:sz w:val="20"/>
          <w:szCs w:val="20"/>
          <w:lang w:val="fr-CA"/>
        </w:rPr>
        <w:t>, art. 35.</w:t>
      </w:r>
    </w:p>
    <w:p w:rsidR="00364F54" w:rsidRPr="00506748" w:rsidRDefault="00364F54" w:rsidP="00364F54">
      <w:pPr>
        <w:widowControl w:val="0"/>
        <w:jc w:val="both"/>
        <w:rPr>
          <w:sz w:val="20"/>
          <w:szCs w:val="20"/>
          <w:lang w:val="fr-CA"/>
        </w:rPr>
      </w:pPr>
    </w:p>
    <w:p w:rsidR="00364F54" w:rsidRPr="00506748" w:rsidRDefault="00364F54" w:rsidP="00364F54">
      <w:pPr>
        <w:widowControl w:val="0"/>
        <w:jc w:val="both"/>
        <w:rPr>
          <w:sz w:val="20"/>
          <w:szCs w:val="20"/>
          <w:lang w:val="fr-CA"/>
        </w:rPr>
      </w:pPr>
      <w:r w:rsidRPr="00506748">
        <w:rPr>
          <w:sz w:val="20"/>
          <w:szCs w:val="20"/>
          <w:lang w:val="fr-CA"/>
        </w:rPr>
        <w:t>Par le décret n</w:t>
      </w:r>
      <w:r w:rsidRPr="00506748">
        <w:rPr>
          <w:sz w:val="20"/>
          <w:szCs w:val="20"/>
          <w:vertAlign w:val="superscript"/>
          <w:lang w:val="fr-CA"/>
        </w:rPr>
        <w:t>o</w:t>
      </w:r>
      <w:r w:rsidRPr="00506748">
        <w:rPr>
          <w:sz w:val="20"/>
          <w:szCs w:val="20"/>
          <w:lang w:val="fr-CA"/>
        </w:rPr>
        <w:t> 1288</w:t>
      </w:r>
      <w:r w:rsidRPr="00506748">
        <w:rPr>
          <w:sz w:val="20"/>
          <w:szCs w:val="20"/>
          <w:lang w:val="fr-CA"/>
        </w:rPr>
        <w:noBreakHyphen/>
        <w:t>2019 du 18 décembre 2019, le gouvernement du Québec soumet la question suivante à la Cour d’appel du Québec :</w:t>
      </w:r>
    </w:p>
    <w:p w:rsidR="00364F54" w:rsidRPr="00506748" w:rsidRDefault="00364F54" w:rsidP="00364F54">
      <w:pPr>
        <w:widowControl w:val="0"/>
        <w:jc w:val="both"/>
        <w:rPr>
          <w:sz w:val="20"/>
          <w:szCs w:val="20"/>
          <w:lang w:val="fr-CA"/>
        </w:rPr>
      </w:pPr>
    </w:p>
    <w:p w:rsidR="00364F54" w:rsidRPr="00506748" w:rsidRDefault="00364F54" w:rsidP="00364F54">
      <w:pPr>
        <w:widowControl w:val="0"/>
        <w:ind w:left="360"/>
        <w:jc w:val="both"/>
        <w:rPr>
          <w:sz w:val="20"/>
          <w:szCs w:val="20"/>
          <w:lang w:val="fr-CA"/>
        </w:rPr>
      </w:pPr>
      <w:r w:rsidRPr="00506748">
        <w:rPr>
          <w:sz w:val="20"/>
          <w:szCs w:val="20"/>
          <w:lang w:val="fr-CA"/>
        </w:rPr>
        <w:t xml:space="preserve">La </w:t>
      </w:r>
      <w:r w:rsidRPr="00506748">
        <w:rPr>
          <w:i/>
          <w:sz w:val="20"/>
          <w:szCs w:val="20"/>
          <w:lang w:val="fr-CA"/>
        </w:rPr>
        <w:t>Loi concernant les enfants, les jeunes et les familles des Premières nations, des Inuits et des Métis</w:t>
      </w:r>
      <w:r w:rsidRPr="00506748">
        <w:rPr>
          <w:sz w:val="20"/>
          <w:szCs w:val="20"/>
          <w:lang w:val="fr-CA"/>
        </w:rPr>
        <w:t>, L.C. 2019, c. 24, est</w:t>
      </w:r>
      <w:r w:rsidRPr="00506748">
        <w:rPr>
          <w:sz w:val="20"/>
          <w:szCs w:val="20"/>
          <w:lang w:val="fr-CA"/>
        </w:rPr>
        <w:noBreakHyphen/>
        <w:t xml:space="preserve">elle </w:t>
      </w:r>
      <w:r w:rsidRPr="00506748">
        <w:rPr>
          <w:i/>
          <w:sz w:val="20"/>
          <w:szCs w:val="20"/>
          <w:lang w:val="fr-CA"/>
        </w:rPr>
        <w:t>ultra vires</w:t>
      </w:r>
      <w:r w:rsidRPr="00506748">
        <w:rPr>
          <w:sz w:val="20"/>
          <w:szCs w:val="20"/>
          <w:lang w:val="fr-CA"/>
        </w:rPr>
        <w:t xml:space="preserve"> de la compétence du Parlement du Canada en vertu de la Constitution du Canada?</w:t>
      </w:r>
    </w:p>
    <w:p w:rsidR="00364F54" w:rsidRPr="00506748" w:rsidRDefault="00364F54" w:rsidP="00364F54">
      <w:pPr>
        <w:widowControl w:val="0"/>
        <w:ind w:left="360"/>
        <w:jc w:val="both"/>
        <w:rPr>
          <w:sz w:val="20"/>
          <w:szCs w:val="20"/>
          <w:lang w:val="fr-CA"/>
        </w:rPr>
      </w:pPr>
    </w:p>
    <w:p w:rsidR="00364F54" w:rsidRPr="00506748" w:rsidRDefault="00364F54" w:rsidP="00364F54">
      <w:pPr>
        <w:widowControl w:val="0"/>
        <w:jc w:val="both"/>
        <w:rPr>
          <w:sz w:val="20"/>
          <w:szCs w:val="20"/>
          <w:lang w:val="fr-CA"/>
        </w:rPr>
      </w:pPr>
      <w:r w:rsidRPr="00506748">
        <w:rPr>
          <w:sz w:val="20"/>
          <w:szCs w:val="20"/>
          <w:lang w:val="fr-CA"/>
        </w:rPr>
        <w:t>La Cour d’appel répond que la Loi,</w:t>
      </w:r>
      <w:r w:rsidRPr="00506748">
        <w:rPr>
          <w:i/>
          <w:sz w:val="20"/>
          <w:szCs w:val="20"/>
          <w:lang w:val="fr-CA"/>
        </w:rPr>
        <w:t xml:space="preserve"> </w:t>
      </w:r>
      <w:r w:rsidRPr="00506748">
        <w:rPr>
          <w:sz w:val="20"/>
          <w:szCs w:val="20"/>
          <w:lang w:val="fr-CA"/>
        </w:rPr>
        <w:t>entrée en vigueur le 1</w:t>
      </w:r>
      <w:r w:rsidRPr="00506748">
        <w:rPr>
          <w:sz w:val="20"/>
          <w:szCs w:val="20"/>
          <w:vertAlign w:val="superscript"/>
          <w:lang w:val="fr-CA"/>
        </w:rPr>
        <w:t>er</w:t>
      </w:r>
      <w:r w:rsidRPr="00506748">
        <w:rPr>
          <w:sz w:val="20"/>
          <w:szCs w:val="20"/>
          <w:lang w:val="fr-CA"/>
        </w:rPr>
        <w:t xml:space="preserve"> janvier 2020, est constitutionnelle, sauf pour l’art. 21 et le par. 22(3) qui ne le sont pas. Elle retient que le caractère véritable de la Loi est d’assurer le bien</w:t>
      </w:r>
      <w:r w:rsidRPr="00506748">
        <w:rPr>
          <w:sz w:val="20"/>
          <w:szCs w:val="20"/>
          <w:lang w:val="fr-CA"/>
        </w:rPr>
        <w:noBreakHyphen/>
        <w:t>être des enfants autochtones en favorisant les services qui sont culturellement adaptés et qui remédieront à leur surreprésentation dans les réseaux provinciaux de protection de l’enfance. Le bien</w:t>
      </w:r>
      <w:r w:rsidRPr="00506748">
        <w:rPr>
          <w:sz w:val="20"/>
          <w:szCs w:val="20"/>
          <w:lang w:val="fr-CA"/>
        </w:rPr>
        <w:noBreakHyphen/>
        <w:t xml:space="preserve">être des Autochtones relève de l’essence de la compétence fédérale prévue au par. 91(24) de la </w:t>
      </w:r>
      <w:r w:rsidRPr="00506748">
        <w:rPr>
          <w:i/>
          <w:sz w:val="20"/>
          <w:szCs w:val="20"/>
          <w:lang w:val="fr-CA"/>
        </w:rPr>
        <w:t>Loi constitutionnelle de 1867</w:t>
      </w:r>
      <w:r w:rsidRPr="00506748">
        <w:rPr>
          <w:sz w:val="20"/>
          <w:szCs w:val="20"/>
          <w:lang w:val="fr-CA"/>
        </w:rPr>
        <w:t xml:space="preserve"> et les principes nationaux formulés en termes généraux dans la Loi sont compatibles avec la législation québécoise sur la protection de l’enfance. La cour conclut également que le droit à l’autonomie gouvernementale en matière de services à l’enfance et aux familles est visé par l’art. 35 de la </w:t>
      </w:r>
      <w:r w:rsidRPr="00506748">
        <w:rPr>
          <w:i/>
          <w:sz w:val="20"/>
          <w:szCs w:val="20"/>
          <w:lang w:val="fr-CA"/>
        </w:rPr>
        <w:t>Loi constitutionnelle de 1982</w:t>
      </w:r>
      <w:r w:rsidRPr="00506748">
        <w:rPr>
          <w:sz w:val="20"/>
          <w:szCs w:val="20"/>
          <w:lang w:val="fr-CA"/>
        </w:rPr>
        <w:t xml:space="preserve">. En examinant le cadre établi par la Loi pour circonscrire l’exercice de ce droit ancestral générique, la cour retient que l’art. 21 a pour but de rendre la doctrine de la prépondérance fédérale applicable à un texte législatif autochtone, modifiant ainsi l’architecture fondamentale de la Constitution, ce qui rend la disposition </w:t>
      </w:r>
      <w:r w:rsidRPr="00506748">
        <w:rPr>
          <w:i/>
          <w:sz w:val="20"/>
          <w:szCs w:val="20"/>
          <w:lang w:val="fr-CA"/>
        </w:rPr>
        <w:t>ultra vires</w:t>
      </w:r>
      <w:r w:rsidRPr="00506748">
        <w:rPr>
          <w:sz w:val="20"/>
          <w:szCs w:val="20"/>
          <w:lang w:val="fr-CA"/>
        </w:rPr>
        <w:t xml:space="preserve">. Il en est de même pour le par. 22(3), qui prévoit que les textes législatifs autochtones l’emportent sur toute disposition incompatible d’une loi provinciale. Le paragraphe 91(24) de la </w:t>
      </w:r>
      <w:r w:rsidRPr="00506748">
        <w:rPr>
          <w:i/>
          <w:sz w:val="20"/>
          <w:szCs w:val="20"/>
          <w:lang w:val="fr-CA"/>
        </w:rPr>
        <w:t>Loi constitutionnelle de 1867</w:t>
      </w:r>
      <w:r w:rsidRPr="00506748">
        <w:rPr>
          <w:sz w:val="20"/>
          <w:szCs w:val="20"/>
          <w:lang w:val="fr-CA"/>
        </w:rPr>
        <w:t xml:space="preserve"> n’autorise pas le Parlement à conférer une priorité absolue à un droit ancestral.</w:t>
      </w:r>
    </w:p>
    <w:p w:rsidR="00364F54" w:rsidRPr="00506748" w:rsidRDefault="00364F54" w:rsidP="00364F54">
      <w:pPr>
        <w:jc w:val="both"/>
        <w:rPr>
          <w:sz w:val="20"/>
          <w:szCs w:val="20"/>
          <w:lang w:val="fr-CA"/>
        </w:rPr>
      </w:pPr>
    </w:p>
    <w:p w:rsidR="00364F54" w:rsidRPr="00506748" w:rsidRDefault="00C9268A" w:rsidP="00364F54">
      <w:pPr>
        <w:jc w:val="both"/>
        <w:rPr>
          <w:sz w:val="20"/>
          <w:szCs w:val="20"/>
          <w:lang w:val="fr-CA"/>
        </w:rPr>
      </w:pPr>
      <w:r>
        <w:rPr>
          <w:sz w:val="20"/>
          <w:szCs w:val="20"/>
        </w:rPr>
        <w:pict>
          <v:rect id="_x0000_i1067" style="width:2in;height:1pt" o:hrpct="0" o:hralign="center" o:hrstd="t" o:hrnoshade="t" o:hr="t" fillcolor="black [3213]" stroked="f"/>
        </w:pict>
      </w:r>
    </w:p>
    <w:p w:rsidR="00364F54" w:rsidRPr="00506748" w:rsidRDefault="00364F54" w:rsidP="00364F54">
      <w:pPr>
        <w:jc w:val="both"/>
        <w:rPr>
          <w:sz w:val="20"/>
          <w:lang w:val="fr-CA"/>
        </w:rPr>
      </w:pPr>
    </w:p>
    <w:p w:rsidR="00102792" w:rsidRPr="00506748" w:rsidRDefault="00102792" w:rsidP="00782AE4">
      <w:pPr>
        <w:jc w:val="both"/>
        <w:rPr>
          <w:sz w:val="20"/>
          <w:szCs w:val="20"/>
          <w:lang w:val="fr-CA"/>
        </w:rPr>
      </w:pPr>
    </w:p>
    <w:p w:rsidR="0022323B" w:rsidRPr="00506748" w:rsidRDefault="0022323B" w:rsidP="00782AE4">
      <w:pPr>
        <w:jc w:val="both"/>
        <w:rPr>
          <w:sz w:val="20"/>
          <w:szCs w:val="20"/>
          <w:lang w:val="fr-CA"/>
        </w:rPr>
        <w:sectPr w:rsidR="0022323B" w:rsidRPr="00506748" w:rsidSect="0022323B">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326"/>
        </w:sectPr>
      </w:pPr>
    </w:p>
    <w:p w:rsidR="003C291C" w:rsidRPr="00506748" w:rsidRDefault="003C291C" w:rsidP="003C291C">
      <w:pPr>
        <w:tabs>
          <w:tab w:val="center" w:pos="5220"/>
          <w:tab w:val="right" w:pos="10800"/>
        </w:tabs>
        <w:jc w:val="center"/>
        <w:rPr>
          <w:rFonts w:ascii="Arial" w:hAnsi="Arial" w:cs="Arial"/>
          <w:szCs w:val="24"/>
          <w:lang w:val="fr-CA"/>
        </w:rPr>
      </w:pPr>
      <w:bookmarkStart w:id="8" w:name="1"/>
      <w:bookmarkStart w:id="9" w:name="QuickMark"/>
      <w:bookmarkEnd w:id="8"/>
      <w:bookmarkEnd w:id="9"/>
      <w:r w:rsidRPr="00506748">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506748" w:rsidTr="00DB15A3">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lang w:val="fr-FR"/>
              </w:rPr>
            </w:pPr>
            <w:r w:rsidRPr="00506748">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lang w:val="fr-FR"/>
              </w:rPr>
            </w:pPr>
            <w:r w:rsidRPr="00506748">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lang w:val="fr-FR"/>
              </w:rPr>
            </w:pPr>
            <w:r w:rsidRPr="00506748">
              <w:rPr>
                <w:rFonts w:ascii="Arial" w:eastAsia="Arial" w:hAnsi="Arial"/>
                <w:b/>
                <w:color w:val="000000"/>
                <w:sz w:val="13"/>
              </w:rPr>
              <w:t>DECEMBER – DÉCEMBRE</w:t>
            </w:r>
          </w:p>
        </w:tc>
      </w:tr>
      <w:tr w:rsidR="003C291C" w:rsidRPr="00506748" w:rsidTr="00DB15A3">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b/>
                <w:color w:val="000000"/>
                <w:sz w:val="13"/>
                <w:szCs w:val="13"/>
              </w:rPr>
            </w:pPr>
            <w:r w:rsidRPr="00506748">
              <w:rPr>
                <w:rFonts w:ascii="Arial" w:eastAsia="Arial" w:hAnsi="Arial"/>
                <w:b/>
                <w:color w:val="000000"/>
                <w:sz w:val="13"/>
                <w:szCs w:val="13"/>
              </w:rPr>
              <w:t>S</w:t>
            </w:r>
          </w:p>
          <w:p w:rsidR="003C291C" w:rsidRPr="00506748" w:rsidRDefault="003C291C" w:rsidP="00DB15A3">
            <w:pPr>
              <w:jc w:val="center"/>
              <w:textAlignment w:val="baseline"/>
              <w:rPr>
                <w:rFonts w:ascii="Arial" w:eastAsia="Arial" w:hAnsi="Arial"/>
                <w:b/>
                <w:color w:val="000000"/>
                <w:sz w:val="13"/>
                <w:szCs w:val="13"/>
              </w:rPr>
            </w:pPr>
            <w:r w:rsidRPr="00506748">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b/>
                <w:color w:val="000000"/>
                <w:sz w:val="13"/>
                <w:szCs w:val="13"/>
              </w:rPr>
            </w:pPr>
            <w:r w:rsidRPr="00506748">
              <w:rPr>
                <w:rFonts w:ascii="Arial" w:eastAsia="Arial" w:hAnsi="Arial"/>
                <w:b/>
                <w:color w:val="000000"/>
                <w:sz w:val="13"/>
                <w:szCs w:val="13"/>
              </w:rPr>
              <w:t>M</w:t>
            </w:r>
          </w:p>
          <w:p w:rsidR="003C291C" w:rsidRPr="00506748" w:rsidRDefault="003C291C" w:rsidP="00DB15A3">
            <w:pPr>
              <w:jc w:val="center"/>
              <w:textAlignment w:val="baseline"/>
              <w:rPr>
                <w:rFonts w:ascii="Arial" w:eastAsia="Arial" w:hAnsi="Arial"/>
                <w:b/>
                <w:color w:val="000000"/>
                <w:sz w:val="13"/>
                <w:szCs w:val="13"/>
              </w:rPr>
            </w:pPr>
            <w:r w:rsidRPr="00506748">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b/>
                <w:color w:val="000000"/>
                <w:sz w:val="13"/>
                <w:szCs w:val="13"/>
              </w:rPr>
            </w:pPr>
            <w:r w:rsidRPr="00506748">
              <w:rPr>
                <w:rFonts w:ascii="Arial" w:eastAsia="Arial" w:hAnsi="Arial"/>
                <w:b/>
                <w:color w:val="000000"/>
                <w:sz w:val="13"/>
                <w:szCs w:val="13"/>
              </w:rPr>
              <w:t>T</w:t>
            </w:r>
          </w:p>
          <w:p w:rsidR="003C291C" w:rsidRPr="00506748" w:rsidRDefault="003C291C" w:rsidP="00DB15A3">
            <w:pPr>
              <w:jc w:val="center"/>
              <w:textAlignment w:val="baseline"/>
              <w:rPr>
                <w:rFonts w:ascii="Arial" w:eastAsia="Arial" w:hAnsi="Arial"/>
                <w:b/>
                <w:color w:val="000000"/>
                <w:sz w:val="13"/>
                <w:szCs w:val="13"/>
              </w:rPr>
            </w:pPr>
            <w:r w:rsidRPr="00506748">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b/>
                <w:color w:val="000000"/>
                <w:sz w:val="13"/>
                <w:szCs w:val="13"/>
              </w:rPr>
            </w:pPr>
            <w:r w:rsidRPr="00506748">
              <w:rPr>
                <w:rFonts w:ascii="Arial" w:eastAsia="Arial" w:hAnsi="Arial"/>
                <w:b/>
                <w:color w:val="000000"/>
                <w:sz w:val="13"/>
                <w:szCs w:val="13"/>
              </w:rPr>
              <w:t>W</w:t>
            </w:r>
          </w:p>
          <w:p w:rsidR="003C291C" w:rsidRPr="00506748" w:rsidRDefault="003C291C" w:rsidP="00DB15A3">
            <w:pPr>
              <w:jc w:val="center"/>
              <w:textAlignment w:val="baseline"/>
              <w:rPr>
                <w:rFonts w:ascii="Arial" w:eastAsia="Arial" w:hAnsi="Arial"/>
                <w:b/>
                <w:color w:val="000000"/>
                <w:sz w:val="13"/>
                <w:szCs w:val="13"/>
              </w:rPr>
            </w:pPr>
            <w:r w:rsidRPr="00506748">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b/>
                <w:color w:val="000000"/>
                <w:sz w:val="13"/>
                <w:szCs w:val="13"/>
              </w:rPr>
            </w:pPr>
            <w:r w:rsidRPr="00506748">
              <w:rPr>
                <w:rFonts w:ascii="Arial" w:eastAsia="Arial" w:hAnsi="Arial"/>
                <w:b/>
                <w:color w:val="000000"/>
                <w:sz w:val="13"/>
                <w:szCs w:val="13"/>
              </w:rPr>
              <w:t>T</w:t>
            </w:r>
          </w:p>
          <w:p w:rsidR="003C291C" w:rsidRPr="00506748" w:rsidRDefault="003C291C" w:rsidP="00DB15A3">
            <w:pPr>
              <w:jc w:val="center"/>
              <w:textAlignment w:val="baseline"/>
              <w:rPr>
                <w:rFonts w:ascii="Arial" w:eastAsia="Arial" w:hAnsi="Arial"/>
                <w:b/>
                <w:color w:val="000000"/>
                <w:sz w:val="13"/>
                <w:szCs w:val="13"/>
              </w:rPr>
            </w:pPr>
            <w:r w:rsidRPr="00506748">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b/>
                <w:color w:val="000000"/>
                <w:sz w:val="13"/>
                <w:szCs w:val="13"/>
              </w:rPr>
            </w:pPr>
            <w:r w:rsidRPr="00506748">
              <w:rPr>
                <w:rFonts w:ascii="Arial" w:eastAsia="Arial" w:hAnsi="Arial"/>
                <w:b/>
                <w:color w:val="000000"/>
                <w:sz w:val="13"/>
                <w:szCs w:val="13"/>
              </w:rPr>
              <w:t>F</w:t>
            </w:r>
          </w:p>
          <w:p w:rsidR="003C291C" w:rsidRPr="00506748" w:rsidRDefault="003C291C" w:rsidP="00DB15A3">
            <w:pPr>
              <w:jc w:val="center"/>
              <w:textAlignment w:val="baseline"/>
              <w:rPr>
                <w:rFonts w:ascii="Arial" w:eastAsia="Arial" w:hAnsi="Arial"/>
                <w:b/>
                <w:color w:val="000000"/>
                <w:sz w:val="13"/>
                <w:szCs w:val="13"/>
              </w:rPr>
            </w:pPr>
            <w:r w:rsidRPr="00506748">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b/>
                <w:color w:val="000000"/>
                <w:sz w:val="13"/>
                <w:szCs w:val="13"/>
              </w:rPr>
            </w:pPr>
            <w:r w:rsidRPr="00506748">
              <w:rPr>
                <w:rFonts w:ascii="Arial" w:eastAsia="Arial" w:hAnsi="Arial"/>
                <w:b/>
                <w:color w:val="000000"/>
                <w:sz w:val="13"/>
                <w:szCs w:val="13"/>
              </w:rPr>
              <w:t>S</w:t>
            </w:r>
          </w:p>
          <w:p w:rsidR="003C291C" w:rsidRPr="00506748" w:rsidRDefault="003C291C" w:rsidP="00DB15A3">
            <w:pPr>
              <w:jc w:val="center"/>
              <w:textAlignment w:val="baseline"/>
              <w:rPr>
                <w:rFonts w:ascii="Arial" w:eastAsia="Arial" w:hAnsi="Arial"/>
                <w:b/>
                <w:color w:val="000000"/>
                <w:sz w:val="13"/>
                <w:szCs w:val="13"/>
              </w:rPr>
            </w:pPr>
            <w:r w:rsidRPr="00506748">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S</w:t>
            </w:r>
          </w:p>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M</w:t>
            </w:r>
          </w:p>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T</w:t>
            </w:r>
          </w:p>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W</w:t>
            </w:r>
          </w:p>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T</w:t>
            </w:r>
          </w:p>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F</w:t>
            </w:r>
          </w:p>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S</w:t>
            </w:r>
          </w:p>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S</w:t>
            </w:r>
          </w:p>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M</w:t>
            </w:r>
          </w:p>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T</w:t>
            </w:r>
          </w:p>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W</w:t>
            </w:r>
          </w:p>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T</w:t>
            </w:r>
          </w:p>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F</w:t>
            </w:r>
          </w:p>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S</w:t>
            </w:r>
          </w:p>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S</w:t>
            </w:r>
          </w:p>
        </w:tc>
      </w:tr>
      <w:tr w:rsidR="003C291C" w:rsidRPr="00506748" w:rsidTr="00DB15A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506748" w:rsidRDefault="003C291C" w:rsidP="00DB15A3">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3</w:t>
            </w:r>
          </w:p>
        </w:tc>
      </w:tr>
      <w:tr w:rsidR="003C291C" w:rsidRPr="00506748" w:rsidTr="00DB15A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CC</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YK</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H</w:t>
            </w:r>
          </w:p>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10</w:t>
            </w:r>
          </w:p>
        </w:tc>
      </w:tr>
      <w:tr w:rsidR="003C291C" w:rsidRPr="00506748" w:rsidTr="00DB15A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H</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17</w:t>
            </w:r>
          </w:p>
        </w:tc>
      </w:tr>
      <w:tr w:rsidR="003C291C" w:rsidRPr="00506748" w:rsidTr="00DB15A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24</w:t>
            </w:r>
          </w:p>
        </w:tc>
      </w:tr>
      <w:tr w:rsidR="003C291C" w:rsidRPr="00506748" w:rsidTr="00DB15A3">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 xml:space="preserve">  23 /</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 xml:space="preserve">  24 /</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b/>
                <w:color w:val="000000"/>
                <w:sz w:val="13"/>
                <w:szCs w:val="13"/>
              </w:rPr>
              <w:t>CC</w:t>
            </w:r>
            <w:r w:rsidRPr="00506748">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b/>
                <w:color w:val="000000"/>
                <w:sz w:val="13"/>
              </w:rPr>
            </w:pPr>
            <w:r w:rsidRPr="00506748">
              <w:rPr>
                <w:rFonts w:ascii="Arial" w:eastAsia="Arial" w:hAnsi="Arial" w:cs="Arial"/>
                <w:b/>
                <w:color w:val="000000"/>
                <w:sz w:val="13"/>
              </w:rPr>
              <w:t>CC</w:t>
            </w:r>
          </w:p>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rPr>
            </w:pPr>
            <w:r w:rsidRPr="00506748">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r w:rsidRPr="00506748">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rPr>
                <w:rFonts w:ascii="Arial" w:hAnsi="Arial" w:cs="Arial"/>
                <w:b/>
                <w:sz w:val="13"/>
                <w:szCs w:val="13"/>
              </w:rPr>
            </w:pPr>
            <w:r w:rsidRPr="00506748">
              <w:rPr>
                <w:rFonts w:ascii="Arial" w:hAnsi="Arial" w:cs="Arial"/>
                <w:b/>
                <w:sz w:val="13"/>
                <w:szCs w:val="13"/>
              </w:rPr>
              <w:t>H</w:t>
            </w:r>
          </w:p>
          <w:p w:rsidR="003C291C" w:rsidRPr="00506748" w:rsidRDefault="003C291C" w:rsidP="00DB15A3">
            <w:pPr>
              <w:jc w:val="center"/>
              <w:rPr>
                <w:rFonts w:ascii="Arial" w:hAnsi="Arial" w:cs="Arial"/>
                <w:sz w:val="13"/>
                <w:szCs w:val="13"/>
              </w:rPr>
            </w:pPr>
            <w:r w:rsidRPr="00506748">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rPr>
                <w:rFonts w:ascii="Arial" w:hAnsi="Arial" w:cs="Arial"/>
                <w:b/>
                <w:sz w:val="13"/>
                <w:szCs w:val="13"/>
              </w:rPr>
            </w:pPr>
            <w:r w:rsidRPr="00506748">
              <w:rPr>
                <w:rFonts w:ascii="Arial" w:hAnsi="Arial" w:cs="Arial"/>
                <w:b/>
                <w:sz w:val="13"/>
                <w:szCs w:val="13"/>
              </w:rPr>
              <w:t>H</w:t>
            </w:r>
          </w:p>
          <w:p w:rsidR="003C291C" w:rsidRPr="00506748" w:rsidRDefault="003C291C" w:rsidP="00DB15A3">
            <w:pPr>
              <w:jc w:val="center"/>
              <w:rPr>
                <w:rFonts w:ascii="Arial" w:hAnsi="Arial" w:cs="Arial"/>
                <w:sz w:val="13"/>
                <w:szCs w:val="13"/>
              </w:rPr>
            </w:pPr>
            <w:r w:rsidRPr="00506748">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rPr>
                <w:rFonts w:ascii="Arial" w:hAnsi="Arial" w:cs="Arial"/>
                <w:sz w:val="13"/>
                <w:szCs w:val="13"/>
              </w:rPr>
            </w:pPr>
            <w:r w:rsidRPr="00506748">
              <w:rPr>
                <w:rFonts w:ascii="Arial" w:hAnsi="Arial" w:cs="Arial"/>
                <w:sz w:val="13"/>
                <w:szCs w:val="13"/>
              </w:rPr>
              <w:t>31</w:t>
            </w:r>
          </w:p>
        </w:tc>
      </w:tr>
    </w:tbl>
    <w:p w:rsidR="003C291C" w:rsidRPr="00506748" w:rsidRDefault="003C291C" w:rsidP="003C291C">
      <w:pPr>
        <w:tabs>
          <w:tab w:val="center" w:pos="5220"/>
          <w:tab w:val="right" w:pos="10440"/>
        </w:tabs>
        <w:spacing w:before="120"/>
        <w:jc w:val="center"/>
        <w:rPr>
          <w:rFonts w:ascii="Arial" w:hAnsi="Arial" w:cs="Arial"/>
          <w:szCs w:val="24"/>
        </w:rPr>
      </w:pPr>
      <w:r w:rsidRPr="00506748">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506748" w:rsidTr="00DB15A3">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MARCH – MARS</w:t>
            </w:r>
          </w:p>
        </w:tc>
      </w:tr>
      <w:tr w:rsidR="003C291C" w:rsidRPr="00506748" w:rsidTr="00DB15A3">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W</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F</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W</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F</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W</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F</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tc>
      </w:tr>
      <w:tr w:rsidR="003C291C" w:rsidRPr="00506748" w:rsidTr="00DB15A3">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r w:rsidRPr="00506748">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spacing w:before="91" w:line="148" w:lineRule="exact"/>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H</w:t>
            </w:r>
          </w:p>
          <w:p w:rsidR="003C291C" w:rsidRPr="00506748" w:rsidRDefault="003C291C" w:rsidP="00DB15A3">
            <w:pPr>
              <w:jc w:val="center"/>
              <w:textAlignment w:val="baseline"/>
              <w:rPr>
                <w:rFonts w:ascii="Arial" w:eastAsia="Times New Roman" w:hAnsi="Arial" w:cs="Arial"/>
                <w:color w:val="000000"/>
                <w:sz w:val="13"/>
                <w:szCs w:val="13"/>
              </w:rPr>
            </w:pPr>
            <w:r w:rsidRPr="00506748">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r w:rsidRPr="00506748">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r w:rsidRPr="00506748">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r w:rsidRPr="00506748">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r w:rsidRPr="00506748">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4</w:t>
            </w:r>
          </w:p>
        </w:tc>
      </w:tr>
      <w:tr w:rsidR="003C291C" w:rsidRPr="00506748" w:rsidTr="00DB15A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spacing w:before="241" w:after="34" w:line="147" w:lineRule="exact"/>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spacing w:before="91" w:line="148" w:lineRule="exact"/>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CC</w:t>
            </w:r>
          </w:p>
          <w:p w:rsidR="003C291C" w:rsidRPr="00506748" w:rsidRDefault="003C291C" w:rsidP="00DB15A3">
            <w:pPr>
              <w:spacing w:before="2" w:after="34" w:line="147" w:lineRule="exact"/>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CC</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11</w:t>
            </w:r>
          </w:p>
        </w:tc>
      </w:tr>
      <w:tr w:rsidR="003C291C" w:rsidRPr="00506748" w:rsidTr="00DB15A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spacing w:before="240" w:after="30" w:line="147" w:lineRule="exact"/>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spacing w:before="1" w:after="30" w:line="147" w:lineRule="exact"/>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CC</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18</w:t>
            </w:r>
          </w:p>
        </w:tc>
      </w:tr>
      <w:tr w:rsidR="003C291C" w:rsidRPr="00506748" w:rsidTr="00DB15A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spacing w:before="212" w:after="30" w:line="147" w:lineRule="exact"/>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spacing w:before="212" w:after="30" w:line="147" w:lineRule="exact"/>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25</w:t>
            </w:r>
          </w:p>
        </w:tc>
      </w:tr>
      <w:tr w:rsidR="003C291C" w:rsidRPr="00506748" w:rsidTr="00DB15A3">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spacing w:before="39" w:after="30" w:line="147" w:lineRule="exact"/>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spacing w:before="39" w:after="30" w:line="147" w:lineRule="exact"/>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r w:rsidRPr="00506748">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r w:rsidRPr="00506748">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r>
      <w:tr w:rsidR="003C291C" w:rsidRPr="00506748" w:rsidTr="00DB15A3">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JUNE – JUIN</w:t>
            </w:r>
          </w:p>
        </w:tc>
      </w:tr>
      <w:tr w:rsidR="003C291C" w:rsidRPr="00506748" w:rsidTr="00DB15A3">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W</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F</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W</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F</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W</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F</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tc>
      </w:tr>
      <w:tr w:rsidR="003C291C" w:rsidRPr="00506748" w:rsidTr="00DB15A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3</w:t>
            </w:r>
          </w:p>
        </w:tc>
      </w:tr>
      <w:tr w:rsidR="003C291C" w:rsidRPr="00506748" w:rsidTr="00DB15A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506748" w:rsidRDefault="003C291C" w:rsidP="00DB15A3">
            <w:pPr>
              <w:spacing w:before="91" w:line="148" w:lineRule="exact"/>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H</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CC</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b/>
                <w:color w:val="000000"/>
                <w:sz w:val="13"/>
              </w:rPr>
            </w:pPr>
            <w:r w:rsidRPr="00506748">
              <w:rPr>
                <w:rFonts w:ascii="Arial" w:eastAsia="Arial" w:hAnsi="Arial"/>
                <w:b/>
                <w:color w:val="000000"/>
                <w:sz w:val="13"/>
              </w:rPr>
              <w:t>CC</w:t>
            </w:r>
          </w:p>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10</w:t>
            </w:r>
          </w:p>
        </w:tc>
      </w:tr>
      <w:tr w:rsidR="003C291C" w:rsidRPr="00506748" w:rsidTr="00DB15A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H</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CC</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OR</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OR</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17</w:t>
            </w:r>
          </w:p>
        </w:tc>
      </w:tr>
      <w:tr w:rsidR="003C291C" w:rsidRPr="00506748" w:rsidTr="00DB15A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OR</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OR</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H</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24</w:t>
            </w:r>
          </w:p>
        </w:tc>
      </w:tr>
      <w:tr w:rsidR="003C291C" w:rsidRPr="00506748" w:rsidTr="00DB15A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 xml:space="preserve">  23 /</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r w:rsidRPr="00506748">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olor w:val="000000"/>
                <w:sz w:val="13"/>
              </w:rPr>
            </w:pPr>
            <w:r w:rsidRPr="00506748">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r w:rsidRPr="00506748">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506748" w:rsidRDefault="003C291C" w:rsidP="00DB15A3">
            <w:pPr>
              <w:jc w:val="center"/>
              <w:textAlignment w:val="baseline"/>
              <w:rPr>
                <w:rFonts w:eastAsia="Times New Roman"/>
                <w:color w:val="000000"/>
              </w:rPr>
            </w:pPr>
          </w:p>
        </w:tc>
      </w:tr>
      <w:tr w:rsidR="003C291C" w:rsidRPr="00506748" w:rsidTr="00DB15A3">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SEPTEMBER – SEPTEMBRE</w:t>
            </w:r>
          </w:p>
        </w:tc>
      </w:tr>
      <w:tr w:rsidR="003C291C" w:rsidRPr="00506748" w:rsidTr="00DB15A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6"/>
                <w:szCs w:val="16"/>
              </w:rPr>
            </w:pPr>
            <w:r w:rsidRPr="00506748">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W</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F</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W</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F</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506748" w:rsidRDefault="003C291C" w:rsidP="00DB15A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W</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T</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F</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p w:rsidR="003C291C" w:rsidRPr="00506748" w:rsidRDefault="003C291C" w:rsidP="00DB15A3">
            <w:pPr>
              <w:tabs>
                <w:tab w:val="center" w:pos="5220"/>
                <w:tab w:val="right" w:pos="10440"/>
              </w:tabs>
              <w:jc w:val="center"/>
              <w:rPr>
                <w:rFonts w:ascii="Arial" w:hAnsi="Arial" w:cs="Arial"/>
                <w:b/>
                <w:sz w:val="13"/>
                <w:szCs w:val="13"/>
              </w:rPr>
            </w:pPr>
            <w:r w:rsidRPr="00506748">
              <w:rPr>
                <w:rFonts w:ascii="Arial" w:hAnsi="Arial" w:cs="Arial"/>
                <w:b/>
                <w:sz w:val="13"/>
                <w:szCs w:val="13"/>
              </w:rPr>
              <w:t>S</w:t>
            </w:r>
          </w:p>
        </w:tc>
      </w:tr>
      <w:tr w:rsidR="003C291C" w:rsidRPr="00506748" w:rsidTr="00DB15A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506748" w:rsidRDefault="003C291C" w:rsidP="00DB15A3">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w:t>
            </w:r>
          </w:p>
        </w:tc>
      </w:tr>
      <w:tr w:rsidR="003C291C" w:rsidRPr="00506748" w:rsidTr="00DB15A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H</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H</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H</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9</w:t>
            </w:r>
          </w:p>
        </w:tc>
      </w:tr>
      <w:tr w:rsidR="003C291C" w:rsidRPr="00506748" w:rsidTr="00DB15A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RH</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16</w:t>
            </w:r>
          </w:p>
        </w:tc>
      </w:tr>
      <w:tr w:rsidR="003C291C" w:rsidRPr="00506748" w:rsidTr="00DB15A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RH</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23</w:t>
            </w:r>
          </w:p>
        </w:tc>
      </w:tr>
      <w:tr w:rsidR="003C291C" w:rsidRPr="00506748" w:rsidTr="00DB15A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 xml:space="preserve">  23 /</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 xml:space="preserve">  24 /</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r w:rsidRPr="00506748">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506748" w:rsidRDefault="003C291C" w:rsidP="00DB15A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506748" w:rsidRDefault="003C291C" w:rsidP="00DB15A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b/>
                <w:color w:val="000000"/>
                <w:sz w:val="13"/>
                <w:szCs w:val="13"/>
              </w:rPr>
            </w:pPr>
            <w:r w:rsidRPr="00506748">
              <w:rPr>
                <w:rFonts w:ascii="Arial" w:eastAsia="Arial" w:hAnsi="Arial" w:cs="Arial"/>
                <w:b/>
                <w:color w:val="000000"/>
                <w:sz w:val="13"/>
                <w:szCs w:val="13"/>
              </w:rPr>
              <w:t>YK</w:t>
            </w:r>
          </w:p>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Arial" w:hAnsi="Arial" w:cs="Arial"/>
                <w:color w:val="000000"/>
                <w:sz w:val="13"/>
                <w:szCs w:val="13"/>
              </w:rPr>
            </w:pPr>
            <w:r w:rsidRPr="00506748">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506748" w:rsidRDefault="003C291C" w:rsidP="00DB15A3">
            <w:pPr>
              <w:jc w:val="center"/>
              <w:textAlignment w:val="baseline"/>
              <w:rPr>
                <w:rFonts w:ascii="Arial" w:eastAsia="Times New Roman" w:hAnsi="Arial" w:cs="Arial"/>
                <w:color w:val="000000"/>
                <w:sz w:val="13"/>
                <w:szCs w:val="13"/>
              </w:rPr>
            </w:pPr>
            <w:r w:rsidRPr="00506748">
              <w:rPr>
                <w:rFonts w:ascii="Arial" w:eastAsia="Times New Roman" w:hAnsi="Arial" w:cs="Arial"/>
                <w:color w:val="000000"/>
                <w:sz w:val="13"/>
                <w:szCs w:val="13"/>
              </w:rPr>
              <w:t>30</w:t>
            </w:r>
          </w:p>
        </w:tc>
      </w:tr>
      <w:tr w:rsidR="003C291C" w:rsidRPr="00506748" w:rsidTr="00DB1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506748" w:rsidRDefault="003C291C" w:rsidP="00DB15A3">
            <w:pPr>
              <w:spacing w:before="40"/>
              <w:jc w:val="right"/>
              <w:rPr>
                <w:rFonts w:ascii="Arial" w:hAnsi="Arial" w:cs="Arial"/>
                <w:b/>
                <w:sz w:val="13"/>
                <w:szCs w:val="13"/>
              </w:rPr>
            </w:pPr>
            <w:r w:rsidRPr="00506748">
              <w:rPr>
                <w:rFonts w:ascii="Arial" w:hAnsi="Arial" w:cs="Arial"/>
                <w:b/>
                <w:sz w:val="13"/>
                <w:szCs w:val="13"/>
              </w:rPr>
              <w:t>Sitting of the Court /</w:t>
            </w:r>
          </w:p>
          <w:p w:rsidR="003C291C" w:rsidRPr="00506748" w:rsidRDefault="003C291C" w:rsidP="00DB15A3">
            <w:pPr>
              <w:jc w:val="right"/>
              <w:rPr>
                <w:rFonts w:ascii="Arial" w:hAnsi="Arial" w:cs="Arial"/>
                <w:b/>
                <w:sz w:val="13"/>
                <w:szCs w:val="13"/>
              </w:rPr>
            </w:pPr>
            <w:r w:rsidRPr="00506748">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506748" w:rsidRDefault="003C291C" w:rsidP="00DB15A3">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506748" w:rsidRDefault="003C291C" w:rsidP="00DB15A3">
            <w:pPr>
              <w:tabs>
                <w:tab w:val="left" w:pos="203"/>
              </w:tabs>
              <w:spacing w:before="40" w:after="120"/>
              <w:rPr>
                <w:rFonts w:ascii="Arial" w:hAnsi="Arial" w:cs="Arial"/>
                <w:b/>
                <w:sz w:val="13"/>
                <w:szCs w:val="13"/>
                <w:lang w:val="fr-CA"/>
              </w:rPr>
            </w:pPr>
            <w:r w:rsidRPr="00506748">
              <w:rPr>
                <w:rFonts w:ascii="Arial" w:hAnsi="Arial" w:cs="Arial"/>
                <w:b/>
                <w:sz w:val="13"/>
                <w:szCs w:val="13"/>
                <w:lang w:val="fr-CA"/>
              </w:rPr>
              <w:t>18</w:t>
            </w:r>
            <w:r w:rsidRPr="00506748">
              <w:rPr>
                <w:rFonts w:ascii="Arial" w:hAnsi="Arial" w:cs="Arial"/>
                <w:b/>
                <w:sz w:val="13"/>
                <w:szCs w:val="13"/>
                <w:lang w:val="fr-CA"/>
              </w:rPr>
              <w:tab/>
              <w:t xml:space="preserve"> sitting weeks / semaines séances de la Cour</w:t>
            </w:r>
          </w:p>
          <w:p w:rsidR="003C291C" w:rsidRPr="00506748" w:rsidRDefault="003C291C" w:rsidP="00DB15A3">
            <w:pPr>
              <w:tabs>
                <w:tab w:val="left" w:pos="203"/>
              </w:tabs>
              <w:rPr>
                <w:rFonts w:ascii="Arial" w:hAnsi="Arial" w:cs="Arial"/>
                <w:b/>
                <w:sz w:val="13"/>
                <w:szCs w:val="13"/>
                <w:lang w:val="fr-CA"/>
              </w:rPr>
            </w:pPr>
            <w:r w:rsidRPr="00506748">
              <w:rPr>
                <w:rFonts w:ascii="Arial" w:hAnsi="Arial" w:cs="Arial"/>
                <w:b/>
                <w:sz w:val="13"/>
                <w:szCs w:val="13"/>
                <w:lang w:val="fr-CA"/>
              </w:rPr>
              <w:t>87</w:t>
            </w:r>
            <w:r w:rsidRPr="00506748">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506748" w:rsidRDefault="003C291C" w:rsidP="00DB15A3">
            <w:pPr>
              <w:spacing w:before="40" w:after="120"/>
              <w:jc w:val="right"/>
              <w:rPr>
                <w:rFonts w:ascii="Arial" w:hAnsi="Arial" w:cs="Arial"/>
                <w:b/>
                <w:sz w:val="13"/>
                <w:szCs w:val="13"/>
                <w:lang w:val="fr-FR"/>
              </w:rPr>
            </w:pPr>
            <w:r w:rsidRPr="00506748">
              <w:rPr>
                <w:rFonts w:ascii="Arial" w:hAnsi="Arial" w:cs="Arial"/>
                <w:b/>
                <w:sz w:val="13"/>
                <w:szCs w:val="13"/>
                <w:lang w:val="fr-FR"/>
              </w:rPr>
              <w:t>Rosh Hashanah / Nouvel An juif</w:t>
            </w:r>
          </w:p>
          <w:p w:rsidR="003C291C" w:rsidRPr="00506748" w:rsidRDefault="003C291C" w:rsidP="00DB15A3">
            <w:pPr>
              <w:jc w:val="right"/>
              <w:rPr>
                <w:rFonts w:ascii="Arial" w:hAnsi="Arial" w:cs="Arial"/>
                <w:b/>
                <w:sz w:val="13"/>
                <w:szCs w:val="13"/>
                <w:lang w:val="fr-CA"/>
              </w:rPr>
            </w:pPr>
            <w:r w:rsidRPr="00506748">
              <w:rPr>
                <w:rFonts w:ascii="Arial" w:hAnsi="Arial" w:cs="Arial"/>
                <w:b/>
                <w:sz w:val="13"/>
                <w:szCs w:val="13"/>
                <w:lang w:val="fr-FR"/>
              </w:rPr>
              <w:t>Yom Kippur / Yom Kippour</w:t>
            </w:r>
          </w:p>
        </w:tc>
        <w:tc>
          <w:tcPr>
            <w:tcW w:w="271" w:type="pct"/>
            <w:gridSpan w:val="2"/>
            <w:hideMark/>
          </w:tcPr>
          <w:p w:rsidR="003C291C" w:rsidRPr="00506748" w:rsidRDefault="003C291C" w:rsidP="00DB15A3">
            <w:pPr>
              <w:spacing w:before="40" w:after="120"/>
              <w:jc w:val="center"/>
              <w:rPr>
                <w:rFonts w:ascii="Arial" w:hAnsi="Arial" w:cs="Arial"/>
                <w:b/>
                <w:sz w:val="13"/>
                <w:szCs w:val="13"/>
                <w:lang w:val="fr-CA"/>
              </w:rPr>
            </w:pPr>
            <w:r w:rsidRPr="00506748">
              <w:rPr>
                <w:rFonts w:ascii="Arial" w:hAnsi="Arial" w:cs="Arial"/>
                <w:b/>
                <w:sz w:val="13"/>
                <w:szCs w:val="13"/>
                <w:lang w:val="fr-CA"/>
              </w:rPr>
              <w:t>RH</w:t>
            </w:r>
          </w:p>
          <w:p w:rsidR="003C291C" w:rsidRPr="00506748" w:rsidRDefault="003C291C" w:rsidP="00DB15A3">
            <w:pPr>
              <w:jc w:val="center"/>
              <w:rPr>
                <w:rFonts w:ascii="Arial" w:hAnsi="Arial" w:cs="Arial"/>
                <w:b/>
                <w:sz w:val="13"/>
                <w:szCs w:val="13"/>
                <w:lang w:val="fr-CA"/>
              </w:rPr>
            </w:pPr>
            <w:r w:rsidRPr="00506748">
              <w:rPr>
                <w:rFonts w:ascii="Arial" w:hAnsi="Arial" w:cs="Arial"/>
                <w:b/>
                <w:sz w:val="13"/>
                <w:szCs w:val="13"/>
                <w:lang w:val="fr-CA"/>
              </w:rPr>
              <w:t>YK</w:t>
            </w:r>
          </w:p>
        </w:tc>
      </w:tr>
      <w:tr w:rsidR="003C291C" w:rsidRPr="00506748" w:rsidTr="00DB1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506748" w:rsidRDefault="003C291C" w:rsidP="00DB15A3">
            <w:pPr>
              <w:jc w:val="right"/>
              <w:rPr>
                <w:rFonts w:ascii="Arial" w:hAnsi="Arial" w:cs="Arial"/>
                <w:b/>
                <w:sz w:val="13"/>
                <w:szCs w:val="13"/>
                <w:lang w:val="fr-CA"/>
              </w:rPr>
            </w:pPr>
            <w:r w:rsidRPr="00506748">
              <w:rPr>
                <w:rFonts w:ascii="Arial" w:hAnsi="Arial" w:cs="Arial"/>
                <w:b/>
                <w:sz w:val="13"/>
                <w:szCs w:val="13"/>
                <w:lang w:val="fr-CA"/>
              </w:rPr>
              <w:t>Court conference /</w:t>
            </w:r>
          </w:p>
          <w:p w:rsidR="003C291C" w:rsidRPr="00506748" w:rsidRDefault="003C291C" w:rsidP="00DB15A3">
            <w:pPr>
              <w:jc w:val="right"/>
              <w:rPr>
                <w:rFonts w:ascii="Arial" w:hAnsi="Arial" w:cs="Arial"/>
                <w:b/>
                <w:sz w:val="13"/>
                <w:szCs w:val="13"/>
                <w:lang w:val="fr-CA"/>
              </w:rPr>
            </w:pPr>
            <w:r w:rsidRPr="00506748">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506748" w:rsidRDefault="003C291C" w:rsidP="00DB15A3">
            <w:pPr>
              <w:jc w:val="center"/>
              <w:rPr>
                <w:rFonts w:ascii="Arial" w:hAnsi="Arial" w:cs="Arial"/>
                <w:b/>
                <w:sz w:val="13"/>
                <w:szCs w:val="13"/>
                <w:lang w:val="fr-FR"/>
              </w:rPr>
            </w:pPr>
            <w:r w:rsidRPr="00506748">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506748" w:rsidRDefault="003C291C" w:rsidP="00DB15A3">
            <w:pPr>
              <w:tabs>
                <w:tab w:val="left" w:pos="203"/>
              </w:tabs>
              <w:rPr>
                <w:rFonts w:ascii="Arial" w:hAnsi="Arial" w:cs="Arial"/>
                <w:b/>
                <w:sz w:val="13"/>
                <w:szCs w:val="13"/>
                <w:lang w:val="fr-CA"/>
              </w:rPr>
            </w:pPr>
            <w:r w:rsidRPr="00506748">
              <w:rPr>
                <w:rFonts w:ascii="Arial" w:hAnsi="Arial" w:cs="Arial"/>
                <w:b/>
                <w:sz w:val="13"/>
                <w:szCs w:val="13"/>
                <w:lang w:val="fr-CA"/>
              </w:rPr>
              <w:t>9</w:t>
            </w:r>
            <w:r w:rsidRPr="00506748">
              <w:rPr>
                <w:rFonts w:ascii="Arial" w:hAnsi="Arial" w:cs="Arial"/>
                <w:b/>
                <w:sz w:val="13"/>
                <w:szCs w:val="13"/>
                <w:lang w:val="fr-CA"/>
              </w:rPr>
              <w:tab/>
              <w:t>Court conference days /</w:t>
            </w:r>
          </w:p>
          <w:p w:rsidR="003C291C" w:rsidRPr="00506748" w:rsidRDefault="003C291C" w:rsidP="00DB15A3">
            <w:pPr>
              <w:tabs>
                <w:tab w:val="left" w:pos="203"/>
              </w:tabs>
              <w:rPr>
                <w:rFonts w:ascii="Arial" w:hAnsi="Arial" w:cs="Arial"/>
                <w:b/>
                <w:sz w:val="13"/>
                <w:szCs w:val="13"/>
                <w:lang w:val="fr-CA"/>
              </w:rPr>
            </w:pPr>
            <w:r w:rsidRPr="00506748">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506748" w:rsidRDefault="003C291C" w:rsidP="00DB15A3">
            <w:pPr>
              <w:rPr>
                <w:rFonts w:ascii="Arial" w:hAnsi="Arial" w:cs="Arial"/>
                <w:b/>
                <w:sz w:val="13"/>
                <w:szCs w:val="13"/>
                <w:lang w:val="fr-CA"/>
              </w:rPr>
            </w:pPr>
          </w:p>
        </w:tc>
        <w:tc>
          <w:tcPr>
            <w:tcW w:w="271" w:type="pct"/>
            <w:gridSpan w:val="2"/>
          </w:tcPr>
          <w:p w:rsidR="003C291C" w:rsidRPr="00506748" w:rsidRDefault="003C291C" w:rsidP="00DB15A3">
            <w:pPr>
              <w:jc w:val="center"/>
              <w:rPr>
                <w:rFonts w:ascii="Arial" w:hAnsi="Arial" w:cs="Arial"/>
                <w:b/>
                <w:sz w:val="13"/>
                <w:szCs w:val="13"/>
                <w:lang w:val="fr-CA"/>
              </w:rPr>
            </w:pPr>
          </w:p>
        </w:tc>
      </w:tr>
      <w:tr w:rsidR="003C291C" w:rsidRPr="00506748" w:rsidTr="00DB1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506748" w:rsidRDefault="003C291C" w:rsidP="00DB15A3">
            <w:pPr>
              <w:jc w:val="right"/>
              <w:rPr>
                <w:rFonts w:ascii="Arial" w:hAnsi="Arial" w:cs="Arial"/>
                <w:b/>
                <w:sz w:val="13"/>
                <w:szCs w:val="13"/>
              </w:rPr>
            </w:pPr>
            <w:r w:rsidRPr="00506748">
              <w:rPr>
                <w:rFonts w:ascii="Arial" w:hAnsi="Arial" w:cs="Arial"/>
                <w:b/>
                <w:sz w:val="13"/>
                <w:szCs w:val="13"/>
              </w:rPr>
              <w:t xml:space="preserve">Holiday / </w:t>
            </w:r>
            <w:r w:rsidRPr="00506748">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506748" w:rsidRDefault="003C291C" w:rsidP="00DB15A3">
            <w:pPr>
              <w:jc w:val="center"/>
              <w:rPr>
                <w:rFonts w:ascii="Arial" w:hAnsi="Arial" w:cs="Arial"/>
                <w:b/>
                <w:sz w:val="13"/>
                <w:szCs w:val="13"/>
              </w:rPr>
            </w:pPr>
            <w:r w:rsidRPr="00506748">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506748" w:rsidRDefault="003C291C" w:rsidP="00DB15A3">
            <w:pPr>
              <w:tabs>
                <w:tab w:val="left" w:pos="203"/>
              </w:tabs>
              <w:rPr>
                <w:rFonts w:ascii="Arial" w:hAnsi="Arial" w:cs="Arial"/>
                <w:b/>
                <w:sz w:val="13"/>
                <w:szCs w:val="13"/>
              </w:rPr>
            </w:pPr>
            <w:r w:rsidRPr="00506748">
              <w:rPr>
                <w:rFonts w:ascii="Arial" w:hAnsi="Arial" w:cs="Arial"/>
                <w:b/>
                <w:sz w:val="13"/>
                <w:szCs w:val="13"/>
              </w:rPr>
              <w:t>3</w:t>
            </w:r>
            <w:r w:rsidRPr="00506748">
              <w:rPr>
                <w:rFonts w:ascii="Arial" w:hAnsi="Arial" w:cs="Arial"/>
                <w:b/>
                <w:sz w:val="13"/>
                <w:szCs w:val="13"/>
              </w:rPr>
              <w:tab/>
              <w:t xml:space="preserve">holidays during sitting days / </w:t>
            </w:r>
          </w:p>
          <w:p w:rsidR="003C291C" w:rsidRPr="000778A3" w:rsidRDefault="003C291C" w:rsidP="00DB15A3">
            <w:pPr>
              <w:tabs>
                <w:tab w:val="left" w:pos="203"/>
              </w:tabs>
              <w:rPr>
                <w:rFonts w:ascii="Arial" w:hAnsi="Arial" w:cs="Arial"/>
                <w:b/>
                <w:sz w:val="13"/>
                <w:szCs w:val="13"/>
                <w:lang w:val="fr-CA"/>
              </w:rPr>
            </w:pPr>
            <w:r w:rsidRPr="00506748">
              <w:rPr>
                <w:rFonts w:ascii="Arial" w:hAnsi="Arial" w:cs="Arial"/>
                <w:b/>
                <w:sz w:val="13"/>
                <w:szCs w:val="13"/>
              </w:rPr>
              <w:tab/>
            </w:r>
            <w:r w:rsidRPr="00506748">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DB15A3">
            <w:pPr>
              <w:rPr>
                <w:rFonts w:ascii="Arial" w:hAnsi="Arial" w:cs="Arial"/>
                <w:b/>
                <w:sz w:val="13"/>
                <w:szCs w:val="13"/>
                <w:lang w:val="fr-FR"/>
              </w:rPr>
            </w:pPr>
          </w:p>
        </w:tc>
        <w:tc>
          <w:tcPr>
            <w:tcW w:w="271" w:type="pct"/>
            <w:gridSpan w:val="2"/>
          </w:tcPr>
          <w:p w:rsidR="003C291C" w:rsidRPr="000778A3" w:rsidRDefault="003C291C" w:rsidP="00DB15A3">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54"/>
      <w:footerReference w:type="default" r:id="rId55"/>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94B" w:rsidRDefault="00FF394B" w:rsidP="00A87207">
      <w:r>
        <w:separator/>
      </w:r>
    </w:p>
  </w:endnote>
  <w:endnote w:type="continuationSeparator" w:id="0">
    <w:p w:rsidR="00FF394B" w:rsidRDefault="00FF394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C9268A" w:rsidP="00A87207">
    <w:pPr>
      <w:pStyle w:val="Footer"/>
    </w:pPr>
    <w:r>
      <w:pict>
        <v:rect id="_x0000_i1039" style="width:480.95pt;height:1pt" o:hralign="center" o:hrstd="t" o:hrnoshade="t" o:hr="t" fillcolor="black [3213]" stroked="f"/>
      </w:pict>
    </w:r>
  </w:p>
  <w:p w:rsidR="00FF394B" w:rsidRPr="00B7374B" w:rsidRDefault="00FF394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9268A">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FF39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394B" w:rsidRDefault="00C926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1" style="width:480.95pt;height:1pt" o:hralign="center" o:hrstd="t" o:hrnoshade="t" o:hr="t" fillcolor="black [3213]" stroked="f"/>
      </w:pict>
    </w:r>
  </w:p>
  <w:p w:rsidR="00FF394B" w:rsidRDefault="00FF394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C9268A" w:rsidP="00782AE4">
    <w:pPr>
      <w:tabs>
        <w:tab w:val="center" w:pos="4680"/>
      </w:tabs>
    </w:pPr>
    <w:r>
      <w:pict>
        <v:rect id="_x0000_i1052" style="width:480.95pt;height:1pt" o:hralign="center" o:hrstd="t" o:hrnoshade="t" o:hr="t" fillcolor="black [3213]" stroked="f"/>
      </w:pict>
    </w:r>
  </w:p>
  <w:p w:rsidR="00FF394B" w:rsidRDefault="00FF394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9268A">
      <w:rPr>
        <w:noProof/>
        <w:szCs w:val="24"/>
      </w:rPr>
      <w:t>7</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FF394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FF394B" w:rsidRDefault="00FF394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FF394B" w:rsidRDefault="00FF394B">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C9268A" w:rsidP="0022323B">
    <w:r>
      <w:pict>
        <v:rect id="_x0000_i1068" style="width:480.95pt;height:1pt" o:hralign="center" o:hrstd="t" o:hrnoshade="t" o:hr="t" fillcolor="black [3213]" stroked="f"/>
      </w:pict>
    </w:r>
  </w:p>
  <w:p w:rsidR="00FF394B" w:rsidRDefault="00FF394B">
    <w:pPr>
      <w:tabs>
        <w:tab w:val="center" w:pos="4740"/>
      </w:tabs>
      <w:spacing w:line="0" w:lineRule="atLeast"/>
    </w:pPr>
    <w:r>
      <w:tab/>
      <w:t xml:space="preserve">- </w:t>
    </w:r>
    <w:r>
      <w:fldChar w:fldCharType="begin"/>
    </w:r>
    <w:r>
      <w:instrText xml:space="preserve"> PAGE   \* MERGEFORMAT </w:instrText>
    </w:r>
    <w:r>
      <w:fldChar w:fldCharType="separate"/>
    </w:r>
    <w:r w:rsidR="00C9268A">
      <w:rPr>
        <w:noProof/>
      </w:rPr>
      <w:t>17</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C9268A" w:rsidP="0022323B">
    <w:r>
      <w:pict>
        <v:rect id="_x0000_i1069" style="width:480.95pt;height:1pt" o:hralign="center" o:hrstd="t" o:hrnoshade="t" o:hr="t" fillcolor="black [3213]" stroked="f"/>
      </w:pict>
    </w:r>
  </w:p>
  <w:p w:rsidR="00FF394B" w:rsidRDefault="00FF394B" w:rsidP="0022323B">
    <w:pPr>
      <w:tabs>
        <w:tab w:val="center" w:pos="4740"/>
      </w:tabs>
      <w:spacing w:line="0" w:lineRule="atLeast"/>
    </w:pPr>
    <w:r>
      <w:tab/>
      <w:t xml:space="preserve">- </w:t>
    </w:r>
    <w:r>
      <w:fldChar w:fldCharType="begin"/>
    </w:r>
    <w:r>
      <w:instrText xml:space="preserve"> PAGE   \* MERGEFORMAT </w:instrText>
    </w:r>
    <w:r>
      <w:fldChar w:fldCharType="separate"/>
    </w:r>
    <w:r w:rsidR="00C9268A">
      <w:rPr>
        <w:noProof/>
      </w:rPr>
      <w:t>8</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Pr="00924065" w:rsidRDefault="00FF394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C9268A" w:rsidP="00755F22">
    <w:pPr>
      <w:tabs>
        <w:tab w:val="left" w:pos="-1440"/>
        <w:tab w:val="left" w:pos="-720"/>
      </w:tabs>
    </w:pPr>
    <w:r>
      <w:pict>
        <v:rect id="_x0000_i1040" style="width:480.95pt;height:1pt" o:hralign="center" o:hrstd="t" o:hrnoshade="t" o:hr="t" fillcolor="black [3213]" stroked="f"/>
      </w:pict>
    </w:r>
  </w:p>
  <w:p w:rsidR="00FF394B" w:rsidRPr="00954D22" w:rsidRDefault="00FF394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9268A">
      <w:rPr>
        <w:noProof/>
        <w:szCs w:val="24"/>
      </w:rPr>
      <w:t>1</w:t>
    </w:r>
    <w:r>
      <w:rPr>
        <w:szCs w:val="24"/>
      </w:rPr>
      <w:fldChar w:fldCharType="end"/>
    </w:r>
    <w:r w:rsidRPr="00954D22">
      <w:rPr>
        <w:szCs w:val="24"/>
      </w:rPr>
      <w:t xml:space="preserve"> -</w:t>
    </w:r>
  </w:p>
  <w:p w:rsidR="00FF394B" w:rsidRDefault="00FF39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FF39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F394B" w:rsidRDefault="00FF39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394B" w:rsidRDefault="00FF394B">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C926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3" style="width:480.95pt;height:1pt" o:hralign="center" o:hrstd="t" o:hrnoshade="t" o:hr="t" fillcolor="black [3213]" stroked="f"/>
      </w:pict>
    </w:r>
  </w:p>
  <w:p w:rsidR="00FF394B" w:rsidRPr="0009648D" w:rsidRDefault="00FF394B" w:rsidP="00ED7E83">
    <w:pPr>
      <w:tabs>
        <w:tab w:val="center" w:pos="4680"/>
      </w:tabs>
    </w:pPr>
    <w:r>
      <w:tab/>
    </w:r>
    <w:r w:rsidRPr="0009648D">
      <w:t xml:space="preserve">- </w:t>
    </w:r>
    <w:r>
      <w:fldChar w:fldCharType="begin"/>
    </w:r>
    <w:r>
      <w:instrText xml:space="preserve"> PAGE   \* MERGEFORMAT </w:instrText>
    </w:r>
    <w:r>
      <w:fldChar w:fldCharType="separate"/>
    </w:r>
    <w:r w:rsidR="00C9268A">
      <w:rPr>
        <w:noProof/>
      </w:rPr>
      <w:t>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C9268A">
    <w:pPr>
      <w:pStyle w:val="Footer"/>
      <w:rPr>
        <w:lang w:val="fr-CA"/>
      </w:rPr>
    </w:pPr>
    <w:r>
      <w:rPr>
        <w:lang w:val="fr-CA"/>
      </w:rPr>
      <w:pict>
        <v:rect id="_x0000_i1044" style="width:480.95pt;height:1pt" o:hralign="center" o:hrstd="t" o:hrnoshade="t" o:hr="t" fillcolor="black [3213]" stroked="f"/>
      </w:pict>
    </w:r>
  </w:p>
  <w:p w:rsidR="00FF394B" w:rsidRDefault="00FF394B" w:rsidP="00245129">
    <w:pPr>
      <w:tabs>
        <w:tab w:val="center" w:pos="4680"/>
      </w:tabs>
    </w:pPr>
    <w:r>
      <w:tab/>
    </w:r>
    <w:r w:rsidRPr="0009648D">
      <w:t xml:space="preserve">- </w:t>
    </w:r>
    <w:r>
      <w:fldChar w:fldCharType="begin"/>
    </w:r>
    <w:r>
      <w:instrText xml:space="preserve"> PAGE   \* MERGEFORMAT </w:instrText>
    </w:r>
    <w:r>
      <w:fldChar w:fldCharType="separate"/>
    </w:r>
    <w:r w:rsidR="00C9268A">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FF39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394B" w:rsidRDefault="00FF39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394B" w:rsidRDefault="00FF394B">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C926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FF394B" w:rsidRDefault="00FF394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C9268A">
    <w:pPr>
      <w:pStyle w:val="Footer"/>
      <w:rPr>
        <w:lang w:val="fr-CA"/>
      </w:rPr>
    </w:pPr>
    <w:r>
      <w:rPr>
        <w:lang w:val="fr-CA"/>
      </w:rPr>
      <w:pict>
        <v:rect id="_x0000_i1048" style="width:480.95pt;height:1pt" o:hralign="center" o:hrstd="t" o:hrnoshade="t" o:hr="t" fillcolor="black [3213]" stroked="f"/>
      </w:pict>
    </w:r>
  </w:p>
  <w:p w:rsidR="00FF394B" w:rsidRDefault="00FF394B" w:rsidP="00EB2B90">
    <w:pPr>
      <w:tabs>
        <w:tab w:val="center" w:pos="4680"/>
      </w:tabs>
    </w:pPr>
    <w:r>
      <w:tab/>
      <w:t xml:space="preserve">- </w:t>
    </w:r>
    <w:r>
      <w:fldChar w:fldCharType="begin"/>
    </w:r>
    <w:r>
      <w:instrText xml:space="preserve"> PAGE   \* MERGEFORMAT </w:instrText>
    </w:r>
    <w:r>
      <w:fldChar w:fldCharType="separate"/>
    </w:r>
    <w:r w:rsidR="00C9268A">
      <w:rPr>
        <w:noProof/>
      </w:rPr>
      <w:t>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FF39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394B" w:rsidRDefault="00FF39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394B" w:rsidRDefault="00FF394B">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94B" w:rsidRDefault="00FF394B" w:rsidP="00A87207">
      <w:r>
        <w:separator/>
      </w:r>
    </w:p>
  </w:footnote>
  <w:footnote w:type="continuationSeparator" w:id="0">
    <w:p w:rsidR="00FF394B" w:rsidRDefault="00FF394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F394B" w:rsidRPr="0044776A" w:rsidTr="00245129">
      <w:tc>
        <w:tcPr>
          <w:tcW w:w="4290" w:type="dxa"/>
          <w:tcMar>
            <w:left w:w="0" w:type="dxa"/>
            <w:right w:w="0" w:type="dxa"/>
          </w:tcMar>
        </w:tcPr>
        <w:p w:rsidR="00FF394B" w:rsidRPr="00D31809" w:rsidRDefault="00FF394B" w:rsidP="00D31809">
          <w:pPr>
            <w:keepNext/>
            <w:keepLines/>
            <w:rPr>
              <w:sz w:val="20"/>
              <w:szCs w:val="20"/>
              <w:lang w:val="en-US"/>
            </w:rPr>
          </w:pPr>
          <w:r w:rsidRPr="00D31809">
            <w:rPr>
              <w:sz w:val="20"/>
              <w:szCs w:val="20"/>
              <w:lang w:val="en-US"/>
            </w:rPr>
            <w:t>Applications for leave to appeal filed</w:t>
          </w:r>
        </w:p>
        <w:p w:rsidR="00FF394B" w:rsidRPr="00D31809" w:rsidRDefault="00FF394B" w:rsidP="00D31809">
          <w:pPr>
            <w:keepNext/>
            <w:keepLines/>
            <w:rPr>
              <w:sz w:val="20"/>
              <w:szCs w:val="20"/>
            </w:rPr>
          </w:pPr>
        </w:p>
      </w:tc>
      <w:tc>
        <w:tcPr>
          <w:tcW w:w="1200" w:type="dxa"/>
          <w:tcMar>
            <w:left w:w="0" w:type="dxa"/>
            <w:right w:w="0" w:type="dxa"/>
          </w:tcMar>
        </w:tcPr>
        <w:p w:rsidR="00FF394B" w:rsidRPr="00D31809" w:rsidRDefault="00FF394B" w:rsidP="002E2327">
          <w:pPr>
            <w:keepNext/>
            <w:keepLines/>
            <w:tabs>
              <w:tab w:val="left" w:pos="-1440"/>
              <w:tab w:val="left" w:pos="-720"/>
            </w:tabs>
            <w:jc w:val="center"/>
            <w:rPr>
              <w:sz w:val="20"/>
              <w:szCs w:val="20"/>
            </w:rPr>
          </w:pPr>
        </w:p>
      </w:tc>
      <w:tc>
        <w:tcPr>
          <w:tcW w:w="4320" w:type="dxa"/>
          <w:tcMar>
            <w:left w:w="0" w:type="dxa"/>
            <w:right w:w="0" w:type="dxa"/>
          </w:tcMar>
        </w:tcPr>
        <w:p w:rsidR="00FF394B" w:rsidRPr="00D31809" w:rsidRDefault="00FF394B" w:rsidP="002E2327">
          <w:pPr>
            <w:keepLines/>
            <w:rPr>
              <w:sz w:val="20"/>
              <w:szCs w:val="20"/>
              <w:lang w:val="fr-CA"/>
            </w:rPr>
          </w:pPr>
          <w:r w:rsidRPr="00D31809">
            <w:rPr>
              <w:sz w:val="20"/>
              <w:szCs w:val="20"/>
              <w:lang w:val="fr-CA"/>
            </w:rPr>
            <w:t>Demandes d’autorisation d’appel déposées</w:t>
          </w:r>
        </w:p>
      </w:tc>
    </w:tr>
  </w:tbl>
  <w:p w:rsidR="00FF394B" w:rsidRDefault="00FF39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F394B" w:rsidRPr="00782AE4" w:rsidTr="00245129">
      <w:tc>
        <w:tcPr>
          <w:tcW w:w="4230" w:type="dxa"/>
          <w:tcMar>
            <w:left w:w="0" w:type="dxa"/>
            <w:right w:w="0" w:type="dxa"/>
          </w:tcMar>
        </w:tcPr>
        <w:p w:rsidR="00FF394B" w:rsidRPr="00782AE4" w:rsidRDefault="00FF394B" w:rsidP="00102926">
          <w:pPr>
            <w:keepNext/>
            <w:keepLines/>
            <w:tabs>
              <w:tab w:val="left" w:pos="-1440"/>
              <w:tab w:val="left" w:pos="-720"/>
            </w:tabs>
            <w:rPr>
              <w:sz w:val="20"/>
              <w:szCs w:val="20"/>
            </w:rPr>
          </w:pPr>
          <w:r w:rsidRPr="00782AE4">
            <w:rPr>
              <w:sz w:val="20"/>
              <w:szCs w:val="20"/>
            </w:rPr>
            <w:t xml:space="preserve">HEADNOTES OF RECENT </w:t>
          </w:r>
        </w:p>
        <w:p w:rsidR="00FF394B" w:rsidRPr="00782AE4" w:rsidRDefault="00FF39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F394B" w:rsidRDefault="00FF394B" w:rsidP="00102926">
          <w:pPr>
            <w:keepNext/>
            <w:keepLines/>
            <w:tabs>
              <w:tab w:val="left" w:pos="-1440"/>
              <w:tab w:val="left" w:pos="-720"/>
            </w:tabs>
            <w:jc w:val="center"/>
            <w:rPr>
              <w:sz w:val="20"/>
              <w:szCs w:val="20"/>
            </w:rPr>
          </w:pPr>
        </w:p>
        <w:p w:rsidR="00FF394B" w:rsidRDefault="00FF394B" w:rsidP="00102926">
          <w:pPr>
            <w:keepNext/>
            <w:keepLines/>
            <w:tabs>
              <w:tab w:val="left" w:pos="-1440"/>
              <w:tab w:val="left" w:pos="-720"/>
            </w:tabs>
            <w:jc w:val="center"/>
            <w:rPr>
              <w:sz w:val="20"/>
              <w:szCs w:val="20"/>
            </w:rPr>
          </w:pPr>
        </w:p>
        <w:p w:rsidR="00FF394B" w:rsidRPr="00782AE4" w:rsidRDefault="00FF394B" w:rsidP="00102926">
          <w:pPr>
            <w:keepNext/>
            <w:keepLines/>
            <w:tabs>
              <w:tab w:val="left" w:pos="-1440"/>
              <w:tab w:val="left" w:pos="-720"/>
            </w:tabs>
            <w:jc w:val="center"/>
            <w:rPr>
              <w:sz w:val="20"/>
              <w:szCs w:val="20"/>
            </w:rPr>
          </w:pPr>
        </w:p>
      </w:tc>
      <w:tc>
        <w:tcPr>
          <w:tcW w:w="4080" w:type="dxa"/>
          <w:tcMar>
            <w:left w:w="0" w:type="dxa"/>
            <w:right w:w="0" w:type="dxa"/>
          </w:tcMar>
        </w:tcPr>
        <w:p w:rsidR="00FF394B" w:rsidRPr="00102926" w:rsidRDefault="00FF39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F394B" w:rsidRPr="00782AE4" w:rsidRDefault="00FF394B" w:rsidP="00102926">
          <w:pPr>
            <w:keepLines/>
            <w:tabs>
              <w:tab w:val="left" w:pos="-1440"/>
              <w:tab w:val="left" w:pos="-720"/>
            </w:tabs>
            <w:rPr>
              <w:sz w:val="20"/>
              <w:szCs w:val="20"/>
            </w:rPr>
          </w:pPr>
          <w:r w:rsidRPr="00102926">
            <w:rPr>
              <w:sz w:val="20"/>
              <w:szCs w:val="20"/>
              <w:lang w:val="fr-CA"/>
            </w:rPr>
            <w:t>RÉCENTS</w:t>
          </w:r>
        </w:p>
      </w:tc>
    </w:tr>
  </w:tbl>
  <w:p w:rsidR="00FF394B" w:rsidRDefault="00FF394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FF394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F394B">
      <w:tc>
        <w:tcPr>
          <w:tcW w:w="4200" w:type="dxa"/>
          <w:tcMar>
            <w:left w:w="0" w:type="dxa"/>
            <w:right w:w="0" w:type="dxa"/>
          </w:tcMar>
        </w:tcPr>
        <w:p w:rsidR="00FF394B" w:rsidRDefault="00FF394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FF394B" w:rsidRDefault="00FF394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FF394B" w:rsidRDefault="00FF394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FF394B" w:rsidRDefault="00FF394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FF394B" w:rsidRDefault="00FF394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FF394B" w:rsidRDefault="00FF394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394B" w:rsidRPr="00C9268A" w:rsidTr="00245129">
      <w:tc>
        <w:tcPr>
          <w:tcW w:w="4200" w:type="dxa"/>
          <w:tcMar>
            <w:left w:w="0" w:type="dxa"/>
            <w:right w:w="0" w:type="dxa"/>
          </w:tcMar>
        </w:tcPr>
        <w:p w:rsidR="00FF394B" w:rsidRPr="00102792" w:rsidRDefault="00FF394B" w:rsidP="00440C9E">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 xml:space="preserve">November and December </w:t>
          </w:r>
          <w:r w:rsidRPr="00102792">
            <w:rPr>
              <w:szCs w:val="24"/>
            </w:rPr>
            <w:t>20</w:t>
          </w:r>
          <w:r>
            <w:rPr>
              <w:szCs w:val="24"/>
            </w:rPr>
            <w:t>22</w:t>
          </w:r>
        </w:p>
      </w:tc>
      <w:tc>
        <w:tcPr>
          <w:tcW w:w="1200" w:type="dxa"/>
          <w:tcMar>
            <w:left w:w="0" w:type="dxa"/>
            <w:right w:w="0" w:type="dxa"/>
          </w:tcMar>
        </w:tcPr>
        <w:p w:rsidR="00FF394B" w:rsidRDefault="00FF394B" w:rsidP="00102792">
          <w:pPr>
            <w:keepNext/>
            <w:keepLines/>
            <w:jc w:val="center"/>
            <w:rPr>
              <w:szCs w:val="24"/>
            </w:rPr>
          </w:pPr>
        </w:p>
        <w:p w:rsidR="00FF394B" w:rsidRPr="00102792" w:rsidRDefault="00FF394B" w:rsidP="00102792">
          <w:pPr>
            <w:keepNext/>
            <w:keepLines/>
            <w:jc w:val="center"/>
            <w:rPr>
              <w:szCs w:val="24"/>
            </w:rPr>
          </w:pPr>
        </w:p>
        <w:p w:rsidR="00FF394B" w:rsidRPr="00102792" w:rsidRDefault="00FF394B" w:rsidP="00102792">
          <w:pPr>
            <w:keepNext/>
            <w:keepLines/>
            <w:jc w:val="center"/>
            <w:rPr>
              <w:szCs w:val="24"/>
            </w:rPr>
          </w:pPr>
        </w:p>
      </w:tc>
      <w:tc>
        <w:tcPr>
          <w:tcW w:w="4080" w:type="dxa"/>
          <w:tcMar>
            <w:left w:w="0" w:type="dxa"/>
            <w:right w:w="0" w:type="dxa"/>
          </w:tcMar>
        </w:tcPr>
        <w:p w:rsidR="00FF394B" w:rsidRPr="00102792" w:rsidRDefault="00FF394B" w:rsidP="00440C9E">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 xml:space="preserve">e novembre et décembre </w:t>
          </w:r>
          <w:r w:rsidRPr="00102792">
            <w:rPr>
              <w:szCs w:val="24"/>
              <w:lang w:val="fr-CA"/>
            </w:rPr>
            <w:t>20</w:t>
          </w:r>
          <w:r>
            <w:rPr>
              <w:szCs w:val="24"/>
              <w:lang w:val="fr-CA"/>
            </w:rPr>
            <w:t>22</w:t>
          </w:r>
        </w:p>
      </w:tc>
    </w:tr>
  </w:tbl>
  <w:p w:rsidR="00FF394B" w:rsidRPr="00567602" w:rsidRDefault="00FF394B"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FF394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FF3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FF3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F394B" w:rsidRPr="00C9268A">
      <w:tc>
        <w:tcPr>
          <w:tcW w:w="4200" w:type="dxa"/>
          <w:tcMar>
            <w:left w:w="0" w:type="dxa"/>
            <w:right w:w="0" w:type="dxa"/>
          </w:tcMar>
        </w:tcPr>
        <w:p w:rsidR="00FF394B" w:rsidRDefault="00FF39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F394B" w:rsidRDefault="00FF39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F394B" w:rsidRDefault="00FF39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394B" w:rsidRPr="00FF6BA5" w:rsidRDefault="00FF39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F394B" w:rsidRPr="00FF6BA5" w:rsidRDefault="00FF39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F394B" w:rsidRPr="00FF6BA5" w:rsidRDefault="00FF39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F394B" w:rsidRPr="00FF6BA5" w:rsidRDefault="00FF39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394B" w:rsidRPr="00C9268A" w:rsidTr="00245129">
      <w:tc>
        <w:tcPr>
          <w:tcW w:w="4200" w:type="dxa"/>
          <w:tcMar>
            <w:left w:w="0" w:type="dxa"/>
            <w:right w:w="0" w:type="dxa"/>
          </w:tcMar>
        </w:tcPr>
        <w:p w:rsidR="00FF394B" w:rsidRPr="00634F42" w:rsidRDefault="00FF394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FF394B" w:rsidRPr="00755F22" w:rsidRDefault="00FF394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F394B" w:rsidRPr="00755F22" w:rsidRDefault="00FF394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F394B" w:rsidRPr="00755F22" w:rsidRDefault="00FF39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FF394B" w:rsidRPr="00FF6BA5" w:rsidRDefault="00FF394B"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FF39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F394B" w:rsidRPr="00C9268A">
      <w:tc>
        <w:tcPr>
          <w:tcW w:w="4200" w:type="dxa"/>
          <w:tcMar>
            <w:left w:w="0" w:type="dxa"/>
            <w:right w:w="0" w:type="dxa"/>
          </w:tcMar>
        </w:tcPr>
        <w:p w:rsidR="00FF394B" w:rsidRDefault="00FF39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F394B" w:rsidRDefault="00FF39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394B" w:rsidRPr="00B01A03" w:rsidRDefault="00FF39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F394B" w:rsidRPr="00B01A03" w:rsidRDefault="00FF39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F394B" w:rsidRPr="00B01A03" w:rsidRDefault="00FF39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F394B" w:rsidRPr="00C9268A" w:rsidTr="00245129">
      <w:tc>
        <w:tcPr>
          <w:tcW w:w="4200" w:type="dxa"/>
          <w:tcMar>
            <w:left w:w="0" w:type="dxa"/>
            <w:right w:w="0" w:type="dxa"/>
          </w:tcMar>
        </w:tcPr>
        <w:p w:rsidR="00FF394B" w:rsidRPr="00F40249" w:rsidRDefault="00FF394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F394B" w:rsidRDefault="00FF394B" w:rsidP="00102926">
          <w:pPr>
            <w:keepNext/>
            <w:keepLines/>
            <w:tabs>
              <w:tab w:val="left" w:pos="-1440"/>
              <w:tab w:val="left" w:pos="-720"/>
            </w:tabs>
            <w:jc w:val="center"/>
            <w:rPr>
              <w:sz w:val="20"/>
              <w:szCs w:val="20"/>
            </w:rPr>
          </w:pPr>
        </w:p>
        <w:p w:rsidR="00FF394B" w:rsidRDefault="00FF394B" w:rsidP="00102926">
          <w:pPr>
            <w:keepNext/>
            <w:keepLines/>
            <w:tabs>
              <w:tab w:val="left" w:pos="-1440"/>
              <w:tab w:val="left" w:pos="-720"/>
            </w:tabs>
            <w:jc w:val="center"/>
            <w:rPr>
              <w:sz w:val="20"/>
              <w:szCs w:val="20"/>
            </w:rPr>
          </w:pPr>
        </w:p>
        <w:p w:rsidR="00FF394B" w:rsidRPr="00F40249" w:rsidRDefault="00FF394B" w:rsidP="00102926">
          <w:pPr>
            <w:keepNext/>
            <w:keepLines/>
            <w:tabs>
              <w:tab w:val="left" w:pos="-1440"/>
              <w:tab w:val="left" w:pos="-720"/>
            </w:tabs>
            <w:jc w:val="center"/>
            <w:rPr>
              <w:sz w:val="20"/>
              <w:szCs w:val="20"/>
            </w:rPr>
          </w:pPr>
        </w:p>
      </w:tc>
      <w:tc>
        <w:tcPr>
          <w:tcW w:w="4230" w:type="dxa"/>
          <w:tcMar>
            <w:left w:w="0" w:type="dxa"/>
            <w:right w:w="0" w:type="dxa"/>
          </w:tcMar>
        </w:tcPr>
        <w:p w:rsidR="00FF394B" w:rsidRPr="00F40249" w:rsidRDefault="00FF394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F394B" w:rsidRPr="00B01A03" w:rsidRDefault="00FF394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B" w:rsidRDefault="00FF394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F394B">
      <w:tc>
        <w:tcPr>
          <w:tcW w:w="4230" w:type="dxa"/>
          <w:tcMar>
            <w:left w:w="0" w:type="dxa"/>
            <w:right w:w="0" w:type="dxa"/>
          </w:tcMar>
        </w:tcPr>
        <w:p w:rsidR="00FF394B" w:rsidRDefault="00FF39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F394B" w:rsidRDefault="00FF39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F394B" w:rsidRDefault="00FF39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F394B" w:rsidRDefault="00FF39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394B" w:rsidRDefault="00FF39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F394B" w:rsidRDefault="00FF39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F394B" w:rsidRDefault="00FF39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F394B" w:rsidRDefault="00FF39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307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33"/>
    <w:rsid w:val="00002704"/>
    <w:rsid w:val="00020DC3"/>
    <w:rsid w:val="0003223B"/>
    <w:rsid w:val="000327B2"/>
    <w:rsid w:val="00033A57"/>
    <w:rsid w:val="0004528B"/>
    <w:rsid w:val="00045DE3"/>
    <w:rsid w:val="00064FBA"/>
    <w:rsid w:val="0009129A"/>
    <w:rsid w:val="00091BA6"/>
    <w:rsid w:val="00091FA6"/>
    <w:rsid w:val="0009686C"/>
    <w:rsid w:val="00096BD9"/>
    <w:rsid w:val="000B3C9A"/>
    <w:rsid w:val="000B40A2"/>
    <w:rsid w:val="000B4624"/>
    <w:rsid w:val="000C0ACD"/>
    <w:rsid w:val="000C0D2A"/>
    <w:rsid w:val="000C1D9D"/>
    <w:rsid w:val="000C5CE8"/>
    <w:rsid w:val="000C6B1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96078"/>
    <w:rsid w:val="001B157C"/>
    <w:rsid w:val="001B1994"/>
    <w:rsid w:val="001B4006"/>
    <w:rsid w:val="001B5C23"/>
    <w:rsid w:val="001C57C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0C7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64F54"/>
    <w:rsid w:val="00371F38"/>
    <w:rsid w:val="0037547E"/>
    <w:rsid w:val="00382C47"/>
    <w:rsid w:val="00384384"/>
    <w:rsid w:val="003866AE"/>
    <w:rsid w:val="00393AB2"/>
    <w:rsid w:val="003B3977"/>
    <w:rsid w:val="003C291C"/>
    <w:rsid w:val="003C4416"/>
    <w:rsid w:val="003D49B1"/>
    <w:rsid w:val="003E1D4C"/>
    <w:rsid w:val="003E4966"/>
    <w:rsid w:val="003E5F3E"/>
    <w:rsid w:val="003F414B"/>
    <w:rsid w:val="003F5133"/>
    <w:rsid w:val="00407C5D"/>
    <w:rsid w:val="0041245B"/>
    <w:rsid w:val="004137A0"/>
    <w:rsid w:val="00422D9A"/>
    <w:rsid w:val="004268D2"/>
    <w:rsid w:val="004317DE"/>
    <w:rsid w:val="00432989"/>
    <w:rsid w:val="004342A0"/>
    <w:rsid w:val="00440C9E"/>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748"/>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666D9"/>
    <w:rsid w:val="00675479"/>
    <w:rsid w:val="00680709"/>
    <w:rsid w:val="00681F61"/>
    <w:rsid w:val="00684F23"/>
    <w:rsid w:val="00691D1D"/>
    <w:rsid w:val="00693C38"/>
    <w:rsid w:val="00696BF9"/>
    <w:rsid w:val="00697C62"/>
    <w:rsid w:val="006A329B"/>
    <w:rsid w:val="006A7EB8"/>
    <w:rsid w:val="006B4C89"/>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03E8"/>
    <w:rsid w:val="00802863"/>
    <w:rsid w:val="008112A9"/>
    <w:rsid w:val="0081473A"/>
    <w:rsid w:val="00815B3C"/>
    <w:rsid w:val="0081610A"/>
    <w:rsid w:val="008277C4"/>
    <w:rsid w:val="0082783A"/>
    <w:rsid w:val="00831CA9"/>
    <w:rsid w:val="00836EEF"/>
    <w:rsid w:val="00842B6B"/>
    <w:rsid w:val="00844E40"/>
    <w:rsid w:val="00845C2A"/>
    <w:rsid w:val="00850E1F"/>
    <w:rsid w:val="0085476B"/>
    <w:rsid w:val="0086340B"/>
    <w:rsid w:val="00873743"/>
    <w:rsid w:val="00877592"/>
    <w:rsid w:val="008859F1"/>
    <w:rsid w:val="008902B1"/>
    <w:rsid w:val="00890FEB"/>
    <w:rsid w:val="00892497"/>
    <w:rsid w:val="00893449"/>
    <w:rsid w:val="00895C20"/>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778E5"/>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25CD1"/>
    <w:rsid w:val="00B40FD9"/>
    <w:rsid w:val="00B4618C"/>
    <w:rsid w:val="00B4740D"/>
    <w:rsid w:val="00B61629"/>
    <w:rsid w:val="00B635E0"/>
    <w:rsid w:val="00B67395"/>
    <w:rsid w:val="00B7374B"/>
    <w:rsid w:val="00B90DC0"/>
    <w:rsid w:val="00B918AA"/>
    <w:rsid w:val="00B91DFE"/>
    <w:rsid w:val="00BA116A"/>
    <w:rsid w:val="00BA5582"/>
    <w:rsid w:val="00BA6468"/>
    <w:rsid w:val="00BB15A8"/>
    <w:rsid w:val="00BB1D44"/>
    <w:rsid w:val="00BC67C6"/>
    <w:rsid w:val="00BC680C"/>
    <w:rsid w:val="00BD06DA"/>
    <w:rsid w:val="00BD264E"/>
    <w:rsid w:val="00BD4217"/>
    <w:rsid w:val="00BE34F7"/>
    <w:rsid w:val="00BE5B3E"/>
    <w:rsid w:val="00BF25F3"/>
    <w:rsid w:val="00BF3A9C"/>
    <w:rsid w:val="00C01FCB"/>
    <w:rsid w:val="00C1697B"/>
    <w:rsid w:val="00C21644"/>
    <w:rsid w:val="00C21CB5"/>
    <w:rsid w:val="00C23C61"/>
    <w:rsid w:val="00C257CD"/>
    <w:rsid w:val="00C27015"/>
    <w:rsid w:val="00C406CA"/>
    <w:rsid w:val="00C46159"/>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9268A"/>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97FC7"/>
    <w:rsid w:val="00DA1D48"/>
    <w:rsid w:val="00DA46F6"/>
    <w:rsid w:val="00DA756F"/>
    <w:rsid w:val="00DB15A3"/>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94E"/>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394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364F54"/>
    <w:pPr>
      <w:jc w:val="both"/>
    </w:pPr>
    <w:rPr>
      <w:rFonts w:eastAsia="Calibri" w:cs="Times New Roman"/>
      <w:smallCaps/>
    </w:rPr>
  </w:style>
  <w:style w:type="character" w:customStyle="1" w:styleId="SCCBanSummaryChar">
    <w:name w:val="SCC.BanSummary Char"/>
    <w:link w:val="SCCBanSummary0"/>
    <w:rsid w:val="00364F54"/>
    <w:rPr>
      <w:rFonts w:eastAsia="Calibri" w:cs="Times New Roman"/>
      <w:smallCaps/>
      <w:lang w:val="en-CA"/>
    </w:rPr>
  </w:style>
  <w:style w:type="paragraph" w:styleId="NoSpacing">
    <w:name w:val="No Spacing"/>
    <w:uiPriority w:val="1"/>
    <w:qFormat/>
    <w:rsid w:val="00364F54"/>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364F54"/>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364F54"/>
    <w:rPr>
      <w:rFonts w:ascii="Tahoma" w:eastAsia="Times New Roman" w:hAnsi="Tahoma" w:cs="Tahoma"/>
      <w:sz w:val="16"/>
      <w:szCs w:val="16"/>
    </w:rPr>
  </w:style>
  <w:style w:type="paragraph" w:customStyle="1" w:styleId="Style268435469">
    <w:name w:val="Style268435469"/>
    <w:rsid w:val="00364F54"/>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364F54"/>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364F54"/>
    <w:rPr>
      <w:rFonts w:ascii="Consolas" w:eastAsia="Times New Roman" w:hAnsi="Consolas" w:cs="Times New Roman"/>
      <w:sz w:val="21"/>
      <w:szCs w:val="21"/>
    </w:rPr>
  </w:style>
  <w:style w:type="paragraph" w:customStyle="1" w:styleId="SCCSsoc">
    <w:name w:val="SCC.Ssoc"/>
    <w:basedOn w:val="Normal"/>
    <w:next w:val="Normal"/>
    <w:link w:val="SCCSsocChar0"/>
    <w:rsid w:val="00364F54"/>
    <w:rPr>
      <w:rFonts w:eastAsia="Calibri" w:cs="Times New Roman"/>
      <w:i/>
      <w:sz w:val="20"/>
      <w:szCs w:val="20"/>
    </w:rPr>
  </w:style>
  <w:style w:type="character" w:customStyle="1" w:styleId="SCCSsocChar0">
    <w:name w:val="SCC.Ssoc Char"/>
    <w:link w:val="SCCSsoc"/>
    <w:rsid w:val="00364F54"/>
    <w:rPr>
      <w:rFonts w:eastAsia="Calibri" w:cs="Times New Roman"/>
      <w:i/>
      <w:sz w:val="20"/>
      <w:szCs w:val="20"/>
      <w:lang w:val="en-CA"/>
    </w:rPr>
  </w:style>
  <w:style w:type="table" w:customStyle="1" w:styleId="TableGrid21">
    <w:name w:val="Table Grid21"/>
    <w:basedOn w:val="TableNormal"/>
    <w:next w:val="TableGrid"/>
    <w:uiPriority w:val="59"/>
    <w:rsid w:val="00364F54"/>
    <w:rPr>
      <w:rFonts w:eastAsia="Calibri" w:cs="Times New Roman"/>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64F54"/>
    <w:rPr>
      <w:rFonts w:eastAsia="Calibri" w:cs="Times New Roman"/>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64F54"/>
    <w:rPr>
      <w:sz w:val="16"/>
      <w:szCs w:val="16"/>
    </w:rPr>
  </w:style>
  <w:style w:type="paragraph" w:styleId="CommentText">
    <w:name w:val="annotation text"/>
    <w:basedOn w:val="Normal"/>
    <w:link w:val="CommentTextChar"/>
    <w:uiPriority w:val="99"/>
    <w:semiHidden/>
    <w:unhideWhenUsed/>
    <w:rsid w:val="00364F54"/>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364F5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F54"/>
    <w:rPr>
      <w:b/>
      <w:bCs/>
    </w:rPr>
  </w:style>
  <w:style w:type="character" w:customStyle="1" w:styleId="CommentSubjectChar">
    <w:name w:val="Comment Subject Char"/>
    <w:basedOn w:val="CommentTextChar"/>
    <w:link w:val="CommentSubject"/>
    <w:uiPriority w:val="99"/>
    <w:semiHidden/>
    <w:rsid w:val="00364F54"/>
    <w:rPr>
      <w:rFonts w:eastAsia="Times New Roman" w:cs="Times New Roman"/>
      <w:b/>
      <w:bCs/>
      <w:sz w:val="20"/>
      <w:szCs w:val="20"/>
    </w:rPr>
  </w:style>
  <w:style w:type="table" w:customStyle="1" w:styleId="TableGrid4">
    <w:name w:val="Table Grid4"/>
    <w:basedOn w:val="TableNormal"/>
    <w:next w:val="TableGrid"/>
    <w:uiPriority w:val="59"/>
    <w:rsid w:val="00364F54"/>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364F54"/>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364F54"/>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364F54"/>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364F54"/>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364F54"/>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364F54"/>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364F54"/>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paranotopmargin2">
    <w:name w:val="ss_paranotopmargin2"/>
    <w:basedOn w:val="Normal"/>
    <w:rsid w:val="00364F54"/>
    <w:pPr>
      <w:spacing w:after="100" w:afterAutospacing="1"/>
    </w:pPr>
    <w:rPr>
      <w:rFonts w:eastAsia="Times New Roman" w:cs="Times New Roman"/>
      <w:szCs w:val="24"/>
      <w:lang w:val="en-US"/>
    </w:rPr>
  </w:style>
  <w:style w:type="paragraph" w:customStyle="1" w:styleId="SCCLsocSubfileSeparator0">
    <w:name w:val="SCC.Lsoc.SubfileSeparator"/>
    <w:basedOn w:val="Normal"/>
    <w:next w:val="Normal"/>
    <w:link w:val="SCCLsocSubfileSeparatorChar"/>
    <w:rsid w:val="00364F54"/>
    <w:pPr>
      <w:jc w:val="both"/>
    </w:pPr>
    <w:rPr>
      <w:rFonts w:cs="Times New Roman"/>
      <w:b/>
      <w:szCs w:val="24"/>
    </w:rPr>
  </w:style>
  <w:style w:type="character" w:customStyle="1" w:styleId="SCCLsocSubfileSeparatorChar">
    <w:name w:val="SCC.Lsoc.SubfileSeparator Char"/>
    <w:basedOn w:val="DefaultParagraphFont"/>
    <w:link w:val="SCCLsocSubfileSeparator0"/>
    <w:rsid w:val="00364F54"/>
    <w:rPr>
      <w:rFonts w:cs="Times New Roman"/>
      <w:b/>
      <w:szCs w:val="24"/>
      <w:lang w:val="en-CA"/>
    </w:rPr>
  </w:style>
  <w:style w:type="paragraph" w:customStyle="1" w:styleId="SCCCaseDescriptor0">
    <w:name w:val="SCC.CaseDescriptor"/>
    <w:basedOn w:val="Normal"/>
    <w:link w:val="SCCCaseDescriptorChar"/>
    <w:qFormat/>
    <w:rsid w:val="00364F54"/>
    <w:rPr>
      <w:rFonts w:eastAsia="Times New Roman" w:cs="Times New Roman"/>
      <w:b/>
      <w:szCs w:val="20"/>
      <w:lang w:eastAsia="en-CA"/>
    </w:rPr>
  </w:style>
  <w:style w:type="character" w:customStyle="1" w:styleId="SCCCaseDescriptorChar">
    <w:name w:val="SCC.CaseDescriptor Char"/>
    <w:basedOn w:val="DefaultParagraphFont"/>
    <w:link w:val="SCCCaseDescriptor0"/>
    <w:rsid w:val="00364F54"/>
    <w:rPr>
      <w:rFonts w:eastAsia="Times New Roman" w:cs="Times New Roman"/>
      <w:b/>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p5jq" TargetMode="External"/><Relationship Id="rId26" Type="http://schemas.openxmlformats.org/officeDocument/2006/relationships/header" Target="header7.xml"/><Relationship Id="rId39" Type="http://schemas.openxmlformats.org/officeDocument/2006/relationships/header" Target="header11.xml"/><Relationship Id="rId21" Type="http://schemas.openxmlformats.org/officeDocument/2006/relationships/footer" Target="footer3.xml"/><Relationship Id="rId34" Type="http://schemas.openxmlformats.org/officeDocument/2006/relationships/hyperlink" Target="https://decisions.scc-csc.ca/scc-csc/scc-csc/fr/item/19554/index.do" TargetMode="External"/><Relationship Id="rId42" Type="http://schemas.openxmlformats.org/officeDocument/2006/relationships/hyperlink" Target="https://www.scc-csc.ca/case-dossier/info/sum-som-eng.aspx?cas=40090" TargetMode="External"/><Relationship Id="rId47" Type="http://schemas.openxmlformats.org/officeDocument/2006/relationships/hyperlink" Target="https://www.scc-csc.ca/case-dossier/info/sum-som-fra.aspx?cas=40061" TargetMode="External"/><Relationship Id="rId50" Type="http://schemas.openxmlformats.org/officeDocument/2006/relationships/footer" Target="footer12.xml"/><Relationship Id="rId55"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anlii.ca/t/jfxkz" TargetMode="External"/><Relationship Id="rId25" Type="http://schemas.openxmlformats.org/officeDocument/2006/relationships/header" Target="header6.xml"/><Relationship Id="rId33" Type="http://schemas.openxmlformats.org/officeDocument/2006/relationships/hyperlink" Target="https://decisions.scc-csc.ca/scc-csc/scc-csc/en/item/19554/index.do" TargetMode="External"/><Relationship Id="rId38" Type="http://schemas.openxmlformats.org/officeDocument/2006/relationships/footer" Target="footer10.xml"/><Relationship Id="rId46" Type="http://schemas.openxmlformats.org/officeDocument/2006/relationships/hyperlink" Target="https://www.scc-csc.ca/case-dossier/info/sum-som-fra.aspx?cas=40072" TargetMode="External"/><Relationship Id="rId2" Type="http://schemas.openxmlformats.org/officeDocument/2006/relationships/numbering" Target="numbering.xml"/><Relationship Id="rId16" Type="http://schemas.openxmlformats.org/officeDocument/2006/relationships/hyperlink" Target="https://canlii.ca/t/jp5jq" TargetMode="Externa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hyperlink" Target="https://www.scc-csc.ca/case-dossier/info/sum-som-eng.aspx?cas=39855" TargetMode="Externa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s://decisions.scc-csc.ca/scc-csc/scc-csc/fr/item/19552/index.do" TargetMode="Externa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hyperlink" Target="https://www.scc-csc.ca/case-dossier/info/sum-som-eng.aspx?cas=39884" TargetMode="External"/><Relationship Id="rId53"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s://canlii.ca/t/jfxkz" TargetMode="Externa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10.xml"/><Relationship Id="rId49" Type="http://schemas.openxmlformats.org/officeDocument/2006/relationships/header" Target="header13.xml"/><Relationship Id="rId57" Type="http://schemas.openxmlformats.org/officeDocument/2006/relationships/theme" Target="theme/theme1.xml"/><Relationship Id="rId10" Type="http://schemas.openxmlformats.org/officeDocument/2006/relationships/hyperlink" Target="https://www.scc-csc.ca" TargetMode="External"/><Relationship Id="rId19" Type="http://schemas.openxmlformats.org/officeDocument/2006/relationships/header" Target="header3.xml"/><Relationship Id="rId31" Type="http://schemas.openxmlformats.org/officeDocument/2006/relationships/hyperlink" Target="https://decisions.scc-csc.ca/scc-csc/scc-csc/en/item/19552/index.do" TargetMode="External"/><Relationship Id="rId44" Type="http://schemas.openxmlformats.org/officeDocument/2006/relationships/hyperlink" Target="https://www.scc-csc.ca/case-dossier/info/sum-som-eng.aspx?cas=40038" TargetMode="Externa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9.xml"/><Relationship Id="rId43" Type="http://schemas.openxmlformats.org/officeDocument/2006/relationships/hyperlink" Target="https://www.scc-csc.ca/case-dossier/info/sum-som-eng.aspx?cas=40039" TargetMode="External"/><Relationship Id="rId48" Type="http://schemas.openxmlformats.org/officeDocument/2006/relationships/header" Target="header12.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3.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7066E-B729-4CBD-8BD2-232333A9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20</Pages>
  <Words>7754</Words>
  <Characters>44202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2022-10-24T17:51:00Z</dcterms:created>
  <dcterms:modified xsi:type="dcterms:W3CDTF">2022-11-18T18:19:00Z</dcterms:modified>
</cp:coreProperties>
</file>