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DD7C7F" w:rsidTr="00F138C1">
        <w:tc>
          <w:tcPr>
            <w:tcW w:w="9648" w:type="dxa"/>
            <w:gridSpan w:val="3"/>
          </w:tcPr>
          <w:p w:rsidR="008C2D9E" w:rsidRPr="00DD7C7F" w:rsidRDefault="008C2D9E" w:rsidP="00F138C1">
            <w:pPr>
              <w:tabs>
                <w:tab w:val="left" w:pos="6075"/>
              </w:tabs>
              <w:jc w:val="center"/>
              <w:rPr>
                <w:b/>
                <w:sz w:val="32"/>
                <w:szCs w:val="32"/>
                <w:lang w:val="fr-CA"/>
              </w:rPr>
            </w:pPr>
            <w:r w:rsidRPr="00DD7C7F">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DD7C7F" w:rsidRDefault="008C2D9E" w:rsidP="00F138C1">
            <w:pPr>
              <w:tabs>
                <w:tab w:val="left" w:pos="6075"/>
              </w:tabs>
              <w:jc w:val="center"/>
              <w:rPr>
                <w:b/>
                <w:sz w:val="32"/>
                <w:szCs w:val="32"/>
                <w:lang w:val="fr-CA"/>
              </w:rPr>
            </w:pPr>
          </w:p>
        </w:tc>
      </w:tr>
      <w:tr w:rsidR="00F138C1" w:rsidRPr="00DD7C7F" w:rsidTr="00F138C1">
        <w:tc>
          <w:tcPr>
            <w:tcW w:w="4599" w:type="dxa"/>
            <w:tcMar>
              <w:top w:w="284" w:type="dxa"/>
            </w:tcMar>
          </w:tcPr>
          <w:p w:rsidR="00F138C1" w:rsidRPr="00DD7C7F" w:rsidRDefault="00F138C1" w:rsidP="00F138C1">
            <w:pPr>
              <w:tabs>
                <w:tab w:val="left" w:pos="6075"/>
              </w:tabs>
              <w:jc w:val="center"/>
              <w:rPr>
                <w:b/>
                <w:sz w:val="32"/>
                <w:szCs w:val="32"/>
              </w:rPr>
            </w:pPr>
            <w:r w:rsidRPr="00DD7C7F">
              <w:rPr>
                <w:b/>
                <w:sz w:val="32"/>
                <w:szCs w:val="32"/>
              </w:rPr>
              <w:t>SUPREME COURT OF CANADA</w:t>
            </w:r>
          </w:p>
        </w:tc>
        <w:tc>
          <w:tcPr>
            <w:tcW w:w="483" w:type="dxa"/>
          </w:tcPr>
          <w:p w:rsidR="00F138C1" w:rsidRPr="00DD7C7F" w:rsidRDefault="00F138C1" w:rsidP="00F138C1">
            <w:pPr>
              <w:tabs>
                <w:tab w:val="left" w:pos="6075"/>
              </w:tabs>
              <w:jc w:val="center"/>
              <w:rPr>
                <w:sz w:val="32"/>
                <w:szCs w:val="32"/>
              </w:rPr>
            </w:pPr>
          </w:p>
        </w:tc>
        <w:tc>
          <w:tcPr>
            <w:tcW w:w="4566" w:type="dxa"/>
            <w:tcMar>
              <w:top w:w="284" w:type="dxa"/>
            </w:tcMar>
          </w:tcPr>
          <w:p w:rsidR="00F138C1" w:rsidRPr="00DD7C7F" w:rsidRDefault="00F138C1" w:rsidP="00F138C1">
            <w:pPr>
              <w:tabs>
                <w:tab w:val="left" w:pos="6075"/>
              </w:tabs>
              <w:jc w:val="center"/>
              <w:rPr>
                <w:b/>
                <w:sz w:val="32"/>
                <w:szCs w:val="32"/>
                <w:lang w:val="fr-CA"/>
              </w:rPr>
            </w:pPr>
            <w:r w:rsidRPr="00DD7C7F">
              <w:rPr>
                <w:b/>
                <w:sz w:val="32"/>
                <w:szCs w:val="32"/>
                <w:lang w:val="fr-CA"/>
              </w:rPr>
              <w:t>COUR SUPRÊME DU CANADA</w:t>
            </w:r>
          </w:p>
        </w:tc>
      </w:tr>
      <w:tr w:rsidR="00F138C1" w:rsidRPr="00DD7C7F" w:rsidTr="00F138C1">
        <w:tc>
          <w:tcPr>
            <w:tcW w:w="4599" w:type="dxa"/>
            <w:tcMar>
              <w:top w:w="567" w:type="dxa"/>
            </w:tcMar>
          </w:tcPr>
          <w:p w:rsidR="00F138C1" w:rsidRPr="00DD7C7F" w:rsidRDefault="00F138C1" w:rsidP="00F138C1">
            <w:pPr>
              <w:tabs>
                <w:tab w:val="left" w:pos="6075"/>
              </w:tabs>
              <w:jc w:val="center"/>
              <w:rPr>
                <w:sz w:val="28"/>
                <w:szCs w:val="28"/>
              </w:rPr>
            </w:pPr>
            <w:r w:rsidRPr="00DD7C7F">
              <w:rPr>
                <w:sz w:val="28"/>
                <w:szCs w:val="28"/>
              </w:rPr>
              <w:t>BULLETIN OF</w:t>
            </w:r>
            <w:r w:rsidRPr="00DD7C7F">
              <w:rPr>
                <w:sz w:val="28"/>
                <w:szCs w:val="28"/>
              </w:rPr>
              <w:br/>
              <w:t xml:space="preserve"> PROCEEDINGS</w:t>
            </w:r>
          </w:p>
        </w:tc>
        <w:tc>
          <w:tcPr>
            <w:tcW w:w="483" w:type="dxa"/>
          </w:tcPr>
          <w:p w:rsidR="00F138C1" w:rsidRPr="00DD7C7F" w:rsidRDefault="00F138C1" w:rsidP="00F138C1">
            <w:pPr>
              <w:tabs>
                <w:tab w:val="left" w:pos="6075"/>
              </w:tabs>
            </w:pPr>
          </w:p>
        </w:tc>
        <w:tc>
          <w:tcPr>
            <w:tcW w:w="4566" w:type="dxa"/>
            <w:tcMar>
              <w:top w:w="567" w:type="dxa"/>
            </w:tcMar>
          </w:tcPr>
          <w:p w:rsidR="00F138C1" w:rsidRPr="00DD7C7F" w:rsidRDefault="00F138C1" w:rsidP="00F138C1">
            <w:pPr>
              <w:tabs>
                <w:tab w:val="left" w:pos="6075"/>
              </w:tabs>
              <w:jc w:val="center"/>
              <w:rPr>
                <w:sz w:val="28"/>
                <w:szCs w:val="28"/>
                <w:lang w:val="fr-CA"/>
              </w:rPr>
            </w:pPr>
            <w:r w:rsidRPr="00DD7C7F">
              <w:rPr>
                <w:sz w:val="28"/>
                <w:szCs w:val="28"/>
                <w:lang w:val="fr-CA"/>
              </w:rPr>
              <w:t>BULLETIN DES</w:t>
            </w:r>
            <w:r w:rsidRPr="00DD7C7F">
              <w:rPr>
                <w:sz w:val="28"/>
                <w:szCs w:val="28"/>
                <w:lang w:val="fr-CA"/>
              </w:rPr>
              <w:br/>
              <w:t xml:space="preserve"> PROCÉDURES</w:t>
            </w:r>
          </w:p>
        </w:tc>
      </w:tr>
      <w:tr w:rsidR="00F138C1" w:rsidRPr="00512056" w:rsidTr="00F138C1">
        <w:tc>
          <w:tcPr>
            <w:tcW w:w="4599" w:type="dxa"/>
            <w:tcMar>
              <w:top w:w="567" w:type="dxa"/>
            </w:tcMar>
          </w:tcPr>
          <w:p w:rsidR="00F138C1" w:rsidRPr="00DD7C7F" w:rsidRDefault="00F138C1" w:rsidP="00F138C1">
            <w:pPr>
              <w:tabs>
                <w:tab w:val="left" w:pos="6075"/>
              </w:tabs>
              <w:jc w:val="both"/>
              <w:rPr>
                <w:rFonts w:ascii="Arial" w:hAnsi="Arial" w:cs="Arial"/>
                <w:i/>
                <w:sz w:val="20"/>
                <w:szCs w:val="20"/>
              </w:rPr>
            </w:pPr>
            <w:r w:rsidRPr="00DD7C7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DD7C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7C7F" w:rsidRDefault="00F138C1" w:rsidP="00F138C1">
            <w:pPr>
              <w:tabs>
                <w:tab w:val="left" w:pos="6075"/>
              </w:tabs>
              <w:jc w:val="both"/>
              <w:rPr>
                <w:rFonts w:ascii="Arial" w:hAnsi="Arial" w:cs="Arial"/>
                <w:i/>
                <w:sz w:val="20"/>
                <w:szCs w:val="20"/>
                <w:lang w:val="fr-CA"/>
              </w:rPr>
            </w:pPr>
            <w:r w:rsidRPr="00DD7C7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12056" w:rsidTr="00F138C1">
        <w:tc>
          <w:tcPr>
            <w:tcW w:w="4599" w:type="dxa"/>
            <w:tcMar>
              <w:top w:w="567" w:type="dxa"/>
            </w:tcMar>
          </w:tcPr>
          <w:p w:rsidR="00F138C1" w:rsidRPr="00DD7C7F" w:rsidRDefault="00F138C1" w:rsidP="00F138C1">
            <w:pPr>
              <w:tabs>
                <w:tab w:val="left" w:pos="6075"/>
              </w:tabs>
              <w:jc w:val="both"/>
              <w:rPr>
                <w:rFonts w:ascii="Arial" w:hAnsi="Arial" w:cs="Arial"/>
                <w:i/>
                <w:sz w:val="20"/>
                <w:szCs w:val="20"/>
              </w:rPr>
            </w:pPr>
            <w:r w:rsidRPr="00DD7C7F">
              <w:rPr>
                <w:rFonts w:ascii="Arial" w:hAnsi="Arial" w:cs="Arial"/>
                <w:i/>
                <w:sz w:val="20"/>
                <w:szCs w:val="20"/>
              </w:rPr>
              <w:t>During Court sessions, the Bulletin is usually issued weekly.</w:t>
            </w:r>
          </w:p>
        </w:tc>
        <w:tc>
          <w:tcPr>
            <w:tcW w:w="483" w:type="dxa"/>
          </w:tcPr>
          <w:p w:rsidR="00F138C1" w:rsidRPr="00DD7C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7C7F" w:rsidRDefault="00F138C1" w:rsidP="00F138C1">
            <w:pPr>
              <w:tabs>
                <w:tab w:val="left" w:pos="6075"/>
              </w:tabs>
              <w:jc w:val="both"/>
              <w:rPr>
                <w:rFonts w:ascii="Arial" w:hAnsi="Arial" w:cs="Arial"/>
                <w:i/>
                <w:sz w:val="20"/>
                <w:szCs w:val="20"/>
                <w:lang w:val="fr-CA"/>
              </w:rPr>
            </w:pPr>
            <w:r w:rsidRPr="00DD7C7F">
              <w:rPr>
                <w:rFonts w:ascii="Arial" w:hAnsi="Arial" w:cs="Arial"/>
                <w:i/>
                <w:sz w:val="20"/>
                <w:szCs w:val="20"/>
                <w:lang w:val="fr-CA"/>
              </w:rPr>
              <w:t>Le Bulletin paraît en principe toutes les semaines pendant les sessions de la Cour.</w:t>
            </w:r>
          </w:p>
        </w:tc>
      </w:tr>
      <w:tr w:rsidR="00F138C1" w:rsidRPr="00512056" w:rsidTr="00F138C1">
        <w:tc>
          <w:tcPr>
            <w:tcW w:w="4599" w:type="dxa"/>
            <w:tcMar>
              <w:top w:w="567" w:type="dxa"/>
            </w:tcMar>
          </w:tcPr>
          <w:p w:rsidR="00F138C1" w:rsidRPr="00DD7C7F" w:rsidRDefault="00F138C1" w:rsidP="00F138C1">
            <w:pPr>
              <w:tabs>
                <w:tab w:val="left" w:pos="6075"/>
              </w:tabs>
              <w:jc w:val="both"/>
              <w:rPr>
                <w:rFonts w:ascii="Arial" w:hAnsi="Arial" w:cs="Arial"/>
                <w:i/>
                <w:sz w:val="20"/>
                <w:szCs w:val="20"/>
              </w:rPr>
            </w:pPr>
            <w:r w:rsidRPr="00DD7C7F">
              <w:rPr>
                <w:rFonts w:ascii="Arial" w:hAnsi="Arial" w:cs="Arial"/>
                <w:i/>
                <w:sz w:val="20"/>
                <w:szCs w:val="20"/>
              </w:rPr>
              <w:fldChar w:fldCharType="begin"/>
            </w:r>
            <w:r w:rsidRPr="00DD7C7F">
              <w:rPr>
                <w:rFonts w:ascii="Arial" w:hAnsi="Arial" w:cs="Arial"/>
                <w:i/>
                <w:sz w:val="20"/>
                <w:szCs w:val="20"/>
              </w:rPr>
              <w:instrText xml:space="preserve"> SEQ CHAPTER \h \r 1</w:instrText>
            </w:r>
            <w:r w:rsidRPr="00DD7C7F">
              <w:rPr>
                <w:rFonts w:ascii="Arial" w:hAnsi="Arial" w:cs="Arial"/>
                <w:i/>
                <w:sz w:val="20"/>
                <w:szCs w:val="20"/>
              </w:rPr>
              <w:fldChar w:fldCharType="end"/>
            </w:r>
            <w:r w:rsidRPr="00DD7C7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DD7C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7C7F" w:rsidRDefault="00F138C1" w:rsidP="00F138C1">
            <w:pPr>
              <w:tabs>
                <w:tab w:val="left" w:pos="6075"/>
              </w:tabs>
              <w:jc w:val="both"/>
              <w:rPr>
                <w:rFonts w:ascii="Arial" w:hAnsi="Arial" w:cs="Arial"/>
                <w:i/>
                <w:sz w:val="20"/>
                <w:szCs w:val="20"/>
                <w:lang w:val="fr-CA"/>
              </w:rPr>
            </w:pPr>
            <w:r w:rsidRPr="00DD7C7F">
              <w:rPr>
                <w:rFonts w:ascii="Arial" w:hAnsi="Arial" w:cs="Arial"/>
                <w:i/>
                <w:sz w:val="20"/>
                <w:szCs w:val="20"/>
                <w:lang w:val="fr-CA"/>
              </w:rPr>
              <w:fldChar w:fldCharType="begin"/>
            </w:r>
            <w:r w:rsidRPr="00DD7C7F">
              <w:rPr>
                <w:rFonts w:ascii="Arial" w:hAnsi="Arial" w:cs="Arial"/>
                <w:i/>
                <w:sz w:val="20"/>
                <w:szCs w:val="20"/>
                <w:lang w:val="fr-CA"/>
              </w:rPr>
              <w:instrText xml:space="preserve"> SEQ CHAPTER \h \r 1</w:instrText>
            </w:r>
            <w:r w:rsidRPr="00DD7C7F">
              <w:rPr>
                <w:rFonts w:ascii="Arial" w:hAnsi="Arial" w:cs="Arial"/>
                <w:i/>
                <w:sz w:val="20"/>
                <w:szCs w:val="20"/>
                <w:lang w:val="fr-CA"/>
              </w:rPr>
              <w:fldChar w:fldCharType="end"/>
            </w:r>
            <w:r w:rsidRPr="00DD7C7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12056" w:rsidTr="00F138C1">
        <w:tc>
          <w:tcPr>
            <w:tcW w:w="4599" w:type="dxa"/>
            <w:tcMar>
              <w:top w:w="567" w:type="dxa"/>
            </w:tcMar>
          </w:tcPr>
          <w:p w:rsidR="00F138C1" w:rsidRPr="00DD7C7F" w:rsidRDefault="00F138C1" w:rsidP="00F138C1">
            <w:pPr>
              <w:tabs>
                <w:tab w:val="left" w:pos="6075"/>
              </w:tabs>
              <w:jc w:val="both"/>
              <w:rPr>
                <w:rFonts w:ascii="Arial" w:hAnsi="Arial" w:cs="Arial"/>
                <w:i/>
                <w:sz w:val="20"/>
                <w:szCs w:val="20"/>
              </w:rPr>
            </w:pPr>
            <w:r w:rsidRPr="00DD7C7F">
              <w:rPr>
                <w:rFonts w:ascii="Arial" w:hAnsi="Arial" w:cs="Arial"/>
                <w:i/>
                <w:sz w:val="20"/>
                <w:szCs w:val="20"/>
                <w:lang w:val="en-US"/>
              </w:rPr>
              <w:t>Please c</w:t>
            </w:r>
            <w:r w:rsidRPr="00DD7C7F">
              <w:rPr>
                <w:rFonts w:ascii="Arial" w:hAnsi="Arial" w:cs="Arial"/>
                <w:i/>
                <w:sz w:val="20"/>
                <w:szCs w:val="20"/>
              </w:rPr>
              <w:t xml:space="preserve">onsult the Supreme Court of Canada website at </w:t>
            </w:r>
            <w:hyperlink r:id="rId9" w:history="1">
              <w:r w:rsidRPr="00DD7C7F">
                <w:rPr>
                  <w:rStyle w:val="Hyperlink"/>
                  <w:rFonts w:ascii="Arial" w:hAnsi="Arial" w:cs="Arial"/>
                  <w:i/>
                  <w:sz w:val="20"/>
                  <w:szCs w:val="20"/>
                </w:rPr>
                <w:t>www.scc-csc.ca</w:t>
              </w:r>
            </w:hyperlink>
            <w:r w:rsidRPr="00DD7C7F">
              <w:rPr>
                <w:rFonts w:ascii="Arial" w:hAnsi="Arial" w:cs="Arial"/>
                <w:i/>
                <w:sz w:val="20"/>
                <w:szCs w:val="20"/>
              </w:rPr>
              <w:t xml:space="preserve"> for more information.</w:t>
            </w:r>
          </w:p>
        </w:tc>
        <w:tc>
          <w:tcPr>
            <w:tcW w:w="483" w:type="dxa"/>
          </w:tcPr>
          <w:p w:rsidR="00F138C1" w:rsidRPr="00DD7C7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D7C7F" w:rsidRDefault="00F138C1" w:rsidP="00F138C1">
            <w:pPr>
              <w:tabs>
                <w:tab w:val="left" w:pos="6075"/>
              </w:tabs>
              <w:jc w:val="both"/>
              <w:rPr>
                <w:rFonts w:ascii="Arial" w:hAnsi="Arial" w:cs="Arial"/>
                <w:i/>
                <w:sz w:val="20"/>
                <w:szCs w:val="20"/>
                <w:lang w:val="fr-CA"/>
              </w:rPr>
            </w:pPr>
            <w:r w:rsidRPr="00DD7C7F">
              <w:rPr>
                <w:rFonts w:ascii="Arial" w:hAnsi="Arial" w:cs="Arial"/>
                <w:i/>
                <w:sz w:val="20"/>
                <w:szCs w:val="20"/>
                <w:lang w:val="fr-CA"/>
              </w:rPr>
              <w:t xml:space="preserve">Pour de plus amples informations, veuillez consulter le site Web de la Cour suprême du Canada à l’adresse suivante : </w:t>
            </w:r>
            <w:hyperlink r:id="rId10" w:history="1">
              <w:r w:rsidRPr="00DD7C7F">
                <w:rPr>
                  <w:rStyle w:val="Hyperlink"/>
                  <w:rFonts w:ascii="Arial" w:hAnsi="Arial" w:cs="Arial"/>
                  <w:i/>
                  <w:sz w:val="20"/>
                  <w:szCs w:val="20"/>
                  <w:lang w:val="fr-CA"/>
                </w:rPr>
                <w:t>www.scc-csc.ca</w:t>
              </w:r>
            </w:hyperlink>
            <w:r w:rsidRPr="00DD7C7F">
              <w:rPr>
                <w:rFonts w:ascii="Arial" w:hAnsi="Arial" w:cs="Arial"/>
                <w:i/>
                <w:sz w:val="20"/>
                <w:szCs w:val="20"/>
                <w:lang w:val="fr-CA"/>
              </w:rPr>
              <w:t xml:space="preserve"> </w:t>
            </w:r>
          </w:p>
        </w:tc>
      </w:tr>
    </w:tbl>
    <w:p w:rsidR="00F138C1" w:rsidRPr="00DD7C7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DD7C7F" w:rsidTr="00F138C1">
        <w:tc>
          <w:tcPr>
            <w:tcW w:w="2250" w:type="pct"/>
            <w:tcBorders>
              <w:top w:val="single" w:sz="4" w:space="0" w:color="auto"/>
            </w:tcBorders>
            <w:tcMar>
              <w:top w:w="284" w:type="dxa"/>
              <w:bottom w:w="284" w:type="dxa"/>
            </w:tcMar>
          </w:tcPr>
          <w:p w:rsidR="00F138C1" w:rsidRPr="00DD7C7F" w:rsidRDefault="007D1743" w:rsidP="007D1743">
            <w:pPr>
              <w:tabs>
                <w:tab w:val="left" w:pos="6075"/>
              </w:tabs>
              <w:rPr>
                <w:rFonts w:ascii="Arial" w:hAnsi="Arial" w:cs="Arial"/>
                <w:i/>
                <w:sz w:val="20"/>
                <w:szCs w:val="20"/>
              </w:rPr>
            </w:pPr>
            <w:r w:rsidRPr="00DD7C7F">
              <w:rPr>
                <w:lang w:val="fr-CA"/>
              </w:rPr>
              <w:t>December</w:t>
            </w:r>
            <w:r w:rsidR="00F138C1" w:rsidRPr="00DD7C7F">
              <w:rPr>
                <w:lang w:val="fr-CA"/>
              </w:rPr>
              <w:t xml:space="preserve"> </w:t>
            </w:r>
            <w:r w:rsidRPr="00DD7C7F">
              <w:rPr>
                <w:lang w:val="fr-CA"/>
              </w:rPr>
              <w:t>9</w:t>
            </w:r>
            <w:r w:rsidR="00F138C1" w:rsidRPr="00DD7C7F">
              <w:rPr>
                <w:lang w:val="fr-CA"/>
              </w:rPr>
              <w:t>, 20</w:t>
            </w:r>
            <w:r w:rsidR="009B36BA" w:rsidRPr="00DD7C7F">
              <w:rPr>
                <w:lang w:val="fr-CA"/>
              </w:rPr>
              <w:t>2</w:t>
            </w:r>
            <w:r w:rsidR="00E8642A" w:rsidRPr="00DD7C7F">
              <w:rPr>
                <w:lang w:val="fr-CA"/>
              </w:rPr>
              <w:t>2</w:t>
            </w:r>
          </w:p>
        </w:tc>
        <w:tc>
          <w:tcPr>
            <w:tcW w:w="500" w:type="pct"/>
            <w:tcBorders>
              <w:top w:val="single" w:sz="4" w:space="0" w:color="auto"/>
            </w:tcBorders>
            <w:tcMar>
              <w:top w:w="284" w:type="dxa"/>
              <w:bottom w:w="284" w:type="dxa"/>
            </w:tcMar>
          </w:tcPr>
          <w:p w:rsidR="00F138C1" w:rsidRPr="00DD7C7F" w:rsidRDefault="00F138C1" w:rsidP="00512056">
            <w:pPr>
              <w:tabs>
                <w:tab w:val="left" w:pos="6075"/>
              </w:tabs>
              <w:jc w:val="center"/>
              <w:rPr>
                <w:rFonts w:ascii="Arial" w:hAnsi="Arial" w:cs="Arial"/>
                <w:i/>
                <w:sz w:val="20"/>
                <w:szCs w:val="20"/>
              </w:rPr>
            </w:pPr>
            <w:r w:rsidRPr="00DD7C7F">
              <w:rPr>
                <w:lang w:val="fr-CA"/>
              </w:rPr>
              <w:t xml:space="preserve">1 - </w:t>
            </w:r>
            <w:r w:rsidR="006349BF" w:rsidRPr="00DD7C7F">
              <w:rPr>
                <w:lang w:val="fr-CA"/>
              </w:rPr>
              <w:t>3</w:t>
            </w:r>
            <w:r w:rsidR="00512056">
              <w:rPr>
                <w:lang w:val="fr-CA"/>
              </w:rPr>
              <w:t>2</w:t>
            </w:r>
            <w:bookmarkStart w:id="0" w:name="_GoBack"/>
            <w:bookmarkEnd w:id="0"/>
          </w:p>
        </w:tc>
        <w:tc>
          <w:tcPr>
            <w:tcW w:w="2250" w:type="pct"/>
            <w:tcBorders>
              <w:top w:val="single" w:sz="4" w:space="0" w:color="auto"/>
            </w:tcBorders>
            <w:tcMar>
              <w:top w:w="284" w:type="dxa"/>
              <w:bottom w:w="284" w:type="dxa"/>
            </w:tcMar>
          </w:tcPr>
          <w:p w:rsidR="00F138C1" w:rsidRPr="00DD7C7F" w:rsidRDefault="00F138C1" w:rsidP="007D1743">
            <w:pPr>
              <w:tabs>
                <w:tab w:val="left" w:pos="6075"/>
              </w:tabs>
              <w:jc w:val="right"/>
              <w:rPr>
                <w:rFonts w:ascii="Arial" w:hAnsi="Arial" w:cs="Arial"/>
                <w:i/>
                <w:sz w:val="20"/>
                <w:szCs w:val="20"/>
                <w:lang w:val="fr-CA"/>
              </w:rPr>
            </w:pPr>
            <w:r w:rsidRPr="00DD7C7F">
              <w:rPr>
                <w:lang w:val="fr-CA"/>
              </w:rPr>
              <w:t xml:space="preserve">Le </w:t>
            </w:r>
            <w:r w:rsidR="007D1743" w:rsidRPr="00DD7C7F">
              <w:rPr>
                <w:lang w:val="fr-CA"/>
              </w:rPr>
              <w:t>9</w:t>
            </w:r>
            <w:r w:rsidRPr="00DD7C7F">
              <w:rPr>
                <w:lang w:val="fr-CA"/>
              </w:rPr>
              <w:t xml:space="preserve"> </w:t>
            </w:r>
            <w:r w:rsidR="007D1743" w:rsidRPr="00DD7C7F">
              <w:rPr>
                <w:lang w:val="fr-CA"/>
              </w:rPr>
              <w:t>déc</w:t>
            </w:r>
            <w:r w:rsidR="004268D2" w:rsidRPr="00DD7C7F">
              <w:rPr>
                <w:lang w:val="fr-CA"/>
              </w:rPr>
              <w:t>embre</w:t>
            </w:r>
            <w:r w:rsidR="00BE5B3E" w:rsidRPr="00DD7C7F">
              <w:rPr>
                <w:lang w:val="fr-CA"/>
              </w:rPr>
              <w:t xml:space="preserve"> </w:t>
            </w:r>
            <w:r w:rsidRPr="00DD7C7F">
              <w:rPr>
                <w:lang w:val="fr-CA"/>
              </w:rPr>
              <w:t>202</w:t>
            </w:r>
            <w:r w:rsidR="00E8642A" w:rsidRPr="00DD7C7F">
              <w:rPr>
                <w:lang w:val="fr-CA"/>
              </w:rPr>
              <w:t>2</w:t>
            </w:r>
          </w:p>
        </w:tc>
      </w:tr>
      <w:tr w:rsidR="00F138C1" w:rsidRPr="00512056" w:rsidTr="00F138C1">
        <w:tc>
          <w:tcPr>
            <w:tcW w:w="2250" w:type="pct"/>
            <w:tcBorders>
              <w:bottom w:val="single" w:sz="4" w:space="0" w:color="auto"/>
            </w:tcBorders>
            <w:tcMar>
              <w:top w:w="284" w:type="dxa"/>
              <w:bottom w:w="284" w:type="dxa"/>
            </w:tcMar>
          </w:tcPr>
          <w:p w:rsidR="00F138C1" w:rsidRPr="00DD7C7F" w:rsidRDefault="00F138C1" w:rsidP="00E8642A">
            <w:pPr>
              <w:tabs>
                <w:tab w:val="left" w:pos="6075"/>
              </w:tabs>
              <w:rPr>
                <w:rFonts w:ascii="Arial" w:hAnsi="Arial" w:cs="Arial"/>
                <w:i/>
                <w:sz w:val="20"/>
                <w:szCs w:val="20"/>
              </w:rPr>
            </w:pPr>
            <w:r w:rsidRPr="00DD7C7F">
              <w:rPr>
                <w:sz w:val="18"/>
                <w:szCs w:val="18"/>
                <w:lang w:val="en-US"/>
              </w:rPr>
              <w:t>© Supreme Court of Canada (202</w:t>
            </w:r>
            <w:r w:rsidR="00E8642A" w:rsidRPr="00DD7C7F">
              <w:rPr>
                <w:sz w:val="18"/>
                <w:szCs w:val="18"/>
                <w:lang w:val="en-US"/>
              </w:rPr>
              <w:t>2</w:t>
            </w:r>
            <w:r w:rsidRPr="00DD7C7F">
              <w:rPr>
                <w:sz w:val="18"/>
                <w:szCs w:val="18"/>
                <w:lang w:val="en-US"/>
              </w:rPr>
              <w:t>)</w:t>
            </w:r>
            <w:r w:rsidRPr="00DD7C7F">
              <w:rPr>
                <w:sz w:val="18"/>
                <w:szCs w:val="18"/>
                <w:lang w:val="en-US"/>
              </w:rPr>
              <w:br/>
              <w:t>ISSN 1918-8358 (Online)</w:t>
            </w:r>
          </w:p>
        </w:tc>
        <w:tc>
          <w:tcPr>
            <w:tcW w:w="500" w:type="pct"/>
            <w:tcBorders>
              <w:bottom w:val="single" w:sz="4" w:space="0" w:color="auto"/>
            </w:tcBorders>
            <w:tcMar>
              <w:top w:w="284" w:type="dxa"/>
              <w:bottom w:w="284" w:type="dxa"/>
            </w:tcMar>
          </w:tcPr>
          <w:p w:rsidR="00F138C1" w:rsidRPr="00DD7C7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DD7C7F" w:rsidRDefault="00F138C1" w:rsidP="00E8642A">
            <w:pPr>
              <w:tabs>
                <w:tab w:val="left" w:pos="6075"/>
              </w:tabs>
              <w:jc w:val="right"/>
              <w:rPr>
                <w:rFonts w:ascii="Arial" w:hAnsi="Arial" w:cs="Arial"/>
                <w:i/>
                <w:sz w:val="20"/>
                <w:szCs w:val="20"/>
                <w:lang w:val="fr-CA"/>
              </w:rPr>
            </w:pPr>
            <w:r w:rsidRPr="00DD7C7F">
              <w:rPr>
                <w:sz w:val="18"/>
                <w:szCs w:val="18"/>
                <w:lang w:val="fr-CA"/>
              </w:rPr>
              <w:t>© Cour suprême du Canada (202</w:t>
            </w:r>
            <w:r w:rsidR="00E8642A" w:rsidRPr="00DD7C7F">
              <w:rPr>
                <w:sz w:val="18"/>
                <w:szCs w:val="18"/>
                <w:lang w:val="fr-CA"/>
              </w:rPr>
              <w:t>2</w:t>
            </w:r>
            <w:proofErr w:type="gramStart"/>
            <w:r w:rsidRPr="00DD7C7F">
              <w:rPr>
                <w:sz w:val="18"/>
                <w:szCs w:val="18"/>
                <w:lang w:val="fr-CA"/>
              </w:rPr>
              <w:t>)</w:t>
            </w:r>
            <w:proofErr w:type="gramEnd"/>
            <w:r w:rsidRPr="00DD7C7F">
              <w:rPr>
                <w:sz w:val="18"/>
                <w:szCs w:val="18"/>
                <w:lang w:val="fr-CA"/>
              </w:rPr>
              <w:br/>
              <w:t>ISSN 1918-8358 (En ligne)</w:t>
            </w:r>
          </w:p>
        </w:tc>
      </w:tr>
    </w:tbl>
    <w:p w:rsidR="0030050B" w:rsidRPr="00DD7C7F" w:rsidRDefault="0030050B" w:rsidP="00F138C1">
      <w:pPr>
        <w:tabs>
          <w:tab w:val="left" w:pos="6075"/>
        </w:tabs>
        <w:rPr>
          <w:lang w:val="fr-CA"/>
        </w:rPr>
      </w:pPr>
    </w:p>
    <w:p w:rsidR="00560DF1" w:rsidRPr="00DD7C7F" w:rsidRDefault="00560DF1" w:rsidP="0095096B">
      <w:pPr>
        <w:tabs>
          <w:tab w:val="right" w:pos="9360"/>
        </w:tabs>
        <w:rPr>
          <w:lang w:val="fr-CA"/>
        </w:rPr>
      </w:pPr>
    </w:p>
    <w:p w:rsidR="00F138C1" w:rsidRPr="00DD7C7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DD7C7F" w:rsidRDefault="00DC6B2E" w:rsidP="00693C38">
          <w:pPr>
            <w:pStyle w:val="Title"/>
            <w:jc w:val="center"/>
            <w:rPr>
              <w:rFonts w:ascii="Times New Roman" w:hAnsi="Times New Roman" w:cs="Times New Roman"/>
              <w:b/>
              <w:sz w:val="24"/>
              <w:szCs w:val="28"/>
              <w:lang w:val="fr-CA"/>
            </w:rPr>
          </w:pPr>
          <w:r w:rsidRPr="00DD7C7F">
            <w:rPr>
              <w:rFonts w:ascii="Times New Roman" w:hAnsi="Times New Roman" w:cs="Times New Roman"/>
              <w:b/>
              <w:sz w:val="24"/>
              <w:szCs w:val="28"/>
              <w:lang w:val="fr-CA"/>
            </w:rPr>
            <w:t>Contents</w:t>
          </w:r>
        </w:p>
        <w:p w:rsidR="00693C38" w:rsidRPr="00DD7C7F" w:rsidRDefault="00DC6B2E" w:rsidP="00693C38">
          <w:pPr>
            <w:jc w:val="center"/>
            <w:rPr>
              <w:b/>
              <w:szCs w:val="28"/>
              <w:lang w:val="fr-CA"/>
            </w:rPr>
          </w:pPr>
          <w:r w:rsidRPr="00DD7C7F">
            <w:rPr>
              <w:b/>
              <w:szCs w:val="28"/>
              <w:lang w:val="fr-CA"/>
            </w:rPr>
            <w:t>Table des matières</w:t>
          </w:r>
        </w:p>
        <w:p w:rsidR="00693C38" w:rsidRPr="00DD7C7F" w:rsidRDefault="00693C38" w:rsidP="00693C38">
          <w:pPr>
            <w:rPr>
              <w:lang w:val="fr-CA"/>
            </w:rPr>
          </w:pPr>
        </w:p>
        <w:p w:rsidR="005B1E60" w:rsidRPr="00DD7C7F" w:rsidRDefault="00DC6B2E">
          <w:pPr>
            <w:pStyle w:val="TOC1"/>
            <w:tabs>
              <w:tab w:val="right" w:leader="dot" w:pos="9638"/>
            </w:tabs>
            <w:rPr>
              <w:rFonts w:asciiTheme="minorHAnsi" w:eastAsiaTheme="minorEastAsia" w:hAnsiTheme="minorHAnsi"/>
              <w:noProof/>
              <w:sz w:val="22"/>
              <w:lang w:val="en-US"/>
            </w:rPr>
          </w:pPr>
          <w:r w:rsidRPr="00DD7C7F">
            <w:rPr>
              <w:b/>
              <w:bCs/>
              <w:noProof/>
            </w:rPr>
            <w:fldChar w:fldCharType="begin"/>
          </w:r>
          <w:r w:rsidRPr="00DD7C7F">
            <w:rPr>
              <w:b/>
              <w:bCs/>
              <w:noProof/>
            </w:rPr>
            <w:instrText xml:space="preserve"> TOC \o "1-3" \h \z \u </w:instrText>
          </w:r>
          <w:r w:rsidRPr="00DD7C7F">
            <w:rPr>
              <w:b/>
              <w:bCs/>
              <w:noProof/>
            </w:rPr>
            <w:fldChar w:fldCharType="separate"/>
          </w:r>
          <w:hyperlink w:anchor="_Toc121404089" w:history="1">
            <w:r w:rsidR="005B1E60" w:rsidRPr="00DD7C7F">
              <w:rPr>
                <w:rStyle w:val="Hyperlink"/>
                <w:noProof/>
                <w:lang w:val="fr-CA"/>
              </w:rPr>
              <w:t>Applications for leave to appeal filed /  Demandes d’autorisation d’appel déposées</w:t>
            </w:r>
            <w:r w:rsidR="005B1E60" w:rsidRPr="00DD7C7F">
              <w:rPr>
                <w:noProof/>
                <w:webHidden/>
              </w:rPr>
              <w:tab/>
            </w:r>
            <w:r w:rsidR="005B1E60" w:rsidRPr="00DD7C7F">
              <w:rPr>
                <w:noProof/>
                <w:webHidden/>
              </w:rPr>
              <w:fldChar w:fldCharType="begin"/>
            </w:r>
            <w:r w:rsidR="005B1E60" w:rsidRPr="00DD7C7F">
              <w:rPr>
                <w:noProof/>
                <w:webHidden/>
              </w:rPr>
              <w:instrText xml:space="preserve"> PAGEREF _Toc121404089 \h </w:instrText>
            </w:r>
            <w:r w:rsidR="005B1E60" w:rsidRPr="00DD7C7F">
              <w:rPr>
                <w:noProof/>
                <w:webHidden/>
              </w:rPr>
            </w:r>
            <w:r w:rsidR="005B1E60" w:rsidRPr="00DD7C7F">
              <w:rPr>
                <w:noProof/>
                <w:webHidden/>
              </w:rPr>
              <w:fldChar w:fldCharType="separate"/>
            </w:r>
            <w:r w:rsidR="00512056">
              <w:rPr>
                <w:noProof/>
                <w:webHidden/>
              </w:rPr>
              <w:t>1</w:t>
            </w:r>
            <w:r w:rsidR="005B1E60" w:rsidRPr="00DD7C7F">
              <w:rPr>
                <w:noProof/>
                <w:webHidden/>
              </w:rPr>
              <w:fldChar w:fldCharType="end"/>
            </w:r>
          </w:hyperlink>
        </w:p>
        <w:p w:rsidR="005B1E60" w:rsidRPr="00DD7C7F" w:rsidRDefault="00512056">
          <w:pPr>
            <w:pStyle w:val="TOC1"/>
            <w:tabs>
              <w:tab w:val="right" w:leader="dot" w:pos="9638"/>
            </w:tabs>
            <w:rPr>
              <w:rFonts w:asciiTheme="minorHAnsi" w:eastAsiaTheme="minorEastAsia" w:hAnsiTheme="minorHAnsi"/>
              <w:noProof/>
              <w:sz w:val="22"/>
              <w:lang w:val="en-US"/>
            </w:rPr>
          </w:pPr>
          <w:hyperlink w:anchor="_Toc121404090" w:history="1">
            <w:r w:rsidR="005B1E60" w:rsidRPr="00DD7C7F">
              <w:rPr>
                <w:rStyle w:val="Hyperlink"/>
                <w:noProof/>
                <w:lang w:val="fr-CA"/>
              </w:rPr>
              <w:t>Judgments on applications for leave /  Jugements rendus sur les demandes d’autorisation</w:t>
            </w:r>
            <w:r w:rsidR="005B1E60" w:rsidRPr="00DD7C7F">
              <w:rPr>
                <w:noProof/>
                <w:webHidden/>
              </w:rPr>
              <w:tab/>
            </w:r>
            <w:r w:rsidR="005B1E60" w:rsidRPr="00DD7C7F">
              <w:rPr>
                <w:noProof/>
                <w:webHidden/>
              </w:rPr>
              <w:fldChar w:fldCharType="begin"/>
            </w:r>
            <w:r w:rsidR="005B1E60" w:rsidRPr="00DD7C7F">
              <w:rPr>
                <w:noProof/>
                <w:webHidden/>
              </w:rPr>
              <w:instrText xml:space="preserve"> PAGEREF _Toc121404090 \h </w:instrText>
            </w:r>
            <w:r w:rsidR="005B1E60" w:rsidRPr="00DD7C7F">
              <w:rPr>
                <w:noProof/>
                <w:webHidden/>
              </w:rPr>
            </w:r>
            <w:r w:rsidR="005B1E60" w:rsidRPr="00DD7C7F">
              <w:rPr>
                <w:noProof/>
                <w:webHidden/>
              </w:rPr>
              <w:fldChar w:fldCharType="separate"/>
            </w:r>
            <w:r>
              <w:rPr>
                <w:noProof/>
                <w:webHidden/>
              </w:rPr>
              <w:t>4</w:t>
            </w:r>
            <w:r w:rsidR="005B1E60" w:rsidRPr="00DD7C7F">
              <w:rPr>
                <w:noProof/>
                <w:webHidden/>
              </w:rPr>
              <w:fldChar w:fldCharType="end"/>
            </w:r>
          </w:hyperlink>
        </w:p>
        <w:p w:rsidR="005B1E60" w:rsidRPr="00DD7C7F" w:rsidRDefault="00512056">
          <w:pPr>
            <w:pStyle w:val="TOC1"/>
            <w:tabs>
              <w:tab w:val="right" w:leader="dot" w:pos="9638"/>
            </w:tabs>
            <w:rPr>
              <w:rFonts w:asciiTheme="minorHAnsi" w:eastAsiaTheme="minorEastAsia" w:hAnsiTheme="minorHAnsi"/>
              <w:noProof/>
              <w:sz w:val="22"/>
              <w:lang w:val="en-US"/>
            </w:rPr>
          </w:pPr>
          <w:hyperlink w:anchor="_Toc121404091" w:history="1">
            <w:r w:rsidR="005B1E60" w:rsidRPr="00DD7C7F">
              <w:rPr>
                <w:rStyle w:val="Hyperlink"/>
                <w:noProof/>
                <w:lang w:val="fr-CA"/>
              </w:rPr>
              <w:t>Appeals heard since the last issue and disposition /  Appels entendus depuis la dernière parution et résultat</w:t>
            </w:r>
            <w:r w:rsidR="005B1E60" w:rsidRPr="00DD7C7F">
              <w:rPr>
                <w:noProof/>
                <w:webHidden/>
              </w:rPr>
              <w:tab/>
            </w:r>
            <w:r w:rsidR="005B1E60" w:rsidRPr="00DD7C7F">
              <w:rPr>
                <w:noProof/>
                <w:webHidden/>
              </w:rPr>
              <w:fldChar w:fldCharType="begin"/>
            </w:r>
            <w:r w:rsidR="005B1E60" w:rsidRPr="00DD7C7F">
              <w:rPr>
                <w:noProof/>
                <w:webHidden/>
              </w:rPr>
              <w:instrText xml:space="preserve"> PAGEREF _Toc121404091 \h </w:instrText>
            </w:r>
            <w:r w:rsidR="005B1E60" w:rsidRPr="00DD7C7F">
              <w:rPr>
                <w:noProof/>
                <w:webHidden/>
              </w:rPr>
            </w:r>
            <w:r w:rsidR="005B1E60" w:rsidRPr="00DD7C7F">
              <w:rPr>
                <w:noProof/>
                <w:webHidden/>
              </w:rPr>
              <w:fldChar w:fldCharType="separate"/>
            </w:r>
            <w:r>
              <w:rPr>
                <w:noProof/>
                <w:webHidden/>
              </w:rPr>
              <w:t>29</w:t>
            </w:r>
            <w:r w:rsidR="005B1E60" w:rsidRPr="00DD7C7F">
              <w:rPr>
                <w:noProof/>
                <w:webHidden/>
              </w:rPr>
              <w:fldChar w:fldCharType="end"/>
            </w:r>
          </w:hyperlink>
        </w:p>
        <w:p w:rsidR="005B1E60" w:rsidRPr="00DD7C7F" w:rsidRDefault="00512056">
          <w:pPr>
            <w:pStyle w:val="TOC1"/>
            <w:tabs>
              <w:tab w:val="right" w:leader="dot" w:pos="9638"/>
            </w:tabs>
            <w:rPr>
              <w:rFonts w:asciiTheme="minorHAnsi" w:eastAsiaTheme="minorEastAsia" w:hAnsiTheme="minorHAnsi"/>
              <w:noProof/>
              <w:sz w:val="22"/>
              <w:lang w:val="en-US"/>
            </w:rPr>
          </w:pPr>
          <w:hyperlink w:anchor="_Toc121404092" w:history="1">
            <w:r w:rsidR="005B1E60" w:rsidRPr="00DD7C7F">
              <w:rPr>
                <w:rStyle w:val="Hyperlink"/>
                <w:noProof/>
                <w:lang w:val="fr-CA"/>
              </w:rPr>
              <w:t>Pronouncements of reserved appeals /  Jugements rendus sur les appels en délibéré</w:t>
            </w:r>
            <w:r w:rsidR="005B1E60" w:rsidRPr="00DD7C7F">
              <w:rPr>
                <w:noProof/>
                <w:webHidden/>
              </w:rPr>
              <w:tab/>
            </w:r>
            <w:r w:rsidR="005B1E60" w:rsidRPr="00DD7C7F">
              <w:rPr>
                <w:noProof/>
                <w:webHidden/>
              </w:rPr>
              <w:fldChar w:fldCharType="begin"/>
            </w:r>
            <w:r w:rsidR="005B1E60" w:rsidRPr="00DD7C7F">
              <w:rPr>
                <w:noProof/>
                <w:webHidden/>
              </w:rPr>
              <w:instrText xml:space="preserve"> PAGEREF _Toc121404092 \h </w:instrText>
            </w:r>
            <w:r w:rsidR="005B1E60" w:rsidRPr="00DD7C7F">
              <w:rPr>
                <w:noProof/>
                <w:webHidden/>
              </w:rPr>
            </w:r>
            <w:r w:rsidR="005B1E60" w:rsidRPr="00DD7C7F">
              <w:rPr>
                <w:noProof/>
                <w:webHidden/>
              </w:rPr>
              <w:fldChar w:fldCharType="separate"/>
            </w:r>
            <w:r>
              <w:rPr>
                <w:noProof/>
                <w:webHidden/>
              </w:rPr>
              <w:t>32</w:t>
            </w:r>
            <w:r w:rsidR="005B1E60" w:rsidRPr="00DD7C7F">
              <w:rPr>
                <w:noProof/>
                <w:webHidden/>
              </w:rPr>
              <w:fldChar w:fldCharType="end"/>
            </w:r>
          </w:hyperlink>
        </w:p>
        <w:p w:rsidR="00560DF1" w:rsidRPr="00DD7C7F" w:rsidRDefault="00DC6B2E">
          <w:r w:rsidRPr="00DD7C7F">
            <w:rPr>
              <w:b/>
              <w:bCs/>
              <w:noProof/>
              <w:sz w:val="20"/>
            </w:rPr>
            <w:fldChar w:fldCharType="end"/>
          </w:r>
        </w:p>
      </w:sdtContent>
    </w:sdt>
    <w:p w:rsidR="00560DF1" w:rsidRPr="00DD7C7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12056" w:rsidTr="00F138C1">
        <w:trPr>
          <w:jc w:val="center"/>
        </w:trPr>
        <w:tc>
          <w:tcPr>
            <w:tcW w:w="9638" w:type="dxa"/>
          </w:tcPr>
          <w:p w:rsidR="00F138C1" w:rsidRPr="00DD7C7F" w:rsidRDefault="00F138C1" w:rsidP="00F138C1">
            <w:pPr>
              <w:keepNext/>
              <w:tabs>
                <w:tab w:val="right" w:pos="9360"/>
              </w:tabs>
              <w:spacing w:after="120"/>
              <w:jc w:val="center"/>
              <w:rPr>
                <w:szCs w:val="24"/>
              </w:rPr>
            </w:pPr>
            <w:r w:rsidRPr="00DD7C7F">
              <w:rPr>
                <w:szCs w:val="24"/>
              </w:rPr>
              <w:t>NOTICE</w:t>
            </w:r>
          </w:p>
          <w:p w:rsidR="00F138C1" w:rsidRPr="00DD7C7F" w:rsidRDefault="00F138C1" w:rsidP="00F138C1">
            <w:pPr>
              <w:keepNext/>
              <w:tabs>
                <w:tab w:val="right" w:pos="9360"/>
              </w:tabs>
              <w:spacing w:after="120"/>
              <w:jc w:val="both"/>
              <w:rPr>
                <w:szCs w:val="24"/>
              </w:rPr>
            </w:pPr>
            <w:r w:rsidRPr="00DD7C7F">
              <w:rPr>
                <w:szCs w:val="24"/>
              </w:rPr>
              <w:t>Case summaries included in the Bulletin are prepared by the Office of the Registrar of the Supreme Court of Canada (Law Branch) for information purposes only.</w:t>
            </w:r>
          </w:p>
          <w:p w:rsidR="00F138C1" w:rsidRPr="00DD7C7F" w:rsidRDefault="00F138C1" w:rsidP="00F138C1">
            <w:pPr>
              <w:keepNext/>
              <w:tabs>
                <w:tab w:val="right" w:pos="9360"/>
              </w:tabs>
              <w:spacing w:after="120"/>
              <w:jc w:val="center"/>
              <w:rPr>
                <w:szCs w:val="24"/>
                <w:lang w:val="fr-CA"/>
              </w:rPr>
            </w:pPr>
            <w:r w:rsidRPr="00DD7C7F">
              <w:rPr>
                <w:szCs w:val="24"/>
                <w:lang w:val="fr-CA"/>
              </w:rPr>
              <w:t>AVIS</w:t>
            </w:r>
          </w:p>
          <w:p w:rsidR="00F138C1" w:rsidRPr="00DD7C7F" w:rsidRDefault="00F138C1" w:rsidP="00F138C1">
            <w:pPr>
              <w:keepNext/>
              <w:tabs>
                <w:tab w:val="right" w:pos="9360"/>
              </w:tabs>
              <w:spacing w:after="120"/>
              <w:jc w:val="both"/>
              <w:rPr>
                <w:sz w:val="20"/>
                <w:szCs w:val="20"/>
                <w:lang w:val="fr-CA"/>
              </w:rPr>
            </w:pPr>
            <w:r w:rsidRPr="00DD7C7F">
              <w:rPr>
                <w:szCs w:val="24"/>
                <w:lang w:val="fr-CA"/>
              </w:rPr>
              <w:t>Les résumés des causes publiés dans le bulletin sont préparés par le Bureau du registraire (Direction générale du droit) uniquement à titre d’information.</w:t>
            </w:r>
          </w:p>
        </w:tc>
      </w:tr>
    </w:tbl>
    <w:p w:rsidR="00F138C1" w:rsidRPr="00DD7C7F" w:rsidRDefault="00F138C1" w:rsidP="00F138C1">
      <w:pPr>
        <w:tabs>
          <w:tab w:val="right" w:pos="9360"/>
        </w:tabs>
        <w:rPr>
          <w:lang w:val="fr-CA"/>
        </w:rPr>
      </w:pPr>
    </w:p>
    <w:p w:rsidR="00F138C1" w:rsidRPr="00DD7C7F" w:rsidRDefault="00F138C1" w:rsidP="00F138C1">
      <w:pPr>
        <w:tabs>
          <w:tab w:val="right" w:pos="9360"/>
        </w:tabs>
        <w:rPr>
          <w:lang w:val="fr-CA"/>
        </w:rPr>
      </w:pPr>
    </w:p>
    <w:p w:rsidR="00C01FCB" w:rsidRPr="00DD7C7F" w:rsidRDefault="00C01FCB" w:rsidP="0095096B">
      <w:pPr>
        <w:tabs>
          <w:tab w:val="right" w:pos="9360"/>
        </w:tabs>
        <w:rPr>
          <w:lang w:val="fr-CA"/>
        </w:rPr>
      </w:pPr>
    </w:p>
    <w:p w:rsidR="00A87207" w:rsidRPr="00DD7C7F" w:rsidRDefault="00A87207" w:rsidP="0095096B">
      <w:pPr>
        <w:tabs>
          <w:tab w:val="right" w:pos="9360"/>
        </w:tabs>
        <w:rPr>
          <w:lang w:val="fr-CA"/>
        </w:rPr>
        <w:sectPr w:rsidR="00A87207" w:rsidRPr="00DD7C7F" w:rsidSect="0044776A">
          <w:pgSz w:w="12240" w:h="15840"/>
          <w:pgMar w:top="720" w:right="1152" w:bottom="1080" w:left="1440" w:header="706" w:footer="706" w:gutter="0"/>
          <w:cols w:space="708"/>
          <w:titlePg/>
          <w:docGrid w:linePitch="360"/>
        </w:sectPr>
      </w:pPr>
    </w:p>
    <w:p w:rsidR="00560DF1" w:rsidRPr="00DD7C7F" w:rsidRDefault="00DD0BDC" w:rsidP="00567602">
      <w:pPr>
        <w:pStyle w:val="Header1StyleE"/>
        <w:pBdr>
          <w:bottom w:val="single" w:sz="12" w:space="1" w:color="auto"/>
        </w:pBdr>
        <w:rPr>
          <w:lang w:val="fr-CA"/>
        </w:rPr>
      </w:pPr>
      <w:bookmarkStart w:id="1" w:name="_Toc121404089"/>
      <w:r w:rsidRPr="00DD7C7F">
        <w:rPr>
          <w:lang w:val="fr-CA"/>
        </w:rPr>
        <w:lastRenderedPageBreak/>
        <w:t>Applications for leave to appeal filed</w:t>
      </w:r>
      <w:r w:rsidR="00271E1E" w:rsidRPr="00DD7C7F">
        <w:rPr>
          <w:lang w:val="fr-CA"/>
        </w:rPr>
        <w:t xml:space="preserve"> / </w:t>
      </w:r>
      <w:r w:rsidR="00727571" w:rsidRPr="00DD7C7F">
        <w:rPr>
          <w:lang w:val="fr-CA"/>
        </w:rPr>
        <w:br/>
      </w:r>
      <w:r w:rsidRPr="00DD7C7F">
        <w:rPr>
          <w:lang w:val="fr-CA"/>
        </w:rPr>
        <w:t>Demandes d’autorisation d’appel déposées</w:t>
      </w:r>
      <w:bookmarkEnd w:id="1"/>
    </w:p>
    <w:p w:rsidR="00F138C1" w:rsidRPr="00DD7C7F"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DD7C7F" w:rsidTr="00F138C1">
        <w:tc>
          <w:tcPr>
            <w:tcW w:w="4239" w:type="dxa"/>
            <w:shd w:val="clear" w:color="auto" w:fill="auto"/>
          </w:tcPr>
          <w:p w:rsidR="00F138C1" w:rsidRPr="00DD7C7F" w:rsidRDefault="009451C6" w:rsidP="00F138C1">
            <w:pPr>
              <w:rPr>
                <w:sz w:val="20"/>
                <w:szCs w:val="20"/>
                <w:lang w:val="en-US"/>
              </w:rPr>
            </w:pPr>
            <w:r w:rsidRPr="00DD7C7F">
              <w:rPr>
                <w:b/>
                <w:sz w:val="20"/>
                <w:szCs w:val="20"/>
                <w:lang w:val="en-US"/>
              </w:rPr>
              <w:t>Juusi Alasuak Aullaluk</w:t>
            </w:r>
          </w:p>
          <w:p w:rsidR="00F138C1" w:rsidRPr="00DD7C7F" w:rsidRDefault="00F138C1" w:rsidP="00F138C1">
            <w:pPr>
              <w:tabs>
                <w:tab w:val="left" w:pos="-1440"/>
                <w:tab w:val="left" w:pos="-720"/>
              </w:tabs>
              <w:rPr>
                <w:sz w:val="20"/>
                <w:szCs w:val="20"/>
                <w:lang w:val="en-US"/>
              </w:rPr>
            </w:pPr>
            <w:r w:rsidRPr="00DD7C7F">
              <w:rPr>
                <w:sz w:val="20"/>
                <w:szCs w:val="20"/>
                <w:lang w:val="en-US"/>
              </w:rPr>
              <w:tab/>
            </w:r>
            <w:r w:rsidR="009451C6" w:rsidRPr="00DD7C7F">
              <w:rPr>
                <w:sz w:val="20"/>
                <w:szCs w:val="20"/>
                <w:lang w:val="en-US"/>
              </w:rPr>
              <w:t>Plamondon, Sarah</w:t>
            </w:r>
          </w:p>
          <w:p w:rsidR="009451C6" w:rsidRPr="00DD7C7F" w:rsidRDefault="009451C6" w:rsidP="00F138C1">
            <w:pPr>
              <w:tabs>
                <w:tab w:val="left" w:pos="-1440"/>
                <w:tab w:val="left" w:pos="-720"/>
              </w:tabs>
              <w:rPr>
                <w:sz w:val="20"/>
                <w:szCs w:val="20"/>
                <w:lang w:val="en-US"/>
              </w:rPr>
            </w:pPr>
          </w:p>
          <w:p w:rsidR="00F138C1" w:rsidRPr="00DD7C7F" w:rsidRDefault="009451C6" w:rsidP="00F138C1">
            <w:pPr>
              <w:tabs>
                <w:tab w:val="left" w:pos="-1440"/>
                <w:tab w:val="left" w:pos="-720"/>
              </w:tabs>
              <w:rPr>
                <w:sz w:val="20"/>
                <w:szCs w:val="20"/>
                <w:lang w:val="en-US"/>
              </w:rPr>
            </w:pPr>
            <w:r w:rsidRPr="00DD7C7F">
              <w:rPr>
                <w:sz w:val="20"/>
                <w:szCs w:val="20"/>
                <w:lang w:val="en-US"/>
              </w:rPr>
              <w:tab/>
              <w:t>v. (</w:t>
            </w:r>
            <w:r w:rsidR="00F138C1" w:rsidRPr="00DD7C7F">
              <w:rPr>
                <w:sz w:val="20"/>
                <w:szCs w:val="20"/>
                <w:lang w:val="en-US"/>
              </w:rPr>
              <w:t>4</w:t>
            </w:r>
            <w:r w:rsidRPr="00DD7C7F">
              <w:rPr>
                <w:sz w:val="20"/>
                <w:szCs w:val="20"/>
                <w:lang w:val="en-US"/>
              </w:rPr>
              <w:t>0418</w:t>
            </w:r>
            <w:r w:rsidR="00F138C1" w:rsidRPr="00DD7C7F">
              <w:rPr>
                <w:sz w:val="20"/>
                <w:szCs w:val="20"/>
                <w:lang w:val="en-US"/>
              </w:rPr>
              <w:t>)</w:t>
            </w:r>
          </w:p>
          <w:p w:rsidR="00F138C1" w:rsidRPr="00DD7C7F" w:rsidRDefault="00F138C1" w:rsidP="00F138C1">
            <w:pPr>
              <w:tabs>
                <w:tab w:val="left" w:pos="-1440"/>
                <w:tab w:val="left" w:pos="-720"/>
              </w:tabs>
              <w:rPr>
                <w:sz w:val="20"/>
                <w:szCs w:val="20"/>
                <w:lang w:val="en-US"/>
              </w:rPr>
            </w:pPr>
          </w:p>
          <w:p w:rsidR="00F138C1" w:rsidRPr="00DD7C7F" w:rsidRDefault="009451C6" w:rsidP="00F138C1">
            <w:pPr>
              <w:tabs>
                <w:tab w:val="left" w:pos="-1440"/>
                <w:tab w:val="left" w:pos="-720"/>
              </w:tabs>
              <w:rPr>
                <w:b/>
                <w:sz w:val="20"/>
                <w:szCs w:val="20"/>
                <w:lang w:val="en-US"/>
              </w:rPr>
            </w:pPr>
            <w:r w:rsidRPr="00DD7C7F">
              <w:rPr>
                <w:b/>
                <w:sz w:val="20"/>
                <w:szCs w:val="20"/>
                <w:lang w:val="en-US"/>
              </w:rPr>
              <w:t>His Majesty the King</w:t>
            </w:r>
            <w:r w:rsidR="00F138C1" w:rsidRPr="00DD7C7F">
              <w:rPr>
                <w:b/>
                <w:sz w:val="20"/>
                <w:szCs w:val="20"/>
                <w:lang w:val="en-US"/>
              </w:rPr>
              <w:t xml:space="preserve"> (</w:t>
            </w:r>
            <w:r w:rsidRPr="00DD7C7F">
              <w:rPr>
                <w:b/>
                <w:sz w:val="20"/>
                <w:szCs w:val="20"/>
                <w:lang w:val="en-US"/>
              </w:rPr>
              <w:t>Que</w:t>
            </w:r>
            <w:r w:rsidR="00F138C1" w:rsidRPr="00DD7C7F">
              <w:rPr>
                <w:b/>
                <w:sz w:val="20"/>
                <w:szCs w:val="20"/>
                <w:lang w:val="en-US"/>
              </w:rPr>
              <w:t>.)</w:t>
            </w:r>
          </w:p>
          <w:p w:rsidR="00F138C1" w:rsidRPr="00DD7C7F" w:rsidRDefault="00F138C1" w:rsidP="00F138C1">
            <w:pPr>
              <w:tabs>
                <w:tab w:val="left" w:pos="-1440"/>
                <w:tab w:val="left" w:pos="-720"/>
              </w:tabs>
              <w:rPr>
                <w:sz w:val="20"/>
                <w:szCs w:val="20"/>
                <w:lang w:val="en-US"/>
              </w:rPr>
            </w:pPr>
            <w:r w:rsidRPr="00DD7C7F">
              <w:rPr>
                <w:sz w:val="20"/>
                <w:szCs w:val="20"/>
                <w:lang w:val="en-US"/>
              </w:rPr>
              <w:tab/>
            </w:r>
            <w:r w:rsidR="009451C6" w:rsidRPr="00DD7C7F">
              <w:rPr>
                <w:sz w:val="20"/>
                <w:szCs w:val="20"/>
                <w:lang w:val="en-US"/>
              </w:rPr>
              <w:t>Lavigne, Robert-Laurence</w:t>
            </w:r>
          </w:p>
          <w:p w:rsidR="009451C6" w:rsidRPr="00DD7C7F" w:rsidRDefault="00F138C1" w:rsidP="00F138C1">
            <w:pPr>
              <w:tabs>
                <w:tab w:val="left" w:pos="-1440"/>
                <w:tab w:val="left" w:pos="-720"/>
              </w:tabs>
              <w:rPr>
                <w:sz w:val="20"/>
                <w:szCs w:val="20"/>
              </w:rPr>
            </w:pPr>
            <w:r w:rsidRPr="00DD7C7F">
              <w:rPr>
                <w:sz w:val="20"/>
                <w:szCs w:val="20"/>
                <w:lang w:val="en-US"/>
              </w:rPr>
              <w:tab/>
            </w:r>
            <w:r w:rsidR="009451C6" w:rsidRPr="00DD7C7F">
              <w:rPr>
                <w:sz w:val="20"/>
                <w:szCs w:val="20"/>
              </w:rPr>
              <w:t xml:space="preserve">Director of the Criminal and Penal </w:t>
            </w:r>
          </w:p>
          <w:p w:rsidR="00F138C1" w:rsidRPr="00DD7C7F" w:rsidRDefault="009451C6" w:rsidP="00F138C1">
            <w:pPr>
              <w:tabs>
                <w:tab w:val="left" w:pos="-1440"/>
                <w:tab w:val="left" w:pos="-720"/>
              </w:tabs>
              <w:rPr>
                <w:sz w:val="20"/>
                <w:szCs w:val="20"/>
              </w:rPr>
            </w:pPr>
            <w:r w:rsidRPr="00DD7C7F">
              <w:rPr>
                <w:sz w:val="20"/>
                <w:szCs w:val="20"/>
                <w:lang w:val="en-US"/>
              </w:rPr>
              <w:tab/>
            </w:r>
            <w:r w:rsidRPr="00DD7C7F">
              <w:rPr>
                <w:sz w:val="20"/>
                <w:szCs w:val="20"/>
              </w:rPr>
              <w:t>Prosecutions</w:t>
            </w:r>
          </w:p>
          <w:p w:rsidR="00F138C1" w:rsidRPr="00DD7C7F" w:rsidRDefault="00F138C1" w:rsidP="00F138C1">
            <w:pPr>
              <w:tabs>
                <w:tab w:val="left" w:pos="-1440"/>
                <w:tab w:val="left" w:pos="-720"/>
              </w:tabs>
              <w:rPr>
                <w:sz w:val="20"/>
                <w:szCs w:val="20"/>
              </w:rPr>
            </w:pPr>
          </w:p>
          <w:p w:rsidR="00F138C1" w:rsidRPr="00DD7C7F" w:rsidRDefault="00F138C1" w:rsidP="00F138C1">
            <w:pPr>
              <w:rPr>
                <w:sz w:val="20"/>
                <w:szCs w:val="20"/>
              </w:rPr>
            </w:pPr>
            <w:r w:rsidRPr="00DD7C7F">
              <w:rPr>
                <w:sz w:val="20"/>
                <w:szCs w:val="20"/>
              </w:rPr>
              <w:t xml:space="preserve">FILING DATE: </w:t>
            </w:r>
            <w:r w:rsidR="009451C6" w:rsidRPr="00DD7C7F">
              <w:rPr>
                <w:sz w:val="20"/>
                <w:szCs w:val="20"/>
              </w:rPr>
              <w:t>October</w:t>
            </w:r>
            <w:r w:rsidRPr="00DD7C7F">
              <w:rPr>
                <w:sz w:val="20"/>
                <w:szCs w:val="20"/>
              </w:rPr>
              <w:t xml:space="preserve"> </w:t>
            </w:r>
            <w:r w:rsidR="009451C6" w:rsidRPr="00DD7C7F">
              <w:rPr>
                <w:sz w:val="20"/>
                <w:szCs w:val="20"/>
              </w:rPr>
              <w:t>28</w:t>
            </w:r>
            <w:r w:rsidRPr="00DD7C7F">
              <w:rPr>
                <w:sz w:val="20"/>
                <w:szCs w:val="20"/>
              </w:rPr>
              <w:t>, 20</w:t>
            </w:r>
            <w:r w:rsidR="00DA1D48" w:rsidRPr="00DD7C7F">
              <w:rPr>
                <w:sz w:val="20"/>
                <w:szCs w:val="20"/>
              </w:rPr>
              <w:t>2</w:t>
            </w:r>
            <w:r w:rsidR="00E8642A" w:rsidRPr="00DD7C7F">
              <w:rPr>
                <w:sz w:val="20"/>
                <w:szCs w:val="20"/>
              </w:rPr>
              <w:t>2</w:t>
            </w:r>
          </w:p>
          <w:p w:rsidR="004B2E86" w:rsidRPr="00DD7C7F" w:rsidRDefault="004B2E86" w:rsidP="00F138C1">
            <w:pPr>
              <w:rPr>
                <w:sz w:val="20"/>
                <w:szCs w:val="20"/>
              </w:rPr>
            </w:pPr>
          </w:p>
          <w:p w:rsidR="00F138C1" w:rsidRPr="00DD7C7F" w:rsidRDefault="00512056"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F138C1" w:rsidRPr="00DD7C7F" w:rsidRDefault="00F138C1" w:rsidP="00F138C1">
            <w:pPr>
              <w:jc w:val="center"/>
              <w:rPr>
                <w:sz w:val="20"/>
                <w:szCs w:val="20"/>
              </w:rPr>
            </w:pPr>
          </w:p>
          <w:p w:rsidR="004B2E86" w:rsidRPr="00DD7C7F" w:rsidRDefault="004B2E86" w:rsidP="00F138C1">
            <w:pPr>
              <w:jc w:val="center"/>
              <w:rPr>
                <w:sz w:val="20"/>
                <w:szCs w:val="20"/>
              </w:rPr>
            </w:pPr>
          </w:p>
          <w:p w:rsidR="00F138C1" w:rsidRPr="00DD7C7F" w:rsidRDefault="00F138C1" w:rsidP="00F138C1">
            <w:pPr>
              <w:jc w:val="center"/>
              <w:rPr>
                <w:sz w:val="20"/>
                <w:szCs w:val="20"/>
              </w:rPr>
            </w:pPr>
          </w:p>
        </w:tc>
        <w:tc>
          <w:tcPr>
            <w:tcW w:w="4239" w:type="dxa"/>
            <w:shd w:val="clear" w:color="auto" w:fill="auto"/>
          </w:tcPr>
          <w:p w:rsidR="00F138C1" w:rsidRPr="00DD7C7F" w:rsidRDefault="009451C6" w:rsidP="00F138C1">
            <w:pPr>
              <w:rPr>
                <w:b/>
                <w:sz w:val="20"/>
                <w:szCs w:val="20"/>
                <w:lang w:val="fr-CA"/>
              </w:rPr>
            </w:pPr>
            <w:r w:rsidRPr="00DD7C7F">
              <w:rPr>
                <w:b/>
                <w:sz w:val="20"/>
                <w:szCs w:val="20"/>
                <w:lang w:val="fr-CA"/>
              </w:rPr>
              <w:t>Ville de Trois-Rivières</w:t>
            </w:r>
          </w:p>
          <w:p w:rsidR="00F138C1" w:rsidRPr="00DD7C7F" w:rsidRDefault="00F138C1" w:rsidP="00F138C1">
            <w:pPr>
              <w:tabs>
                <w:tab w:val="left" w:pos="-1440"/>
                <w:tab w:val="left" w:pos="-720"/>
              </w:tabs>
              <w:rPr>
                <w:sz w:val="20"/>
                <w:szCs w:val="20"/>
                <w:lang w:val="fr-CA"/>
              </w:rPr>
            </w:pPr>
            <w:r w:rsidRPr="00DD7C7F">
              <w:rPr>
                <w:sz w:val="20"/>
                <w:szCs w:val="20"/>
                <w:lang w:val="fr-CA"/>
              </w:rPr>
              <w:tab/>
            </w:r>
            <w:r w:rsidR="009451C6" w:rsidRPr="00DD7C7F">
              <w:rPr>
                <w:sz w:val="20"/>
                <w:szCs w:val="20"/>
                <w:lang w:val="fr-CA"/>
              </w:rPr>
              <w:t>Soucy, Pierre</w:t>
            </w:r>
          </w:p>
          <w:p w:rsidR="00F138C1" w:rsidRPr="00DD7C7F" w:rsidRDefault="00F138C1" w:rsidP="00F138C1">
            <w:pPr>
              <w:tabs>
                <w:tab w:val="left" w:pos="-1440"/>
                <w:tab w:val="left" w:pos="-720"/>
              </w:tabs>
              <w:rPr>
                <w:sz w:val="20"/>
                <w:szCs w:val="20"/>
                <w:lang w:val="en-US"/>
              </w:rPr>
            </w:pPr>
            <w:r w:rsidRPr="00DD7C7F">
              <w:rPr>
                <w:sz w:val="20"/>
                <w:szCs w:val="20"/>
                <w:lang w:val="fr-CA"/>
              </w:rPr>
              <w:tab/>
            </w:r>
            <w:r w:rsidR="009451C6" w:rsidRPr="00DD7C7F">
              <w:rPr>
                <w:sz w:val="20"/>
                <w:szCs w:val="20"/>
                <w:lang w:val="en-US"/>
              </w:rPr>
              <w:t>Lambert Therrien s.e.n.c.r.l.</w:t>
            </w:r>
          </w:p>
          <w:p w:rsidR="00F138C1" w:rsidRPr="00DD7C7F" w:rsidRDefault="00F138C1" w:rsidP="00F138C1">
            <w:pPr>
              <w:tabs>
                <w:tab w:val="left" w:pos="-1440"/>
                <w:tab w:val="left" w:pos="-720"/>
              </w:tabs>
              <w:rPr>
                <w:sz w:val="20"/>
                <w:szCs w:val="20"/>
                <w:lang w:val="en-US"/>
              </w:rPr>
            </w:pPr>
          </w:p>
          <w:p w:rsidR="00F138C1" w:rsidRPr="00DD7C7F" w:rsidRDefault="00F138C1" w:rsidP="00F138C1">
            <w:pPr>
              <w:tabs>
                <w:tab w:val="left" w:pos="-1440"/>
                <w:tab w:val="left" w:pos="-720"/>
              </w:tabs>
              <w:rPr>
                <w:sz w:val="20"/>
                <w:szCs w:val="20"/>
                <w:lang w:val="fr-CA"/>
              </w:rPr>
            </w:pPr>
            <w:r w:rsidRPr="00DD7C7F">
              <w:rPr>
                <w:sz w:val="20"/>
                <w:szCs w:val="20"/>
                <w:lang w:val="en-US"/>
              </w:rPr>
              <w:tab/>
            </w:r>
            <w:r w:rsidRPr="00DD7C7F">
              <w:rPr>
                <w:sz w:val="20"/>
                <w:szCs w:val="20"/>
                <w:lang w:val="fr-CA"/>
              </w:rPr>
              <w:t>c. (</w:t>
            </w:r>
            <w:r w:rsidR="009451C6" w:rsidRPr="00DD7C7F">
              <w:rPr>
                <w:sz w:val="20"/>
                <w:szCs w:val="20"/>
                <w:lang w:val="fr-CA"/>
              </w:rPr>
              <w:t>40419</w:t>
            </w:r>
            <w:r w:rsidRPr="00DD7C7F">
              <w:rPr>
                <w:sz w:val="20"/>
                <w:szCs w:val="20"/>
                <w:lang w:val="fr-CA"/>
              </w:rPr>
              <w:t>)</w:t>
            </w:r>
          </w:p>
          <w:p w:rsidR="00F138C1" w:rsidRPr="00DD7C7F" w:rsidRDefault="00F138C1" w:rsidP="00F138C1">
            <w:pPr>
              <w:tabs>
                <w:tab w:val="left" w:pos="-1440"/>
                <w:tab w:val="left" w:pos="-720"/>
              </w:tabs>
              <w:rPr>
                <w:sz w:val="20"/>
                <w:szCs w:val="20"/>
                <w:lang w:val="fr-CA"/>
              </w:rPr>
            </w:pPr>
          </w:p>
          <w:p w:rsidR="00F138C1" w:rsidRPr="00DD7C7F" w:rsidRDefault="009451C6" w:rsidP="00F138C1">
            <w:pPr>
              <w:tabs>
                <w:tab w:val="left" w:pos="-1440"/>
                <w:tab w:val="left" w:pos="-720"/>
              </w:tabs>
              <w:rPr>
                <w:b/>
                <w:sz w:val="20"/>
                <w:szCs w:val="20"/>
                <w:lang w:val="fr-CA"/>
              </w:rPr>
            </w:pPr>
            <w:r w:rsidRPr="00DD7C7F">
              <w:rPr>
                <w:b/>
                <w:sz w:val="20"/>
                <w:szCs w:val="20"/>
                <w:lang w:val="fr-CA"/>
              </w:rPr>
              <w:t>Royal &amp; Sun Alliance du Canada, et al.</w:t>
            </w:r>
            <w:r w:rsidR="00F138C1" w:rsidRPr="00DD7C7F">
              <w:rPr>
                <w:sz w:val="20"/>
                <w:szCs w:val="20"/>
                <w:lang w:val="fr-CA"/>
              </w:rPr>
              <w:t xml:space="preserve"> </w:t>
            </w:r>
            <w:r w:rsidR="00F138C1" w:rsidRPr="00DD7C7F">
              <w:rPr>
                <w:b/>
                <w:sz w:val="20"/>
                <w:szCs w:val="20"/>
                <w:lang w:val="fr-CA"/>
              </w:rPr>
              <w:t>(Qc)</w:t>
            </w:r>
          </w:p>
          <w:p w:rsidR="00F138C1" w:rsidRPr="00DD7C7F" w:rsidRDefault="00F138C1" w:rsidP="00F138C1">
            <w:pPr>
              <w:tabs>
                <w:tab w:val="left" w:pos="-1440"/>
                <w:tab w:val="left" w:pos="-720"/>
              </w:tabs>
              <w:rPr>
                <w:sz w:val="20"/>
                <w:szCs w:val="20"/>
                <w:lang w:val="fr-CA"/>
              </w:rPr>
            </w:pPr>
            <w:r w:rsidRPr="00DD7C7F">
              <w:rPr>
                <w:sz w:val="20"/>
                <w:szCs w:val="20"/>
                <w:lang w:val="fr-CA"/>
              </w:rPr>
              <w:tab/>
            </w:r>
            <w:r w:rsidR="009451C6" w:rsidRPr="00DD7C7F">
              <w:rPr>
                <w:sz w:val="20"/>
                <w:szCs w:val="20"/>
                <w:lang w:val="fr-CA"/>
              </w:rPr>
              <w:t>Beaulieu, Éric</w:t>
            </w:r>
          </w:p>
          <w:p w:rsidR="00F138C1" w:rsidRPr="00DD7C7F" w:rsidRDefault="00F138C1" w:rsidP="00F138C1">
            <w:pPr>
              <w:tabs>
                <w:tab w:val="left" w:pos="-1440"/>
                <w:tab w:val="left" w:pos="-720"/>
              </w:tabs>
              <w:rPr>
                <w:sz w:val="20"/>
                <w:szCs w:val="20"/>
                <w:lang w:val="fr-CA"/>
              </w:rPr>
            </w:pPr>
            <w:r w:rsidRPr="00DD7C7F">
              <w:rPr>
                <w:sz w:val="20"/>
                <w:szCs w:val="20"/>
                <w:lang w:val="fr-CA"/>
              </w:rPr>
              <w:tab/>
            </w:r>
            <w:r w:rsidR="009451C6" w:rsidRPr="00DD7C7F">
              <w:rPr>
                <w:sz w:val="20"/>
                <w:szCs w:val="20"/>
                <w:lang w:val="fr-CA"/>
              </w:rPr>
              <w:t>Carter Gourdeau</w:t>
            </w:r>
          </w:p>
          <w:p w:rsidR="00F138C1" w:rsidRPr="00DD7C7F" w:rsidRDefault="00F138C1" w:rsidP="00F138C1">
            <w:pPr>
              <w:tabs>
                <w:tab w:val="left" w:pos="-1440"/>
                <w:tab w:val="left" w:pos="-720"/>
              </w:tabs>
              <w:rPr>
                <w:sz w:val="20"/>
                <w:szCs w:val="20"/>
                <w:lang w:val="fr-CA"/>
              </w:rPr>
            </w:pPr>
          </w:p>
          <w:p w:rsidR="00F138C1" w:rsidRPr="00DD7C7F" w:rsidRDefault="00F138C1" w:rsidP="00F138C1">
            <w:pPr>
              <w:rPr>
                <w:sz w:val="20"/>
                <w:szCs w:val="20"/>
                <w:lang w:val="fr-CA"/>
              </w:rPr>
            </w:pPr>
            <w:r w:rsidRPr="00DD7C7F">
              <w:rPr>
                <w:sz w:val="20"/>
                <w:szCs w:val="20"/>
                <w:lang w:val="fr-CA"/>
              </w:rPr>
              <w:t xml:space="preserve">DATE DE PRODUCTION : le </w:t>
            </w:r>
            <w:r w:rsidR="009451C6" w:rsidRPr="00DD7C7F">
              <w:rPr>
                <w:sz w:val="20"/>
                <w:szCs w:val="20"/>
                <w:lang w:val="fr-CA"/>
              </w:rPr>
              <w:t>28</w:t>
            </w:r>
            <w:r w:rsidRPr="00DD7C7F">
              <w:rPr>
                <w:sz w:val="20"/>
                <w:szCs w:val="20"/>
                <w:lang w:val="fr-CA"/>
              </w:rPr>
              <w:t xml:space="preserve"> </w:t>
            </w:r>
            <w:r w:rsidR="009451C6" w:rsidRPr="00DD7C7F">
              <w:rPr>
                <w:sz w:val="20"/>
                <w:szCs w:val="20"/>
                <w:lang w:val="fr-CA"/>
              </w:rPr>
              <w:t>octobre</w:t>
            </w:r>
            <w:r w:rsidRPr="00DD7C7F">
              <w:rPr>
                <w:sz w:val="20"/>
                <w:szCs w:val="20"/>
                <w:lang w:val="fr-CA"/>
              </w:rPr>
              <w:t xml:space="preserve"> 20</w:t>
            </w:r>
            <w:r w:rsidR="00DA1D48" w:rsidRPr="00DD7C7F">
              <w:rPr>
                <w:sz w:val="20"/>
                <w:szCs w:val="20"/>
                <w:lang w:val="fr-CA"/>
              </w:rPr>
              <w:t>2</w:t>
            </w:r>
            <w:r w:rsidR="00E8642A" w:rsidRPr="00DD7C7F">
              <w:rPr>
                <w:sz w:val="20"/>
                <w:szCs w:val="20"/>
                <w:lang w:val="fr-CA"/>
              </w:rPr>
              <w:t>2</w:t>
            </w:r>
          </w:p>
          <w:p w:rsidR="004B2E86" w:rsidRPr="00DD7C7F" w:rsidRDefault="004B2E86" w:rsidP="00F138C1">
            <w:pPr>
              <w:rPr>
                <w:sz w:val="20"/>
                <w:szCs w:val="20"/>
                <w:lang w:val="fr-CA"/>
              </w:rPr>
            </w:pPr>
          </w:p>
          <w:p w:rsidR="00F138C1" w:rsidRPr="00DD7C7F" w:rsidRDefault="00512056"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DD7C7F" w:rsidTr="00F138C1">
        <w:tc>
          <w:tcPr>
            <w:tcW w:w="4239" w:type="dxa"/>
            <w:shd w:val="clear" w:color="auto" w:fill="auto"/>
          </w:tcPr>
          <w:p w:rsidR="00F138C1" w:rsidRPr="00DD7C7F" w:rsidRDefault="009451C6" w:rsidP="009B36BA">
            <w:pPr>
              <w:tabs>
                <w:tab w:val="left" w:pos="-1440"/>
                <w:tab w:val="left" w:pos="-720"/>
              </w:tabs>
              <w:rPr>
                <w:b/>
                <w:sz w:val="20"/>
                <w:szCs w:val="20"/>
                <w:lang w:val="en-US"/>
              </w:rPr>
            </w:pPr>
            <w:r w:rsidRPr="00DD7C7F">
              <w:rPr>
                <w:b/>
                <w:sz w:val="20"/>
                <w:szCs w:val="20"/>
                <w:lang w:val="en-US"/>
              </w:rPr>
              <w:t>Apotex Inc., et al.</w:t>
            </w:r>
          </w:p>
          <w:p w:rsidR="00F138C1" w:rsidRPr="00DD7C7F" w:rsidRDefault="00F138C1" w:rsidP="00F138C1">
            <w:pPr>
              <w:keepNext/>
              <w:keepLines/>
              <w:tabs>
                <w:tab w:val="left" w:pos="-1440"/>
                <w:tab w:val="left" w:pos="-720"/>
              </w:tabs>
              <w:rPr>
                <w:sz w:val="20"/>
                <w:szCs w:val="20"/>
                <w:lang w:val="en-US"/>
              </w:rPr>
            </w:pPr>
            <w:r w:rsidRPr="00DD7C7F">
              <w:rPr>
                <w:sz w:val="20"/>
                <w:szCs w:val="20"/>
                <w:lang w:val="en-US"/>
              </w:rPr>
              <w:tab/>
            </w:r>
            <w:r w:rsidR="009451C6" w:rsidRPr="00DD7C7F">
              <w:rPr>
                <w:sz w:val="20"/>
                <w:szCs w:val="20"/>
                <w:lang w:val="en-US"/>
              </w:rPr>
              <w:t>Radomski, Harry B.</w:t>
            </w:r>
          </w:p>
          <w:p w:rsidR="00F138C1" w:rsidRPr="00DD7C7F" w:rsidRDefault="00F138C1" w:rsidP="00F138C1">
            <w:pPr>
              <w:keepNext/>
              <w:keepLines/>
              <w:tabs>
                <w:tab w:val="left" w:pos="-1440"/>
                <w:tab w:val="left" w:pos="-720"/>
              </w:tabs>
              <w:rPr>
                <w:sz w:val="20"/>
                <w:szCs w:val="20"/>
                <w:lang w:val="en-US"/>
              </w:rPr>
            </w:pPr>
            <w:r w:rsidRPr="00DD7C7F">
              <w:rPr>
                <w:sz w:val="20"/>
                <w:szCs w:val="20"/>
                <w:lang w:val="en-US"/>
              </w:rPr>
              <w:tab/>
            </w:r>
            <w:r w:rsidR="009451C6" w:rsidRPr="00DD7C7F">
              <w:rPr>
                <w:sz w:val="20"/>
                <w:szCs w:val="20"/>
                <w:lang w:val="en-US"/>
              </w:rPr>
              <w:t>Goodmans LLP</w:t>
            </w:r>
          </w:p>
          <w:p w:rsidR="00F138C1" w:rsidRPr="00DD7C7F" w:rsidRDefault="00F138C1" w:rsidP="00F138C1">
            <w:pPr>
              <w:keepNext/>
              <w:keepLines/>
              <w:tabs>
                <w:tab w:val="left" w:pos="-1440"/>
                <w:tab w:val="left" w:pos="-720"/>
              </w:tabs>
              <w:rPr>
                <w:sz w:val="20"/>
                <w:szCs w:val="20"/>
                <w:lang w:val="en-US"/>
              </w:rPr>
            </w:pPr>
          </w:p>
          <w:p w:rsidR="00F138C1" w:rsidRPr="00DD7C7F" w:rsidRDefault="00F138C1" w:rsidP="00F138C1">
            <w:pPr>
              <w:keepNext/>
              <w:keepLines/>
              <w:tabs>
                <w:tab w:val="left" w:pos="-1440"/>
                <w:tab w:val="left" w:pos="-720"/>
              </w:tabs>
              <w:rPr>
                <w:sz w:val="20"/>
                <w:szCs w:val="20"/>
                <w:lang w:val="en-US"/>
              </w:rPr>
            </w:pPr>
            <w:r w:rsidRPr="00DD7C7F">
              <w:rPr>
                <w:sz w:val="20"/>
                <w:szCs w:val="20"/>
                <w:lang w:val="en-US"/>
              </w:rPr>
              <w:tab/>
              <w:t>v. (</w:t>
            </w:r>
            <w:r w:rsidR="009451C6" w:rsidRPr="00DD7C7F">
              <w:rPr>
                <w:sz w:val="20"/>
                <w:szCs w:val="20"/>
                <w:lang w:val="en-US"/>
              </w:rPr>
              <w:t>40420</w:t>
            </w:r>
            <w:r w:rsidRPr="00DD7C7F">
              <w:rPr>
                <w:sz w:val="20"/>
                <w:szCs w:val="20"/>
                <w:lang w:val="en-US"/>
              </w:rPr>
              <w:t>)</w:t>
            </w:r>
          </w:p>
          <w:p w:rsidR="00F138C1" w:rsidRPr="00DD7C7F" w:rsidRDefault="00F138C1" w:rsidP="00F138C1">
            <w:pPr>
              <w:keepNext/>
              <w:keepLines/>
              <w:tabs>
                <w:tab w:val="left" w:pos="-1440"/>
                <w:tab w:val="left" w:pos="-720"/>
              </w:tabs>
              <w:rPr>
                <w:sz w:val="20"/>
                <w:szCs w:val="20"/>
                <w:lang w:val="en-US"/>
              </w:rPr>
            </w:pPr>
          </w:p>
          <w:p w:rsidR="00F138C1" w:rsidRPr="00DD7C7F" w:rsidRDefault="009451C6" w:rsidP="00F138C1">
            <w:pPr>
              <w:keepNext/>
              <w:keepLines/>
              <w:tabs>
                <w:tab w:val="left" w:pos="-1440"/>
                <w:tab w:val="left" w:pos="-720"/>
              </w:tabs>
              <w:rPr>
                <w:b/>
                <w:sz w:val="20"/>
                <w:szCs w:val="20"/>
                <w:lang w:val="en-US"/>
              </w:rPr>
            </w:pPr>
            <w:r w:rsidRPr="00DD7C7F">
              <w:rPr>
                <w:b/>
                <w:sz w:val="20"/>
                <w:szCs w:val="20"/>
                <w:lang w:val="en-US"/>
              </w:rPr>
              <w:t>Eli Lilly Canada Inc., et al.</w:t>
            </w:r>
            <w:r w:rsidR="00F138C1" w:rsidRPr="00DD7C7F">
              <w:rPr>
                <w:b/>
                <w:sz w:val="20"/>
                <w:szCs w:val="20"/>
                <w:lang w:val="en-US"/>
              </w:rPr>
              <w:t xml:space="preserve"> (</w:t>
            </w:r>
            <w:r w:rsidRPr="00DD7C7F">
              <w:rPr>
                <w:b/>
                <w:sz w:val="20"/>
                <w:szCs w:val="20"/>
                <w:lang w:val="en-US"/>
              </w:rPr>
              <w:t>Ont</w:t>
            </w:r>
            <w:r w:rsidR="00F138C1" w:rsidRPr="00DD7C7F">
              <w:rPr>
                <w:b/>
                <w:sz w:val="20"/>
                <w:szCs w:val="20"/>
                <w:lang w:val="en-US"/>
              </w:rPr>
              <w:t>.)</w:t>
            </w:r>
          </w:p>
          <w:p w:rsidR="00F138C1" w:rsidRPr="00DD7C7F" w:rsidRDefault="00F138C1" w:rsidP="00F138C1">
            <w:pPr>
              <w:keepNext/>
              <w:keepLines/>
              <w:tabs>
                <w:tab w:val="left" w:pos="-1440"/>
                <w:tab w:val="left" w:pos="-720"/>
              </w:tabs>
              <w:rPr>
                <w:sz w:val="20"/>
                <w:szCs w:val="20"/>
                <w:lang w:val="en-US"/>
              </w:rPr>
            </w:pPr>
            <w:r w:rsidRPr="00DD7C7F">
              <w:rPr>
                <w:sz w:val="20"/>
                <w:szCs w:val="20"/>
                <w:lang w:val="en-US"/>
              </w:rPr>
              <w:tab/>
            </w:r>
            <w:r w:rsidR="009451C6" w:rsidRPr="00DD7C7F">
              <w:rPr>
                <w:sz w:val="20"/>
                <w:szCs w:val="20"/>
                <w:lang w:val="en-US"/>
              </w:rPr>
              <w:t>Richard, Marc</w:t>
            </w:r>
          </w:p>
          <w:p w:rsidR="00F138C1" w:rsidRPr="00DD7C7F" w:rsidRDefault="00F138C1" w:rsidP="00F138C1">
            <w:pPr>
              <w:keepNext/>
              <w:keepLines/>
              <w:tabs>
                <w:tab w:val="left" w:pos="-1440"/>
                <w:tab w:val="left" w:pos="-720"/>
              </w:tabs>
              <w:rPr>
                <w:sz w:val="20"/>
                <w:szCs w:val="20"/>
                <w:lang w:val="en-US"/>
              </w:rPr>
            </w:pPr>
            <w:r w:rsidRPr="00DD7C7F">
              <w:rPr>
                <w:sz w:val="20"/>
                <w:szCs w:val="20"/>
                <w:lang w:val="en-US"/>
              </w:rPr>
              <w:tab/>
            </w:r>
            <w:r w:rsidR="009451C6" w:rsidRPr="00DD7C7F">
              <w:rPr>
                <w:sz w:val="20"/>
                <w:szCs w:val="20"/>
                <w:lang w:val="en-US"/>
              </w:rPr>
              <w:t>Gowling WLG (Canada) LLP</w:t>
            </w:r>
          </w:p>
          <w:p w:rsidR="00F138C1" w:rsidRPr="00DD7C7F" w:rsidRDefault="00F138C1" w:rsidP="00F138C1">
            <w:pPr>
              <w:keepNext/>
              <w:keepLines/>
              <w:tabs>
                <w:tab w:val="left" w:pos="-1440"/>
                <w:tab w:val="left" w:pos="-720"/>
              </w:tabs>
              <w:rPr>
                <w:sz w:val="20"/>
                <w:szCs w:val="20"/>
                <w:lang w:val="en-US"/>
              </w:rPr>
            </w:pPr>
          </w:p>
          <w:p w:rsidR="004B2E86" w:rsidRPr="00DD7C7F" w:rsidRDefault="00F138C1" w:rsidP="00F138C1">
            <w:pPr>
              <w:rPr>
                <w:sz w:val="20"/>
                <w:szCs w:val="20"/>
                <w:lang w:val="fr-CA"/>
              </w:rPr>
            </w:pPr>
            <w:r w:rsidRPr="00DD7C7F">
              <w:rPr>
                <w:sz w:val="20"/>
                <w:szCs w:val="20"/>
                <w:lang w:val="fr-CA"/>
              </w:rPr>
              <w:t xml:space="preserve">FILING DATE: </w:t>
            </w:r>
            <w:r w:rsidR="009451C6" w:rsidRPr="00DD7C7F">
              <w:rPr>
                <w:sz w:val="20"/>
                <w:szCs w:val="20"/>
                <w:lang w:val="fr-CA"/>
              </w:rPr>
              <w:t>October</w:t>
            </w:r>
            <w:r w:rsidRPr="00DD7C7F">
              <w:rPr>
                <w:sz w:val="20"/>
                <w:szCs w:val="20"/>
                <w:lang w:val="fr-CA"/>
              </w:rPr>
              <w:t xml:space="preserve"> </w:t>
            </w:r>
            <w:r w:rsidR="009451C6" w:rsidRPr="00DD7C7F">
              <w:rPr>
                <w:sz w:val="20"/>
                <w:szCs w:val="20"/>
                <w:lang w:val="fr-CA"/>
              </w:rPr>
              <w:t>31</w:t>
            </w:r>
            <w:r w:rsidRPr="00DD7C7F">
              <w:rPr>
                <w:sz w:val="20"/>
                <w:szCs w:val="20"/>
                <w:lang w:val="fr-CA"/>
              </w:rPr>
              <w:t>, 20</w:t>
            </w:r>
            <w:r w:rsidR="00DA1D48" w:rsidRPr="00DD7C7F">
              <w:rPr>
                <w:sz w:val="20"/>
                <w:szCs w:val="20"/>
                <w:lang w:val="fr-CA"/>
              </w:rPr>
              <w:t>2</w:t>
            </w:r>
            <w:r w:rsidR="00E8642A" w:rsidRPr="00DD7C7F">
              <w:rPr>
                <w:sz w:val="20"/>
                <w:szCs w:val="20"/>
                <w:lang w:val="fr-CA"/>
              </w:rPr>
              <w:t>2</w:t>
            </w:r>
          </w:p>
          <w:p w:rsidR="004B2E86" w:rsidRPr="00DD7C7F" w:rsidRDefault="004B2E86" w:rsidP="00F138C1">
            <w:pPr>
              <w:rPr>
                <w:sz w:val="20"/>
                <w:szCs w:val="20"/>
                <w:lang w:val="fr-CA"/>
              </w:rPr>
            </w:pPr>
          </w:p>
          <w:p w:rsidR="00F138C1" w:rsidRPr="00DD7C7F" w:rsidRDefault="00512056"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F138C1" w:rsidRPr="00DD7C7F" w:rsidRDefault="00F138C1" w:rsidP="00F138C1">
            <w:pPr>
              <w:jc w:val="center"/>
              <w:rPr>
                <w:sz w:val="20"/>
                <w:szCs w:val="20"/>
                <w:lang w:val="en-US"/>
              </w:rPr>
            </w:pPr>
          </w:p>
          <w:p w:rsidR="004B2E86" w:rsidRPr="00DD7C7F" w:rsidRDefault="004B2E86" w:rsidP="00F138C1">
            <w:pPr>
              <w:jc w:val="center"/>
              <w:rPr>
                <w:sz w:val="20"/>
                <w:szCs w:val="20"/>
                <w:lang w:val="en-US"/>
              </w:rPr>
            </w:pPr>
          </w:p>
        </w:tc>
        <w:tc>
          <w:tcPr>
            <w:tcW w:w="4239" w:type="dxa"/>
            <w:shd w:val="clear" w:color="auto" w:fill="auto"/>
          </w:tcPr>
          <w:p w:rsidR="00F138C1" w:rsidRPr="00DD7C7F" w:rsidRDefault="006C5A6A" w:rsidP="00F138C1">
            <w:pPr>
              <w:rPr>
                <w:b/>
                <w:sz w:val="20"/>
                <w:szCs w:val="20"/>
                <w:lang w:val="fr-CA"/>
              </w:rPr>
            </w:pPr>
            <w:r w:rsidRPr="00DD7C7F">
              <w:rPr>
                <w:b/>
                <w:sz w:val="20"/>
                <w:szCs w:val="20"/>
                <w:lang w:val="fr-CA"/>
              </w:rPr>
              <w:t>Jean Rivard, et al.</w:t>
            </w:r>
          </w:p>
          <w:p w:rsidR="00F138C1" w:rsidRPr="00DD7C7F" w:rsidRDefault="00F138C1" w:rsidP="00F138C1">
            <w:pPr>
              <w:tabs>
                <w:tab w:val="left" w:pos="-1440"/>
                <w:tab w:val="left" w:pos="-720"/>
              </w:tabs>
              <w:rPr>
                <w:sz w:val="20"/>
                <w:szCs w:val="20"/>
                <w:lang w:val="fr-CA"/>
              </w:rPr>
            </w:pPr>
            <w:r w:rsidRPr="00DD7C7F">
              <w:rPr>
                <w:sz w:val="20"/>
                <w:szCs w:val="20"/>
                <w:lang w:val="fr-CA"/>
              </w:rPr>
              <w:tab/>
            </w:r>
            <w:r w:rsidR="006C5A6A" w:rsidRPr="00DD7C7F">
              <w:rPr>
                <w:sz w:val="20"/>
                <w:szCs w:val="20"/>
                <w:lang w:val="fr-CA"/>
              </w:rPr>
              <w:t>Bourgoin, David</w:t>
            </w:r>
          </w:p>
          <w:p w:rsidR="00F138C1" w:rsidRPr="00DD7C7F" w:rsidRDefault="00F138C1" w:rsidP="00F138C1">
            <w:pPr>
              <w:tabs>
                <w:tab w:val="left" w:pos="-1440"/>
                <w:tab w:val="left" w:pos="-720"/>
              </w:tabs>
              <w:rPr>
                <w:sz w:val="20"/>
                <w:szCs w:val="20"/>
                <w:lang w:val="fr-CA"/>
              </w:rPr>
            </w:pPr>
            <w:r w:rsidRPr="00DD7C7F">
              <w:rPr>
                <w:sz w:val="20"/>
                <w:szCs w:val="20"/>
                <w:lang w:val="fr-CA"/>
              </w:rPr>
              <w:tab/>
            </w:r>
            <w:r w:rsidR="006C5A6A" w:rsidRPr="00DD7C7F">
              <w:rPr>
                <w:sz w:val="20"/>
                <w:szCs w:val="20"/>
                <w:lang w:val="fr-CA"/>
              </w:rPr>
              <w:t>BGA Avocats inc.</w:t>
            </w:r>
          </w:p>
          <w:p w:rsidR="00F138C1" w:rsidRPr="00DD7C7F" w:rsidRDefault="00F138C1" w:rsidP="00F138C1">
            <w:pPr>
              <w:tabs>
                <w:tab w:val="left" w:pos="-1440"/>
                <w:tab w:val="left" w:pos="-720"/>
              </w:tabs>
              <w:rPr>
                <w:sz w:val="20"/>
                <w:szCs w:val="20"/>
                <w:lang w:val="fr-CA"/>
              </w:rPr>
            </w:pPr>
          </w:p>
          <w:p w:rsidR="00F138C1" w:rsidRPr="00DD7C7F" w:rsidRDefault="00F138C1" w:rsidP="00F138C1">
            <w:pPr>
              <w:tabs>
                <w:tab w:val="left" w:pos="-1440"/>
                <w:tab w:val="left" w:pos="-720"/>
              </w:tabs>
              <w:rPr>
                <w:sz w:val="20"/>
                <w:szCs w:val="20"/>
                <w:lang w:val="fr-CA"/>
              </w:rPr>
            </w:pPr>
            <w:r w:rsidRPr="00DD7C7F">
              <w:rPr>
                <w:sz w:val="20"/>
                <w:szCs w:val="20"/>
                <w:lang w:val="fr-CA"/>
              </w:rPr>
              <w:tab/>
              <w:t>c. (</w:t>
            </w:r>
            <w:r w:rsidR="006C5A6A" w:rsidRPr="00DD7C7F">
              <w:rPr>
                <w:sz w:val="20"/>
                <w:szCs w:val="20"/>
                <w:lang w:val="fr-CA"/>
              </w:rPr>
              <w:t>40421</w:t>
            </w:r>
            <w:r w:rsidRPr="00DD7C7F">
              <w:rPr>
                <w:sz w:val="20"/>
                <w:szCs w:val="20"/>
                <w:lang w:val="fr-CA"/>
              </w:rPr>
              <w:t>)</w:t>
            </w:r>
          </w:p>
          <w:p w:rsidR="00F138C1" w:rsidRPr="00DD7C7F" w:rsidRDefault="00F138C1" w:rsidP="00F138C1">
            <w:pPr>
              <w:tabs>
                <w:tab w:val="left" w:pos="-1440"/>
                <w:tab w:val="left" w:pos="-720"/>
              </w:tabs>
              <w:rPr>
                <w:sz w:val="20"/>
                <w:szCs w:val="20"/>
                <w:lang w:val="fr-CA"/>
              </w:rPr>
            </w:pPr>
          </w:p>
          <w:p w:rsidR="00F138C1" w:rsidRPr="00DD7C7F" w:rsidRDefault="006C5A6A" w:rsidP="00F138C1">
            <w:pPr>
              <w:tabs>
                <w:tab w:val="left" w:pos="-1440"/>
                <w:tab w:val="left" w:pos="-720"/>
              </w:tabs>
              <w:rPr>
                <w:b/>
                <w:sz w:val="20"/>
                <w:szCs w:val="20"/>
                <w:lang w:val="fr-CA"/>
              </w:rPr>
            </w:pPr>
            <w:r w:rsidRPr="00DD7C7F">
              <w:rPr>
                <w:b/>
                <w:sz w:val="20"/>
                <w:szCs w:val="20"/>
                <w:lang w:val="fr-CA"/>
              </w:rPr>
              <w:t>Éoliennes de l'Érable S.E.C.</w:t>
            </w:r>
            <w:r w:rsidR="00F138C1" w:rsidRPr="00DD7C7F">
              <w:rPr>
                <w:sz w:val="20"/>
                <w:szCs w:val="20"/>
                <w:lang w:val="fr-CA"/>
              </w:rPr>
              <w:t xml:space="preserve"> </w:t>
            </w:r>
            <w:r w:rsidR="00F138C1" w:rsidRPr="00DD7C7F">
              <w:rPr>
                <w:b/>
                <w:sz w:val="20"/>
                <w:szCs w:val="20"/>
                <w:lang w:val="fr-CA"/>
              </w:rPr>
              <w:t>(Qc)</w:t>
            </w:r>
          </w:p>
          <w:p w:rsidR="00F138C1" w:rsidRPr="00DD7C7F" w:rsidRDefault="00F138C1" w:rsidP="00F138C1">
            <w:pPr>
              <w:tabs>
                <w:tab w:val="left" w:pos="-1440"/>
                <w:tab w:val="left" w:pos="-720"/>
              </w:tabs>
              <w:rPr>
                <w:sz w:val="20"/>
                <w:szCs w:val="20"/>
                <w:lang w:val="fr-CA"/>
              </w:rPr>
            </w:pPr>
            <w:r w:rsidRPr="00DD7C7F">
              <w:rPr>
                <w:sz w:val="20"/>
                <w:szCs w:val="20"/>
                <w:lang w:val="fr-CA"/>
              </w:rPr>
              <w:tab/>
            </w:r>
            <w:r w:rsidR="006C5A6A" w:rsidRPr="00DD7C7F">
              <w:rPr>
                <w:sz w:val="20"/>
                <w:szCs w:val="20"/>
                <w:lang w:val="fr-CA"/>
              </w:rPr>
              <w:t>Martineau, Yves</w:t>
            </w:r>
          </w:p>
          <w:p w:rsidR="00F138C1" w:rsidRPr="00DD7C7F" w:rsidRDefault="00F138C1" w:rsidP="00F138C1">
            <w:pPr>
              <w:tabs>
                <w:tab w:val="left" w:pos="-1440"/>
                <w:tab w:val="left" w:pos="-720"/>
              </w:tabs>
              <w:rPr>
                <w:sz w:val="20"/>
                <w:szCs w:val="20"/>
                <w:lang w:val="fr-CA"/>
              </w:rPr>
            </w:pPr>
            <w:r w:rsidRPr="00DD7C7F">
              <w:rPr>
                <w:sz w:val="20"/>
                <w:szCs w:val="20"/>
                <w:lang w:val="fr-CA"/>
              </w:rPr>
              <w:tab/>
            </w:r>
            <w:r w:rsidR="006C5A6A" w:rsidRPr="00DD7C7F">
              <w:rPr>
                <w:sz w:val="20"/>
                <w:szCs w:val="20"/>
                <w:lang w:val="fr-CA"/>
              </w:rPr>
              <w:t>Stikeman Elliott LLP</w:t>
            </w:r>
          </w:p>
          <w:p w:rsidR="00F138C1" w:rsidRPr="00DD7C7F" w:rsidRDefault="00F138C1" w:rsidP="00F138C1">
            <w:pPr>
              <w:tabs>
                <w:tab w:val="left" w:pos="-1440"/>
                <w:tab w:val="left" w:pos="-720"/>
              </w:tabs>
              <w:rPr>
                <w:sz w:val="20"/>
                <w:szCs w:val="20"/>
                <w:lang w:val="fr-CA"/>
              </w:rPr>
            </w:pPr>
          </w:p>
          <w:p w:rsidR="00F138C1" w:rsidRPr="00DD7C7F" w:rsidRDefault="00F138C1" w:rsidP="00F138C1">
            <w:pPr>
              <w:rPr>
                <w:sz w:val="20"/>
                <w:szCs w:val="20"/>
                <w:lang w:val="fr-CA"/>
              </w:rPr>
            </w:pPr>
            <w:r w:rsidRPr="00DD7C7F">
              <w:rPr>
                <w:sz w:val="20"/>
                <w:szCs w:val="20"/>
                <w:lang w:val="fr-CA"/>
              </w:rPr>
              <w:t xml:space="preserve">DATE DE PRODUCTION: le </w:t>
            </w:r>
            <w:r w:rsidR="006C5A6A" w:rsidRPr="00DD7C7F">
              <w:rPr>
                <w:sz w:val="20"/>
                <w:szCs w:val="20"/>
                <w:lang w:val="fr-CA"/>
              </w:rPr>
              <w:t>31</w:t>
            </w:r>
            <w:r w:rsidRPr="00DD7C7F">
              <w:rPr>
                <w:sz w:val="20"/>
                <w:szCs w:val="20"/>
                <w:lang w:val="fr-CA"/>
              </w:rPr>
              <w:t xml:space="preserve"> </w:t>
            </w:r>
            <w:r w:rsidR="006C5A6A" w:rsidRPr="00DD7C7F">
              <w:rPr>
                <w:sz w:val="20"/>
                <w:szCs w:val="20"/>
                <w:lang w:val="fr-CA"/>
              </w:rPr>
              <w:t>octobre</w:t>
            </w:r>
            <w:r w:rsidRPr="00DD7C7F">
              <w:rPr>
                <w:sz w:val="20"/>
                <w:szCs w:val="20"/>
                <w:lang w:val="fr-CA"/>
              </w:rPr>
              <w:t xml:space="preserve"> 20</w:t>
            </w:r>
            <w:r w:rsidR="00DA1D48" w:rsidRPr="00DD7C7F">
              <w:rPr>
                <w:sz w:val="20"/>
                <w:szCs w:val="20"/>
                <w:lang w:val="fr-CA"/>
              </w:rPr>
              <w:t>2</w:t>
            </w:r>
            <w:r w:rsidR="00E8642A" w:rsidRPr="00DD7C7F">
              <w:rPr>
                <w:sz w:val="20"/>
                <w:szCs w:val="20"/>
                <w:lang w:val="fr-CA"/>
              </w:rPr>
              <w:t>2</w:t>
            </w:r>
          </w:p>
          <w:p w:rsidR="004B2E86" w:rsidRPr="00DD7C7F" w:rsidRDefault="004B2E86" w:rsidP="00F138C1">
            <w:pPr>
              <w:rPr>
                <w:sz w:val="20"/>
                <w:szCs w:val="20"/>
                <w:lang w:val="fr-CA"/>
              </w:rPr>
            </w:pPr>
          </w:p>
          <w:p w:rsidR="00F138C1" w:rsidRPr="00DD7C7F" w:rsidRDefault="00512056"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DD7C7F" w:rsidTr="00F138C1">
        <w:tc>
          <w:tcPr>
            <w:tcW w:w="4239" w:type="dxa"/>
            <w:shd w:val="clear" w:color="auto" w:fill="auto"/>
          </w:tcPr>
          <w:p w:rsidR="00DA1D48" w:rsidRPr="00DD7C7F" w:rsidRDefault="006C5A6A" w:rsidP="00DA1D48">
            <w:pPr>
              <w:rPr>
                <w:sz w:val="20"/>
                <w:szCs w:val="20"/>
                <w:lang w:val="fr-CA"/>
              </w:rPr>
            </w:pPr>
            <w:r w:rsidRPr="00DD7C7F">
              <w:rPr>
                <w:b/>
                <w:sz w:val="20"/>
                <w:szCs w:val="20"/>
                <w:lang w:val="fr-CA"/>
              </w:rPr>
              <w:t>Ali Maroofi</w:t>
            </w:r>
          </w:p>
          <w:p w:rsidR="00DA1D48" w:rsidRPr="00DD7C7F" w:rsidRDefault="00DA1D48" w:rsidP="00DA1D48">
            <w:pPr>
              <w:tabs>
                <w:tab w:val="left" w:pos="-1440"/>
                <w:tab w:val="left" w:pos="-720"/>
              </w:tabs>
              <w:rPr>
                <w:sz w:val="20"/>
                <w:szCs w:val="20"/>
                <w:lang w:val="fr-CA"/>
              </w:rPr>
            </w:pPr>
            <w:r w:rsidRPr="00DD7C7F">
              <w:rPr>
                <w:sz w:val="20"/>
                <w:szCs w:val="20"/>
                <w:lang w:val="fr-CA"/>
              </w:rPr>
              <w:tab/>
            </w:r>
            <w:r w:rsidR="006C5A6A" w:rsidRPr="00DD7C7F">
              <w:rPr>
                <w:sz w:val="20"/>
                <w:szCs w:val="20"/>
                <w:lang w:val="fr-CA"/>
              </w:rPr>
              <w:t>Ali Maroofi</w:t>
            </w:r>
          </w:p>
          <w:p w:rsidR="00EC6816" w:rsidRPr="00DD7C7F" w:rsidRDefault="00EC6816" w:rsidP="00DA1D48">
            <w:pPr>
              <w:tabs>
                <w:tab w:val="left" w:pos="-1440"/>
                <w:tab w:val="left" w:pos="-720"/>
              </w:tabs>
              <w:rPr>
                <w:sz w:val="20"/>
                <w:szCs w:val="20"/>
                <w:lang w:val="fr-CA"/>
              </w:rPr>
            </w:pPr>
          </w:p>
          <w:p w:rsidR="00DA1D48" w:rsidRPr="00DD7C7F" w:rsidRDefault="00DA1D48" w:rsidP="00DA1D48">
            <w:pPr>
              <w:tabs>
                <w:tab w:val="left" w:pos="-1440"/>
                <w:tab w:val="left" w:pos="-720"/>
              </w:tabs>
              <w:rPr>
                <w:sz w:val="20"/>
                <w:szCs w:val="20"/>
                <w:lang w:val="fr-CA"/>
              </w:rPr>
            </w:pPr>
            <w:r w:rsidRPr="00DD7C7F">
              <w:rPr>
                <w:sz w:val="20"/>
                <w:szCs w:val="20"/>
                <w:lang w:val="fr-CA"/>
              </w:rPr>
              <w:tab/>
              <w:t>v. (</w:t>
            </w:r>
            <w:r w:rsidR="006C5A6A" w:rsidRPr="00DD7C7F">
              <w:rPr>
                <w:sz w:val="20"/>
                <w:szCs w:val="20"/>
                <w:lang w:val="fr-CA"/>
              </w:rPr>
              <w:t>40422</w:t>
            </w:r>
            <w:r w:rsidRPr="00DD7C7F">
              <w:rPr>
                <w:sz w:val="20"/>
                <w:szCs w:val="20"/>
                <w:lang w:val="fr-CA"/>
              </w:rPr>
              <w:t>)</w:t>
            </w:r>
          </w:p>
          <w:p w:rsidR="00DA1D48" w:rsidRPr="00DD7C7F" w:rsidRDefault="00DA1D48" w:rsidP="00DA1D48">
            <w:pPr>
              <w:tabs>
                <w:tab w:val="left" w:pos="-1440"/>
                <w:tab w:val="left" w:pos="-720"/>
              </w:tabs>
              <w:rPr>
                <w:sz w:val="20"/>
                <w:szCs w:val="20"/>
                <w:lang w:val="fr-CA"/>
              </w:rPr>
            </w:pPr>
          </w:p>
          <w:p w:rsidR="00DA1D48" w:rsidRPr="00DD7C7F" w:rsidRDefault="006C5A6A" w:rsidP="00DA1D48">
            <w:pPr>
              <w:tabs>
                <w:tab w:val="left" w:pos="-1440"/>
                <w:tab w:val="left" w:pos="-720"/>
              </w:tabs>
              <w:rPr>
                <w:b/>
                <w:sz w:val="20"/>
                <w:szCs w:val="20"/>
                <w:lang w:val="en-US"/>
              </w:rPr>
            </w:pPr>
            <w:r w:rsidRPr="00DD7C7F">
              <w:rPr>
                <w:b/>
                <w:sz w:val="20"/>
                <w:szCs w:val="20"/>
                <w:lang w:val="en-US"/>
              </w:rPr>
              <w:t>Health Professions Review Board</w:t>
            </w:r>
            <w:r w:rsidR="00DA1D48" w:rsidRPr="00DD7C7F">
              <w:rPr>
                <w:b/>
                <w:sz w:val="20"/>
                <w:szCs w:val="20"/>
                <w:lang w:val="en-US"/>
              </w:rPr>
              <w:t xml:space="preserve"> (</w:t>
            </w:r>
            <w:r w:rsidRPr="00DD7C7F">
              <w:rPr>
                <w:b/>
                <w:sz w:val="20"/>
                <w:szCs w:val="20"/>
                <w:lang w:val="en-US"/>
              </w:rPr>
              <w:t>B.C</w:t>
            </w:r>
            <w:r w:rsidR="00DA1D48" w:rsidRPr="00DD7C7F">
              <w:rPr>
                <w:b/>
                <w:sz w:val="20"/>
                <w:szCs w:val="20"/>
                <w:lang w:val="en-US"/>
              </w:rPr>
              <w:t>.)</w:t>
            </w:r>
          </w:p>
          <w:p w:rsidR="00DA1D48" w:rsidRPr="00DD7C7F" w:rsidRDefault="00DA1D48" w:rsidP="00DA1D48">
            <w:pPr>
              <w:tabs>
                <w:tab w:val="left" w:pos="-1440"/>
                <w:tab w:val="left" w:pos="-720"/>
              </w:tabs>
              <w:rPr>
                <w:sz w:val="20"/>
                <w:szCs w:val="20"/>
                <w:lang w:val="fr-CA"/>
              </w:rPr>
            </w:pPr>
            <w:r w:rsidRPr="00DD7C7F">
              <w:rPr>
                <w:sz w:val="20"/>
                <w:szCs w:val="20"/>
                <w:lang w:val="en-US"/>
              </w:rPr>
              <w:tab/>
            </w:r>
            <w:r w:rsidR="006C5A6A" w:rsidRPr="00DD7C7F">
              <w:rPr>
                <w:sz w:val="20"/>
                <w:szCs w:val="20"/>
                <w:lang w:val="fr-CA"/>
              </w:rPr>
              <w:t>Latimer, K.C., Alison M.</w:t>
            </w:r>
          </w:p>
          <w:p w:rsidR="00DA1D48" w:rsidRPr="00DD7C7F" w:rsidRDefault="00DA1D48" w:rsidP="00DA1D48">
            <w:pPr>
              <w:tabs>
                <w:tab w:val="left" w:pos="-1440"/>
                <w:tab w:val="left" w:pos="-720"/>
              </w:tabs>
              <w:rPr>
                <w:sz w:val="20"/>
                <w:szCs w:val="20"/>
                <w:lang w:val="fr-CA"/>
              </w:rPr>
            </w:pPr>
          </w:p>
          <w:p w:rsidR="00DA1D48" w:rsidRPr="00DD7C7F" w:rsidRDefault="00DA1D48" w:rsidP="00DA1D48">
            <w:pPr>
              <w:rPr>
                <w:sz w:val="20"/>
                <w:szCs w:val="20"/>
              </w:rPr>
            </w:pPr>
            <w:r w:rsidRPr="00DD7C7F">
              <w:rPr>
                <w:sz w:val="20"/>
                <w:szCs w:val="20"/>
              </w:rPr>
              <w:t xml:space="preserve">FILING DATE: </w:t>
            </w:r>
            <w:r w:rsidR="006C5A6A" w:rsidRPr="00DD7C7F">
              <w:rPr>
                <w:sz w:val="20"/>
                <w:szCs w:val="20"/>
              </w:rPr>
              <w:t>November</w:t>
            </w:r>
            <w:r w:rsidRPr="00DD7C7F">
              <w:rPr>
                <w:sz w:val="20"/>
                <w:szCs w:val="20"/>
              </w:rPr>
              <w:t xml:space="preserve"> </w:t>
            </w:r>
            <w:r w:rsidR="006C5A6A" w:rsidRPr="00DD7C7F">
              <w:rPr>
                <w:sz w:val="20"/>
                <w:szCs w:val="20"/>
              </w:rPr>
              <w:t>1</w:t>
            </w:r>
            <w:r w:rsidRPr="00DD7C7F">
              <w:rPr>
                <w:sz w:val="20"/>
                <w:szCs w:val="20"/>
              </w:rPr>
              <w:t>, 202</w:t>
            </w:r>
            <w:r w:rsidR="00E8642A" w:rsidRPr="00DD7C7F">
              <w:rPr>
                <w:sz w:val="20"/>
                <w:szCs w:val="20"/>
              </w:rPr>
              <w:t>2</w:t>
            </w:r>
          </w:p>
          <w:p w:rsidR="00DA1D48" w:rsidRPr="00DD7C7F" w:rsidRDefault="00DA1D48" w:rsidP="00DA1D48">
            <w:pPr>
              <w:rPr>
                <w:sz w:val="20"/>
                <w:szCs w:val="20"/>
              </w:rPr>
            </w:pPr>
          </w:p>
          <w:p w:rsidR="00F138C1" w:rsidRPr="00DD7C7F" w:rsidRDefault="00512056"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DD7C7F" w:rsidRDefault="00F138C1"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p w:rsidR="00DA1D48" w:rsidRPr="00DD7C7F" w:rsidRDefault="00DA1D48" w:rsidP="00F138C1">
            <w:pPr>
              <w:jc w:val="center"/>
              <w:rPr>
                <w:sz w:val="20"/>
                <w:szCs w:val="20"/>
                <w:lang w:val="en-US"/>
              </w:rPr>
            </w:pPr>
          </w:p>
        </w:tc>
        <w:tc>
          <w:tcPr>
            <w:tcW w:w="4239" w:type="dxa"/>
            <w:shd w:val="clear" w:color="auto" w:fill="auto"/>
          </w:tcPr>
          <w:p w:rsidR="00DA1D48" w:rsidRPr="00DD7C7F" w:rsidRDefault="006C5A6A" w:rsidP="00DA1D48">
            <w:pPr>
              <w:rPr>
                <w:b/>
                <w:sz w:val="20"/>
                <w:szCs w:val="20"/>
                <w:lang w:val="fr-CA"/>
              </w:rPr>
            </w:pPr>
            <w:r w:rsidRPr="00DD7C7F">
              <w:rPr>
                <w:b/>
                <w:sz w:val="20"/>
                <w:szCs w:val="20"/>
                <w:lang w:val="fr-CA"/>
              </w:rPr>
              <w:t>Charles Thomas Polanski</w:t>
            </w:r>
          </w:p>
          <w:p w:rsidR="00DA1D48" w:rsidRPr="00DD7C7F" w:rsidRDefault="00DA1D48" w:rsidP="00DA1D48">
            <w:pPr>
              <w:tabs>
                <w:tab w:val="left" w:pos="-1440"/>
                <w:tab w:val="left" w:pos="-720"/>
              </w:tabs>
              <w:rPr>
                <w:sz w:val="20"/>
                <w:szCs w:val="20"/>
                <w:lang w:val="fr-CA"/>
              </w:rPr>
            </w:pPr>
            <w:r w:rsidRPr="00DD7C7F">
              <w:rPr>
                <w:sz w:val="20"/>
                <w:szCs w:val="20"/>
                <w:lang w:val="fr-CA"/>
              </w:rPr>
              <w:tab/>
            </w:r>
            <w:r w:rsidR="006C5A6A" w:rsidRPr="00DD7C7F">
              <w:rPr>
                <w:sz w:val="20"/>
                <w:szCs w:val="20"/>
                <w:lang w:val="fr-CA"/>
              </w:rPr>
              <w:t>Charles Thomas Polanski</w:t>
            </w:r>
          </w:p>
          <w:p w:rsidR="00DA1D48" w:rsidRPr="00DD7C7F" w:rsidRDefault="00DA1D48" w:rsidP="00DA1D48">
            <w:pPr>
              <w:tabs>
                <w:tab w:val="left" w:pos="-1440"/>
                <w:tab w:val="left" w:pos="-720"/>
              </w:tabs>
              <w:rPr>
                <w:sz w:val="20"/>
                <w:szCs w:val="20"/>
                <w:lang w:val="fr-CA"/>
              </w:rPr>
            </w:pPr>
          </w:p>
          <w:p w:rsidR="006C5A6A" w:rsidRPr="00DD7C7F" w:rsidRDefault="006C5A6A" w:rsidP="006C5A6A">
            <w:pPr>
              <w:tabs>
                <w:tab w:val="left" w:pos="-1440"/>
                <w:tab w:val="left" w:pos="-720"/>
              </w:tabs>
              <w:rPr>
                <w:sz w:val="20"/>
                <w:szCs w:val="20"/>
                <w:lang w:val="en-US"/>
              </w:rPr>
            </w:pPr>
            <w:r w:rsidRPr="00DD7C7F">
              <w:rPr>
                <w:sz w:val="20"/>
                <w:szCs w:val="20"/>
                <w:lang w:val="fr-CA"/>
              </w:rPr>
              <w:tab/>
            </w:r>
            <w:r w:rsidRPr="00DD7C7F">
              <w:rPr>
                <w:sz w:val="20"/>
                <w:szCs w:val="20"/>
                <w:lang w:val="en-US"/>
              </w:rPr>
              <w:t>v. (40423)</w:t>
            </w:r>
          </w:p>
          <w:p w:rsidR="00DA1D48" w:rsidRPr="00DD7C7F" w:rsidRDefault="00DA1D48" w:rsidP="00DA1D48">
            <w:pPr>
              <w:tabs>
                <w:tab w:val="left" w:pos="-1440"/>
                <w:tab w:val="left" w:pos="-720"/>
              </w:tabs>
              <w:rPr>
                <w:sz w:val="20"/>
                <w:szCs w:val="20"/>
                <w:lang w:val="en-US"/>
              </w:rPr>
            </w:pPr>
          </w:p>
          <w:p w:rsidR="00DA1D48" w:rsidRPr="00DD7C7F" w:rsidRDefault="006C5A6A" w:rsidP="00DA1D48">
            <w:pPr>
              <w:tabs>
                <w:tab w:val="left" w:pos="-1440"/>
                <w:tab w:val="left" w:pos="-720"/>
              </w:tabs>
              <w:rPr>
                <w:b/>
                <w:sz w:val="20"/>
                <w:szCs w:val="20"/>
                <w:lang w:val="en-US"/>
              </w:rPr>
            </w:pPr>
            <w:r w:rsidRPr="00DD7C7F">
              <w:rPr>
                <w:b/>
                <w:sz w:val="20"/>
                <w:szCs w:val="20"/>
                <w:lang w:val="en-US"/>
              </w:rPr>
              <w:t>Law Society of Ontario</w:t>
            </w:r>
            <w:r w:rsidR="00DA1D48" w:rsidRPr="00DD7C7F">
              <w:rPr>
                <w:sz w:val="20"/>
                <w:szCs w:val="20"/>
                <w:lang w:val="en-US"/>
              </w:rPr>
              <w:t xml:space="preserve"> </w:t>
            </w:r>
            <w:r w:rsidR="00DA1D48" w:rsidRPr="00DD7C7F">
              <w:rPr>
                <w:b/>
                <w:sz w:val="20"/>
                <w:szCs w:val="20"/>
                <w:lang w:val="en-US"/>
              </w:rPr>
              <w:t>(</w:t>
            </w:r>
            <w:r w:rsidRPr="00DD7C7F">
              <w:rPr>
                <w:b/>
                <w:sz w:val="20"/>
                <w:szCs w:val="20"/>
                <w:lang w:val="en-US"/>
              </w:rPr>
              <w:t>Ont.</w:t>
            </w:r>
            <w:r w:rsidR="00DA1D48" w:rsidRPr="00DD7C7F">
              <w:rPr>
                <w:b/>
                <w:sz w:val="20"/>
                <w:szCs w:val="20"/>
                <w:lang w:val="en-US"/>
              </w:rPr>
              <w:t>)</w:t>
            </w:r>
          </w:p>
          <w:p w:rsidR="00DA1D48" w:rsidRPr="00DD7C7F" w:rsidRDefault="00DA1D48" w:rsidP="00DA1D48">
            <w:pPr>
              <w:tabs>
                <w:tab w:val="left" w:pos="-1440"/>
                <w:tab w:val="left" w:pos="-720"/>
              </w:tabs>
              <w:rPr>
                <w:sz w:val="20"/>
                <w:szCs w:val="20"/>
                <w:lang w:val="en-US"/>
              </w:rPr>
            </w:pPr>
            <w:r w:rsidRPr="00DD7C7F">
              <w:rPr>
                <w:sz w:val="20"/>
                <w:szCs w:val="20"/>
                <w:lang w:val="en-US"/>
              </w:rPr>
              <w:tab/>
            </w:r>
            <w:r w:rsidR="006C5A6A" w:rsidRPr="00DD7C7F">
              <w:rPr>
                <w:sz w:val="20"/>
                <w:szCs w:val="20"/>
                <w:lang w:val="en-US"/>
              </w:rPr>
              <w:t>Dhanoa, Nisha</w:t>
            </w:r>
          </w:p>
          <w:p w:rsidR="00DA1D48" w:rsidRPr="00DD7C7F" w:rsidRDefault="00DA1D48" w:rsidP="00DA1D48">
            <w:pPr>
              <w:tabs>
                <w:tab w:val="left" w:pos="-1440"/>
                <w:tab w:val="left" w:pos="-720"/>
              </w:tabs>
              <w:rPr>
                <w:sz w:val="20"/>
                <w:szCs w:val="20"/>
                <w:lang w:val="en-US"/>
              </w:rPr>
            </w:pPr>
            <w:r w:rsidRPr="00DD7C7F">
              <w:rPr>
                <w:sz w:val="20"/>
                <w:szCs w:val="20"/>
                <w:lang w:val="en-US"/>
              </w:rPr>
              <w:tab/>
            </w:r>
            <w:r w:rsidR="006C5A6A" w:rsidRPr="00DD7C7F">
              <w:rPr>
                <w:sz w:val="20"/>
                <w:szCs w:val="20"/>
                <w:lang w:val="en-US"/>
              </w:rPr>
              <w:t>Law Society of Ontario</w:t>
            </w:r>
          </w:p>
          <w:p w:rsidR="00DA1D48" w:rsidRPr="00DD7C7F" w:rsidRDefault="00DA1D48" w:rsidP="00DA1D48">
            <w:pPr>
              <w:tabs>
                <w:tab w:val="left" w:pos="-1440"/>
                <w:tab w:val="left" w:pos="-720"/>
              </w:tabs>
              <w:rPr>
                <w:sz w:val="20"/>
                <w:szCs w:val="20"/>
                <w:lang w:val="en-US"/>
              </w:rPr>
            </w:pPr>
          </w:p>
          <w:p w:rsidR="006C5A6A" w:rsidRPr="00DD7C7F" w:rsidRDefault="006C5A6A" w:rsidP="006C5A6A">
            <w:pPr>
              <w:rPr>
                <w:sz w:val="20"/>
                <w:szCs w:val="20"/>
              </w:rPr>
            </w:pPr>
            <w:r w:rsidRPr="00DD7C7F">
              <w:rPr>
                <w:sz w:val="20"/>
                <w:szCs w:val="20"/>
              </w:rPr>
              <w:t>FILING DATE: November 1, 2022</w:t>
            </w:r>
          </w:p>
          <w:p w:rsidR="00DA1D48" w:rsidRPr="00DD7C7F" w:rsidRDefault="00DA1D48" w:rsidP="00DA1D48">
            <w:pPr>
              <w:rPr>
                <w:sz w:val="20"/>
                <w:szCs w:val="20"/>
                <w:lang w:val="fr-CA"/>
              </w:rPr>
            </w:pPr>
          </w:p>
          <w:p w:rsidR="00F138C1" w:rsidRPr="00DD7C7F" w:rsidRDefault="00512056" w:rsidP="00DA1D48">
            <w:pPr>
              <w:rPr>
                <w:sz w:val="20"/>
                <w:szCs w:val="20"/>
                <w:lang w:val="fr-CA"/>
              </w:rPr>
            </w:pPr>
            <w:r>
              <w:rPr>
                <w:sz w:val="20"/>
                <w:szCs w:val="20"/>
                <w:lang w:val="fr-CA"/>
              </w:rPr>
              <w:pict>
                <v:rect id="_x0000_i1030" style="width:108pt;height:1pt" o:hrpct="0" o:hrstd="t" o:hrnoshade="t" o:hr="t" fillcolor="black [3213]" stroked="f"/>
              </w:pict>
            </w:r>
          </w:p>
        </w:tc>
      </w:tr>
    </w:tbl>
    <w:p w:rsidR="006C5A6A" w:rsidRPr="00DD7C7F" w:rsidRDefault="006C5A6A">
      <w:r w:rsidRPr="00DD7C7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50C19" w:rsidRPr="00DD7C7F" w:rsidTr="00F138C1">
        <w:tc>
          <w:tcPr>
            <w:tcW w:w="4239" w:type="dxa"/>
            <w:shd w:val="clear" w:color="auto" w:fill="auto"/>
          </w:tcPr>
          <w:p w:rsidR="00150C19" w:rsidRPr="00DD7C7F" w:rsidRDefault="006C5A6A" w:rsidP="00150C19">
            <w:pPr>
              <w:rPr>
                <w:sz w:val="20"/>
                <w:szCs w:val="20"/>
                <w:lang w:val="fr-CA"/>
              </w:rPr>
            </w:pPr>
            <w:r w:rsidRPr="00DD7C7F">
              <w:rPr>
                <w:b/>
                <w:sz w:val="20"/>
                <w:szCs w:val="20"/>
                <w:lang w:val="fr-CA"/>
              </w:rPr>
              <w:lastRenderedPageBreak/>
              <w:t>Daniel Awanda</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6C5A6A" w:rsidRPr="00DD7C7F">
              <w:rPr>
                <w:sz w:val="20"/>
                <w:szCs w:val="20"/>
                <w:lang w:val="fr-CA"/>
              </w:rPr>
              <w:t>Daniel Awanda</w:t>
            </w:r>
          </w:p>
          <w:p w:rsidR="00150C19" w:rsidRPr="00DD7C7F" w:rsidRDefault="00150C19" w:rsidP="00150C19">
            <w:pPr>
              <w:tabs>
                <w:tab w:val="left" w:pos="-1440"/>
                <w:tab w:val="left" w:pos="-720"/>
              </w:tabs>
              <w:rPr>
                <w:sz w:val="20"/>
                <w:szCs w:val="20"/>
                <w:lang w:val="fr-CA"/>
              </w:rPr>
            </w:pPr>
          </w:p>
          <w:p w:rsidR="00150C19" w:rsidRPr="00DD7C7F" w:rsidRDefault="00150C19" w:rsidP="00150C19">
            <w:pPr>
              <w:tabs>
                <w:tab w:val="left" w:pos="-1440"/>
                <w:tab w:val="left" w:pos="-720"/>
              </w:tabs>
              <w:rPr>
                <w:sz w:val="20"/>
                <w:szCs w:val="20"/>
                <w:lang w:val="fr-CA"/>
              </w:rPr>
            </w:pPr>
            <w:r w:rsidRPr="00DD7C7F">
              <w:rPr>
                <w:sz w:val="20"/>
                <w:szCs w:val="20"/>
                <w:lang w:val="fr-CA"/>
              </w:rPr>
              <w:tab/>
              <w:t>v. (4</w:t>
            </w:r>
            <w:r w:rsidR="006C5A6A" w:rsidRPr="00DD7C7F">
              <w:rPr>
                <w:sz w:val="20"/>
                <w:szCs w:val="20"/>
                <w:lang w:val="fr-CA"/>
              </w:rPr>
              <w:t>0425</w:t>
            </w:r>
            <w:r w:rsidRPr="00DD7C7F">
              <w:rPr>
                <w:sz w:val="20"/>
                <w:szCs w:val="20"/>
                <w:lang w:val="fr-CA"/>
              </w:rPr>
              <w:t>)</w:t>
            </w:r>
          </w:p>
          <w:p w:rsidR="00150C19" w:rsidRPr="00DD7C7F" w:rsidRDefault="00150C19" w:rsidP="00150C19">
            <w:pPr>
              <w:tabs>
                <w:tab w:val="left" w:pos="-1440"/>
                <w:tab w:val="left" w:pos="-720"/>
              </w:tabs>
              <w:rPr>
                <w:sz w:val="20"/>
                <w:szCs w:val="20"/>
                <w:lang w:val="fr-CA"/>
              </w:rPr>
            </w:pPr>
          </w:p>
          <w:p w:rsidR="00150C19" w:rsidRPr="00DD7C7F" w:rsidRDefault="006C5A6A" w:rsidP="00150C19">
            <w:pPr>
              <w:tabs>
                <w:tab w:val="left" w:pos="-1440"/>
                <w:tab w:val="left" w:pos="-720"/>
              </w:tabs>
              <w:rPr>
                <w:b/>
                <w:sz w:val="20"/>
                <w:szCs w:val="20"/>
                <w:lang w:val="fr-CA"/>
              </w:rPr>
            </w:pPr>
            <w:r w:rsidRPr="00DD7C7F">
              <w:rPr>
                <w:b/>
                <w:sz w:val="20"/>
                <w:szCs w:val="20"/>
                <w:lang w:val="fr-CA"/>
              </w:rPr>
              <w:t>AMBC Ventures Inc.</w:t>
            </w:r>
            <w:r w:rsidR="00150C19" w:rsidRPr="00DD7C7F">
              <w:rPr>
                <w:b/>
                <w:sz w:val="20"/>
                <w:szCs w:val="20"/>
                <w:lang w:val="fr-CA"/>
              </w:rPr>
              <w:t xml:space="preserve"> (</w:t>
            </w:r>
            <w:r w:rsidRPr="00DD7C7F">
              <w:rPr>
                <w:b/>
                <w:sz w:val="20"/>
                <w:szCs w:val="20"/>
                <w:lang w:val="fr-CA"/>
              </w:rPr>
              <w:t>Que</w:t>
            </w:r>
            <w:r w:rsidR="00150C19" w:rsidRPr="00DD7C7F">
              <w:rPr>
                <w:b/>
                <w:sz w:val="20"/>
                <w:szCs w:val="20"/>
                <w:lang w:val="fr-CA"/>
              </w:rPr>
              <w:t>.)</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6C5A6A" w:rsidRPr="00DD7C7F">
              <w:rPr>
                <w:sz w:val="20"/>
                <w:szCs w:val="20"/>
                <w:lang w:val="fr-CA"/>
              </w:rPr>
              <w:t>Seida, Simon</w:t>
            </w:r>
          </w:p>
          <w:p w:rsidR="006C5A6A" w:rsidRPr="00DD7C7F" w:rsidRDefault="00150C19" w:rsidP="00150C19">
            <w:pPr>
              <w:tabs>
                <w:tab w:val="left" w:pos="-1440"/>
                <w:tab w:val="left" w:pos="-720"/>
              </w:tabs>
              <w:rPr>
                <w:sz w:val="20"/>
                <w:szCs w:val="20"/>
                <w:lang w:val="fr-CA"/>
              </w:rPr>
            </w:pPr>
            <w:r w:rsidRPr="00DD7C7F">
              <w:rPr>
                <w:sz w:val="20"/>
                <w:szCs w:val="20"/>
                <w:lang w:val="fr-CA"/>
              </w:rPr>
              <w:tab/>
            </w:r>
            <w:r w:rsidR="006C5A6A" w:rsidRPr="00DD7C7F">
              <w:rPr>
                <w:sz w:val="20"/>
                <w:szCs w:val="20"/>
                <w:lang w:val="fr-CA"/>
              </w:rPr>
              <w:t xml:space="preserve">Blake, Cassels &amp; Graydon S.E.N.C.R.L. </w:t>
            </w:r>
          </w:p>
          <w:p w:rsidR="00150C19" w:rsidRPr="00DD7C7F" w:rsidRDefault="006C5A6A" w:rsidP="00150C19">
            <w:pPr>
              <w:tabs>
                <w:tab w:val="left" w:pos="-1440"/>
                <w:tab w:val="left" w:pos="-720"/>
              </w:tabs>
              <w:rPr>
                <w:sz w:val="20"/>
                <w:szCs w:val="20"/>
              </w:rPr>
            </w:pPr>
            <w:r w:rsidRPr="00DD7C7F">
              <w:rPr>
                <w:sz w:val="20"/>
                <w:szCs w:val="20"/>
                <w:lang w:val="fr-CA"/>
              </w:rPr>
              <w:tab/>
            </w:r>
            <w:r w:rsidRPr="00DD7C7F">
              <w:rPr>
                <w:sz w:val="20"/>
                <w:szCs w:val="20"/>
              </w:rPr>
              <w:t>/ s.r.l.</w:t>
            </w:r>
          </w:p>
          <w:p w:rsidR="00150C19" w:rsidRPr="00DD7C7F" w:rsidRDefault="00150C19" w:rsidP="00150C19">
            <w:pPr>
              <w:tabs>
                <w:tab w:val="left" w:pos="-1440"/>
                <w:tab w:val="left" w:pos="-720"/>
              </w:tabs>
              <w:rPr>
                <w:sz w:val="20"/>
                <w:szCs w:val="20"/>
              </w:rPr>
            </w:pPr>
          </w:p>
          <w:p w:rsidR="00150C19" w:rsidRPr="00DD7C7F" w:rsidRDefault="00150C19" w:rsidP="00150C19">
            <w:pPr>
              <w:rPr>
                <w:sz w:val="20"/>
                <w:szCs w:val="20"/>
              </w:rPr>
            </w:pPr>
            <w:r w:rsidRPr="00DD7C7F">
              <w:rPr>
                <w:sz w:val="20"/>
                <w:szCs w:val="20"/>
              </w:rPr>
              <w:t xml:space="preserve">FILING DATE: </w:t>
            </w:r>
            <w:r w:rsidR="006C5A6A" w:rsidRPr="00DD7C7F">
              <w:rPr>
                <w:sz w:val="20"/>
                <w:szCs w:val="20"/>
              </w:rPr>
              <w:t>November</w:t>
            </w:r>
            <w:r w:rsidRPr="00DD7C7F">
              <w:rPr>
                <w:sz w:val="20"/>
                <w:szCs w:val="20"/>
              </w:rPr>
              <w:t xml:space="preserve"> </w:t>
            </w:r>
            <w:r w:rsidR="006C5A6A" w:rsidRPr="00DD7C7F">
              <w:rPr>
                <w:sz w:val="20"/>
                <w:szCs w:val="20"/>
              </w:rPr>
              <w:t>2</w:t>
            </w:r>
            <w:r w:rsidRPr="00DD7C7F">
              <w:rPr>
                <w:sz w:val="20"/>
                <w:szCs w:val="20"/>
              </w:rPr>
              <w:t>, 2022</w:t>
            </w:r>
          </w:p>
          <w:p w:rsidR="00150C19" w:rsidRPr="00DD7C7F" w:rsidRDefault="00150C19" w:rsidP="00150C19">
            <w:pPr>
              <w:rPr>
                <w:sz w:val="20"/>
                <w:szCs w:val="20"/>
              </w:rPr>
            </w:pPr>
          </w:p>
          <w:p w:rsidR="00150C19" w:rsidRPr="00DD7C7F" w:rsidRDefault="00512056" w:rsidP="00150C19">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tc>
        <w:tc>
          <w:tcPr>
            <w:tcW w:w="4239" w:type="dxa"/>
            <w:shd w:val="clear" w:color="auto" w:fill="auto"/>
          </w:tcPr>
          <w:p w:rsidR="00150C19" w:rsidRPr="00DD7C7F" w:rsidRDefault="006C5A6A" w:rsidP="00150C19">
            <w:pPr>
              <w:rPr>
                <w:sz w:val="20"/>
                <w:szCs w:val="20"/>
                <w:lang w:val="en-US"/>
              </w:rPr>
            </w:pPr>
            <w:r w:rsidRPr="00DD7C7F">
              <w:rPr>
                <w:b/>
                <w:sz w:val="20"/>
                <w:szCs w:val="20"/>
                <w:lang w:val="en-US"/>
              </w:rPr>
              <w:t>Kobe Mohr</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6C5A6A" w:rsidRPr="00DD7C7F">
              <w:rPr>
                <w:sz w:val="20"/>
                <w:szCs w:val="20"/>
                <w:lang w:val="en-US"/>
              </w:rPr>
              <w:t>Laxer, Jonathan</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6C5A6A" w:rsidRPr="00DD7C7F">
              <w:rPr>
                <w:sz w:val="20"/>
                <w:szCs w:val="20"/>
                <w:lang w:val="en-US"/>
              </w:rPr>
              <w:t>Juristes Power</w:t>
            </w:r>
          </w:p>
          <w:p w:rsidR="00150C19" w:rsidRPr="00DD7C7F" w:rsidRDefault="00150C19" w:rsidP="00150C19">
            <w:pPr>
              <w:tabs>
                <w:tab w:val="left" w:pos="-1440"/>
                <w:tab w:val="left" w:pos="-720"/>
              </w:tabs>
              <w:rPr>
                <w:sz w:val="20"/>
                <w:szCs w:val="20"/>
                <w:lang w:val="en-US"/>
              </w:rPr>
            </w:pPr>
          </w:p>
          <w:p w:rsidR="006C5A6A" w:rsidRPr="00DD7C7F" w:rsidRDefault="006C5A6A" w:rsidP="006C5A6A">
            <w:pPr>
              <w:tabs>
                <w:tab w:val="left" w:pos="-1440"/>
                <w:tab w:val="left" w:pos="-720"/>
              </w:tabs>
              <w:rPr>
                <w:sz w:val="20"/>
                <w:szCs w:val="20"/>
                <w:lang w:val="en-US"/>
              </w:rPr>
            </w:pPr>
            <w:r w:rsidRPr="00DD7C7F">
              <w:rPr>
                <w:sz w:val="20"/>
                <w:szCs w:val="20"/>
                <w:lang w:val="en-US"/>
              </w:rPr>
              <w:tab/>
              <w:t>v. (40426)</w:t>
            </w:r>
          </w:p>
          <w:p w:rsidR="00150C19" w:rsidRPr="00DD7C7F" w:rsidRDefault="00150C19" w:rsidP="00150C19">
            <w:pPr>
              <w:tabs>
                <w:tab w:val="left" w:pos="-1440"/>
                <w:tab w:val="left" w:pos="-720"/>
              </w:tabs>
              <w:rPr>
                <w:sz w:val="20"/>
                <w:szCs w:val="20"/>
                <w:lang w:val="en-US"/>
              </w:rPr>
            </w:pPr>
          </w:p>
          <w:p w:rsidR="00150C19" w:rsidRPr="00DD7C7F" w:rsidRDefault="006C5A6A" w:rsidP="00150C19">
            <w:pPr>
              <w:tabs>
                <w:tab w:val="left" w:pos="-1440"/>
                <w:tab w:val="left" w:pos="-720"/>
              </w:tabs>
              <w:rPr>
                <w:b/>
                <w:sz w:val="20"/>
                <w:szCs w:val="20"/>
                <w:lang w:val="en-US"/>
              </w:rPr>
            </w:pPr>
            <w:r w:rsidRPr="00DD7C7F">
              <w:rPr>
                <w:b/>
                <w:sz w:val="20"/>
                <w:szCs w:val="20"/>
                <w:lang w:val="en-US"/>
              </w:rPr>
              <w:t>National Hockey League, et al.</w:t>
            </w:r>
            <w:r w:rsidR="00150C19" w:rsidRPr="00DD7C7F">
              <w:rPr>
                <w:b/>
                <w:sz w:val="20"/>
                <w:szCs w:val="20"/>
                <w:lang w:val="en-US"/>
              </w:rPr>
              <w:t xml:space="preserve"> (</w:t>
            </w:r>
            <w:r w:rsidRPr="00DD7C7F">
              <w:rPr>
                <w:b/>
                <w:sz w:val="20"/>
                <w:szCs w:val="20"/>
                <w:lang w:val="en-US"/>
              </w:rPr>
              <w:t>F.C</w:t>
            </w:r>
            <w:r w:rsidR="00150C19" w:rsidRPr="00DD7C7F">
              <w:rPr>
                <w:b/>
                <w:sz w:val="20"/>
                <w:szCs w:val="20"/>
                <w:lang w:val="en-US"/>
              </w:rPr>
              <w:t>.)</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6C5A6A" w:rsidRPr="00DD7C7F">
              <w:rPr>
                <w:sz w:val="20"/>
                <w:szCs w:val="20"/>
                <w:lang w:val="en-US"/>
              </w:rPr>
              <w:t>Shamie, Stephen J.</w:t>
            </w:r>
          </w:p>
          <w:p w:rsidR="00150C19" w:rsidRPr="00DD7C7F" w:rsidRDefault="00150C19" w:rsidP="00150C19">
            <w:pPr>
              <w:tabs>
                <w:tab w:val="left" w:pos="-1440"/>
                <w:tab w:val="left" w:pos="-720"/>
              </w:tabs>
              <w:rPr>
                <w:sz w:val="20"/>
                <w:szCs w:val="20"/>
              </w:rPr>
            </w:pPr>
            <w:r w:rsidRPr="00DD7C7F">
              <w:rPr>
                <w:sz w:val="20"/>
                <w:szCs w:val="20"/>
                <w:lang w:val="en-US"/>
              </w:rPr>
              <w:tab/>
            </w:r>
            <w:r w:rsidR="006C5A6A" w:rsidRPr="00DD7C7F">
              <w:rPr>
                <w:sz w:val="20"/>
                <w:szCs w:val="20"/>
              </w:rPr>
              <w:t>Hicks Morley LLP</w:t>
            </w:r>
          </w:p>
          <w:p w:rsidR="00150C19" w:rsidRPr="00DD7C7F" w:rsidRDefault="00150C19" w:rsidP="00150C19">
            <w:pPr>
              <w:tabs>
                <w:tab w:val="left" w:pos="-1440"/>
                <w:tab w:val="left" w:pos="-720"/>
              </w:tabs>
              <w:rPr>
                <w:sz w:val="20"/>
                <w:szCs w:val="20"/>
              </w:rPr>
            </w:pPr>
          </w:p>
          <w:p w:rsidR="00150C19" w:rsidRPr="00DD7C7F" w:rsidRDefault="00150C19" w:rsidP="00150C19">
            <w:pPr>
              <w:rPr>
                <w:sz w:val="20"/>
                <w:szCs w:val="20"/>
              </w:rPr>
            </w:pPr>
            <w:r w:rsidRPr="00DD7C7F">
              <w:rPr>
                <w:sz w:val="20"/>
                <w:szCs w:val="20"/>
              </w:rPr>
              <w:t xml:space="preserve">FILING DATE: </w:t>
            </w:r>
            <w:r w:rsidR="006C5A6A" w:rsidRPr="00DD7C7F">
              <w:rPr>
                <w:sz w:val="20"/>
                <w:szCs w:val="20"/>
              </w:rPr>
              <w:t>November</w:t>
            </w:r>
            <w:r w:rsidRPr="00DD7C7F">
              <w:rPr>
                <w:sz w:val="20"/>
                <w:szCs w:val="20"/>
              </w:rPr>
              <w:t xml:space="preserve"> </w:t>
            </w:r>
            <w:r w:rsidR="006C5A6A" w:rsidRPr="00DD7C7F">
              <w:rPr>
                <w:sz w:val="20"/>
                <w:szCs w:val="20"/>
              </w:rPr>
              <w:t>3</w:t>
            </w:r>
            <w:r w:rsidRPr="00DD7C7F">
              <w:rPr>
                <w:sz w:val="20"/>
                <w:szCs w:val="20"/>
              </w:rPr>
              <w:t>, 2022</w:t>
            </w:r>
          </w:p>
          <w:p w:rsidR="00150C19" w:rsidRPr="00DD7C7F" w:rsidRDefault="00150C19" w:rsidP="00150C19">
            <w:pPr>
              <w:rPr>
                <w:sz w:val="20"/>
                <w:szCs w:val="20"/>
              </w:rPr>
            </w:pPr>
          </w:p>
          <w:p w:rsidR="00150C19" w:rsidRPr="00DD7C7F" w:rsidRDefault="00512056" w:rsidP="00150C19">
            <w:pPr>
              <w:rPr>
                <w:b/>
                <w:sz w:val="20"/>
                <w:szCs w:val="20"/>
                <w:lang w:val="fr-CA"/>
              </w:rPr>
            </w:pPr>
            <w:r>
              <w:rPr>
                <w:sz w:val="20"/>
                <w:szCs w:val="20"/>
                <w:lang w:val="fr-CA"/>
              </w:rPr>
              <w:pict>
                <v:rect id="_x0000_i1032" style="width:108pt;height:1pt" o:hrpct="0" o:hrstd="t" o:hrnoshade="t" o:hr="t" fillcolor="black [3213]" stroked="f"/>
              </w:pict>
            </w:r>
          </w:p>
        </w:tc>
      </w:tr>
      <w:tr w:rsidR="00150C19" w:rsidRPr="00DD7C7F" w:rsidTr="00F138C1">
        <w:tc>
          <w:tcPr>
            <w:tcW w:w="4239" w:type="dxa"/>
            <w:shd w:val="clear" w:color="auto" w:fill="auto"/>
          </w:tcPr>
          <w:p w:rsidR="00150C19" w:rsidRPr="00DD7C7F" w:rsidRDefault="00DF14AC" w:rsidP="00150C19">
            <w:pPr>
              <w:rPr>
                <w:sz w:val="20"/>
                <w:szCs w:val="20"/>
                <w:lang w:val="en-US"/>
              </w:rPr>
            </w:pPr>
            <w:r w:rsidRPr="00DD7C7F">
              <w:rPr>
                <w:b/>
                <w:sz w:val="20"/>
                <w:szCs w:val="20"/>
                <w:lang w:val="en-US"/>
              </w:rPr>
              <w:t>Michael Christopher Love</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DF14AC" w:rsidRPr="00DD7C7F">
              <w:rPr>
                <w:sz w:val="20"/>
                <w:szCs w:val="20"/>
                <w:lang w:val="en-US"/>
              </w:rPr>
              <w:t>Milczarek, Pawel J.</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DF14AC" w:rsidRPr="00DD7C7F">
              <w:rPr>
                <w:sz w:val="20"/>
                <w:szCs w:val="20"/>
                <w:lang w:val="en-US"/>
              </w:rPr>
              <w:t>Sitar &amp; Milczarek</w:t>
            </w:r>
          </w:p>
          <w:p w:rsidR="00150C19" w:rsidRPr="00DD7C7F" w:rsidRDefault="00150C19" w:rsidP="00150C19">
            <w:pPr>
              <w:tabs>
                <w:tab w:val="left" w:pos="-1440"/>
                <w:tab w:val="left" w:pos="-720"/>
              </w:tabs>
              <w:rPr>
                <w:sz w:val="20"/>
                <w:szCs w:val="20"/>
                <w:lang w:val="en-US"/>
              </w:rPr>
            </w:pPr>
          </w:p>
          <w:p w:rsidR="006C5A6A" w:rsidRPr="00DD7C7F" w:rsidRDefault="006C5A6A" w:rsidP="006C5A6A">
            <w:pPr>
              <w:tabs>
                <w:tab w:val="left" w:pos="-1440"/>
                <w:tab w:val="left" w:pos="-720"/>
              </w:tabs>
              <w:rPr>
                <w:sz w:val="20"/>
                <w:szCs w:val="20"/>
                <w:lang w:val="en-US"/>
              </w:rPr>
            </w:pPr>
            <w:r w:rsidRPr="00DD7C7F">
              <w:rPr>
                <w:sz w:val="20"/>
                <w:szCs w:val="20"/>
                <w:lang w:val="en-US"/>
              </w:rPr>
              <w:tab/>
              <w:t>v. (40427)</w:t>
            </w:r>
          </w:p>
          <w:p w:rsidR="00150C19" w:rsidRPr="00DD7C7F" w:rsidRDefault="00150C19" w:rsidP="00150C19">
            <w:pPr>
              <w:tabs>
                <w:tab w:val="left" w:pos="-1440"/>
                <w:tab w:val="left" w:pos="-720"/>
              </w:tabs>
              <w:rPr>
                <w:sz w:val="20"/>
                <w:szCs w:val="20"/>
                <w:lang w:val="en-US"/>
              </w:rPr>
            </w:pPr>
          </w:p>
          <w:p w:rsidR="00150C19" w:rsidRPr="00DD7C7F" w:rsidRDefault="00DF14AC" w:rsidP="00150C19">
            <w:pPr>
              <w:tabs>
                <w:tab w:val="left" w:pos="-1440"/>
                <w:tab w:val="left" w:pos="-720"/>
              </w:tabs>
              <w:rPr>
                <w:b/>
                <w:sz w:val="20"/>
                <w:szCs w:val="20"/>
                <w:lang w:val="en-US"/>
              </w:rPr>
            </w:pPr>
            <w:r w:rsidRPr="00DD7C7F">
              <w:rPr>
                <w:b/>
                <w:sz w:val="20"/>
                <w:szCs w:val="20"/>
                <w:lang w:val="en-US"/>
              </w:rPr>
              <w:t>His Majesty the King</w:t>
            </w:r>
            <w:r w:rsidR="00150C19" w:rsidRPr="00DD7C7F">
              <w:rPr>
                <w:b/>
                <w:sz w:val="20"/>
                <w:szCs w:val="20"/>
                <w:lang w:val="en-US"/>
              </w:rPr>
              <w:t xml:space="preserve"> (</w:t>
            </w:r>
            <w:r w:rsidRPr="00DD7C7F">
              <w:rPr>
                <w:b/>
                <w:sz w:val="20"/>
                <w:szCs w:val="20"/>
                <w:lang w:val="en-US"/>
              </w:rPr>
              <w:t>Alta</w:t>
            </w:r>
            <w:r w:rsidR="00150C19" w:rsidRPr="00DD7C7F">
              <w:rPr>
                <w:b/>
                <w:sz w:val="20"/>
                <w:szCs w:val="20"/>
                <w:lang w:val="en-US"/>
              </w:rPr>
              <w:t>.)</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DF14AC" w:rsidRPr="00DD7C7F">
              <w:rPr>
                <w:sz w:val="20"/>
                <w:szCs w:val="20"/>
                <w:lang w:val="en-US"/>
              </w:rPr>
              <w:t>Dhillon, Rajbir</w:t>
            </w:r>
          </w:p>
          <w:p w:rsidR="00150C19" w:rsidRPr="00DD7C7F" w:rsidRDefault="00150C19" w:rsidP="00150C19">
            <w:pPr>
              <w:tabs>
                <w:tab w:val="left" w:pos="-1440"/>
                <w:tab w:val="left" w:pos="-720"/>
              </w:tabs>
              <w:rPr>
                <w:sz w:val="20"/>
                <w:szCs w:val="20"/>
              </w:rPr>
            </w:pPr>
            <w:r w:rsidRPr="00DD7C7F">
              <w:rPr>
                <w:sz w:val="20"/>
                <w:szCs w:val="20"/>
                <w:lang w:val="en-US"/>
              </w:rPr>
              <w:tab/>
            </w:r>
            <w:r w:rsidR="00DF14AC" w:rsidRPr="00DD7C7F">
              <w:rPr>
                <w:sz w:val="20"/>
                <w:szCs w:val="20"/>
              </w:rPr>
              <w:t>Justice and Solicitor General</w:t>
            </w:r>
          </w:p>
          <w:p w:rsidR="00150C19" w:rsidRPr="00DD7C7F" w:rsidRDefault="00150C19" w:rsidP="00150C19">
            <w:pPr>
              <w:tabs>
                <w:tab w:val="left" w:pos="-1440"/>
                <w:tab w:val="left" w:pos="-720"/>
              </w:tabs>
              <w:rPr>
                <w:sz w:val="20"/>
                <w:szCs w:val="20"/>
              </w:rPr>
            </w:pPr>
          </w:p>
          <w:p w:rsidR="00150C19" w:rsidRPr="00DD7C7F" w:rsidRDefault="00150C19" w:rsidP="00150C19">
            <w:pPr>
              <w:rPr>
                <w:sz w:val="20"/>
                <w:szCs w:val="20"/>
              </w:rPr>
            </w:pPr>
            <w:r w:rsidRPr="00DD7C7F">
              <w:rPr>
                <w:sz w:val="20"/>
                <w:szCs w:val="20"/>
              </w:rPr>
              <w:t xml:space="preserve">FILING DATE: </w:t>
            </w:r>
            <w:r w:rsidR="00DF14AC" w:rsidRPr="00DD7C7F">
              <w:rPr>
                <w:sz w:val="20"/>
                <w:szCs w:val="20"/>
              </w:rPr>
              <w:t>November</w:t>
            </w:r>
            <w:r w:rsidRPr="00DD7C7F">
              <w:rPr>
                <w:sz w:val="20"/>
                <w:szCs w:val="20"/>
              </w:rPr>
              <w:t xml:space="preserve"> </w:t>
            </w:r>
            <w:r w:rsidR="00DF14AC" w:rsidRPr="00DD7C7F">
              <w:rPr>
                <w:sz w:val="20"/>
                <w:szCs w:val="20"/>
              </w:rPr>
              <w:t>3</w:t>
            </w:r>
            <w:r w:rsidRPr="00DD7C7F">
              <w:rPr>
                <w:sz w:val="20"/>
                <w:szCs w:val="20"/>
              </w:rPr>
              <w:t>, 2022</w:t>
            </w:r>
          </w:p>
          <w:p w:rsidR="00150C19" w:rsidRPr="00DD7C7F" w:rsidRDefault="00150C19" w:rsidP="00150C19">
            <w:pPr>
              <w:rPr>
                <w:sz w:val="20"/>
                <w:szCs w:val="20"/>
              </w:rPr>
            </w:pPr>
          </w:p>
          <w:p w:rsidR="00150C19" w:rsidRPr="00DD7C7F" w:rsidRDefault="00512056" w:rsidP="00150C19">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DF14AC" w:rsidRPr="00DD7C7F" w:rsidRDefault="00DF14AC"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tc>
        <w:tc>
          <w:tcPr>
            <w:tcW w:w="4239" w:type="dxa"/>
            <w:shd w:val="clear" w:color="auto" w:fill="auto"/>
          </w:tcPr>
          <w:p w:rsidR="00150C19" w:rsidRPr="00DD7C7F" w:rsidRDefault="00DF14AC" w:rsidP="00150C19">
            <w:pPr>
              <w:rPr>
                <w:sz w:val="20"/>
                <w:szCs w:val="20"/>
                <w:lang w:val="fr-CA"/>
              </w:rPr>
            </w:pPr>
            <w:r w:rsidRPr="00DD7C7F">
              <w:rPr>
                <w:b/>
                <w:sz w:val="20"/>
                <w:szCs w:val="20"/>
                <w:lang w:val="fr-CA"/>
              </w:rPr>
              <w:t>Sa Majesté le Roi</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DF14AC" w:rsidRPr="00DD7C7F">
              <w:rPr>
                <w:sz w:val="20"/>
                <w:szCs w:val="20"/>
                <w:lang w:val="fr-CA"/>
              </w:rPr>
              <w:t>Le Colletter, Frédérique</w:t>
            </w:r>
          </w:p>
          <w:p w:rsidR="00DF14AC" w:rsidRPr="00DD7C7F" w:rsidRDefault="00150C19" w:rsidP="00150C19">
            <w:pPr>
              <w:tabs>
                <w:tab w:val="left" w:pos="-1440"/>
                <w:tab w:val="left" w:pos="-720"/>
              </w:tabs>
              <w:rPr>
                <w:sz w:val="20"/>
                <w:szCs w:val="20"/>
                <w:lang w:val="fr-CA"/>
              </w:rPr>
            </w:pPr>
            <w:r w:rsidRPr="00DD7C7F">
              <w:rPr>
                <w:sz w:val="20"/>
                <w:szCs w:val="20"/>
                <w:lang w:val="fr-CA"/>
              </w:rPr>
              <w:tab/>
            </w:r>
            <w:r w:rsidR="00DF14AC" w:rsidRPr="00DD7C7F">
              <w:rPr>
                <w:sz w:val="20"/>
                <w:szCs w:val="20"/>
                <w:lang w:val="fr-CA"/>
              </w:rPr>
              <w:t xml:space="preserve">Directeur des poursuites criminelles et </w:t>
            </w:r>
          </w:p>
          <w:p w:rsidR="00150C19" w:rsidRPr="00DD7C7F" w:rsidRDefault="00DF14AC" w:rsidP="00150C19">
            <w:pPr>
              <w:tabs>
                <w:tab w:val="left" w:pos="-1440"/>
                <w:tab w:val="left" w:pos="-720"/>
              </w:tabs>
              <w:rPr>
                <w:sz w:val="20"/>
                <w:szCs w:val="20"/>
                <w:lang w:val="fr-CA"/>
              </w:rPr>
            </w:pPr>
            <w:r w:rsidRPr="00DD7C7F">
              <w:rPr>
                <w:sz w:val="20"/>
                <w:szCs w:val="20"/>
                <w:lang w:val="fr-CA"/>
              </w:rPr>
              <w:tab/>
              <w:t>pénales du Québec</w:t>
            </w:r>
          </w:p>
          <w:p w:rsidR="00150C19" w:rsidRPr="00DD7C7F" w:rsidRDefault="00150C19" w:rsidP="00150C19">
            <w:pPr>
              <w:tabs>
                <w:tab w:val="left" w:pos="-1440"/>
                <w:tab w:val="left" w:pos="-720"/>
              </w:tabs>
              <w:rPr>
                <w:sz w:val="20"/>
                <w:szCs w:val="20"/>
                <w:lang w:val="fr-CA"/>
              </w:rPr>
            </w:pPr>
          </w:p>
          <w:p w:rsidR="006C5A6A" w:rsidRPr="00DD7C7F" w:rsidRDefault="006C5A6A" w:rsidP="006C5A6A">
            <w:pPr>
              <w:tabs>
                <w:tab w:val="left" w:pos="-1440"/>
                <w:tab w:val="left" w:pos="-720"/>
              </w:tabs>
              <w:rPr>
                <w:sz w:val="20"/>
                <w:szCs w:val="20"/>
                <w:lang w:val="fr-CA"/>
              </w:rPr>
            </w:pPr>
            <w:r w:rsidRPr="00DD7C7F">
              <w:rPr>
                <w:sz w:val="20"/>
                <w:szCs w:val="20"/>
                <w:lang w:val="fr-CA"/>
              </w:rPr>
              <w:tab/>
              <w:t>v. (40428)</w:t>
            </w:r>
          </w:p>
          <w:p w:rsidR="00150C19" w:rsidRPr="00DD7C7F" w:rsidRDefault="00150C19" w:rsidP="00150C19">
            <w:pPr>
              <w:tabs>
                <w:tab w:val="left" w:pos="-1440"/>
                <w:tab w:val="left" w:pos="-720"/>
              </w:tabs>
              <w:rPr>
                <w:sz w:val="20"/>
                <w:szCs w:val="20"/>
                <w:lang w:val="fr-CA"/>
              </w:rPr>
            </w:pPr>
          </w:p>
          <w:p w:rsidR="00150C19" w:rsidRPr="00DD7C7F" w:rsidRDefault="00DF14AC" w:rsidP="00150C19">
            <w:pPr>
              <w:tabs>
                <w:tab w:val="left" w:pos="-1440"/>
                <w:tab w:val="left" w:pos="-720"/>
              </w:tabs>
              <w:rPr>
                <w:b/>
                <w:sz w:val="20"/>
                <w:szCs w:val="20"/>
                <w:lang w:val="fr-CA"/>
              </w:rPr>
            </w:pPr>
            <w:r w:rsidRPr="00DD7C7F">
              <w:rPr>
                <w:b/>
                <w:sz w:val="20"/>
                <w:szCs w:val="20"/>
                <w:lang w:val="fr-CA"/>
              </w:rPr>
              <w:t>Agénor Archambault, et al.</w:t>
            </w:r>
            <w:r w:rsidR="00150C19" w:rsidRPr="00DD7C7F">
              <w:rPr>
                <w:b/>
                <w:sz w:val="20"/>
                <w:szCs w:val="20"/>
                <w:lang w:val="fr-CA"/>
              </w:rPr>
              <w:t xml:space="preserve"> (</w:t>
            </w:r>
            <w:r w:rsidRPr="00DD7C7F">
              <w:rPr>
                <w:b/>
                <w:sz w:val="20"/>
                <w:szCs w:val="20"/>
                <w:lang w:val="fr-CA"/>
              </w:rPr>
              <w:t>Qc</w:t>
            </w:r>
            <w:r w:rsidR="00150C19" w:rsidRPr="00DD7C7F">
              <w:rPr>
                <w:b/>
                <w:sz w:val="20"/>
                <w:szCs w:val="20"/>
                <w:lang w:val="fr-CA"/>
              </w:rPr>
              <w:t>)</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DF14AC" w:rsidRPr="00DD7C7F">
              <w:rPr>
                <w:sz w:val="20"/>
                <w:szCs w:val="20"/>
                <w:lang w:val="fr-CA"/>
              </w:rPr>
              <w:t>Martin, Brigitte</w:t>
            </w:r>
          </w:p>
          <w:p w:rsidR="00150C19" w:rsidRPr="00DD7C7F" w:rsidRDefault="00150C19" w:rsidP="00150C19">
            <w:pPr>
              <w:tabs>
                <w:tab w:val="left" w:pos="-1440"/>
                <w:tab w:val="left" w:pos="-720"/>
              </w:tabs>
              <w:rPr>
                <w:sz w:val="20"/>
                <w:szCs w:val="20"/>
                <w:lang w:val="fr-CA"/>
              </w:rPr>
            </w:pPr>
          </w:p>
          <w:p w:rsidR="00150C19" w:rsidRPr="00DD7C7F" w:rsidRDefault="00150C19" w:rsidP="00150C19">
            <w:pPr>
              <w:rPr>
                <w:sz w:val="20"/>
                <w:szCs w:val="20"/>
                <w:lang w:val="fr-CA"/>
              </w:rPr>
            </w:pPr>
            <w:r w:rsidRPr="00DD7C7F">
              <w:rPr>
                <w:sz w:val="20"/>
                <w:szCs w:val="20"/>
                <w:lang w:val="fr-CA"/>
              </w:rPr>
              <w:t>DATE</w:t>
            </w:r>
            <w:r w:rsidR="00DF14AC" w:rsidRPr="00DD7C7F">
              <w:rPr>
                <w:sz w:val="20"/>
                <w:szCs w:val="20"/>
                <w:lang w:val="fr-CA"/>
              </w:rPr>
              <w:t xml:space="preserve"> DE PRODUCTION</w:t>
            </w:r>
            <w:r w:rsidRPr="00DD7C7F">
              <w:rPr>
                <w:sz w:val="20"/>
                <w:szCs w:val="20"/>
                <w:lang w:val="fr-CA"/>
              </w:rPr>
              <w:t xml:space="preserve">: </w:t>
            </w:r>
            <w:r w:rsidR="00DF14AC" w:rsidRPr="00DD7C7F">
              <w:rPr>
                <w:sz w:val="20"/>
                <w:szCs w:val="20"/>
                <w:lang w:val="fr-CA"/>
              </w:rPr>
              <w:t>le 3 novembre</w:t>
            </w:r>
            <w:r w:rsidRPr="00DD7C7F">
              <w:rPr>
                <w:sz w:val="20"/>
                <w:szCs w:val="20"/>
                <w:lang w:val="fr-CA"/>
              </w:rPr>
              <w:t xml:space="preserve"> 2022</w:t>
            </w:r>
          </w:p>
          <w:p w:rsidR="00150C19" w:rsidRPr="00DD7C7F" w:rsidRDefault="00150C19" w:rsidP="00150C19">
            <w:pPr>
              <w:rPr>
                <w:sz w:val="20"/>
                <w:szCs w:val="20"/>
                <w:lang w:val="fr-CA"/>
              </w:rPr>
            </w:pPr>
          </w:p>
          <w:p w:rsidR="00150C19" w:rsidRPr="00DD7C7F" w:rsidRDefault="00512056" w:rsidP="00150C19">
            <w:pPr>
              <w:rPr>
                <w:b/>
                <w:sz w:val="20"/>
                <w:szCs w:val="20"/>
                <w:lang w:val="en-US"/>
              </w:rPr>
            </w:pPr>
            <w:r>
              <w:rPr>
                <w:sz w:val="20"/>
                <w:szCs w:val="20"/>
                <w:lang w:val="fr-CA"/>
              </w:rPr>
              <w:pict>
                <v:rect id="_x0000_i1034" style="width:108pt;height:1pt" o:hrpct="0" o:hrstd="t" o:hrnoshade="t" o:hr="t" fillcolor="black [3213]" stroked="f"/>
              </w:pict>
            </w:r>
          </w:p>
        </w:tc>
      </w:tr>
      <w:tr w:rsidR="00150C19" w:rsidRPr="00DD7C7F" w:rsidTr="00F138C1">
        <w:tc>
          <w:tcPr>
            <w:tcW w:w="4239" w:type="dxa"/>
            <w:shd w:val="clear" w:color="auto" w:fill="auto"/>
          </w:tcPr>
          <w:p w:rsidR="00150C19" w:rsidRPr="00DD7C7F" w:rsidRDefault="00E54DB4" w:rsidP="00150C19">
            <w:pPr>
              <w:rPr>
                <w:sz w:val="20"/>
                <w:szCs w:val="20"/>
                <w:lang w:val="fr-CA"/>
              </w:rPr>
            </w:pPr>
            <w:r w:rsidRPr="00DD7C7F">
              <w:rPr>
                <w:b/>
                <w:sz w:val="20"/>
                <w:szCs w:val="20"/>
                <w:lang w:val="fr-CA"/>
              </w:rPr>
              <w:t>Antonio Accurso</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54DB4" w:rsidRPr="00DD7C7F">
              <w:rPr>
                <w:sz w:val="20"/>
                <w:szCs w:val="20"/>
                <w:lang w:val="fr-CA"/>
              </w:rPr>
              <w:t>Labelle, Marc</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54DB4" w:rsidRPr="00DD7C7F">
              <w:rPr>
                <w:sz w:val="20"/>
                <w:szCs w:val="20"/>
                <w:lang w:val="fr-CA"/>
              </w:rPr>
              <w:t>Labelle, Côté, Tabah &amp; Associés</w:t>
            </w:r>
          </w:p>
          <w:p w:rsidR="00150C19" w:rsidRPr="00DD7C7F" w:rsidRDefault="00150C19" w:rsidP="00150C19">
            <w:pPr>
              <w:tabs>
                <w:tab w:val="left" w:pos="-1440"/>
                <w:tab w:val="left" w:pos="-720"/>
              </w:tabs>
              <w:rPr>
                <w:sz w:val="20"/>
                <w:szCs w:val="20"/>
                <w:lang w:val="fr-CA"/>
              </w:rPr>
            </w:pP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54DB4" w:rsidRPr="00DD7C7F">
              <w:rPr>
                <w:sz w:val="20"/>
                <w:szCs w:val="20"/>
                <w:lang w:val="fr-CA"/>
              </w:rPr>
              <w:t>c</w:t>
            </w:r>
            <w:r w:rsidRPr="00DD7C7F">
              <w:rPr>
                <w:sz w:val="20"/>
                <w:szCs w:val="20"/>
                <w:lang w:val="fr-CA"/>
              </w:rPr>
              <w:t>. (4</w:t>
            </w:r>
            <w:r w:rsidR="00E54DB4" w:rsidRPr="00DD7C7F">
              <w:rPr>
                <w:sz w:val="20"/>
                <w:szCs w:val="20"/>
                <w:lang w:val="fr-CA"/>
              </w:rPr>
              <w:t>0160</w:t>
            </w:r>
            <w:r w:rsidRPr="00DD7C7F">
              <w:rPr>
                <w:sz w:val="20"/>
                <w:szCs w:val="20"/>
                <w:lang w:val="fr-CA"/>
              </w:rPr>
              <w:t>)</w:t>
            </w:r>
          </w:p>
          <w:p w:rsidR="00150C19" w:rsidRPr="00DD7C7F" w:rsidRDefault="00150C19" w:rsidP="00150C19">
            <w:pPr>
              <w:tabs>
                <w:tab w:val="left" w:pos="-1440"/>
                <w:tab w:val="left" w:pos="-720"/>
              </w:tabs>
              <w:rPr>
                <w:sz w:val="20"/>
                <w:szCs w:val="20"/>
                <w:lang w:val="fr-CA"/>
              </w:rPr>
            </w:pPr>
          </w:p>
          <w:p w:rsidR="00150C19" w:rsidRPr="00DD7C7F" w:rsidRDefault="00E54DB4" w:rsidP="00150C19">
            <w:pPr>
              <w:tabs>
                <w:tab w:val="left" w:pos="-1440"/>
                <w:tab w:val="left" w:pos="-720"/>
              </w:tabs>
              <w:rPr>
                <w:b/>
                <w:sz w:val="20"/>
                <w:szCs w:val="20"/>
                <w:lang w:val="fr-CA"/>
              </w:rPr>
            </w:pPr>
            <w:r w:rsidRPr="00DD7C7F">
              <w:rPr>
                <w:b/>
                <w:sz w:val="20"/>
                <w:szCs w:val="20"/>
                <w:lang w:val="fr-CA"/>
              </w:rPr>
              <w:t>Sa Majesté le Roi</w:t>
            </w:r>
            <w:r w:rsidR="00150C19" w:rsidRPr="00DD7C7F">
              <w:rPr>
                <w:b/>
                <w:sz w:val="20"/>
                <w:szCs w:val="20"/>
                <w:lang w:val="fr-CA"/>
              </w:rPr>
              <w:t xml:space="preserve"> (</w:t>
            </w:r>
            <w:r w:rsidRPr="00DD7C7F">
              <w:rPr>
                <w:b/>
                <w:sz w:val="20"/>
                <w:szCs w:val="20"/>
                <w:lang w:val="fr-CA"/>
              </w:rPr>
              <w:t>Qc</w:t>
            </w:r>
            <w:r w:rsidR="00150C19" w:rsidRPr="00DD7C7F">
              <w:rPr>
                <w:b/>
                <w:sz w:val="20"/>
                <w:szCs w:val="20"/>
                <w:lang w:val="fr-CA"/>
              </w:rPr>
              <w:t>)</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54DB4" w:rsidRPr="00DD7C7F">
              <w:rPr>
                <w:sz w:val="20"/>
                <w:szCs w:val="20"/>
                <w:lang w:val="fr-CA"/>
              </w:rPr>
              <w:t>Cimon, Magalie</w:t>
            </w:r>
          </w:p>
          <w:p w:rsidR="00E54DB4" w:rsidRPr="00DD7C7F" w:rsidRDefault="00150C19" w:rsidP="00150C19">
            <w:pPr>
              <w:tabs>
                <w:tab w:val="left" w:pos="-1440"/>
                <w:tab w:val="left" w:pos="-720"/>
              </w:tabs>
              <w:rPr>
                <w:sz w:val="20"/>
                <w:szCs w:val="20"/>
                <w:lang w:val="fr-CA"/>
              </w:rPr>
            </w:pPr>
            <w:r w:rsidRPr="00DD7C7F">
              <w:rPr>
                <w:sz w:val="20"/>
                <w:szCs w:val="20"/>
                <w:lang w:val="fr-CA"/>
              </w:rPr>
              <w:tab/>
            </w:r>
            <w:r w:rsidR="00E54DB4" w:rsidRPr="00DD7C7F">
              <w:rPr>
                <w:sz w:val="20"/>
                <w:szCs w:val="20"/>
                <w:lang w:val="fr-CA"/>
              </w:rPr>
              <w:t xml:space="preserve">Procureurs aux poursuites criminelles et </w:t>
            </w:r>
          </w:p>
          <w:p w:rsidR="00150C19" w:rsidRPr="00DD7C7F" w:rsidRDefault="00E54DB4" w:rsidP="00150C19">
            <w:pPr>
              <w:tabs>
                <w:tab w:val="left" w:pos="-1440"/>
                <w:tab w:val="left" w:pos="-720"/>
              </w:tabs>
              <w:rPr>
                <w:sz w:val="20"/>
                <w:szCs w:val="20"/>
                <w:lang w:val="fr-CA"/>
              </w:rPr>
            </w:pPr>
            <w:r w:rsidRPr="00DD7C7F">
              <w:rPr>
                <w:sz w:val="20"/>
                <w:szCs w:val="20"/>
                <w:lang w:val="fr-CA"/>
              </w:rPr>
              <w:tab/>
              <w:t>pénales</w:t>
            </w:r>
          </w:p>
          <w:p w:rsidR="00150C19" w:rsidRPr="00DD7C7F" w:rsidRDefault="00150C19" w:rsidP="00150C19">
            <w:pPr>
              <w:tabs>
                <w:tab w:val="left" w:pos="-1440"/>
                <w:tab w:val="left" w:pos="-720"/>
              </w:tabs>
              <w:rPr>
                <w:sz w:val="20"/>
                <w:szCs w:val="20"/>
                <w:lang w:val="fr-CA"/>
              </w:rPr>
            </w:pPr>
          </w:p>
          <w:p w:rsidR="00E54DB4" w:rsidRPr="00DD7C7F" w:rsidRDefault="00E54DB4" w:rsidP="00E54DB4">
            <w:pPr>
              <w:rPr>
                <w:sz w:val="20"/>
                <w:szCs w:val="20"/>
                <w:lang w:val="fr-CA"/>
              </w:rPr>
            </w:pPr>
            <w:r w:rsidRPr="00DD7C7F">
              <w:rPr>
                <w:sz w:val="20"/>
                <w:szCs w:val="20"/>
                <w:lang w:val="fr-CA"/>
              </w:rPr>
              <w:t>DATE DE PRODUCTION: le 2 juin 2022</w:t>
            </w:r>
          </w:p>
          <w:p w:rsidR="00150C19" w:rsidRPr="00DD7C7F" w:rsidRDefault="00150C19" w:rsidP="00150C19">
            <w:pPr>
              <w:rPr>
                <w:sz w:val="20"/>
                <w:szCs w:val="20"/>
                <w:lang w:val="fr-CA"/>
              </w:rPr>
            </w:pPr>
          </w:p>
          <w:p w:rsidR="00150C19" w:rsidRPr="00DD7C7F" w:rsidRDefault="00512056" w:rsidP="00150C19">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E54DB4" w:rsidRPr="00DD7C7F" w:rsidRDefault="00E54DB4"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tc>
        <w:tc>
          <w:tcPr>
            <w:tcW w:w="4239" w:type="dxa"/>
            <w:shd w:val="clear" w:color="auto" w:fill="auto"/>
          </w:tcPr>
          <w:p w:rsidR="00150C19" w:rsidRPr="00DD7C7F" w:rsidRDefault="00E54DB4" w:rsidP="00150C19">
            <w:pPr>
              <w:rPr>
                <w:sz w:val="20"/>
                <w:szCs w:val="20"/>
                <w:lang w:val="fr-CA"/>
              </w:rPr>
            </w:pPr>
            <w:r w:rsidRPr="00DD7C7F">
              <w:rPr>
                <w:b/>
                <w:sz w:val="20"/>
                <w:szCs w:val="20"/>
                <w:lang w:val="fr-CA"/>
              </w:rPr>
              <w:t>G.C.</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54DB4" w:rsidRPr="00DD7C7F">
              <w:rPr>
                <w:sz w:val="20"/>
                <w:szCs w:val="20"/>
                <w:lang w:val="fr-CA"/>
              </w:rPr>
              <w:t>Bissonnette, Jacqueline</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54DB4" w:rsidRPr="00DD7C7F">
              <w:rPr>
                <w:sz w:val="20"/>
                <w:szCs w:val="20"/>
                <w:lang w:val="fr-CA"/>
              </w:rPr>
              <w:t>Poudrier Bradet Avocats S.E.N.C.</w:t>
            </w:r>
          </w:p>
          <w:p w:rsidR="00150C19" w:rsidRPr="00DD7C7F" w:rsidRDefault="00150C19" w:rsidP="00150C19">
            <w:pPr>
              <w:tabs>
                <w:tab w:val="left" w:pos="-1440"/>
                <w:tab w:val="left" w:pos="-720"/>
              </w:tabs>
              <w:rPr>
                <w:sz w:val="20"/>
                <w:szCs w:val="20"/>
                <w:lang w:val="fr-CA"/>
              </w:rPr>
            </w:pP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54DB4" w:rsidRPr="00DD7C7F">
              <w:rPr>
                <w:sz w:val="20"/>
                <w:szCs w:val="20"/>
                <w:lang w:val="fr-CA"/>
              </w:rPr>
              <w:t>c</w:t>
            </w:r>
            <w:r w:rsidRPr="00DD7C7F">
              <w:rPr>
                <w:sz w:val="20"/>
                <w:szCs w:val="20"/>
                <w:lang w:val="fr-CA"/>
              </w:rPr>
              <w:t>. (4</w:t>
            </w:r>
            <w:r w:rsidR="00E54DB4" w:rsidRPr="00DD7C7F">
              <w:rPr>
                <w:sz w:val="20"/>
                <w:szCs w:val="20"/>
                <w:lang w:val="fr-CA"/>
              </w:rPr>
              <w:t>0431</w:t>
            </w:r>
            <w:r w:rsidRPr="00DD7C7F">
              <w:rPr>
                <w:sz w:val="20"/>
                <w:szCs w:val="20"/>
                <w:lang w:val="fr-CA"/>
              </w:rPr>
              <w:t>)</w:t>
            </w:r>
          </w:p>
          <w:p w:rsidR="00150C19" w:rsidRPr="00DD7C7F" w:rsidRDefault="00150C19" w:rsidP="00150C19">
            <w:pPr>
              <w:tabs>
                <w:tab w:val="left" w:pos="-1440"/>
                <w:tab w:val="left" w:pos="-720"/>
              </w:tabs>
              <w:rPr>
                <w:sz w:val="20"/>
                <w:szCs w:val="20"/>
                <w:lang w:val="fr-CA"/>
              </w:rPr>
            </w:pPr>
          </w:p>
          <w:p w:rsidR="00150C19" w:rsidRPr="00DD7C7F" w:rsidRDefault="00E54DB4" w:rsidP="00150C19">
            <w:pPr>
              <w:tabs>
                <w:tab w:val="left" w:pos="-1440"/>
                <w:tab w:val="left" w:pos="-720"/>
              </w:tabs>
              <w:rPr>
                <w:b/>
                <w:sz w:val="20"/>
                <w:szCs w:val="20"/>
                <w:lang w:val="fr-CA"/>
              </w:rPr>
            </w:pPr>
            <w:r w:rsidRPr="00DD7C7F">
              <w:rPr>
                <w:b/>
                <w:sz w:val="20"/>
                <w:szCs w:val="20"/>
                <w:lang w:val="fr-CA"/>
              </w:rPr>
              <w:t>Compagnie D'assurance Vie RBC</w:t>
            </w:r>
            <w:r w:rsidR="00150C19" w:rsidRPr="00DD7C7F">
              <w:rPr>
                <w:b/>
                <w:sz w:val="20"/>
                <w:szCs w:val="20"/>
                <w:lang w:val="fr-CA"/>
              </w:rPr>
              <w:t xml:space="preserve"> (</w:t>
            </w:r>
            <w:r w:rsidRPr="00DD7C7F">
              <w:rPr>
                <w:b/>
                <w:sz w:val="20"/>
                <w:szCs w:val="20"/>
                <w:lang w:val="fr-CA"/>
              </w:rPr>
              <w:t>Qc</w:t>
            </w:r>
            <w:r w:rsidR="00150C19" w:rsidRPr="00DD7C7F">
              <w:rPr>
                <w:b/>
                <w:sz w:val="20"/>
                <w:szCs w:val="20"/>
                <w:lang w:val="fr-CA"/>
              </w:rPr>
              <w:t>)</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54DB4" w:rsidRPr="00DD7C7F">
              <w:rPr>
                <w:sz w:val="20"/>
                <w:szCs w:val="20"/>
                <w:lang w:val="fr-CA"/>
              </w:rPr>
              <w:t>Vallerand, Me René</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54DB4" w:rsidRPr="00DD7C7F">
              <w:rPr>
                <w:sz w:val="20"/>
                <w:szCs w:val="20"/>
                <w:lang w:val="fr-CA"/>
              </w:rPr>
              <w:t>Donati Maisonneuve</w:t>
            </w:r>
          </w:p>
          <w:p w:rsidR="00150C19" w:rsidRPr="00DD7C7F" w:rsidRDefault="00150C19" w:rsidP="00150C19">
            <w:pPr>
              <w:tabs>
                <w:tab w:val="left" w:pos="-1440"/>
                <w:tab w:val="left" w:pos="-720"/>
              </w:tabs>
              <w:rPr>
                <w:sz w:val="20"/>
                <w:szCs w:val="20"/>
                <w:lang w:val="fr-CA"/>
              </w:rPr>
            </w:pPr>
          </w:p>
          <w:p w:rsidR="00E54DB4" w:rsidRPr="00DD7C7F" w:rsidRDefault="00E54DB4" w:rsidP="00E54DB4">
            <w:pPr>
              <w:rPr>
                <w:sz w:val="20"/>
                <w:szCs w:val="20"/>
                <w:lang w:val="fr-CA"/>
              </w:rPr>
            </w:pPr>
            <w:r w:rsidRPr="00DD7C7F">
              <w:rPr>
                <w:sz w:val="20"/>
                <w:szCs w:val="20"/>
                <w:lang w:val="fr-CA"/>
              </w:rPr>
              <w:t>DATE DE PRODUCTION: le 4 novembre 2022</w:t>
            </w:r>
          </w:p>
          <w:p w:rsidR="00150C19" w:rsidRPr="00DD7C7F" w:rsidRDefault="00150C19" w:rsidP="00150C19">
            <w:pPr>
              <w:rPr>
                <w:sz w:val="20"/>
                <w:szCs w:val="20"/>
                <w:lang w:val="fr-CA"/>
              </w:rPr>
            </w:pPr>
          </w:p>
          <w:p w:rsidR="00150C19" w:rsidRPr="00DD7C7F" w:rsidRDefault="00512056" w:rsidP="00150C19">
            <w:pPr>
              <w:rPr>
                <w:b/>
                <w:sz w:val="20"/>
                <w:szCs w:val="20"/>
                <w:lang w:val="en-US"/>
              </w:rPr>
            </w:pPr>
            <w:r>
              <w:rPr>
                <w:sz w:val="20"/>
                <w:szCs w:val="20"/>
                <w:lang w:val="fr-CA"/>
              </w:rPr>
              <w:pict>
                <v:rect id="_x0000_i1036" style="width:108pt;height:1pt" o:hrpct="0" o:hrstd="t" o:hrnoshade="t" o:hr="t" fillcolor="black [3213]" stroked="f"/>
              </w:pict>
            </w:r>
          </w:p>
        </w:tc>
      </w:tr>
      <w:tr w:rsidR="00150C19" w:rsidRPr="00DD7C7F" w:rsidTr="00F138C1">
        <w:tc>
          <w:tcPr>
            <w:tcW w:w="4239" w:type="dxa"/>
            <w:shd w:val="clear" w:color="auto" w:fill="auto"/>
          </w:tcPr>
          <w:p w:rsidR="00150C19" w:rsidRPr="00DD7C7F" w:rsidRDefault="00E47F1E" w:rsidP="00150C19">
            <w:pPr>
              <w:rPr>
                <w:sz w:val="20"/>
                <w:szCs w:val="20"/>
                <w:lang w:val="en-US"/>
              </w:rPr>
            </w:pPr>
            <w:r w:rsidRPr="00DD7C7F">
              <w:rPr>
                <w:b/>
                <w:sz w:val="20"/>
                <w:szCs w:val="20"/>
                <w:lang w:val="en-US"/>
              </w:rPr>
              <w:t>Guarav Tewari</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E47F1E" w:rsidRPr="00DD7C7F">
              <w:rPr>
                <w:sz w:val="20"/>
                <w:szCs w:val="20"/>
                <w:lang w:val="en-US"/>
              </w:rPr>
              <w:t>Guarav Tewari</w:t>
            </w:r>
          </w:p>
          <w:p w:rsidR="00150C19" w:rsidRPr="00DD7C7F" w:rsidRDefault="00150C19" w:rsidP="00150C19">
            <w:pPr>
              <w:tabs>
                <w:tab w:val="left" w:pos="-1440"/>
                <w:tab w:val="left" w:pos="-720"/>
              </w:tabs>
              <w:rPr>
                <w:sz w:val="20"/>
                <w:szCs w:val="20"/>
                <w:lang w:val="en-US"/>
              </w:rPr>
            </w:pPr>
          </w:p>
          <w:p w:rsidR="00150C19" w:rsidRPr="00DD7C7F" w:rsidRDefault="00150C19" w:rsidP="00150C19">
            <w:pPr>
              <w:tabs>
                <w:tab w:val="left" w:pos="-1440"/>
                <w:tab w:val="left" w:pos="-720"/>
              </w:tabs>
              <w:rPr>
                <w:sz w:val="20"/>
                <w:szCs w:val="20"/>
                <w:lang w:val="en-US"/>
              </w:rPr>
            </w:pPr>
            <w:r w:rsidRPr="00DD7C7F">
              <w:rPr>
                <w:sz w:val="20"/>
                <w:szCs w:val="20"/>
                <w:lang w:val="en-US"/>
              </w:rPr>
              <w:tab/>
              <w:t>v. (</w:t>
            </w:r>
            <w:r w:rsidR="00E54DB4" w:rsidRPr="00DD7C7F">
              <w:rPr>
                <w:sz w:val="20"/>
                <w:szCs w:val="20"/>
                <w:lang w:val="en-US"/>
              </w:rPr>
              <w:t>40432</w:t>
            </w:r>
            <w:r w:rsidRPr="00DD7C7F">
              <w:rPr>
                <w:sz w:val="20"/>
                <w:szCs w:val="20"/>
                <w:lang w:val="en-US"/>
              </w:rPr>
              <w:t>)</w:t>
            </w:r>
          </w:p>
          <w:p w:rsidR="00150C19" w:rsidRPr="00DD7C7F" w:rsidRDefault="00150C19" w:rsidP="00150C19">
            <w:pPr>
              <w:tabs>
                <w:tab w:val="left" w:pos="-1440"/>
                <w:tab w:val="left" w:pos="-720"/>
              </w:tabs>
              <w:rPr>
                <w:sz w:val="20"/>
                <w:szCs w:val="20"/>
                <w:lang w:val="en-US"/>
              </w:rPr>
            </w:pPr>
          </w:p>
          <w:p w:rsidR="00150C19" w:rsidRPr="00DD7C7F" w:rsidRDefault="00E47F1E" w:rsidP="00150C19">
            <w:pPr>
              <w:tabs>
                <w:tab w:val="left" w:pos="-1440"/>
                <w:tab w:val="left" w:pos="-720"/>
              </w:tabs>
              <w:rPr>
                <w:b/>
                <w:sz w:val="20"/>
                <w:szCs w:val="20"/>
                <w:lang w:val="en-US"/>
              </w:rPr>
            </w:pPr>
            <w:r w:rsidRPr="00DD7C7F">
              <w:rPr>
                <w:b/>
                <w:sz w:val="20"/>
                <w:szCs w:val="20"/>
                <w:lang w:val="fr-CA"/>
              </w:rPr>
              <w:t>Bobby H. Sachdeva, et al.</w:t>
            </w:r>
            <w:r w:rsidR="00150C19" w:rsidRPr="00DD7C7F">
              <w:rPr>
                <w:b/>
                <w:sz w:val="20"/>
                <w:szCs w:val="20"/>
                <w:lang w:val="fr-CA"/>
              </w:rPr>
              <w:t xml:space="preserve"> </w:t>
            </w:r>
            <w:r w:rsidR="00150C19" w:rsidRPr="00DD7C7F">
              <w:rPr>
                <w:b/>
                <w:sz w:val="20"/>
                <w:szCs w:val="20"/>
                <w:lang w:val="en-US"/>
              </w:rPr>
              <w:t>(</w:t>
            </w:r>
            <w:r w:rsidRPr="00DD7C7F">
              <w:rPr>
                <w:b/>
                <w:sz w:val="20"/>
                <w:szCs w:val="20"/>
                <w:lang w:val="en-US"/>
              </w:rPr>
              <w:t>Ont</w:t>
            </w:r>
            <w:r w:rsidR="00150C19" w:rsidRPr="00DD7C7F">
              <w:rPr>
                <w:b/>
                <w:sz w:val="20"/>
                <w:szCs w:val="20"/>
                <w:lang w:val="en-US"/>
              </w:rPr>
              <w:t>.)</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E47F1E" w:rsidRPr="00DD7C7F">
              <w:rPr>
                <w:sz w:val="20"/>
                <w:szCs w:val="20"/>
                <w:lang w:val="en-US"/>
              </w:rPr>
              <w:t>Rankin, Evan</w:t>
            </w:r>
          </w:p>
          <w:p w:rsidR="00150C19" w:rsidRPr="00DD7C7F" w:rsidRDefault="00150C19" w:rsidP="00150C19">
            <w:pPr>
              <w:tabs>
                <w:tab w:val="left" w:pos="-1440"/>
                <w:tab w:val="left" w:pos="-720"/>
              </w:tabs>
              <w:rPr>
                <w:sz w:val="20"/>
                <w:szCs w:val="20"/>
              </w:rPr>
            </w:pPr>
            <w:r w:rsidRPr="00DD7C7F">
              <w:rPr>
                <w:sz w:val="20"/>
                <w:szCs w:val="20"/>
                <w:lang w:val="en-US"/>
              </w:rPr>
              <w:tab/>
            </w:r>
            <w:r w:rsidR="00E47F1E" w:rsidRPr="00DD7C7F">
              <w:rPr>
                <w:sz w:val="20"/>
                <w:szCs w:val="20"/>
              </w:rPr>
              <w:t>Singleton Urquhart Reynolds Vogel LLP</w:t>
            </w:r>
          </w:p>
          <w:p w:rsidR="00150C19" w:rsidRPr="00DD7C7F" w:rsidRDefault="00150C19" w:rsidP="00150C19">
            <w:pPr>
              <w:tabs>
                <w:tab w:val="left" w:pos="-1440"/>
                <w:tab w:val="left" w:pos="-720"/>
              </w:tabs>
              <w:rPr>
                <w:sz w:val="20"/>
                <w:szCs w:val="20"/>
              </w:rPr>
            </w:pPr>
          </w:p>
          <w:p w:rsidR="00150C19" w:rsidRPr="00DD7C7F" w:rsidRDefault="00150C19" w:rsidP="00150C19">
            <w:pPr>
              <w:rPr>
                <w:sz w:val="20"/>
                <w:szCs w:val="20"/>
              </w:rPr>
            </w:pPr>
            <w:r w:rsidRPr="00DD7C7F">
              <w:rPr>
                <w:sz w:val="20"/>
                <w:szCs w:val="20"/>
              </w:rPr>
              <w:t xml:space="preserve">FILING DATE: </w:t>
            </w:r>
            <w:r w:rsidR="00E47F1E" w:rsidRPr="00DD7C7F">
              <w:rPr>
                <w:sz w:val="20"/>
                <w:szCs w:val="20"/>
              </w:rPr>
              <w:t>November</w:t>
            </w:r>
            <w:r w:rsidRPr="00DD7C7F">
              <w:rPr>
                <w:sz w:val="20"/>
                <w:szCs w:val="20"/>
              </w:rPr>
              <w:t xml:space="preserve"> </w:t>
            </w:r>
            <w:r w:rsidR="00E47F1E" w:rsidRPr="00DD7C7F">
              <w:rPr>
                <w:sz w:val="20"/>
                <w:szCs w:val="20"/>
              </w:rPr>
              <w:t>4</w:t>
            </w:r>
            <w:r w:rsidRPr="00DD7C7F">
              <w:rPr>
                <w:sz w:val="20"/>
                <w:szCs w:val="20"/>
              </w:rPr>
              <w:t>, 2022</w:t>
            </w:r>
          </w:p>
          <w:p w:rsidR="00150C19" w:rsidRPr="00DD7C7F" w:rsidRDefault="00150C19" w:rsidP="00150C19">
            <w:pPr>
              <w:rPr>
                <w:sz w:val="20"/>
                <w:szCs w:val="20"/>
              </w:rPr>
            </w:pPr>
          </w:p>
          <w:p w:rsidR="00150C19" w:rsidRPr="00DD7C7F" w:rsidRDefault="00512056" w:rsidP="00150C19">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tc>
        <w:tc>
          <w:tcPr>
            <w:tcW w:w="4239" w:type="dxa"/>
            <w:shd w:val="clear" w:color="auto" w:fill="auto"/>
          </w:tcPr>
          <w:p w:rsidR="00150C19" w:rsidRPr="00DD7C7F" w:rsidRDefault="00E47F1E" w:rsidP="00150C19">
            <w:pPr>
              <w:rPr>
                <w:sz w:val="20"/>
                <w:szCs w:val="20"/>
                <w:lang w:val="fr-CA"/>
              </w:rPr>
            </w:pPr>
            <w:r w:rsidRPr="00DD7C7F">
              <w:rPr>
                <w:b/>
                <w:sz w:val="20"/>
                <w:szCs w:val="20"/>
                <w:lang w:val="fr-CA"/>
              </w:rPr>
              <w:t>Groupe Novico Inc.</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47F1E" w:rsidRPr="00DD7C7F">
              <w:rPr>
                <w:sz w:val="20"/>
                <w:szCs w:val="20"/>
                <w:lang w:val="fr-CA"/>
              </w:rPr>
              <w:t>Bélair, Sylvain</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47F1E" w:rsidRPr="00DD7C7F">
              <w:rPr>
                <w:sz w:val="20"/>
                <w:szCs w:val="20"/>
                <w:lang w:val="fr-CA"/>
              </w:rPr>
              <w:t>de Grandpré Chait s.e.n.c.r.l.</w:t>
            </w:r>
          </w:p>
          <w:p w:rsidR="00150C19" w:rsidRPr="00DD7C7F" w:rsidRDefault="00150C19" w:rsidP="00150C19">
            <w:pPr>
              <w:tabs>
                <w:tab w:val="left" w:pos="-1440"/>
                <w:tab w:val="left" w:pos="-720"/>
              </w:tabs>
              <w:rPr>
                <w:sz w:val="20"/>
                <w:szCs w:val="20"/>
                <w:lang w:val="fr-CA"/>
              </w:rPr>
            </w:pP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47F1E" w:rsidRPr="00DD7C7F">
              <w:rPr>
                <w:sz w:val="20"/>
                <w:szCs w:val="20"/>
                <w:lang w:val="fr-CA"/>
              </w:rPr>
              <w:t>c</w:t>
            </w:r>
            <w:r w:rsidRPr="00DD7C7F">
              <w:rPr>
                <w:sz w:val="20"/>
                <w:szCs w:val="20"/>
                <w:lang w:val="fr-CA"/>
              </w:rPr>
              <w:t>. (4</w:t>
            </w:r>
            <w:r w:rsidR="00E47F1E" w:rsidRPr="00DD7C7F">
              <w:rPr>
                <w:sz w:val="20"/>
                <w:szCs w:val="20"/>
                <w:lang w:val="fr-CA"/>
              </w:rPr>
              <w:t>0433</w:t>
            </w:r>
            <w:r w:rsidRPr="00DD7C7F">
              <w:rPr>
                <w:sz w:val="20"/>
                <w:szCs w:val="20"/>
                <w:lang w:val="fr-CA"/>
              </w:rPr>
              <w:t>)</w:t>
            </w:r>
          </w:p>
          <w:p w:rsidR="00150C19" w:rsidRPr="00DD7C7F" w:rsidRDefault="00150C19" w:rsidP="00150C19">
            <w:pPr>
              <w:tabs>
                <w:tab w:val="left" w:pos="-1440"/>
                <w:tab w:val="left" w:pos="-720"/>
              </w:tabs>
              <w:rPr>
                <w:sz w:val="20"/>
                <w:szCs w:val="20"/>
                <w:lang w:val="fr-CA"/>
              </w:rPr>
            </w:pPr>
          </w:p>
          <w:p w:rsidR="00150C19" w:rsidRPr="00DD7C7F" w:rsidRDefault="00E47F1E" w:rsidP="00150C19">
            <w:pPr>
              <w:tabs>
                <w:tab w:val="left" w:pos="-1440"/>
                <w:tab w:val="left" w:pos="-720"/>
              </w:tabs>
              <w:rPr>
                <w:b/>
                <w:sz w:val="20"/>
                <w:szCs w:val="20"/>
                <w:lang w:val="fr-CA"/>
              </w:rPr>
            </w:pPr>
            <w:r w:rsidRPr="00DD7C7F">
              <w:rPr>
                <w:b/>
                <w:sz w:val="20"/>
                <w:szCs w:val="20"/>
                <w:lang w:val="fr-CA"/>
              </w:rPr>
              <w:t>Ville de Blainville</w:t>
            </w:r>
            <w:r w:rsidR="00150C19" w:rsidRPr="00DD7C7F">
              <w:rPr>
                <w:b/>
                <w:sz w:val="20"/>
                <w:szCs w:val="20"/>
                <w:lang w:val="fr-CA"/>
              </w:rPr>
              <w:t xml:space="preserve"> (</w:t>
            </w:r>
            <w:r w:rsidRPr="00DD7C7F">
              <w:rPr>
                <w:b/>
                <w:sz w:val="20"/>
                <w:szCs w:val="20"/>
                <w:lang w:val="fr-CA"/>
              </w:rPr>
              <w:t>Qc</w:t>
            </w:r>
            <w:r w:rsidR="00150C19" w:rsidRPr="00DD7C7F">
              <w:rPr>
                <w:b/>
                <w:sz w:val="20"/>
                <w:szCs w:val="20"/>
                <w:lang w:val="fr-CA"/>
              </w:rPr>
              <w:t>)</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47F1E" w:rsidRPr="00DD7C7F">
              <w:rPr>
                <w:sz w:val="20"/>
                <w:szCs w:val="20"/>
                <w:lang w:val="fr-CA"/>
              </w:rPr>
              <w:t>Gagné, Jean-François</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E47F1E" w:rsidRPr="00DD7C7F">
              <w:rPr>
                <w:sz w:val="20"/>
                <w:szCs w:val="20"/>
                <w:lang w:val="fr-CA"/>
              </w:rPr>
              <w:t>Trivium Avocats Inc.</w:t>
            </w:r>
          </w:p>
          <w:p w:rsidR="00150C19" w:rsidRPr="00DD7C7F" w:rsidRDefault="00150C19" w:rsidP="00150C19">
            <w:pPr>
              <w:tabs>
                <w:tab w:val="left" w:pos="-1440"/>
                <w:tab w:val="left" w:pos="-720"/>
              </w:tabs>
              <w:rPr>
                <w:sz w:val="20"/>
                <w:szCs w:val="20"/>
                <w:lang w:val="fr-CA"/>
              </w:rPr>
            </w:pPr>
          </w:p>
          <w:p w:rsidR="00E47F1E" w:rsidRPr="00DD7C7F" w:rsidRDefault="00E47F1E" w:rsidP="00E47F1E">
            <w:pPr>
              <w:rPr>
                <w:sz w:val="20"/>
                <w:szCs w:val="20"/>
                <w:lang w:val="fr-CA"/>
              </w:rPr>
            </w:pPr>
            <w:r w:rsidRPr="00DD7C7F">
              <w:rPr>
                <w:sz w:val="20"/>
                <w:szCs w:val="20"/>
                <w:lang w:val="fr-CA"/>
              </w:rPr>
              <w:t>DATE DE PRODUCTION: le 4 novembre 2022</w:t>
            </w:r>
          </w:p>
          <w:p w:rsidR="00150C19" w:rsidRPr="00DD7C7F" w:rsidRDefault="00150C19" w:rsidP="00150C19">
            <w:pPr>
              <w:rPr>
                <w:sz w:val="20"/>
                <w:szCs w:val="20"/>
                <w:lang w:val="fr-CA"/>
              </w:rPr>
            </w:pPr>
          </w:p>
          <w:p w:rsidR="00150C19" w:rsidRPr="00DD7C7F" w:rsidRDefault="00512056" w:rsidP="00150C19">
            <w:pPr>
              <w:rPr>
                <w:b/>
                <w:sz w:val="20"/>
                <w:szCs w:val="20"/>
                <w:lang w:val="en-US"/>
              </w:rPr>
            </w:pPr>
            <w:r>
              <w:rPr>
                <w:sz w:val="20"/>
                <w:szCs w:val="20"/>
                <w:lang w:val="fr-CA"/>
              </w:rPr>
              <w:pict>
                <v:rect id="_x0000_i1038" style="width:108pt;height:1pt" o:hrpct="0" o:hrstd="t" o:hrnoshade="t" o:hr="t" fillcolor="black [3213]" stroked="f"/>
              </w:pict>
            </w:r>
          </w:p>
        </w:tc>
      </w:tr>
      <w:tr w:rsidR="00150C19" w:rsidRPr="00DD7C7F" w:rsidTr="00F138C1">
        <w:tc>
          <w:tcPr>
            <w:tcW w:w="4239" w:type="dxa"/>
            <w:shd w:val="clear" w:color="auto" w:fill="auto"/>
          </w:tcPr>
          <w:p w:rsidR="00150C19" w:rsidRPr="00DD7C7F" w:rsidRDefault="0030288C" w:rsidP="00150C19">
            <w:pPr>
              <w:rPr>
                <w:sz w:val="20"/>
                <w:szCs w:val="20"/>
                <w:lang w:val="fr-CA"/>
              </w:rPr>
            </w:pPr>
            <w:r w:rsidRPr="00DD7C7F">
              <w:rPr>
                <w:b/>
                <w:sz w:val="20"/>
                <w:szCs w:val="20"/>
                <w:lang w:val="fr-CA"/>
              </w:rPr>
              <w:t>O.C.</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30288C" w:rsidRPr="00DD7C7F">
              <w:rPr>
                <w:sz w:val="20"/>
                <w:szCs w:val="20"/>
                <w:lang w:val="fr-CA"/>
              </w:rPr>
              <w:t>Gilbert, Michel</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30288C" w:rsidRPr="00DD7C7F">
              <w:rPr>
                <w:sz w:val="20"/>
                <w:szCs w:val="20"/>
                <w:lang w:val="fr-CA"/>
              </w:rPr>
              <w:t>Melançon, Marceau, Grenier &amp; Sciortino</w:t>
            </w:r>
          </w:p>
          <w:p w:rsidR="00150C19" w:rsidRPr="00DD7C7F" w:rsidRDefault="00150C19" w:rsidP="00150C19">
            <w:pPr>
              <w:tabs>
                <w:tab w:val="left" w:pos="-1440"/>
                <w:tab w:val="left" w:pos="-720"/>
              </w:tabs>
              <w:rPr>
                <w:sz w:val="20"/>
                <w:szCs w:val="20"/>
                <w:lang w:val="fr-CA"/>
              </w:rPr>
            </w:pPr>
          </w:p>
          <w:p w:rsidR="0030288C" w:rsidRPr="00DD7C7F" w:rsidRDefault="0030288C" w:rsidP="0030288C">
            <w:pPr>
              <w:tabs>
                <w:tab w:val="left" w:pos="-1440"/>
                <w:tab w:val="left" w:pos="-720"/>
              </w:tabs>
              <w:rPr>
                <w:sz w:val="20"/>
                <w:szCs w:val="20"/>
                <w:lang w:val="fr-CA"/>
              </w:rPr>
            </w:pPr>
            <w:r w:rsidRPr="00DD7C7F">
              <w:rPr>
                <w:sz w:val="20"/>
                <w:szCs w:val="20"/>
                <w:lang w:val="fr-CA"/>
              </w:rPr>
              <w:tab/>
              <w:t>c. (40434)</w:t>
            </w:r>
          </w:p>
          <w:p w:rsidR="00150C19" w:rsidRPr="00DD7C7F" w:rsidRDefault="00150C19" w:rsidP="00150C19">
            <w:pPr>
              <w:tabs>
                <w:tab w:val="left" w:pos="-1440"/>
                <w:tab w:val="left" w:pos="-720"/>
              </w:tabs>
              <w:rPr>
                <w:sz w:val="20"/>
                <w:szCs w:val="20"/>
                <w:lang w:val="fr-CA"/>
              </w:rPr>
            </w:pPr>
          </w:p>
          <w:p w:rsidR="00150C19" w:rsidRPr="00DD7C7F" w:rsidRDefault="0030288C" w:rsidP="00150C19">
            <w:pPr>
              <w:tabs>
                <w:tab w:val="left" w:pos="-1440"/>
                <w:tab w:val="left" w:pos="-720"/>
              </w:tabs>
              <w:rPr>
                <w:b/>
                <w:sz w:val="20"/>
                <w:szCs w:val="20"/>
                <w:lang w:val="fr-CA"/>
              </w:rPr>
            </w:pPr>
            <w:r w:rsidRPr="00DD7C7F">
              <w:rPr>
                <w:b/>
                <w:sz w:val="20"/>
                <w:szCs w:val="20"/>
                <w:lang w:val="fr-CA"/>
              </w:rPr>
              <w:t>Compagnie d'assurance vie RBC</w:t>
            </w:r>
            <w:r w:rsidR="00150C19" w:rsidRPr="00DD7C7F">
              <w:rPr>
                <w:b/>
                <w:sz w:val="20"/>
                <w:szCs w:val="20"/>
                <w:lang w:val="fr-CA"/>
              </w:rPr>
              <w:t xml:space="preserve"> (</w:t>
            </w:r>
            <w:r w:rsidRPr="00DD7C7F">
              <w:rPr>
                <w:b/>
                <w:sz w:val="20"/>
                <w:szCs w:val="20"/>
                <w:lang w:val="fr-CA"/>
              </w:rPr>
              <w:t>Qc</w:t>
            </w:r>
            <w:r w:rsidR="00150C19" w:rsidRPr="00DD7C7F">
              <w:rPr>
                <w:b/>
                <w:sz w:val="20"/>
                <w:szCs w:val="20"/>
                <w:lang w:val="fr-CA"/>
              </w:rPr>
              <w:t>)</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30288C" w:rsidRPr="00DD7C7F">
              <w:rPr>
                <w:sz w:val="20"/>
                <w:szCs w:val="20"/>
                <w:lang w:val="fr-CA"/>
              </w:rPr>
              <w:t>Pratte, Guy J.</w:t>
            </w:r>
          </w:p>
          <w:p w:rsidR="00150C19" w:rsidRPr="00512056" w:rsidRDefault="00150C19" w:rsidP="00150C19">
            <w:pPr>
              <w:tabs>
                <w:tab w:val="left" w:pos="-1440"/>
                <w:tab w:val="left" w:pos="-720"/>
              </w:tabs>
              <w:rPr>
                <w:sz w:val="20"/>
                <w:szCs w:val="20"/>
                <w:lang w:val="fr-CA"/>
              </w:rPr>
            </w:pPr>
            <w:r w:rsidRPr="00DD7C7F">
              <w:rPr>
                <w:sz w:val="20"/>
                <w:szCs w:val="20"/>
                <w:lang w:val="fr-CA"/>
              </w:rPr>
              <w:tab/>
            </w:r>
            <w:r w:rsidR="0030288C" w:rsidRPr="00512056">
              <w:rPr>
                <w:sz w:val="20"/>
                <w:szCs w:val="20"/>
                <w:lang w:val="fr-CA"/>
              </w:rPr>
              <w:t xml:space="preserve">Borden Ladner Gervais </w:t>
            </w:r>
            <w:proofErr w:type="gramStart"/>
            <w:r w:rsidR="0030288C" w:rsidRPr="00512056">
              <w:rPr>
                <w:sz w:val="20"/>
                <w:szCs w:val="20"/>
                <w:lang w:val="fr-CA"/>
              </w:rPr>
              <w:t>s.e.n.c.r.l.,</w:t>
            </w:r>
            <w:proofErr w:type="gramEnd"/>
            <w:r w:rsidR="0030288C" w:rsidRPr="00512056">
              <w:rPr>
                <w:sz w:val="20"/>
                <w:szCs w:val="20"/>
                <w:lang w:val="fr-CA"/>
              </w:rPr>
              <w:t xml:space="preserve"> s.r.l.</w:t>
            </w:r>
          </w:p>
          <w:p w:rsidR="00150C19" w:rsidRPr="00512056" w:rsidRDefault="00150C19" w:rsidP="00150C19">
            <w:pPr>
              <w:tabs>
                <w:tab w:val="left" w:pos="-1440"/>
                <w:tab w:val="left" w:pos="-720"/>
              </w:tabs>
              <w:rPr>
                <w:sz w:val="20"/>
                <w:szCs w:val="20"/>
                <w:lang w:val="fr-CA"/>
              </w:rPr>
            </w:pPr>
          </w:p>
          <w:p w:rsidR="0030288C" w:rsidRPr="00DD7C7F" w:rsidRDefault="0030288C" w:rsidP="0030288C">
            <w:pPr>
              <w:rPr>
                <w:sz w:val="20"/>
                <w:szCs w:val="20"/>
                <w:lang w:val="fr-CA"/>
              </w:rPr>
            </w:pPr>
            <w:r w:rsidRPr="00DD7C7F">
              <w:rPr>
                <w:sz w:val="20"/>
                <w:szCs w:val="20"/>
                <w:lang w:val="fr-CA"/>
              </w:rPr>
              <w:t>DATE DE PRODUCTION: le 7 novembre 2022</w:t>
            </w:r>
          </w:p>
          <w:p w:rsidR="00150C19" w:rsidRPr="00DD7C7F" w:rsidRDefault="00150C19" w:rsidP="00150C19">
            <w:pPr>
              <w:rPr>
                <w:sz w:val="20"/>
                <w:szCs w:val="20"/>
                <w:lang w:val="fr-CA"/>
              </w:rPr>
            </w:pPr>
          </w:p>
          <w:p w:rsidR="00150C19" w:rsidRPr="00DD7C7F" w:rsidRDefault="00512056" w:rsidP="00150C19">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tc>
        <w:tc>
          <w:tcPr>
            <w:tcW w:w="4239" w:type="dxa"/>
            <w:shd w:val="clear" w:color="auto" w:fill="auto"/>
          </w:tcPr>
          <w:p w:rsidR="00150C19" w:rsidRPr="00DD7C7F" w:rsidRDefault="0030288C" w:rsidP="00150C19">
            <w:pPr>
              <w:rPr>
                <w:sz w:val="20"/>
                <w:szCs w:val="20"/>
                <w:lang w:val="fr-CA"/>
              </w:rPr>
            </w:pPr>
            <w:r w:rsidRPr="00DD7C7F">
              <w:rPr>
                <w:b/>
                <w:sz w:val="20"/>
                <w:szCs w:val="20"/>
                <w:lang w:val="fr-CA"/>
              </w:rPr>
              <w:t>Directeur général des élections du Québec</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30288C" w:rsidRPr="00DD7C7F">
              <w:rPr>
                <w:sz w:val="20"/>
                <w:szCs w:val="20"/>
                <w:lang w:val="fr-CA"/>
              </w:rPr>
              <w:t>Cournoyer Boutin, Olivier</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30288C" w:rsidRPr="00DD7C7F">
              <w:rPr>
                <w:sz w:val="20"/>
                <w:szCs w:val="20"/>
                <w:lang w:val="fr-CA"/>
              </w:rPr>
              <w:t>Directeur général des élections</w:t>
            </w:r>
          </w:p>
          <w:p w:rsidR="00150C19" w:rsidRPr="00DD7C7F" w:rsidRDefault="00150C19" w:rsidP="00150C19">
            <w:pPr>
              <w:tabs>
                <w:tab w:val="left" w:pos="-1440"/>
                <w:tab w:val="left" w:pos="-720"/>
              </w:tabs>
              <w:rPr>
                <w:sz w:val="20"/>
                <w:szCs w:val="20"/>
                <w:lang w:val="fr-CA"/>
              </w:rPr>
            </w:pPr>
          </w:p>
          <w:p w:rsidR="0030288C" w:rsidRPr="00DD7C7F" w:rsidRDefault="0030288C" w:rsidP="0030288C">
            <w:pPr>
              <w:tabs>
                <w:tab w:val="left" w:pos="-1440"/>
                <w:tab w:val="left" w:pos="-720"/>
              </w:tabs>
              <w:rPr>
                <w:sz w:val="20"/>
                <w:szCs w:val="20"/>
                <w:lang w:val="fr-CA"/>
              </w:rPr>
            </w:pPr>
            <w:r w:rsidRPr="00DD7C7F">
              <w:rPr>
                <w:sz w:val="20"/>
                <w:szCs w:val="20"/>
                <w:lang w:val="fr-CA"/>
              </w:rPr>
              <w:tab/>
              <w:t>c. (40435)</w:t>
            </w:r>
          </w:p>
          <w:p w:rsidR="00150C19" w:rsidRPr="00DD7C7F" w:rsidRDefault="00150C19" w:rsidP="00150C19">
            <w:pPr>
              <w:tabs>
                <w:tab w:val="left" w:pos="-1440"/>
                <w:tab w:val="left" w:pos="-720"/>
              </w:tabs>
              <w:rPr>
                <w:sz w:val="20"/>
                <w:szCs w:val="20"/>
                <w:lang w:val="fr-CA"/>
              </w:rPr>
            </w:pPr>
          </w:p>
          <w:p w:rsidR="00150C19" w:rsidRPr="00DD7C7F" w:rsidRDefault="0030288C" w:rsidP="00150C19">
            <w:pPr>
              <w:tabs>
                <w:tab w:val="left" w:pos="-1440"/>
                <w:tab w:val="left" w:pos="-720"/>
              </w:tabs>
              <w:rPr>
                <w:b/>
                <w:sz w:val="20"/>
                <w:szCs w:val="20"/>
                <w:lang w:val="fr-CA"/>
              </w:rPr>
            </w:pPr>
            <w:r w:rsidRPr="00DD7C7F">
              <w:rPr>
                <w:b/>
                <w:sz w:val="20"/>
                <w:szCs w:val="20"/>
                <w:lang w:val="fr-CA"/>
              </w:rPr>
              <w:t>Pierre Karl Péladeau, et al.</w:t>
            </w:r>
            <w:r w:rsidR="00150C19" w:rsidRPr="00DD7C7F">
              <w:rPr>
                <w:b/>
                <w:sz w:val="20"/>
                <w:szCs w:val="20"/>
                <w:lang w:val="fr-CA"/>
              </w:rPr>
              <w:t xml:space="preserve"> (</w:t>
            </w:r>
            <w:r w:rsidRPr="00DD7C7F">
              <w:rPr>
                <w:b/>
                <w:sz w:val="20"/>
                <w:szCs w:val="20"/>
                <w:lang w:val="fr-CA"/>
              </w:rPr>
              <w:t>Qc</w:t>
            </w:r>
            <w:r w:rsidR="00150C19" w:rsidRPr="00DD7C7F">
              <w:rPr>
                <w:b/>
                <w:sz w:val="20"/>
                <w:szCs w:val="20"/>
                <w:lang w:val="fr-CA"/>
              </w:rPr>
              <w:t>)</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30288C" w:rsidRPr="00DD7C7F">
              <w:rPr>
                <w:sz w:val="20"/>
                <w:szCs w:val="20"/>
                <w:lang w:val="fr-CA"/>
              </w:rPr>
              <w:t>Battista Ad.E., Giuseppe</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30288C" w:rsidRPr="00DD7C7F">
              <w:rPr>
                <w:sz w:val="20"/>
                <w:szCs w:val="20"/>
                <w:lang w:val="fr-CA"/>
              </w:rPr>
              <w:t>Battista Turcot Israel Corbo s.e.n.c.</w:t>
            </w:r>
          </w:p>
          <w:p w:rsidR="00150C19" w:rsidRPr="00DD7C7F" w:rsidRDefault="00150C19" w:rsidP="00150C19">
            <w:pPr>
              <w:tabs>
                <w:tab w:val="left" w:pos="-1440"/>
                <w:tab w:val="left" w:pos="-720"/>
              </w:tabs>
              <w:rPr>
                <w:sz w:val="20"/>
                <w:szCs w:val="20"/>
                <w:lang w:val="fr-CA"/>
              </w:rPr>
            </w:pPr>
          </w:p>
          <w:p w:rsidR="0030288C" w:rsidRPr="00DD7C7F" w:rsidRDefault="0030288C" w:rsidP="0030288C">
            <w:pPr>
              <w:rPr>
                <w:sz w:val="20"/>
                <w:szCs w:val="20"/>
                <w:lang w:val="fr-CA"/>
              </w:rPr>
            </w:pPr>
            <w:r w:rsidRPr="00DD7C7F">
              <w:rPr>
                <w:sz w:val="20"/>
                <w:szCs w:val="20"/>
                <w:lang w:val="fr-CA"/>
              </w:rPr>
              <w:t>DATE DE PRODUCTION: le 8 novembre 2022</w:t>
            </w:r>
          </w:p>
          <w:p w:rsidR="00150C19" w:rsidRPr="00DD7C7F" w:rsidRDefault="00150C19" w:rsidP="00150C19">
            <w:pPr>
              <w:rPr>
                <w:sz w:val="20"/>
                <w:szCs w:val="20"/>
                <w:lang w:val="fr-CA"/>
              </w:rPr>
            </w:pPr>
          </w:p>
          <w:p w:rsidR="00150C19" w:rsidRPr="00DD7C7F" w:rsidRDefault="00512056" w:rsidP="00150C19">
            <w:pPr>
              <w:rPr>
                <w:b/>
                <w:sz w:val="20"/>
                <w:szCs w:val="20"/>
                <w:lang w:val="en-US"/>
              </w:rPr>
            </w:pPr>
            <w:r>
              <w:rPr>
                <w:sz w:val="20"/>
                <w:szCs w:val="20"/>
                <w:lang w:val="fr-CA"/>
              </w:rPr>
              <w:pict>
                <v:rect id="_x0000_i1040" style="width:108pt;height:1pt" o:hrpct="0" o:hrstd="t" o:hrnoshade="t" o:hr="t" fillcolor="black [3213]" stroked="f"/>
              </w:pict>
            </w:r>
          </w:p>
        </w:tc>
      </w:tr>
      <w:tr w:rsidR="00150C19" w:rsidRPr="00DD7C7F" w:rsidTr="00F138C1">
        <w:tc>
          <w:tcPr>
            <w:tcW w:w="4239" w:type="dxa"/>
            <w:shd w:val="clear" w:color="auto" w:fill="auto"/>
          </w:tcPr>
          <w:p w:rsidR="00150C19" w:rsidRPr="00DD7C7F" w:rsidRDefault="0030288C" w:rsidP="00150C19">
            <w:pPr>
              <w:rPr>
                <w:sz w:val="20"/>
                <w:szCs w:val="20"/>
                <w:lang w:val="en-US"/>
              </w:rPr>
            </w:pPr>
            <w:r w:rsidRPr="00DD7C7F">
              <w:rPr>
                <w:b/>
                <w:sz w:val="20"/>
                <w:szCs w:val="20"/>
                <w:lang w:val="en-US"/>
              </w:rPr>
              <w:t>Loblaw Companies Limited, et al.</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30288C" w:rsidRPr="00DD7C7F">
              <w:rPr>
                <w:sz w:val="20"/>
                <w:szCs w:val="20"/>
                <w:lang w:val="en-US"/>
              </w:rPr>
              <w:t>De Zordo, Ad. E., Alexander L.</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30288C" w:rsidRPr="00DD7C7F">
              <w:rPr>
                <w:sz w:val="20"/>
                <w:szCs w:val="20"/>
                <w:lang w:val="en-US"/>
              </w:rPr>
              <w:t>Borden Ladner Gervais LLP</w:t>
            </w:r>
          </w:p>
          <w:p w:rsidR="00150C19" w:rsidRPr="00DD7C7F" w:rsidRDefault="00150C19" w:rsidP="00150C19">
            <w:pPr>
              <w:tabs>
                <w:tab w:val="left" w:pos="-1440"/>
                <w:tab w:val="left" w:pos="-720"/>
              </w:tabs>
              <w:rPr>
                <w:sz w:val="20"/>
                <w:szCs w:val="20"/>
                <w:lang w:val="en-US"/>
              </w:rPr>
            </w:pPr>
          </w:p>
          <w:p w:rsidR="0030288C" w:rsidRPr="00DD7C7F" w:rsidRDefault="0030288C" w:rsidP="0030288C">
            <w:pPr>
              <w:tabs>
                <w:tab w:val="left" w:pos="-1440"/>
                <w:tab w:val="left" w:pos="-720"/>
              </w:tabs>
              <w:rPr>
                <w:sz w:val="20"/>
                <w:szCs w:val="20"/>
                <w:lang w:val="fr-CA"/>
              </w:rPr>
            </w:pPr>
            <w:r w:rsidRPr="00DD7C7F">
              <w:rPr>
                <w:sz w:val="20"/>
                <w:szCs w:val="20"/>
                <w:lang w:val="en-US"/>
              </w:rPr>
              <w:tab/>
            </w:r>
            <w:r w:rsidRPr="00DD7C7F">
              <w:rPr>
                <w:sz w:val="20"/>
                <w:szCs w:val="20"/>
                <w:lang w:val="fr-CA"/>
              </w:rPr>
              <w:t>v. (40436)</w:t>
            </w:r>
          </w:p>
          <w:p w:rsidR="00150C19" w:rsidRPr="00DD7C7F" w:rsidRDefault="00150C19" w:rsidP="00150C19">
            <w:pPr>
              <w:tabs>
                <w:tab w:val="left" w:pos="-1440"/>
                <w:tab w:val="left" w:pos="-720"/>
              </w:tabs>
              <w:rPr>
                <w:sz w:val="20"/>
                <w:szCs w:val="20"/>
                <w:lang w:val="fr-CA"/>
              </w:rPr>
            </w:pPr>
          </w:p>
          <w:p w:rsidR="00150C19" w:rsidRPr="00DD7C7F" w:rsidRDefault="0030288C" w:rsidP="00150C19">
            <w:pPr>
              <w:tabs>
                <w:tab w:val="left" w:pos="-1440"/>
                <w:tab w:val="left" w:pos="-720"/>
              </w:tabs>
              <w:rPr>
                <w:b/>
                <w:sz w:val="20"/>
                <w:szCs w:val="20"/>
                <w:lang w:val="fr-CA"/>
              </w:rPr>
            </w:pPr>
            <w:r w:rsidRPr="00DD7C7F">
              <w:rPr>
                <w:b/>
                <w:sz w:val="20"/>
                <w:szCs w:val="20"/>
                <w:lang w:val="fr-CA"/>
              </w:rPr>
              <w:t>James Govan</w:t>
            </w:r>
            <w:r w:rsidR="00150C19" w:rsidRPr="00DD7C7F">
              <w:rPr>
                <w:b/>
                <w:sz w:val="20"/>
                <w:szCs w:val="20"/>
                <w:lang w:val="fr-CA"/>
              </w:rPr>
              <w:t xml:space="preserve"> (</w:t>
            </w:r>
            <w:r w:rsidRPr="00DD7C7F">
              <w:rPr>
                <w:b/>
                <w:sz w:val="20"/>
                <w:szCs w:val="20"/>
                <w:lang w:val="fr-CA"/>
              </w:rPr>
              <w:t>Que</w:t>
            </w:r>
            <w:r w:rsidR="00150C19" w:rsidRPr="00DD7C7F">
              <w:rPr>
                <w:b/>
                <w:sz w:val="20"/>
                <w:szCs w:val="20"/>
                <w:lang w:val="fr-CA"/>
              </w:rPr>
              <w:t>.)</w:t>
            </w:r>
          </w:p>
          <w:p w:rsidR="00150C19" w:rsidRPr="00DD7C7F" w:rsidRDefault="00150C19" w:rsidP="00150C19">
            <w:pPr>
              <w:tabs>
                <w:tab w:val="left" w:pos="-1440"/>
                <w:tab w:val="left" w:pos="-720"/>
              </w:tabs>
              <w:rPr>
                <w:sz w:val="20"/>
                <w:szCs w:val="20"/>
                <w:lang w:val="fr-CA"/>
              </w:rPr>
            </w:pPr>
            <w:r w:rsidRPr="00DD7C7F">
              <w:rPr>
                <w:sz w:val="20"/>
                <w:szCs w:val="20"/>
                <w:lang w:val="fr-CA"/>
              </w:rPr>
              <w:tab/>
            </w:r>
            <w:r w:rsidR="0030288C" w:rsidRPr="00DD7C7F">
              <w:rPr>
                <w:sz w:val="20"/>
                <w:szCs w:val="20"/>
                <w:lang w:val="fr-CA"/>
              </w:rPr>
              <w:t>Zukran, Joey</w:t>
            </w:r>
          </w:p>
          <w:p w:rsidR="00150C19" w:rsidRPr="00DD7C7F" w:rsidRDefault="00150C19" w:rsidP="00150C19">
            <w:pPr>
              <w:tabs>
                <w:tab w:val="left" w:pos="-1440"/>
                <w:tab w:val="left" w:pos="-720"/>
              </w:tabs>
              <w:rPr>
                <w:sz w:val="20"/>
                <w:szCs w:val="20"/>
              </w:rPr>
            </w:pPr>
            <w:r w:rsidRPr="00DD7C7F">
              <w:rPr>
                <w:sz w:val="20"/>
                <w:szCs w:val="20"/>
                <w:lang w:val="fr-CA"/>
              </w:rPr>
              <w:tab/>
            </w:r>
            <w:r w:rsidR="0030288C" w:rsidRPr="00DD7C7F">
              <w:rPr>
                <w:sz w:val="20"/>
                <w:szCs w:val="20"/>
              </w:rPr>
              <w:t>LPC Avocat</w:t>
            </w:r>
          </w:p>
          <w:p w:rsidR="00150C19" w:rsidRPr="00DD7C7F" w:rsidRDefault="00150C19" w:rsidP="00150C19">
            <w:pPr>
              <w:tabs>
                <w:tab w:val="left" w:pos="-1440"/>
                <w:tab w:val="left" w:pos="-720"/>
              </w:tabs>
              <w:rPr>
                <w:sz w:val="20"/>
                <w:szCs w:val="20"/>
              </w:rPr>
            </w:pPr>
          </w:p>
          <w:p w:rsidR="00150C19" w:rsidRPr="00DD7C7F" w:rsidRDefault="00150C19" w:rsidP="00150C19">
            <w:pPr>
              <w:rPr>
                <w:sz w:val="20"/>
                <w:szCs w:val="20"/>
              </w:rPr>
            </w:pPr>
            <w:r w:rsidRPr="00DD7C7F">
              <w:rPr>
                <w:sz w:val="20"/>
                <w:szCs w:val="20"/>
              </w:rPr>
              <w:t xml:space="preserve">FILING DATE: </w:t>
            </w:r>
            <w:r w:rsidR="0030288C" w:rsidRPr="00DD7C7F">
              <w:rPr>
                <w:sz w:val="20"/>
                <w:szCs w:val="20"/>
              </w:rPr>
              <w:t>November</w:t>
            </w:r>
            <w:r w:rsidRPr="00DD7C7F">
              <w:rPr>
                <w:sz w:val="20"/>
                <w:szCs w:val="20"/>
              </w:rPr>
              <w:t xml:space="preserve"> </w:t>
            </w:r>
            <w:r w:rsidR="0030288C" w:rsidRPr="00DD7C7F">
              <w:rPr>
                <w:sz w:val="20"/>
                <w:szCs w:val="20"/>
              </w:rPr>
              <w:t>8</w:t>
            </w:r>
            <w:r w:rsidRPr="00DD7C7F">
              <w:rPr>
                <w:sz w:val="20"/>
                <w:szCs w:val="20"/>
              </w:rPr>
              <w:t>, 2022</w:t>
            </w:r>
          </w:p>
          <w:p w:rsidR="00150C19" w:rsidRPr="00DD7C7F" w:rsidRDefault="00150C19" w:rsidP="00150C19">
            <w:pPr>
              <w:rPr>
                <w:sz w:val="20"/>
                <w:szCs w:val="20"/>
              </w:rPr>
            </w:pPr>
          </w:p>
          <w:p w:rsidR="00150C19" w:rsidRPr="00DD7C7F" w:rsidRDefault="00512056" w:rsidP="00150C19">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tc>
        <w:tc>
          <w:tcPr>
            <w:tcW w:w="4239" w:type="dxa"/>
            <w:shd w:val="clear" w:color="auto" w:fill="auto"/>
          </w:tcPr>
          <w:p w:rsidR="00150C19" w:rsidRPr="00DD7C7F" w:rsidRDefault="0030288C" w:rsidP="00150C19">
            <w:pPr>
              <w:rPr>
                <w:sz w:val="20"/>
                <w:szCs w:val="20"/>
                <w:lang w:val="en-US"/>
              </w:rPr>
            </w:pPr>
            <w:r w:rsidRPr="00DD7C7F">
              <w:rPr>
                <w:b/>
                <w:sz w:val="20"/>
                <w:szCs w:val="20"/>
                <w:lang w:val="en-US"/>
              </w:rPr>
              <w:t>George Mathew</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30288C" w:rsidRPr="00DD7C7F">
              <w:rPr>
                <w:sz w:val="20"/>
                <w:szCs w:val="20"/>
                <w:lang w:val="en-US"/>
              </w:rPr>
              <w:t>Purtzki, Eric</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30288C" w:rsidRPr="00DD7C7F">
              <w:rPr>
                <w:sz w:val="20"/>
                <w:szCs w:val="20"/>
                <w:lang w:val="en-US"/>
              </w:rPr>
              <w:t>Melville Law Chambers</w:t>
            </w:r>
          </w:p>
          <w:p w:rsidR="00150C19" w:rsidRPr="00DD7C7F" w:rsidRDefault="00150C19" w:rsidP="00150C19">
            <w:pPr>
              <w:tabs>
                <w:tab w:val="left" w:pos="-1440"/>
                <w:tab w:val="left" w:pos="-720"/>
              </w:tabs>
              <w:rPr>
                <w:sz w:val="20"/>
                <w:szCs w:val="20"/>
                <w:lang w:val="en-US"/>
              </w:rPr>
            </w:pPr>
          </w:p>
          <w:p w:rsidR="0030288C" w:rsidRPr="00DD7C7F" w:rsidRDefault="0030288C" w:rsidP="0030288C">
            <w:pPr>
              <w:tabs>
                <w:tab w:val="left" w:pos="-1440"/>
                <w:tab w:val="left" w:pos="-720"/>
              </w:tabs>
              <w:rPr>
                <w:sz w:val="20"/>
                <w:szCs w:val="20"/>
                <w:lang w:val="en-US"/>
              </w:rPr>
            </w:pPr>
            <w:r w:rsidRPr="00DD7C7F">
              <w:rPr>
                <w:sz w:val="20"/>
                <w:szCs w:val="20"/>
                <w:lang w:val="en-US"/>
              </w:rPr>
              <w:tab/>
              <w:t>v. (40438)</w:t>
            </w:r>
          </w:p>
          <w:p w:rsidR="00150C19" w:rsidRPr="00DD7C7F" w:rsidRDefault="00150C19" w:rsidP="00150C19">
            <w:pPr>
              <w:tabs>
                <w:tab w:val="left" w:pos="-1440"/>
                <w:tab w:val="left" w:pos="-720"/>
              </w:tabs>
              <w:rPr>
                <w:sz w:val="20"/>
                <w:szCs w:val="20"/>
                <w:lang w:val="en-US"/>
              </w:rPr>
            </w:pPr>
          </w:p>
          <w:p w:rsidR="00150C19" w:rsidRPr="00DD7C7F" w:rsidRDefault="0030288C" w:rsidP="00150C19">
            <w:pPr>
              <w:tabs>
                <w:tab w:val="left" w:pos="-1440"/>
                <w:tab w:val="left" w:pos="-720"/>
              </w:tabs>
              <w:rPr>
                <w:b/>
                <w:sz w:val="20"/>
                <w:szCs w:val="20"/>
                <w:lang w:val="en-US"/>
              </w:rPr>
            </w:pPr>
            <w:r w:rsidRPr="00DD7C7F">
              <w:rPr>
                <w:b/>
                <w:sz w:val="20"/>
                <w:szCs w:val="20"/>
                <w:lang w:val="en-US"/>
              </w:rPr>
              <w:t>His Majesty the King</w:t>
            </w:r>
            <w:r w:rsidR="00150C19" w:rsidRPr="00DD7C7F">
              <w:rPr>
                <w:b/>
                <w:sz w:val="20"/>
                <w:szCs w:val="20"/>
                <w:lang w:val="en-US"/>
              </w:rPr>
              <w:t xml:space="preserve"> (</w:t>
            </w:r>
            <w:r w:rsidRPr="00DD7C7F">
              <w:rPr>
                <w:b/>
                <w:sz w:val="20"/>
                <w:szCs w:val="20"/>
                <w:lang w:val="en-US"/>
              </w:rPr>
              <w:t>B.C</w:t>
            </w:r>
            <w:r w:rsidR="00150C19" w:rsidRPr="00DD7C7F">
              <w:rPr>
                <w:b/>
                <w:sz w:val="20"/>
                <w:szCs w:val="20"/>
                <w:lang w:val="en-US"/>
              </w:rPr>
              <w:t>.)</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30288C" w:rsidRPr="00DD7C7F">
              <w:rPr>
                <w:sz w:val="20"/>
                <w:szCs w:val="20"/>
                <w:lang w:val="en-US"/>
              </w:rPr>
              <w:t>Vizsolyi, Lara</w:t>
            </w:r>
          </w:p>
          <w:p w:rsidR="00150C19" w:rsidRPr="00DD7C7F" w:rsidRDefault="00150C19" w:rsidP="00150C19">
            <w:pPr>
              <w:tabs>
                <w:tab w:val="left" w:pos="-1440"/>
                <w:tab w:val="left" w:pos="-720"/>
              </w:tabs>
              <w:rPr>
                <w:sz w:val="20"/>
                <w:szCs w:val="20"/>
              </w:rPr>
            </w:pPr>
            <w:r w:rsidRPr="00DD7C7F">
              <w:rPr>
                <w:sz w:val="20"/>
                <w:szCs w:val="20"/>
                <w:lang w:val="en-US"/>
              </w:rPr>
              <w:tab/>
            </w:r>
            <w:r w:rsidR="0030288C" w:rsidRPr="00DD7C7F">
              <w:rPr>
                <w:sz w:val="20"/>
                <w:szCs w:val="20"/>
              </w:rPr>
              <w:t>Ministry of Justice</w:t>
            </w:r>
          </w:p>
          <w:p w:rsidR="00150C19" w:rsidRPr="00DD7C7F" w:rsidRDefault="00150C19" w:rsidP="00150C19">
            <w:pPr>
              <w:tabs>
                <w:tab w:val="left" w:pos="-1440"/>
                <w:tab w:val="left" w:pos="-720"/>
              </w:tabs>
              <w:rPr>
                <w:sz w:val="20"/>
                <w:szCs w:val="20"/>
              </w:rPr>
            </w:pPr>
          </w:p>
          <w:p w:rsidR="00150C19" w:rsidRPr="00DD7C7F" w:rsidRDefault="00150C19" w:rsidP="00150C19">
            <w:pPr>
              <w:rPr>
                <w:sz w:val="20"/>
                <w:szCs w:val="20"/>
              </w:rPr>
            </w:pPr>
            <w:r w:rsidRPr="00DD7C7F">
              <w:rPr>
                <w:sz w:val="20"/>
                <w:szCs w:val="20"/>
              </w:rPr>
              <w:t xml:space="preserve">FILING DATE: </w:t>
            </w:r>
            <w:r w:rsidR="0030288C" w:rsidRPr="00DD7C7F">
              <w:rPr>
                <w:sz w:val="20"/>
                <w:szCs w:val="20"/>
              </w:rPr>
              <w:t>November 8</w:t>
            </w:r>
            <w:r w:rsidRPr="00DD7C7F">
              <w:rPr>
                <w:sz w:val="20"/>
                <w:szCs w:val="20"/>
              </w:rPr>
              <w:t>, 2022</w:t>
            </w:r>
          </w:p>
          <w:p w:rsidR="00150C19" w:rsidRPr="00DD7C7F" w:rsidRDefault="00150C19" w:rsidP="00150C19">
            <w:pPr>
              <w:rPr>
                <w:sz w:val="20"/>
                <w:szCs w:val="20"/>
              </w:rPr>
            </w:pPr>
          </w:p>
          <w:p w:rsidR="00150C19" w:rsidRPr="00DD7C7F" w:rsidRDefault="00512056" w:rsidP="00150C19">
            <w:pPr>
              <w:rPr>
                <w:b/>
                <w:sz w:val="20"/>
                <w:szCs w:val="20"/>
                <w:lang w:val="en-US"/>
              </w:rPr>
            </w:pPr>
            <w:r>
              <w:rPr>
                <w:sz w:val="20"/>
                <w:szCs w:val="20"/>
                <w:lang w:val="fr-CA"/>
              </w:rPr>
              <w:pict>
                <v:rect id="_x0000_i1042" style="width:108pt;height:1pt" o:hrpct="0" o:hrstd="t" o:hrnoshade="t" o:hr="t" fillcolor="black [3213]" stroked="f"/>
              </w:pict>
            </w:r>
          </w:p>
        </w:tc>
      </w:tr>
      <w:tr w:rsidR="00150C19" w:rsidRPr="00DD7C7F" w:rsidTr="00F138C1">
        <w:tc>
          <w:tcPr>
            <w:tcW w:w="4239" w:type="dxa"/>
            <w:shd w:val="clear" w:color="auto" w:fill="auto"/>
          </w:tcPr>
          <w:p w:rsidR="00150C19" w:rsidRPr="00DD7C7F" w:rsidRDefault="0030288C" w:rsidP="00150C19">
            <w:pPr>
              <w:rPr>
                <w:sz w:val="20"/>
                <w:szCs w:val="20"/>
                <w:lang w:val="en-US"/>
              </w:rPr>
            </w:pPr>
            <w:r w:rsidRPr="00DD7C7F">
              <w:rPr>
                <w:b/>
                <w:sz w:val="20"/>
                <w:szCs w:val="20"/>
                <w:lang w:val="en-US"/>
              </w:rPr>
              <w:t>March of Dimes Canada</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30288C" w:rsidRPr="00DD7C7F">
              <w:rPr>
                <w:sz w:val="20"/>
                <w:szCs w:val="20"/>
                <w:lang w:val="en-US"/>
              </w:rPr>
              <w:t>Wotherspoon, David</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30288C" w:rsidRPr="00DD7C7F">
              <w:rPr>
                <w:sz w:val="20"/>
                <w:szCs w:val="20"/>
                <w:lang w:val="en-US"/>
              </w:rPr>
              <w:t>Dentons Canada LLP</w:t>
            </w:r>
          </w:p>
          <w:p w:rsidR="00150C19" w:rsidRPr="00DD7C7F" w:rsidRDefault="00150C19" w:rsidP="00150C19">
            <w:pPr>
              <w:tabs>
                <w:tab w:val="left" w:pos="-1440"/>
                <w:tab w:val="left" w:pos="-720"/>
              </w:tabs>
              <w:rPr>
                <w:sz w:val="20"/>
                <w:szCs w:val="20"/>
                <w:lang w:val="en-US"/>
              </w:rPr>
            </w:pPr>
          </w:p>
          <w:p w:rsidR="0030288C" w:rsidRPr="00DD7C7F" w:rsidRDefault="0030288C" w:rsidP="0030288C">
            <w:pPr>
              <w:tabs>
                <w:tab w:val="left" w:pos="-1440"/>
                <w:tab w:val="left" w:pos="-720"/>
              </w:tabs>
              <w:rPr>
                <w:sz w:val="20"/>
                <w:szCs w:val="20"/>
                <w:lang w:val="en-US"/>
              </w:rPr>
            </w:pPr>
            <w:r w:rsidRPr="00DD7C7F">
              <w:rPr>
                <w:sz w:val="20"/>
                <w:szCs w:val="20"/>
                <w:lang w:val="en-US"/>
              </w:rPr>
              <w:tab/>
              <w:t>v. (40439)</w:t>
            </w:r>
          </w:p>
          <w:p w:rsidR="00150C19" w:rsidRPr="00DD7C7F" w:rsidRDefault="00150C19" w:rsidP="00150C19">
            <w:pPr>
              <w:tabs>
                <w:tab w:val="left" w:pos="-1440"/>
                <w:tab w:val="left" w:pos="-720"/>
              </w:tabs>
              <w:rPr>
                <w:sz w:val="20"/>
                <w:szCs w:val="20"/>
                <w:lang w:val="en-US"/>
              </w:rPr>
            </w:pPr>
          </w:p>
          <w:p w:rsidR="00150C19" w:rsidRPr="00DD7C7F" w:rsidRDefault="0030288C" w:rsidP="00150C19">
            <w:pPr>
              <w:tabs>
                <w:tab w:val="left" w:pos="-1440"/>
                <w:tab w:val="left" w:pos="-720"/>
              </w:tabs>
              <w:rPr>
                <w:b/>
                <w:sz w:val="20"/>
                <w:szCs w:val="20"/>
                <w:lang w:val="en-US"/>
              </w:rPr>
            </w:pPr>
            <w:r w:rsidRPr="00DD7C7F">
              <w:rPr>
                <w:b/>
                <w:sz w:val="20"/>
                <w:szCs w:val="20"/>
                <w:lang w:val="en-US"/>
              </w:rPr>
              <w:t>Escape 101 Ventures Inc.</w:t>
            </w:r>
            <w:r w:rsidR="00150C19" w:rsidRPr="00DD7C7F">
              <w:rPr>
                <w:b/>
                <w:sz w:val="20"/>
                <w:szCs w:val="20"/>
                <w:lang w:val="en-US"/>
              </w:rPr>
              <w:t xml:space="preserve"> (</w:t>
            </w:r>
            <w:r w:rsidRPr="00DD7C7F">
              <w:rPr>
                <w:b/>
                <w:sz w:val="20"/>
                <w:szCs w:val="20"/>
                <w:lang w:val="en-US"/>
              </w:rPr>
              <w:t>B.C</w:t>
            </w:r>
            <w:r w:rsidR="00150C19" w:rsidRPr="00DD7C7F">
              <w:rPr>
                <w:b/>
                <w:sz w:val="20"/>
                <w:szCs w:val="20"/>
                <w:lang w:val="en-US"/>
              </w:rPr>
              <w:t>.)</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E547DF" w:rsidRPr="00DD7C7F">
              <w:rPr>
                <w:sz w:val="20"/>
                <w:szCs w:val="20"/>
                <w:lang w:val="en-US"/>
              </w:rPr>
              <w:t>Mulroney, David S.</w:t>
            </w:r>
          </w:p>
          <w:p w:rsidR="00150C19" w:rsidRPr="00DD7C7F" w:rsidRDefault="00150C19" w:rsidP="00150C19">
            <w:pPr>
              <w:tabs>
                <w:tab w:val="left" w:pos="-1440"/>
                <w:tab w:val="left" w:pos="-720"/>
              </w:tabs>
              <w:rPr>
                <w:sz w:val="20"/>
                <w:szCs w:val="20"/>
              </w:rPr>
            </w:pPr>
            <w:r w:rsidRPr="00DD7C7F">
              <w:rPr>
                <w:sz w:val="20"/>
                <w:szCs w:val="20"/>
                <w:lang w:val="en-US"/>
              </w:rPr>
              <w:tab/>
            </w:r>
            <w:r w:rsidR="00E547DF" w:rsidRPr="00DD7C7F">
              <w:rPr>
                <w:sz w:val="20"/>
                <w:szCs w:val="20"/>
              </w:rPr>
              <w:t>Mulroney Silver Law</w:t>
            </w:r>
          </w:p>
          <w:p w:rsidR="00150C19" w:rsidRPr="00DD7C7F" w:rsidRDefault="00150C19" w:rsidP="00150C19">
            <w:pPr>
              <w:tabs>
                <w:tab w:val="left" w:pos="-1440"/>
                <w:tab w:val="left" w:pos="-720"/>
              </w:tabs>
              <w:rPr>
                <w:sz w:val="20"/>
                <w:szCs w:val="20"/>
              </w:rPr>
            </w:pPr>
          </w:p>
          <w:p w:rsidR="00150C19" w:rsidRPr="00DD7C7F" w:rsidRDefault="00150C19" w:rsidP="00150C19">
            <w:pPr>
              <w:rPr>
                <w:sz w:val="20"/>
                <w:szCs w:val="20"/>
              </w:rPr>
            </w:pPr>
            <w:r w:rsidRPr="00DD7C7F">
              <w:rPr>
                <w:sz w:val="20"/>
                <w:szCs w:val="20"/>
              </w:rPr>
              <w:t xml:space="preserve">FILING DATE: </w:t>
            </w:r>
            <w:r w:rsidR="0030288C" w:rsidRPr="00DD7C7F">
              <w:rPr>
                <w:sz w:val="20"/>
                <w:szCs w:val="20"/>
              </w:rPr>
              <w:t>November</w:t>
            </w:r>
            <w:r w:rsidRPr="00DD7C7F">
              <w:rPr>
                <w:sz w:val="20"/>
                <w:szCs w:val="20"/>
              </w:rPr>
              <w:t xml:space="preserve"> </w:t>
            </w:r>
            <w:r w:rsidR="0030288C" w:rsidRPr="00DD7C7F">
              <w:rPr>
                <w:sz w:val="20"/>
                <w:szCs w:val="20"/>
              </w:rPr>
              <w:t>9</w:t>
            </w:r>
            <w:r w:rsidRPr="00DD7C7F">
              <w:rPr>
                <w:sz w:val="20"/>
                <w:szCs w:val="20"/>
              </w:rPr>
              <w:t>, 2022</w:t>
            </w:r>
          </w:p>
          <w:p w:rsidR="00150C19" w:rsidRPr="00DD7C7F" w:rsidRDefault="00150C19" w:rsidP="00150C19">
            <w:pPr>
              <w:rPr>
                <w:sz w:val="20"/>
                <w:szCs w:val="20"/>
              </w:rPr>
            </w:pPr>
          </w:p>
          <w:p w:rsidR="00150C19" w:rsidRPr="00DD7C7F" w:rsidRDefault="00512056" w:rsidP="00150C19">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p w:rsidR="00150C19" w:rsidRPr="00DD7C7F" w:rsidRDefault="00150C19" w:rsidP="00F138C1">
            <w:pPr>
              <w:jc w:val="center"/>
              <w:rPr>
                <w:sz w:val="20"/>
                <w:szCs w:val="20"/>
                <w:lang w:val="en-US"/>
              </w:rPr>
            </w:pPr>
          </w:p>
        </w:tc>
        <w:tc>
          <w:tcPr>
            <w:tcW w:w="4239" w:type="dxa"/>
            <w:shd w:val="clear" w:color="auto" w:fill="auto"/>
          </w:tcPr>
          <w:p w:rsidR="00150C19" w:rsidRPr="00DD7C7F" w:rsidRDefault="00E547DF" w:rsidP="00150C19">
            <w:pPr>
              <w:rPr>
                <w:sz w:val="20"/>
                <w:szCs w:val="20"/>
                <w:lang w:val="en-US"/>
              </w:rPr>
            </w:pPr>
            <w:r w:rsidRPr="00DD7C7F">
              <w:rPr>
                <w:b/>
                <w:sz w:val="20"/>
                <w:szCs w:val="20"/>
                <w:lang w:val="en-US"/>
              </w:rPr>
              <w:t>Shawntez Downey</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E547DF" w:rsidRPr="00DD7C7F">
              <w:rPr>
                <w:sz w:val="20"/>
                <w:szCs w:val="20"/>
                <w:lang w:val="en-US"/>
              </w:rPr>
              <w:t>Gold, Alan D.</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E547DF" w:rsidRPr="00DD7C7F">
              <w:rPr>
                <w:sz w:val="20"/>
                <w:szCs w:val="20"/>
                <w:lang w:val="en-US"/>
              </w:rPr>
              <w:t>Alan D. Gold Professional Corporation</w:t>
            </w:r>
          </w:p>
          <w:p w:rsidR="00150C19" w:rsidRPr="00DD7C7F" w:rsidRDefault="00150C19" w:rsidP="00150C19">
            <w:pPr>
              <w:tabs>
                <w:tab w:val="left" w:pos="-1440"/>
                <w:tab w:val="left" w:pos="-720"/>
              </w:tabs>
              <w:rPr>
                <w:sz w:val="20"/>
                <w:szCs w:val="20"/>
                <w:lang w:val="en-US"/>
              </w:rPr>
            </w:pPr>
          </w:p>
          <w:p w:rsidR="0030288C" w:rsidRPr="00DD7C7F" w:rsidRDefault="0030288C" w:rsidP="0030288C">
            <w:pPr>
              <w:tabs>
                <w:tab w:val="left" w:pos="-1440"/>
                <w:tab w:val="left" w:pos="-720"/>
              </w:tabs>
              <w:rPr>
                <w:sz w:val="20"/>
                <w:szCs w:val="20"/>
                <w:lang w:val="en-US"/>
              </w:rPr>
            </w:pPr>
            <w:r w:rsidRPr="00DD7C7F">
              <w:rPr>
                <w:sz w:val="20"/>
                <w:szCs w:val="20"/>
                <w:lang w:val="en-US"/>
              </w:rPr>
              <w:tab/>
              <w:t>v. (40440)</w:t>
            </w:r>
          </w:p>
          <w:p w:rsidR="00150C19" w:rsidRPr="00DD7C7F" w:rsidRDefault="00150C19" w:rsidP="00150C19">
            <w:pPr>
              <w:tabs>
                <w:tab w:val="left" w:pos="-1440"/>
                <w:tab w:val="left" w:pos="-720"/>
              </w:tabs>
              <w:rPr>
                <w:sz w:val="20"/>
                <w:szCs w:val="20"/>
                <w:lang w:val="en-US"/>
              </w:rPr>
            </w:pPr>
          </w:p>
          <w:p w:rsidR="00150C19" w:rsidRPr="00DD7C7F" w:rsidRDefault="00E547DF" w:rsidP="00150C19">
            <w:pPr>
              <w:tabs>
                <w:tab w:val="left" w:pos="-1440"/>
                <w:tab w:val="left" w:pos="-720"/>
              </w:tabs>
              <w:rPr>
                <w:b/>
                <w:sz w:val="20"/>
                <w:szCs w:val="20"/>
                <w:lang w:val="en-US"/>
              </w:rPr>
            </w:pPr>
            <w:r w:rsidRPr="00DD7C7F">
              <w:rPr>
                <w:b/>
                <w:sz w:val="20"/>
                <w:szCs w:val="20"/>
                <w:lang w:val="en-US"/>
              </w:rPr>
              <w:t>His Majesty the King</w:t>
            </w:r>
            <w:r w:rsidR="00150C19" w:rsidRPr="00DD7C7F">
              <w:rPr>
                <w:b/>
                <w:sz w:val="20"/>
                <w:szCs w:val="20"/>
                <w:lang w:val="en-US"/>
              </w:rPr>
              <w:t xml:space="preserve"> (</w:t>
            </w:r>
            <w:r w:rsidRPr="00DD7C7F">
              <w:rPr>
                <w:b/>
                <w:sz w:val="20"/>
                <w:szCs w:val="20"/>
                <w:lang w:val="en-US"/>
              </w:rPr>
              <w:t>N.S</w:t>
            </w:r>
            <w:r w:rsidR="00150C19" w:rsidRPr="00DD7C7F">
              <w:rPr>
                <w:b/>
                <w:sz w:val="20"/>
                <w:szCs w:val="20"/>
                <w:lang w:val="en-US"/>
              </w:rPr>
              <w:t>.)</w:t>
            </w:r>
          </w:p>
          <w:p w:rsidR="00150C19" w:rsidRPr="00DD7C7F" w:rsidRDefault="00150C19" w:rsidP="00150C19">
            <w:pPr>
              <w:tabs>
                <w:tab w:val="left" w:pos="-1440"/>
                <w:tab w:val="left" w:pos="-720"/>
              </w:tabs>
              <w:rPr>
                <w:sz w:val="20"/>
                <w:szCs w:val="20"/>
                <w:lang w:val="en-US"/>
              </w:rPr>
            </w:pPr>
            <w:r w:rsidRPr="00DD7C7F">
              <w:rPr>
                <w:sz w:val="20"/>
                <w:szCs w:val="20"/>
                <w:lang w:val="en-US"/>
              </w:rPr>
              <w:tab/>
            </w:r>
            <w:r w:rsidR="00E547DF" w:rsidRPr="00DD7C7F">
              <w:rPr>
                <w:sz w:val="20"/>
                <w:szCs w:val="20"/>
                <w:lang w:val="en-US"/>
              </w:rPr>
              <w:t>Hubbard, Glenn</w:t>
            </w:r>
          </w:p>
          <w:p w:rsidR="00150C19" w:rsidRPr="00DD7C7F" w:rsidRDefault="00150C19" w:rsidP="00150C19">
            <w:pPr>
              <w:tabs>
                <w:tab w:val="left" w:pos="-1440"/>
                <w:tab w:val="left" w:pos="-720"/>
              </w:tabs>
              <w:rPr>
                <w:sz w:val="20"/>
                <w:szCs w:val="20"/>
              </w:rPr>
            </w:pPr>
            <w:r w:rsidRPr="00DD7C7F">
              <w:rPr>
                <w:sz w:val="20"/>
                <w:szCs w:val="20"/>
                <w:lang w:val="en-US"/>
              </w:rPr>
              <w:tab/>
            </w:r>
            <w:r w:rsidR="00E547DF" w:rsidRPr="00DD7C7F">
              <w:rPr>
                <w:sz w:val="20"/>
                <w:szCs w:val="20"/>
              </w:rPr>
              <w:t>Nova Scotia Public Prosecution Service</w:t>
            </w:r>
          </w:p>
          <w:p w:rsidR="00150C19" w:rsidRPr="00DD7C7F" w:rsidRDefault="00150C19" w:rsidP="00150C19">
            <w:pPr>
              <w:tabs>
                <w:tab w:val="left" w:pos="-1440"/>
                <w:tab w:val="left" w:pos="-720"/>
              </w:tabs>
              <w:rPr>
                <w:sz w:val="20"/>
                <w:szCs w:val="20"/>
              </w:rPr>
            </w:pPr>
          </w:p>
          <w:p w:rsidR="00150C19" w:rsidRPr="00DD7C7F" w:rsidRDefault="00150C19" w:rsidP="00150C19">
            <w:pPr>
              <w:rPr>
                <w:sz w:val="20"/>
                <w:szCs w:val="20"/>
              </w:rPr>
            </w:pPr>
            <w:r w:rsidRPr="00DD7C7F">
              <w:rPr>
                <w:sz w:val="20"/>
                <w:szCs w:val="20"/>
              </w:rPr>
              <w:t xml:space="preserve">FILING DATE: </w:t>
            </w:r>
            <w:r w:rsidR="00E547DF" w:rsidRPr="00DD7C7F">
              <w:rPr>
                <w:sz w:val="20"/>
                <w:szCs w:val="20"/>
              </w:rPr>
              <w:t>November</w:t>
            </w:r>
            <w:r w:rsidRPr="00DD7C7F">
              <w:rPr>
                <w:sz w:val="20"/>
                <w:szCs w:val="20"/>
              </w:rPr>
              <w:t xml:space="preserve"> </w:t>
            </w:r>
            <w:r w:rsidR="00E547DF" w:rsidRPr="00DD7C7F">
              <w:rPr>
                <w:sz w:val="20"/>
                <w:szCs w:val="20"/>
              </w:rPr>
              <w:t>9</w:t>
            </w:r>
            <w:r w:rsidRPr="00DD7C7F">
              <w:rPr>
                <w:sz w:val="20"/>
                <w:szCs w:val="20"/>
              </w:rPr>
              <w:t>, 2022</w:t>
            </w:r>
          </w:p>
          <w:p w:rsidR="00150C19" w:rsidRPr="00DD7C7F" w:rsidRDefault="00150C19" w:rsidP="00150C19">
            <w:pPr>
              <w:rPr>
                <w:sz w:val="20"/>
                <w:szCs w:val="20"/>
              </w:rPr>
            </w:pPr>
          </w:p>
          <w:p w:rsidR="00150C19" w:rsidRPr="00DD7C7F" w:rsidRDefault="00512056" w:rsidP="00150C19">
            <w:pPr>
              <w:rPr>
                <w:b/>
                <w:sz w:val="20"/>
                <w:szCs w:val="20"/>
                <w:lang w:val="en-US"/>
              </w:rPr>
            </w:pPr>
            <w:r>
              <w:rPr>
                <w:sz w:val="20"/>
                <w:szCs w:val="20"/>
                <w:lang w:val="fr-CA"/>
              </w:rPr>
              <w:pict>
                <v:rect id="_x0000_i1044" style="width:108pt;height:1pt" o:hrpct="0" o:hrstd="t" o:hrnoshade="t" o:hr="t" fillcolor="black [3213]" stroked="f"/>
              </w:pict>
            </w:r>
          </w:p>
        </w:tc>
      </w:tr>
    </w:tbl>
    <w:p w:rsidR="00F138C1" w:rsidRPr="00DD7C7F" w:rsidRDefault="00F138C1" w:rsidP="00F138C1">
      <w:pPr>
        <w:tabs>
          <w:tab w:val="right" w:pos="9360"/>
        </w:tabs>
        <w:rPr>
          <w:sz w:val="20"/>
          <w:szCs w:val="20"/>
          <w:lang w:val="fr-CA"/>
        </w:rPr>
      </w:pPr>
    </w:p>
    <w:p w:rsidR="00F138C1" w:rsidRPr="00DD7C7F" w:rsidRDefault="00F138C1" w:rsidP="00F138C1">
      <w:pPr>
        <w:tabs>
          <w:tab w:val="right" w:pos="9360"/>
        </w:tabs>
        <w:rPr>
          <w:sz w:val="20"/>
          <w:szCs w:val="20"/>
          <w:lang w:val="fr-CA"/>
        </w:rPr>
      </w:pPr>
    </w:p>
    <w:p w:rsidR="00C01FCB" w:rsidRPr="00DD7C7F" w:rsidRDefault="00C01FCB" w:rsidP="0095096B">
      <w:pPr>
        <w:tabs>
          <w:tab w:val="right" w:pos="9360"/>
        </w:tabs>
        <w:rPr>
          <w:sz w:val="20"/>
          <w:szCs w:val="20"/>
          <w:lang w:val="fr-CA"/>
        </w:rPr>
      </w:pPr>
    </w:p>
    <w:p w:rsidR="00242AEE" w:rsidRPr="00DD7C7F" w:rsidRDefault="00242AEE" w:rsidP="0095096B">
      <w:pPr>
        <w:tabs>
          <w:tab w:val="right" w:pos="9360"/>
        </w:tabs>
        <w:rPr>
          <w:sz w:val="20"/>
          <w:szCs w:val="20"/>
          <w:lang w:val="fr-CA"/>
        </w:rPr>
        <w:sectPr w:rsidR="00242AEE" w:rsidRPr="00DD7C7F"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DD7C7F" w:rsidRDefault="00DD0BDC" w:rsidP="00567602">
      <w:pPr>
        <w:pStyle w:val="Header1StyleE"/>
        <w:pBdr>
          <w:bottom w:val="single" w:sz="12" w:space="1" w:color="auto"/>
        </w:pBdr>
        <w:rPr>
          <w:lang w:val="fr-CA"/>
        </w:rPr>
      </w:pPr>
      <w:bookmarkStart w:id="2" w:name="QuickMark_1"/>
      <w:bookmarkStart w:id="3" w:name="_Toc121404090"/>
      <w:bookmarkEnd w:id="2"/>
      <w:r w:rsidRPr="00DD7C7F">
        <w:rPr>
          <w:lang w:val="fr-CA"/>
        </w:rPr>
        <w:t>Judgments on applications</w:t>
      </w:r>
      <w:r w:rsidR="000C1D9D" w:rsidRPr="00DD7C7F">
        <w:rPr>
          <w:lang w:val="fr-CA"/>
        </w:rPr>
        <w:t xml:space="preserve"> </w:t>
      </w:r>
      <w:r w:rsidRPr="00DD7C7F">
        <w:rPr>
          <w:lang w:val="fr-CA"/>
        </w:rPr>
        <w:t>for leave</w:t>
      </w:r>
      <w:r w:rsidR="00693C38" w:rsidRPr="00DD7C7F">
        <w:rPr>
          <w:noProof/>
          <w:sz w:val="20"/>
          <w:lang w:val="fr-CA"/>
        </w:rPr>
        <w:t xml:space="preserve"> </w:t>
      </w:r>
      <w:r w:rsidR="00271E1E" w:rsidRPr="00DD7C7F">
        <w:rPr>
          <w:noProof/>
          <w:sz w:val="20"/>
          <w:lang w:val="fr-CA"/>
        </w:rPr>
        <w:t xml:space="preserve">/ </w:t>
      </w:r>
      <w:r w:rsidR="00693C38" w:rsidRPr="00DD7C7F">
        <w:rPr>
          <w:noProof/>
          <w:sz w:val="20"/>
          <w:lang w:val="fr-CA"/>
        </w:rPr>
        <w:br/>
      </w:r>
      <w:r w:rsidRPr="00DD7C7F">
        <w:rPr>
          <w:lang w:val="fr-CA"/>
        </w:rPr>
        <w:t>Jugements rendus sur les demandes d’autorisation</w:t>
      </w:r>
      <w:bookmarkEnd w:id="3"/>
    </w:p>
    <w:p w:rsidR="00FB1DB6" w:rsidRPr="00DD7C7F" w:rsidRDefault="00FB1DB6" w:rsidP="00693C38">
      <w:pPr>
        <w:rPr>
          <w:sz w:val="20"/>
          <w:szCs w:val="20"/>
          <w:lang w:val="fr-CA"/>
        </w:rPr>
      </w:pPr>
    </w:p>
    <w:p w:rsidR="00F16063" w:rsidRPr="00DD7C7F" w:rsidRDefault="00267836" w:rsidP="00F16063">
      <w:pPr>
        <w:rPr>
          <w:b/>
          <w:sz w:val="20"/>
          <w:szCs w:val="20"/>
        </w:rPr>
      </w:pPr>
      <w:r w:rsidRPr="00DD7C7F">
        <w:rPr>
          <w:b/>
          <w:sz w:val="20"/>
          <w:szCs w:val="20"/>
          <w:lang w:val="fr-CA"/>
        </w:rPr>
        <w:t>DECEMBER</w:t>
      </w:r>
      <w:r w:rsidR="00F16063" w:rsidRPr="00DD7C7F">
        <w:rPr>
          <w:b/>
          <w:sz w:val="20"/>
          <w:szCs w:val="20"/>
        </w:rPr>
        <w:t xml:space="preserve"> </w:t>
      </w:r>
      <w:r w:rsidRPr="00DD7C7F">
        <w:rPr>
          <w:b/>
          <w:sz w:val="20"/>
          <w:szCs w:val="20"/>
        </w:rPr>
        <w:t>8</w:t>
      </w:r>
      <w:r w:rsidR="00F16063" w:rsidRPr="00DD7C7F">
        <w:rPr>
          <w:b/>
          <w:sz w:val="20"/>
          <w:szCs w:val="20"/>
        </w:rPr>
        <w:t xml:space="preserve">, </w:t>
      </w:r>
      <w:r w:rsidR="0034657E" w:rsidRPr="00DD7C7F">
        <w:rPr>
          <w:b/>
          <w:sz w:val="20"/>
          <w:szCs w:val="20"/>
        </w:rPr>
        <w:t>20</w:t>
      </w:r>
      <w:r w:rsidR="005967EF" w:rsidRPr="00DD7C7F">
        <w:rPr>
          <w:b/>
          <w:sz w:val="20"/>
          <w:szCs w:val="20"/>
        </w:rPr>
        <w:t>2</w:t>
      </w:r>
      <w:r w:rsidR="00E8642A" w:rsidRPr="00DD7C7F">
        <w:rPr>
          <w:b/>
          <w:sz w:val="20"/>
          <w:szCs w:val="20"/>
        </w:rPr>
        <w:t>2</w:t>
      </w:r>
      <w:r w:rsidR="00F16063" w:rsidRPr="00DD7C7F">
        <w:rPr>
          <w:b/>
          <w:sz w:val="20"/>
          <w:szCs w:val="20"/>
        </w:rPr>
        <w:t xml:space="preserve"> / LE </w:t>
      </w:r>
      <w:r w:rsidRPr="00DD7C7F">
        <w:rPr>
          <w:b/>
          <w:sz w:val="20"/>
          <w:szCs w:val="20"/>
        </w:rPr>
        <w:t>8</w:t>
      </w:r>
      <w:r w:rsidR="002C13E1" w:rsidRPr="00DD7C7F">
        <w:rPr>
          <w:b/>
          <w:sz w:val="20"/>
          <w:szCs w:val="20"/>
        </w:rPr>
        <w:t xml:space="preserve"> </w:t>
      </w:r>
      <w:r w:rsidRPr="00DD7C7F">
        <w:rPr>
          <w:b/>
          <w:sz w:val="20"/>
          <w:szCs w:val="20"/>
        </w:rPr>
        <w:t>DÉC</w:t>
      </w:r>
      <w:r w:rsidR="002C13E1" w:rsidRPr="00DD7C7F">
        <w:rPr>
          <w:b/>
          <w:sz w:val="20"/>
          <w:szCs w:val="20"/>
        </w:rPr>
        <w:t>EMBRE</w:t>
      </w:r>
      <w:r w:rsidR="00F16063" w:rsidRPr="00DD7C7F">
        <w:rPr>
          <w:b/>
          <w:sz w:val="20"/>
          <w:szCs w:val="20"/>
        </w:rPr>
        <w:t xml:space="preserve"> </w:t>
      </w:r>
      <w:r w:rsidR="0034657E" w:rsidRPr="00DD7C7F">
        <w:rPr>
          <w:b/>
          <w:sz w:val="20"/>
          <w:szCs w:val="20"/>
        </w:rPr>
        <w:t>20</w:t>
      </w:r>
      <w:r w:rsidR="005967EF" w:rsidRPr="00DD7C7F">
        <w:rPr>
          <w:b/>
          <w:sz w:val="20"/>
          <w:szCs w:val="20"/>
        </w:rPr>
        <w:t>2</w:t>
      </w:r>
      <w:r w:rsidR="00E8642A" w:rsidRPr="00DD7C7F">
        <w:rPr>
          <w:b/>
          <w:sz w:val="20"/>
          <w:szCs w:val="20"/>
        </w:rPr>
        <w:t>2</w:t>
      </w:r>
    </w:p>
    <w:p w:rsidR="00267836" w:rsidRPr="00DD7C7F" w:rsidRDefault="00267836" w:rsidP="0026783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40258</w:t>
            </w:r>
          </w:p>
        </w:tc>
        <w:tc>
          <w:tcPr>
            <w:tcW w:w="4457" w:type="pct"/>
            <w:gridSpan w:val="3"/>
          </w:tcPr>
          <w:p w:rsidR="00267836" w:rsidRPr="00DD7C7F" w:rsidRDefault="00267836" w:rsidP="00DC2914">
            <w:pPr>
              <w:pStyle w:val="SCCLsocParty"/>
              <w:jc w:val="both"/>
              <w:rPr>
                <w:b/>
                <w:sz w:val="20"/>
                <w:szCs w:val="20"/>
                <w:lang w:val="en-US"/>
              </w:rPr>
            </w:pPr>
            <w:r w:rsidRPr="00DD7C7F">
              <w:rPr>
                <w:b/>
                <w:sz w:val="20"/>
                <w:szCs w:val="20"/>
                <w:lang w:val="en-US"/>
              </w:rPr>
              <w:t>His Majesty the King v. J.W.</w:t>
            </w:r>
          </w:p>
          <w:p w:rsidR="00267836" w:rsidRPr="00DD7C7F" w:rsidRDefault="00267836" w:rsidP="00DC2914">
            <w:pPr>
              <w:jc w:val="both"/>
              <w:rPr>
                <w:sz w:val="20"/>
              </w:rPr>
            </w:pPr>
            <w:r w:rsidRPr="00DD7C7F">
              <w:rPr>
                <w:sz w:val="20"/>
              </w:rPr>
              <w:t>(Ont.) (Criminal) (By Leave)</w:t>
            </w:r>
          </w:p>
        </w:tc>
      </w:tr>
      <w:tr w:rsidR="00B82D23" w:rsidRPr="00DD7C7F" w:rsidTr="00DC2914">
        <w:tc>
          <w:tcPr>
            <w:tcW w:w="5000" w:type="pct"/>
            <w:gridSpan w:val="4"/>
          </w:tcPr>
          <w:p w:rsidR="00DC2914" w:rsidRPr="00DD7C7F" w:rsidRDefault="00DC2914" w:rsidP="00DC2914">
            <w:pPr>
              <w:jc w:val="both"/>
              <w:rPr>
                <w:sz w:val="20"/>
                <w:szCs w:val="20"/>
              </w:rPr>
            </w:pPr>
            <w:r w:rsidRPr="00DD7C7F">
              <w:rPr>
                <w:sz w:val="20"/>
                <w:szCs w:val="20"/>
              </w:rPr>
              <w:t>The application for leave to appeal from the judgment of the</w:t>
            </w:r>
            <w:bookmarkStart w:id="4" w:name="BM_1_"/>
            <w:bookmarkEnd w:id="4"/>
            <w:r w:rsidRPr="00DD7C7F">
              <w:rPr>
                <w:sz w:val="20"/>
                <w:szCs w:val="20"/>
              </w:rPr>
              <w:t xml:space="preserve"> Court of Appeal for Ontario, Number C68966, 2022 ONCA 306, dated April 21, 2022, is dismissed.</w:t>
            </w:r>
          </w:p>
          <w:p w:rsidR="00B82D23" w:rsidRPr="00DD7C7F" w:rsidRDefault="00B82D23" w:rsidP="00DC2914">
            <w:pPr>
              <w:pStyle w:val="SCCBanSummary0"/>
              <w:rPr>
                <w:sz w:val="20"/>
                <w:szCs w:val="20"/>
              </w:rPr>
            </w:pPr>
          </w:p>
        </w:tc>
      </w:tr>
      <w:tr w:rsidR="00267836" w:rsidRPr="00DD7C7F" w:rsidTr="00DC2914">
        <w:tc>
          <w:tcPr>
            <w:tcW w:w="5000" w:type="pct"/>
            <w:gridSpan w:val="4"/>
          </w:tcPr>
          <w:p w:rsidR="00267836" w:rsidRPr="00DD7C7F" w:rsidRDefault="00267836" w:rsidP="00DC2914">
            <w:pPr>
              <w:pStyle w:val="SCCBanSummary0"/>
              <w:rPr>
                <w:sz w:val="20"/>
                <w:szCs w:val="20"/>
              </w:rPr>
            </w:pPr>
            <w:r w:rsidRPr="00DD7C7F">
              <w:rPr>
                <w:sz w:val="20"/>
                <w:szCs w:val="20"/>
              </w:rPr>
              <w:t>(Publication ban in case) (Publication ban on party)</w:t>
            </w:r>
          </w:p>
          <w:p w:rsidR="00267836" w:rsidRPr="00DD7C7F" w:rsidRDefault="00267836"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Criminal law — Evidence — Admissibility — Whether </w:t>
            </w:r>
            <w:r w:rsidRPr="00DD7C7F">
              <w:rPr>
                <w:color w:val="000000"/>
                <w:sz w:val="20"/>
              </w:rPr>
              <w:t>evidence of the respondent’s discreditable conduct should have been admitted — Whether the curative proviso should have been applied.</w:t>
            </w:r>
          </w:p>
        </w:tc>
      </w:tr>
      <w:tr w:rsidR="00267836" w:rsidRPr="00DD7C7F" w:rsidTr="00DC2914">
        <w:tc>
          <w:tcPr>
            <w:tcW w:w="5000" w:type="pct"/>
            <w:gridSpan w:val="4"/>
          </w:tcPr>
          <w:p w:rsidR="00267836" w:rsidRPr="00DD7C7F" w:rsidRDefault="00267836" w:rsidP="00DC2914">
            <w:pPr>
              <w:jc w:val="both"/>
              <w:rPr>
                <w:sz w:val="20"/>
              </w:rPr>
            </w:pPr>
          </w:p>
          <w:p w:rsidR="00267836" w:rsidRPr="00DD7C7F" w:rsidRDefault="00267836" w:rsidP="00DC2914">
            <w:pPr>
              <w:jc w:val="both"/>
              <w:rPr>
                <w:sz w:val="20"/>
              </w:rPr>
            </w:pPr>
            <w:r w:rsidRPr="00DD7C7F">
              <w:rPr>
                <w:sz w:val="20"/>
              </w:rPr>
              <w:t>The respondent charged with several offences. The Crown applied to tender evidence of the respondent’s discreditable conduct. The trial judge admitted the evidence, and convicted the respondent of four offences. The Court of Appeal held that the trial judge erred in admitting the evidence.</w:t>
            </w:r>
            <w:r w:rsidRPr="00DD7C7F">
              <w:rPr>
                <w:color w:val="000000"/>
                <w:sz w:val="20"/>
              </w:rPr>
              <w:t xml:space="preserve"> </w:t>
            </w:r>
            <w:r w:rsidRPr="00DD7C7F">
              <w:rPr>
                <w:sz w:val="20"/>
              </w:rPr>
              <w:t>The Court of Appeal allowed the appeal, set aside the convictions, and ordered a new trial.</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December 28, 2017</w:t>
            </w:r>
          </w:p>
          <w:p w:rsidR="00267836" w:rsidRPr="00DD7C7F" w:rsidRDefault="00267836" w:rsidP="00DC2914">
            <w:pPr>
              <w:jc w:val="both"/>
              <w:rPr>
                <w:sz w:val="20"/>
              </w:rPr>
            </w:pPr>
            <w:r w:rsidRPr="00DD7C7F">
              <w:rPr>
                <w:sz w:val="20"/>
              </w:rPr>
              <w:t>Ontario Superior Court of Justice</w:t>
            </w:r>
          </w:p>
          <w:p w:rsidR="00267836" w:rsidRPr="00DD7C7F" w:rsidRDefault="00267836" w:rsidP="00DC2914">
            <w:pPr>
              <w:jc w:val="both"/>
              <w:rPr>
                <w:sz w:val="20"/>
              </w:rPr>
            </w:pPr>
            <w:r w:rsidRPr="00DD7C7F">
              <w:rPr>
                <w:sz w:val="20"/>
              </w:rPr>
              <w:t>(Corthorn J.)</w:t>
            </w:r>
          </w:p>
          <w:p w:rsidR="00267836" w:rsidRPr="00DD7C7F" w:rsidRDefault="00512056" w:rsidP="00DC2914">
            <w:pPr>
              <w:jc w:val="both"/>
              <w:rPr>
                <w:sz w:val="20"/>
              </w:rPr>
            </w:pPr>
            <w:hyperlink r:id="rId15" w:history="1">
              <w:r w:rsidR="00267836" w:rsidRPr="00DD7C7F">
                <w:rPr>
                  <w:rStyle w:val="Hyperlink"/>
                  <w:sz w:val="20"/>
                </w:rPr>
                <w:t>2018 ONSC 1153</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Convictions entered:</w:t>
            </w:r>
            <w:r w:rsidRPr="00DD7C7F">
              <w:rPr>
                <w:color w:val="000000"/>
                <w:sz w:val="20"/>
              </w:rPr>
              <w:t xml:space="preserve"> invitation to sexual touching (x2), sexual interference, and exposing his genitals. </w:t>
            </w:r>
          </w:p>
          <w:p w:rsidR="00267836" w:rsidRPr="00DD7C7F" w:rsidRDefault="00267836" w:rsidP="00DC2914">
            <w:pPr>
              <w:jc w:val="both"/>
              <w:rPr>
                <w:sz w:val="20"/>
              </w:rPr>
            </w:pP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April 21, 2022</w:t>
            </w:r>
          </w:p>
          <w:p w:rsidR="00267836" w:rsidRPr="00DD7C7F" w:rsidRDefault="00267836" w:rsidP="00DC2914">
            <w:pPr>
              <w:jc w:val="both"/>
              <w:rPr>
                <w:sz w:val="20"/>
              </w:rPr>
            </w:pPr>
            <w:r w:rsidRPr="00DD7C7F">
              <w:rPr>
                <w:sz w:val="20"/>
              </w:rPr>
              <w:t>Court of Appeal for Ontario</w:t>
            </w:r>
          </w:p>
          <w:p w:rsidR="00267836" w:rsidRPr="00DD7C7F" w:rsidRDefault="00267836" w:rsidP="00DC2914">
            <w:pPr>
              <w:jc w:val="both"/>
              <w:rPr>
                <w:sz w:val="20"/>
                <w:lang w:val="fr-CA"/>
              </w:rPr>
            </w:pPr>
            <w:r w:rsidRPr="00DD7C7F">
              <w:rPr>
                <w:sz w:val="20"/>
                <w:lang w:val="fr-CA"/>
              </w:rPr>
              <w:t>(Lauwers, Pardu, Sossin JJ.A.)</w:t>
            </w:r>
          </w:p>
          <w:p w:rsidR="00267836" w:rsidRPr="00DD7C7F" w:rsidRDefault="00267836" w:rsidP="00DC2914">
            <w:pPr>
              <w:jc w:val="both"/>
              <w:rPr>
                <w:sz w:val="20"/>
              </w:rPr>
            </w:pPr>
            <w:r w:rsidRPr="00DD7C7F">
              <w:rPr>
                <w:sz w:val="20"/>
              </w:rPr>
              <w:t xml:space="preserve">C68966; </w:t>
            </w:r>
            <w:hyperlink r:id="rId16" w:history="1">
              <w:r w:rsidRPr="00DD7C7F">
                <w:rPr>
                  <w:rStyle w:val="Hyperlink"/>
                  <w:sz w:val="20"/>
                </w:rPr>
                <w:t>2022 ONCA 306</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allowed; convictions set aside; new trial ordered</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June 20, 2022</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47"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40258</w:t>
            </w:r>
          </w:p>
        </w:tc>
        <w:tc>
          <w:tcPr>
            <w:tcW w:w="4457" w:type="pct"/>
            <w:gridSpan w:val="3"/>
          </w:tcPr>
          <w:p w:rsidR="00267836" w:rsidRPr="00DD7C7F" w:rsidRDefault="00267836" w:rsidP="00DC2914">
            <w:pPr>
              <w:pStyle w:val="SCCLsocParty"/>
              <w:jc w:val="both"/>
              <w:rPr>
                <w:b/>
                <w:sz w:val="20"/>
                <w:szCs w:val="20"/>
              </w:rPr>
            </w:pPr>
            <w:r w:rsidRPr="00DD7C7F">
              <w:rPr>
                <w:b/>
                <w:sz w:val="20"/>
                <w:szCs w:val="20"/>
              </w:rPr>
              <w:t>Sa Majesté le Roi c. J.W.</w:t>
            </w:r>
          </w:p>
          <w:p w:rsidR="00267836" w:rsidRPr="00DD7C7F" w:rsidRDefault="00267836" w:rsidP="00DC2914">
            <w:pPr>
              <w:jc w:val="both"/>
              <w:rPr>
                <w:sz w:val="20"/>
                <w:lang w:val="fr-CA"/>
              </w:rPr>
            </w:pPr>
            <w:r w:rsidRPr="00DD7C7F">
              <w:rPr>
                <w:sz w:val="20"/>
                <w:lang w:val="fr-CA"/>
              </w:rPr>
              <w:t>(Ont.) (Criminelle) (Sur autorisation)</w:t>
            </w:r>
          </w:p>
        </w:tc>
      </w:tr>
      <w:tr w:rsidR="00B82D23" w:rsidRPr="00512056" w:rsidTr="00DC2914">
        <w:tc>
          <w:tcPr>
            <w:tcW w:w="5000" w:type="pct"/>
            <w:gridSpan w:val="4"/>
          </w:tcPr>
          <w:p w:rsidR="00B82D23" w:rsidRPr="00DD7C7F" w:rsidRDefault="00DC2914" w:rsidP="00DC2914">
            <w:pPr>
              <w:pStyle w:val="SCCBanSummary0"/>
              <w:rPr>
                <w:smallCaps w:val="0"/>
                <w:sz w:val="20"/>
                <w:szCs w:val="20"/>
                <w:lang w:val="fr-CA"/>
              </w:rPr>
            </w:pPr>
            <w:r w:rsidRPr="00DD7C7F">
              <w:rPr>
                <w:smallCaps w:val="0"/>
                <w:sz w:val="20"/>
                <w:szCs w:val="20"/>
                <w:lang w:val="fr-CA"/>
              </w:rPr>
              <w:t>La demande d’autorisation d’appel de l’arrêt de la Cour d’appel de l’Ontario, numéro C68966, 2022 ONCA 306, daté du 21 avril 2022, est rejetée.</w:t>
            </w:r>
          </w:p>
          <w:p w:rsidR="00DC2914" w:rsidRPr="00DD7C7F" w:rsidRDefault="00DC2914" w:rsidP="00DC2914">
            <w:pPr>
              <w:rPr>
                <w:lang w:val="fr-CA"/>
              </w:rPr>
            </w:pPr>
          </w:p>
        </w:tc>
      </w:tr>
      <w:tr w:rsidR="00267836" w:rsidRPr="00512056" w:rsidTr="00DC2914">
        <w:tc>
          <w:tcPr>
            <w:tcW w:w="5000" w:type="pct"/>
            <w:gridSpan w:val="4"/>
          </w:tcPr>
          <w:p w:rsidR="00267836" w:rsidRPr="00DD7C7F" w:rsidRDefault="00267836" w:rsidP="00DC2914">
            <w:pPr>
              <w:pStyle w:val="SCCBanSummary0"/>
              <w:rPr>
                <w:sz w:val="20"/>
                <w:szCs w:val="20"/>
                <w:lang w:val="fr-CA"/>
              </w:rPr>
            </w:pPr>
            <w:r w:rsidRPr="00DD7C7F">
              <w:rPr>
                <w:sz w:val="20"/>
                <w:szCs w:val="20"/>
                <w:lang w:val="fr-CA"/>
              </w:rPr>
              <w:t>(Ordonnance de non-publication au dossier) (Ordonnance de non-publication visant une partie)</w:t>
            </w:r>
          </w:p>
          <w:p w:rsidR="00267836" w:rsidRPr="00DD7C7F" w:rsidRDefault="0026783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Droit criminel — Preuve — Admissibilité — Les éléments de preuve de la conduite indigne de l’intimé auraient-ils dû être admis ?</w:t>
            </w:r>
            <w:r w:rsidRPr="00DD7C7F">
              <w:rPr>
                <w:color w:val="000000"/>
                <w:sz w:val="20"/>
                <w:lang w:val="fr-CA"/>
              </w:rPr>
              <w:t xml:space="preserve"> — La disposition réparatrice aurait-elle dû être appliquée ?</w:t>
            </w:r>
          </w:p>
        </w:tc>
      </w:tr>
      <w:tr w:rsidR="00267836" w:rsidRPr="00512056" w:rsidTr="00DC2914">
        <w:tc>
          <w:tcPr>
            <w:tcW w:w="5000" w:type="pct"/>
            <w:gridSpan w:val="4"/>
          </w:tcPr>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L’intimé a été accusé d’avoir commis de nombreuses infractions. La Couronne a demandé de présenter des éléments de preuve de la conduite indigne de l’intimé. La juge du procès a admis les éléments de preuve, et a déclaré l’intimé coupable de quatre infractions. La Cour d’appel a conclu que la juge du procès avait fait erreur en admettant ces éléments de preuve. La Cour d’appel a accueilli l’appel, a annulé les déclarations de culpabilité et a ordonné la tenue d’un nouveau procès.</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28 décembre 2017</w:t>
            </w:r>
          </w:p>
          <w:p w:rsidR="00267836" w:rsidRPr="00DD7C7F" w:rsidRDefault="00267836" w:rsidP="00DC2914">
            <w:pPr>
              <w:jc w:val="both"/>
              <w:rPr>
                <w:sz w:val="20"/>
                <w:lang w:val="fr-CA"/>
              </w:rPr>
            </w:pPr>
            <w:r w:rsidRPr="00DD7C7F">
              <w:rPr>
                <w:sz w:val="20"/>
                <w:lang w:val="fr-CA"/>
              </w:rPr>
              <w:t xml:space="preserve">Cour supérieure de justice de l’Ontario </w:t>
            </w:r>
          </w:p>
          <w:p w:rsidR="00267836" w:rsidRPr="00DD7C7F" w:rsidRDefault="00267836" w:rsidP="00DC2914">
            <w:pPr>
              <w:jc w:val="both"/>
              <w:rPr>
                <w:sz w:val="20"/>
                <w:lang w:val="fr-CA"/>
              </w:rPr>
            </w:pPr>
            <w:r w:rsidRPr="00DD7C7F">
              <w:rPr>
                <w:sz w:val="20"/>
                <w:lang w:val="fr-CA"/>
              </w:rPr>
              <w:t>(juge Corthorn)</w:t>
            </w:r>
          </w:p>
          <w:p w:rsidR="00267836" w:rsidRPr="00DD7C7F" w:rsidRDefault="00512056" w:rsidP="00DC2914">
            <w:pPr>
              <w:jc w:val="both"/>
              <w:rPr>
                <w:sz w:val="20"/>
                <w:lang w:val="fr-CA"/>
              </w:rPr>
            </w:pPr>
            <w:hyperlink r:id="rId17" w:history="1">
              <w:r w:rsidR="00267836" w:rsidRPr="00DD7C7F">
                <w:rPr>
                  <w:rStyle w:val="Hyperlink"/>
                  <w:sz w:val="20"/>
                  <w:lang w:val="fr-CA"/>
                </w:rPr>
                <w:t>2018 ONSC 1153</w:t>
              </w:r>
            </w:hyperlink>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Les déclarations de culpabilité sont prononcées :</w:t>
            </w:r>
            <w:r w:rsidRPr="00DD7C7F">
              <w:rPr>
                <w:color w:val="000000"/>
                <w:sz w:val="20"/>
                <w:lang w:val="fr-CA"/>
              </w:rPr>
              <w:t xml:space="preserve"> incitation à des attouchements sexuels (x2),</w:t>
            </w:r>
            <w:r w:rsidRPr="00DD7C7F">
              <w:rPr>
                <w:sz w:val="20"/>
                <w:lang w:val="fr-CA"/>
              </w:rPr>
              <w:t xml:space="preserve"> </w:t>
            </w:r>
            <w:r w:rsidRPr="00DD7C7F">
              <w:rPr>
                <w:color w:val="000000"/>
                <w:sz w:val="20"/>
                <w:lang w:val="fr-CA"/>
              </w:rPr>
              <w:t xml:space="preserve">contacts sexuels et exposition de ses organes génitaux. </w:t>
            </w:r>
          </w:p>
          <w:p w:rsidR="00267836" w:rsidRPr="00DD7C7F" w:rsidRDefault="00267836" w:rsidP="00DC2914">
            <w:pPr>
              <w:jc w:val="both"/>
              <w:rPr>
                <w:sz w:val="20"/>
                <w:lang w:val="fr-CA"/>
              </w:rPr>
            </w:pP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21 avril 2022</w:t>
            </w:r>
          </w:p>
          <w:p w:rsidR="00267836" w:rsidRPr="00DD7C7F" w:rsidRDefault="00267836" w:rsidP="00DC2914">
            <w:pPr>
              <w:jc w:val="both"/>
              <w:rPr>
                <w:sz w:val="20"/>
                <w:lang w:val="fr-CA"/>
              </w:rPr>
            </w:pPr>
            <w:r w:rsidRPr="00DD7C7F">
              <w:rPr>
                <w:sz w:val="20"/>
                <w:lang w:val="fr-CA"/>
              </w:rPr>
              <w:t>Cour d’appel de l’Ontario</w:t>
            </w:r>
          </w:p>
          <w:p w:rsidR="00267836" w:rsidRPr="00DD7C7F" w:rsidRDefault="00267836" w:rsidP="00DC2914">
            <w:pPr>
              <w:jc w:val="both"/>
              <w:rPr>
                <w:sz w:val="20"/>
                <w:lang w:val="fr-CA"/>
              </w:rPr>
            </w:pPr>
            <w:r w:rsidRPr="00DD7C7F">
              <w:rPr>
                <w:sz w:val="20"/>
                <w:lang w:val="fr-CA"/>
              </w:rPr>
              <w:t>(juges Lauwers, Pardu, Sossin)</w:t>
            </w:r>
          </w:p>
          <w:p w:rsidR="00267836" w:rsidRPr="00DD7C7F" w:rsidRDefault="00267836" w:rsidP="00DC2914">
            <w:pPr>
              <w:jc w:val="both"/>
              <w:rPr>
                <w:sz w:val="20"/>
                <w:lang w:val="fr-CA"/>
              </w:rPr>
            </w:pPr>
            <w:r w:rsidRPr="00DD7C7F">
              <w:rPr>
                <w:sz w:val="20"/>
                <w:lang w:val="fr-CA"/>
              </w:rPr>
              <w:t xml:space="preserve">C68966; </w:t>
            </w:r>
            <w:hyperlink r:id="rId18" w:history="1">
              <w:r w:rsidRPr="00DD7C7F">
                <w:rPr>
                  <w:rStyle w:val="Hyperlink"/>
                  <w:sz w:val="20"/>
                  <w:lang w:val="fr-CA"/>
                </w:rPr>
                <w:t>2022 ONCA 306</w:t>
              </w:r>
            </w:hyperlink>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est accueilli; les déclarations de culpabilité sont annulées; la tenue d’un nouveau procès est ordonnée.</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20 juin 2022</w:t>
            </w:r>
          </w:p>
          <w:p w:rsidR="00267836" w:rsidRPr="00DD7C7F" w:rsidRDefault="00267836" w:rsidP="00DC2914">
            <w:pPr>
              <w:jc w:val="both"/>
              <w:rPr>
                <w:sz w:val="20"/>
                <w:lang w:val="fr-CA"/>
              </w:rPr>
            </w:pPr>
            <w:r w:rsidRPr="00DD7C7F">
              <w:rPr>
                <w:sz w:val="20"/>
                <w:lang w:val="fr-CA"/>
              </w:rPr>
              <w:t>Cour suprême du Canada</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d’autorisation d’appel est présentée.</w:t>
            </w:r>
          </w:p>
          <w:p w:rsidR="00267836" w:rsidRPr="00DD7C7F" w:rsidRDefault="00267836" w:rsidP="00DC2914">
            <w:pPr>
              <w:jc w:val="both"/>
              <w:rPr>
                <w:sz w:val="20"/>
                <w:lang w:val="fr-CA"/>
              </w:rPr>
            </w:pPr>
          </w:p>
        </w:tc>
      </w:tr>
    </w:tbl>
    <w:p w:rsidR="00267836" w:rsidRPr="00DD7C7F" w:rsidRDefault="00512056" w:rsidP="00267836">
      <w:pPr>
        <w:jc w:val="both"/>
        <w:rPr>
          <w:sz w:val="20"/>
          <w:lang w:val="fr-CA"/>
        </w:rPr>
      </w:pPr>
      <w:r>
        <w:rPr>
          <w:sz w:val="20"/>
        </w:rPr>
        <w:pict>
          <v:rect id="_x0000_i1048" style="width:2in;height:1pt" o:hrpct="0" o:hralign="center" o:hrstd="t" o:hrnoshade="t" o:hr="t" fillcolor="black [3213]" stroked="f"/>
        </w:pict>
      </w:r>
    </w:p>
    <w:p w:rsidR="00267836" w:rsidRPr="00DD7C7F" w:rsidRDefault="00267836" w:rsidP="00267836">
      <w:pPr>
        <w:jc w:val="both"/>
        <w:rPr>
          <w:sz w:val="20"/>
          <w:lang w:val="fr-CA"/>
        </w:rPr>
      </w:pP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40179</w:t>
            </w:r>
          </w:p>
        </w:tc>
        <w:tc>
          <w:tcPr>
            <w:tcW w:w="4457" w:type="pct"/>
            <w:gridSpan w:val="3"/>
          </w:tcPr>
          <w:p w:rsidR="00267836" w:rsidRPr="00DD7C7F" w:rsidRDefault="00267836" w:rsidP="00DC2914">
            <w:pPr>
              <w:pStyle w:val="SCCLsocParty"/>
              <w:jc w:val="both"/>
              <w:rPr>
                <w:b/>
                <w:sz w:val="20"/>
                <w:szCs w:val="20"/>
                <w:lang w:val="en-US"/>
              </w:rPr>
            </w:pPr>
            <w:r w:rsidRPr="00DD7C7F">
              <w:rPr>
                <w:b/>
                <w:sz w:val="20"/>
                <w:szCs w:val="20"/>
                <w:lang w:val="en-US"/>
              </w:rPr>
              <w:t>D. Samra</w:t>
            </w:r>
            <w:r w:rsidR="00DC2914" w:rsidRPr="00DD7C7F">
              <w:rPr>
                <w:b/>
                <w:sz w:val="20"/>
                <w:szCs w:val="20"/>
                <w:lang w:val="en-US"/>
              </w:rPr>
              <w:t xml:space="preserve"> and</w:t>
            </w:r>
            <w:r w:rsidRPr="00DD7C7F">
              <w:rPr>
                <w:b/>
                <w:sz w:val="20"/>
                <w:szCs w:val="20"/>
                <w:lang w:val="en-US"/>
              </w:rPr>
              <w:t xml:space="preserve"> J. Ma v. </w:t>
            </w:r>
            <w:r w:rsidR="00DC2914" w:rsidRPr="00DD7C7F">
              <w:rPr>
                <w:b/>
                <w:sz w:val="20"/>
                <w:szCs w:val="20"/>
                <w:lang w:val="en-US"/>
              </w:rPr>
              <w:t>Rhonda Hong-Ching Cheung, a minor by her Litigation Guardian, Yuen Ni Cheung-Kwan, Ronald Chun-Pok Cheung, Raymond S. H. Cheung and Yuen Ni Cheung-Kwan, personally</w:t>
            </w:r>
          </w:p>
          <w:p w:rsidR="00267836" w:rsidRPr="00DD7C7F" w:rsidRDefault="00267836" w:rsidP="00DC2914">
            <w:pPr>
              <w:jc w:val="both"/>
              <w:rPr>
                <w:sz w:val="20"/>
              </w:rPr>
            </w:pPr>
            <w:r w:rsidRPr="00DD7C7F">
              <w:rPr>
                <w:sz w:val="20"/>
              </w:rPr>
              <w:t>(Ont.) (Civil) (By Leave)</w:t>
            </w:r>
          </w:p>
        </w:tc>
      </w:tr>
      <w:tr w:rsidR="00B82D23" w:rsidRPr="00DD7C7F" w:rsidTr="00DC2914">
        <w:tc>
          <w:tcPr>
            <w:tcW w:w="5000" w:type="pct"/>
            <w:gridSpan w:val="4"/>
          </w:tcPr>
          <w:p w:rsidR="00DC2914" w:rsidRPr="00DD7C7F" w:rsidRDefault="00DC2914" w:rsidP="00DC2914">
            <w:pPr>
              <w:jc w:val="both"/>
              <w:rPr>
                <w:sz w:val="20"/>
                <w:szCs w:val="20"/>
              </w:rPr>
            </w:pPr>
            <w:r w:rsidRPr="00DD7C7F">
              <w:rPr>
                <w:sz w:val="20"/>
                <w:szCs w:val="20"/>
              </w:rPr>
              <w:t>The application for leave to appeal from the judgment of the Court of Appeal for Ontario, Number C69134, 2022 ONCA 195, dated March 9, 2022, is dismissed.</w:t>
            </w:r>
          </w:p>
          <w:p w:rsidR="00B82D23" w:rsidRPr="00DD7C7F" w:rsidRDefault="00B82D23"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Torts — Professional liability — Medical negligence — Causation — Jury questions — How causation test should be expressed in jury questions —Whether juries in complex medical negligence cases should be asked to provide particulars for findings on causation — Whether, when there is evidence capable of supporting a jury’s verdict, a trial judge has discretion to refuse to accept that verdict due to a jury’s failure to adequately explain the particulars of causation.  </w:t>
            </w:r>
          </w:p>
        </w:tc>
      </w:tr>
      <w:tr w:rsidR="00267836" w:rsidRPr="00DD7C7F" w:rsidTr="00DC2914">
        <w:tc>
          <w:tcPr>
            <w:tcW w:w="5000" w:type="pct"/>
            <w:gridSpan w:val="4"/>
          </w:tcPr>
          <w:p w:rsidR="00267836" w:rsidRPr="00DD7C7F" w:rsidRDefault="00267836"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Rhonda Hong-Ching Cheung survived a very difficult birth. She had been diagnosed at the 35</w:t>
            </w:r>
            <w:r w:rsidRPr="00DD7C7F">
              <w:rPr>
                <w:sz w:val="20"/>
                <w:vertAlign w:val="superscript"/>
              </w:rPr>
              <w:t>th</w:t>
            </w:r>
            <w:r w:rsidRPr="00DD7C7F">
              <w:rPr>
                <w:sz w:val="20"/>
              </w:rPr>
              <w:t xml:space="preserve"> week of pregnancy with intrauterine growth restriction, a condition that puts babies at risk of serious complications. She suffered a seizure at two and a half months old and serious disabilities became evident. A jury concluded that the applicant physicians failed to meet the standard of care required of doctors looking after pregnant patients and that this failure caused Rhonda’s disabilities. Although the trial judge concluded that there was evidence capable of supporting the jury’s conclusions, she refused to enter judgment in accordance with the verdict on the ground that the jury provided insufficient particulars of causation and failed to explain the physiological mechanism of the injury. The trial judge ordered that the action proceed to a new trial.</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 xml:space="preserve">The Divisional Court upheld the trial judge’s decision. The Court of Appeal for Ontario allowed the appeal from that decision and granted judgment to the respondents. </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June 5, 2018</w:t>
            </w:r>
          </w:p>
          <w:p w:rsidR="00267836" w:rsidRPr="00DD7C7F" w:rsidRDefault="00267836" w:rsidP="00DC2914">
            <w:pPr>
              <w:jc w:val="both"/>
              <w:rPr>
                <w:sz w:val="20"/>
              </w:rPr>
            </w:pPr>
            <w:r w:rsidRPr="00DD7C7F">
              <w:rPr>
                <w:sz w:val="20"/>
              </w:rPr>
              <w:t xml:space="preserve">Ontario Superior Court of Justice </w:t>
            </w:r>
          </w:p>
          <w:p w:rsidR="00267836" w:rsidRPr="00DD7C7F" w:rsidRDefault="00267836" w:rsidP="00DC2914">
            <w:pPr>
              <w:jc w:val="both"/>
              <w:rPr>
                <w:sz w:val="20"/>
              </w:rPr>
            </w:pPr>
            <w:r w:rsidRPr="00DD7C7F">
              <w:rPr>
                <w:sz w:val="20"/>
              </w:rPr>
              <w:t>(Wilson J.)</w:t>
            </w:r>
          </w:p>
          <w:p w:rsidR="00267836" w:rsidRPr="00DD7C7F" w:rsidRDefault="00512056" w:rsidP="00DC2914">
            <w:pPr>
              <w:jc w:val="both"/>
              <w:rPr>
                <w:sz w:val="20"/>
              </w:rPr>
            </w:pPr>
            <w:hyperlink r:id="rId19" w:history="1">
              <w:r w:rsidR="00267836" w:rsidRPr="00DD7C7F">
                <w:rPr>
                  <w:rStyle w:val="Hyperlink"/>
                  <w:sz w:val="20"/>
                </w:rPr>
                <w:t>2018 ONSC 3480</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Order that judgment shall not be entered in accordance with the jury verdict and that the matter proceed to a new trial.</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August 27, 2020</w:t>
            </w:r>
          </w:p>
          <w:p w:rsidR="00267836" w:rsidRPr="00DD7C7F" w:rsidRDefault="00267836" w:rsidP="00DC2914">
            <w:pPr>
              <w:jc w:val="both"/>
              <w:rPr>
                <w:sz w:val="20"/>
              </w:rPr>
            </w:pPr>
            <w:r w:rsidRPr="00DD7C7F">
              <w:rPr>
                <w:sz w:val="20"/>
              </w:rPr>
              <w:t>Ontario Superior Court of Justice</w:t>
            </w:r>
          </w:p>
          <w:p w:rsidR="00267836" w:rsidRPr="00DD7C7F" w:rsidRDefault="00267836" w:rsidP="00DC2914">
            <w:pPr>
              <w:jc w:val="both"/>
              <w:rPr>
                <w:sz w:val="20"/>
              </w:rPr>
            </w:pPr>
            <w:r w:rsidRPr="00DD7C7F">
              <w:rPr>
                <w:sz w:val="20"/>
              </w:rPr>
              <w:t>(Corbett, Lederer, and Boswell JJ.)</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and cross-appeal dismissed; dissent would have allowed the appeal and dismissed the cross-appeal.</w:t>
            </w:r>
          </w:p>
        </w:tc>
      </w:tr>
    </w:tbl>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7836" w:rsidRPr="00DD7C7F" w:rsidTr="00DC2914">
        <w:tc>
          <w:tcPr>
            <w:tcW w:w="2427" w:type="pct"/>
          </w:tcPr>
          <w:p w:rsidR="00267836" w:rsidRPr="00DD7C7F" w:rsidRDefault="00267836" w:rsidP="00DC2914">
            <w:pPr>
              <w:jc w:val="both"/>
              <w:rPr>
                <w:sz w:val="20"/>
              </w:rPr>
            </w:pPr>
            <w:r w:rsidRPr="00DD7C7F">
              <w:rPr>
                <w:sz w:val="20"/>
              </w:rPr>
              <w:t>March 9, 2022</w:t>
            </w:r>
          </w:p>
          <w:p w:rsidR="00267836" w:rsidRPr="00DD7C7F" w:rsidRDefault="00267836" w:rsidP="00DC2914">
            <w:pPr>
              <w:jc w:val="both"/>
              <w:rPr>
                <w:sz w:val="20"/>
              </w:rPr>
            </w:pPr>
            <w:r w:rsidRPr="00DD7C7F">
              <w:rPr>
                <w:sz w:val="20"/>
              </w:rPr>
              <w:t>Court of Appeal for Ontario</w:t>
            </w:r>
          </w:p>
          <w:p w:rsidR="00267836" w:rsidRPr="00DD7C7F" w:rsidRDefault="00267836" w:rsidP="00DC2914">
            <w:pPr>
              <w:jc w:val="both"/>
              <w:rPr>
                <w:sz w:val="20"/>
              </w:rPr>
            </w:pPr>
            <w:r w:rsidRPr="00DD7C7F">
              <w:rPr>
                <w:sz w:val="20"/>
              </w:rPr>
              <w:t>(Simmons, Pardu, and Brown JJ.A.)</w:t>
            </w:r>
          </w:p>
          <w:p w:rsidR="00267836" w:rsidRPr="00DD7C7F" w:rsidRDefault="00512056" w:rsidP="00DC2914">
            <w:pPr>
              <w:jc w:val="both"/>
              <w:rPr>
                <w:sz w:val="20"/>
              </w:rPr>
            </w:pPr>
            <w:hyperlink r:id="rId20" w:history="1">
              <w:r w:rsidR="00267836" w:rsidRPr="00DD7C7F">
                <w:rPr>
                  <w:rStyle w:val="Hyperlink"/>
                  <w:sz w:val="20"/>
                </w:rPr>
                <w:t>2022 ONCA 195</w:t>
              </w:r>
            </w:hyperlink>
            <w:r w:rsidR="00267836" w:rsidRPr="00DD7C7F">
              <w:rPr>
                <w:sz w:val="20"/>
              </w:rPr>
              <w:t>; C69134</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allowed.</w:t>
            </w:r>
          </w:p>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May 9, 2022</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49"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40179</w:t>
            </w:r>
          </w:p>
        </w:tc>
        <w:tc>
          <w:tcPr>
            <w:tcW w:w="4457" w:type="pct"/>
            <w:gridSpan w:val="3"/>
          </w:tcPr>
          <w:p w:rsidR="00267836" w:rsidRPr="00DD7C7F" w:rsidRDefault="00267836" w:rsidP="00DC2914">
            <w:pPr>
              <w:pStyle w:val="SCCLsocParty"/>
              <w:jc w:val="both"/>
              <w:rPr>
                <w:b/>
                <w:sz w:val="20"/>
                <w:szCs w:val="20"/>
              </w:rPr>
            </w:pPr>
            <w:r w:rsidRPr="00DD7C7F">
              <w:rPr>
                <w:b/>
                <w:sz w:val="20"/>
                <w:szCs w:val="20"/>
              </w:rPr>
              <w:t>D. Samra</w:t>
            </w:r>
            <w:r w:rsidR="00DC2914" w:rsidRPr="00DD7C7F">
              <w:rPr>
                <w:b/>
                <w:sz w:val="20"/>
                <w:szCs w:val="20"/>
              </w:rPr>
              <w:t xml:space="preserve"> et</w:t>
            </w:r>
            <w:r w:rsidRPr="00DD7C7F">
              <w:rPr>
                <w:b/>
                <w:sz w:val="20"/>
                <w:szCs w:val="20"/>
              </w:rPr>
              <w:t xml:space="preserve"> J. Ma c. </w:t>
            </w:r>
            <w:r w:rsidR="00DC2914" w:rsidRPr="00DD7C7F">
              <w:rPr>
                <w:b/>
                <w:sz w:val="20"/>
                <w:szCs w:val="20"/>
              </w:rPr>
              <w:t>Rhonda Hong-Ching Cheung, une mineure représentée par sa tutrice à l’instance, Yuen Ni Cheung-Kwan, Ronald Chun-Pok Cheung, Raymond S. H. Cheung et Yuen Ni Cheung-Kwan, personnellement</w:t>
            </w:r>
          </w:p>
          <w:p w:rsidR="00267836" w:rsidRPr="00DD7C7F" w:rsidRDefault="00267836" w:rsidP="00DC2914">
            <w:pPr>
              <w:jc w:val="both"/>
              <w:rPr>
                <w:sz w:val="20"/>
                <w:lang w:val="fr-CA"/>
              </w:rPr>
            </w:pPr>
            <w:r w:rsidRPr="00DD7C7F">
              <w:rPr>
                <w:sz w:val="20"/>
                <w:lang w:val="fr-CA"/>
              </w:rPr>
              <w:t>(Ont.) (Civile) (Sur autorisation)</w:t>
            </w:r>
          </w:p>
        </w:tc>
      </w:tr>
      <w:tr w:rsidR="00B82D23" w:rsidRPr="00512056" w:rsidTr="00DC2914">
        <w:tc>
          <w:tcPr>
            <w:tcW w:w="5000" w:type="pct"/>
            <w:gridSpan w:val="4"/>
          </w:tcPr>
          <w:p w:rsidR="00B82D23" w:rsidRPr="00DD7C7F" w:rsidRDefault="00DC2914" w:rsidP="00DC2914">
            <w:pPr>
              <w:jc w:val="both"/>
              <w:rPr>
                <w:sz w:val="20"/>
                <w:szCs w:val="20"/>
                <w:lang w:val="fr-CA"/>
              </w:rPr>
            </w:pPr>
            <w:r w:rsidRPr="00DD7C7F">
              <w:rPr>
                <w:sz w:val="20"/>
                <w:szCs w:val="20"/>
                <w:lang w:val="fr-CA"/>
              </w:rPr>
              <w:t>La demande d’autorisation d’appel de l’arrêt de la Cour d’appel de l’Ontario, numéro C69134, 2022 ONCA 195, daté du 9 mars 2022, est rejetée.</w:t>
            </w:r>
          </w:p>
          <w:p w:rsidR="00DC2914" w:rsidRPr="00DD7C7F" w:rsidRDefault="00DC2914"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 xml:space="preserve">Responsabilité délictuelle — Responsabilité professionnelle — Négligence médicale —   Causalité — Questions posées au jury — Comment le critère de causalité devrait-il être exprimé dans les questions posées au jury ? — Devrait-on demander aux jurés dans des affaires complexes de négligence médicale de fournir des précisions quant aux conclusions tirées concernant la causalité ? — Lorsqu’il existe des éléments de preuve pouvant appuyer le verdict du jury, le juge du procès a-t-il le pouvoir discrétionnaire de refuser d’accepter ce verdict en raison du défaut du jury de donner des précisions adéquates afin d’expliquer la causalité ?  </w:t>
            </w:r>
          </w:p>
        </w:tc>
      </w:tr>
      <w:tr w:rsidR="00267836" w:rsidRPr="00512056" w:rsidTr="00DC2914">
        <w:tc>
          <w:tcPr>
            <w:tcW w:w="5000" w:type="pct"/>
            <w:gridSpan w:val="4"/>
          </w:tcPr>
          <w:p w:rsidR="00267836" w:rsidRPr="00DD7C7F" w:rsidRDefault="0026783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Rhonda Hong-Ching Cheung a survécu à la suite d’une naissance difficile. Elle avait été diagnostiquée de retard de croissance intra-utérin à la 35</w:t>
            </w:r>
            <w:r w:rsidRPr="00DD7C7F">
              <w:rPr>
                <w:sz w:val="20"/>
                <w:vertAlign w:val="superscript"/>
                <w:lang w:val="fr-CA"/>
              </w:rPr>
              <w:t>e</w:t>
            </w:r>
            <w:r w:rsidRPr="00DD7C7F">
              <w:rPr>
                <w:sz w:val="20"/>
                <w:lang w:val="fr-CA"/>
              </w:rPr>
              <w:t xml:space="preserve"> semaine de grossesse, une affection mettant les bébés à risque de subir de graves complications. Elle a souffert de convulsions à l’âge de deux mois et demi et de graves déficiences se sont manifestées chez elle. Un jury a conclu que les médecins demandeurs ont dérogé à la norme de diligence requise des médecins qui s’occupent de patientes enceintes et que cette dérogation a causé les déficiences de Rhonda. Bien que la juge du procès ait conclu à l’existence d’éléments de preuve pouvant appuyer les conclusions du jury, elle a refusé d’inscrire un jugement conformément au verdict au motif que le jury n’a pas donné suffisamment de précisions concernant la causalité et n’a pas expliqué le mécanisme physiologique du préjudice subi. La juge du procès a ordonné la tenue d’un nouveau procès.</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 xml:space="preserve">La Cour divisionnaire a confirmé la décision de la juge du procès. La Cour d’appel de l’Ontario a accueilli l’appel de cette décision et a accordé un jugement en faveur des intimés. </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5 juin 2018</w:t>
            </w:r>
          </w:p>
          <w:p w:rsidR="00267836" w:rsidRPr="00DD7C7F" w:rsidRDefault="00267836" w:rsidP="00DC2914">
            <w:pPr>
              <w:jc w:val="both"/>
              <w:rPr>
                <w:sz w:val="20"/>
                <w:lang w:val="fr-CA"/>
              </w:rPr>
            </w:pPr>
            <w:r w:rsidRPr="00DD7C7F">
              <w:rPr>
                <w:sz w:val="20"/>
                <w:lang w:val="fr-CA"/>
              </w:rPr>
              <w:t xml:space="preserve">Cour supérieure de justice de l’Ontario </w:t>
            </w:r>
          </w:p>
          <w:p w:rsidR="00267836" w:rsidRPr="00DD7C7F" w:rsidRDefault="00267836" w:rsidP="00DC2914">
            <w:pPr>
              <w:jc w:val="both"/>
              <w:rPr>
                <w:sz w:val="20"/>
                <w:lang w:val="fr-CA"/>
              </w:rPr>
            </w:pPr>
            <w:r w:rsidRPr="00DD7C7F">
              <w:rPr>
                <w:sz w:val="20"/>
                <w:lang w:val="fr-CA"/>
              </w:rPr>
              <w:t>(juge Wilson)</w:t>
            </w:r>
          </w:p>
          <w:p w:rsidR="00267836" w:rsidRPr="00DD7C7F" w:rsidRDefault="00512056" w:rsidP="00DC2914">
            <w:pPr>
              <w:jc w:val="both"/>
              <w:rPr>
                <w:sz w:val="20"/>
                <w:lang w:val="fr-CA"/>
              </w:rPr>
            </w:pPr>
            <w:hyperlink r:id="rId21" w:history="1">
              <w:r w:rsidR="00267836" w:rsidRPr="00DD7C7F">
                <w:rPr>
                  <w:rStyle w:val="Hyperlink"/>
                  <w:sz w:val="20"/>
                  <w:lang w:val="fr-CA"/>
                </w:rPr>
                <w:t>2018 ONSC 3480</w:t>
              </w:r>
            </w:hyperlink>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Il est ordonné que le jugement ne soit pas inscrit conformément au verdict du jury et qu’un nouveau procès soit tenu.</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27 août 2020</w:t>
            </w:r>
          </w:p>
          <w:p w:rsidR="00267836" w:rsidRPr="00DD7C7F" w:rsidRDefault="00267836" w:rsidP="00DC2914">
            <w:pPr>
              <w:jc w:val="both"/>
              <w:rPr>
                <w:sz w:val="20"/>
                <w:lang w:val="fr-CA"/>
              </w:rPr>
            </w:pPr>
            <w:r w:rsidRPr="00DD7C7F">
              <w:rPr>
                <w:sz w:val="20"/>
                <w:lang w:val="fr-CA"/>
              </w:rPr>
              <w:t xml:space="preserve">Cour supérieure de justice de l’Ontario </w:t>
            </w:r>
          </w:p>
          <w:p w:rsidR="00267836" w:rsidRPr="00DD7C7F" w:rsidRDefault="00267836" w:rsidP="00DC2914">
            <w:pPr>
              <w:jc w:val="both"/>
              <w:rPr>
                <w:sz w:val="20"/>
                <w:lang w:val="fr-CA"/>
              </w:rPr>
            </w:pPr>
            <w:r w:rsidRPr="00DD7C7F">
              <w:rPr>
                <w:sz w:val="20"/>
                <w:lang w:val="fr-CA"/>
              </w:rPr>
              <w:t>(juges Corbett, Lederer et Boswell)</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et l’appel incident sont rejetés; le juge dissident aurait accueilli l’appel et rejeté l’appel incident.</w:t>
            </w:r>
          </w:p>
        </w:tc>
      </w:tr>
      <w:tr w:rsidR="00267836" w:rsidRPr="00DD7C7F" w:rsidTr="00DC2914">
        <w:tc>
          <w:tcPr>
            <w:tcW w:w="2427" w:type="pct"/>
            <w:gridSpan w:val="2"/>
          </w:tcPr>
          <w:p w:rsidR="00267836" w:rsidRPr="00DD7C7F" w:rsidRDefault="00267836" w:rsidP="00DC2914">
            <w:pPr>
              <w:jc w:val="both"/>
              <w:rPr>
                <w:sz w:val="20"/>
                <w:lang w:val="fr-CA"/>
              </w:rPr>
            </w:pPr>
            <w:r w:rsidRPr="00DD7C7F">
              <w:rPr>
                <w:sz w:val="20"/>
                <w:lang w:val="fr-CA"/>
              </w:rPr>
              <w:t>9 mars 2022</w:t>
            </w:r>
          </w:p>
          <w:p w:rsidR="00267836" w:rsidRPr="00DD7C7F" w:rsidRDefault="00267836" w:rsidP="00DC2914">
            <w:pPr>
              <w:jc w:val="both"/>
              <w:rPr>
                <w:sz w:val="20"/>
                <w:lang w:val="fr-CA"/>
              </w:rPr>
            </w:pPr>
            <w:r w:rsidRPr="00DD7C7F">
              <w:rPr>
                <w:sz w:val="20"/>
                <w:lang w:val="fr-CA"/>
              </w:rPr>
              <w:t>Cour d’appel de l’Ontario</w:t>
            </w:r>
          </w:p>
          <w:p w:rsidR="00267836" w:rsidRPr="00DD7C7F" w:rsidRDefault="00267836" w:rsidP="00DC2914">
            <w:pPr>
              <w:jc w:val="both"/>
              <w:rPr>
                <w:sz w:val="20"/>
                <w:lang w:val="fr-CA"/>
              </w:rPr>
            </w:pPr>
            <w:r w:rsidRPr="00DD7C7F">
              <w:rPr>
                <w:sz w:val="20"/>
                <w:lang w:val="fr-CA"/>
              </w:rPr>
              <w:t>(juges Simmons, Pardu et Brown)</w:t>
            </w:r>
          </w:p>
          <w:p w:rsidR="00267836" w:rsidRPr="00DD7C7F" w:rsidRDefault="00512056" w:rsidP="00DC2914">
            <w:pPr>
              <w:jc w:val="both"/>
              <w:rPr>
                <w:sz w:val="20"/>
                <w:lang w:val="fr-CA"/>
              </w:rPr>
            </w:pPr>
            <w:hyperlink r:id="rId22" w:history="1">
              <w:r w:rsidR="00267836" w:rsidRPr="00DD7C7F">
                <w:rPr>
                  <w:rStyle w:val="Hyperlink"/>
                  <w:sz w:val="20"/>
                  <w:lang w:val="fr-CA"/>
                </w:rPr>
                <w:t>2022 ONCA 195</w:t>
              </w:r>
            </w:hyperlink>
            <w:r w:rsidR="00267836" w:rsidRPr="00DD7C7F">
              <w:rPr>
                <w:sz w:val="20"/>
                <w:lang w:val="fr-CA"/>
              </w:rPr>
              <w:t>; C69134</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est accueilli.</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9 mai 2022</w:t>
            </w:r>
          </w:p>
          <w:p w:rsidR="00267836" w:rsidRPr="00DD7C7F" w:rsidRDefault="00267836" w:rsidP="00DC2914">
            <w:pPr>
              <w:jc w:val="both"/>
              <w:rPr>
                <w:sz w:val="20"/>
                <w:lang w:val="fr-CA"/>
              </w:rPr>
            </w:pPr>
            <w:r w:rsidRPr="00DD7C7F">
              <w:rPr>
                <w:sz w:val="20"/>
                <w:lang w:val="fr-CA"/>
              </w:rPr>
              <w:t>Cour suprême du Canada</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d’autorisation d’appel est présentée.</w:t>
            </w:r>
          </w:p>
        </w:tc>
      </w:tr>
    </w:tbl>
    <w:p w:rsidR="00267836" w:rsidRPr="00DD7C7F" w:rsidRDefault="00267836" w:rsidP="00267836">
      <w:pPr>
        <w:jc w:val="both"/>
        <w:rPr>
          <w:sz w:val="20"/>
          <w:lang w:val="fr-CA"/>
        </w:rPr>
      </w:pPr>
    </w:p>
    <w:p w:rsidR="00267836" w:rsidRPr="00DD7C7F" w:rsidRDefault="00512056" w:rsidP="00267836">
      <w:pPr>
        <w:jc w:val="both"/>
        <w:rPr>
          <w:sz w:val="20"/>
          <w:lang w:val="fr-CA"/>
        </w:rPr>
      </w:pPr>
      <w:r>
        <w:rPr>
          <w:sz w:val="20"/>
        </w:rPr>
        <w:pict>
          <v:rect id="_x0000_i1050" style="width:2in;height:1pt" o:hrpct="0" o:hralign="center" o:hrstd="t" o:hrnoshade="t" o:hr="t" fillcolor="black [3213]" stroked="f"/>
        </w:pict>
      </w: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40326</w:t>
            </w:r>
          </w:p>
        </w:tc>
        <w:tc>
          <w:tcPr>
            <w:tcW w:w="4457" w:type="pct"/>
            <w:gridSpan w:val="3"/>
          </w:tcPr>
          <w:p w:rsidR="00267836" w:rsidRPr="00DD7C7F" w:rsidRDefault="00267836" w:rsidP="00DC2914">
            <w:pPr>
              <w:pStyle w:val="SCCLsocParty"/>
              <w:jc w:val="both"/>
              <w:rPr>
                <w:b/>
                <w:sz w:val="20"/>
                <w:szCs w:val="20"/>
                <w:lang w:val="en-US"/>
              </w:rPr>
            </w:pPr>
            <w:r w:rsidRPr="00DD7C7F">
              <w:rPr>
                <w:b/>
                <w:sz w:val="20"/>
                <w:szCs w:val="20"/>
                <w:lang w:val="en-US"/>
              </w:rPr>
              <w:t>Nathan Johnson v. His Majesty the King</w:t>
            </w:r>
          </w:p>
          <w:p w:rsidR="00267836" w:rsidRPr="00DD7C7F" w:rsidRDefault="00267836" w:rsidP="00DC2914">
            <w:pPr>
              <w:jc w:val="both"/>
              <w:rPr>
                <w:sz w:val="20"/>
              </w:rPr>
            </w:pPr>
            <w:r w:rsidRPr="00DD7C7F">
              <w:rPr>
                <w:sz w:val="20"/>
              </w:rPr>
              <w:t>(N.S.) (Criminal) (By Leave)</w:t>
            </w:r>
          </w:p>
        </w:tc>
      </w:tr>
      <w:tr w:rsidR="00B82D23" w:rsidRPr="00DD7C7F" w:rsidTr="00DC2914">
        <w:tc>
          <w:tcPr>
            <w:tcW w:w="5000" w:type="pct"/>
            <w:gridSpan w:val="4"/>
          </w:tcPr>
          <w:p w:rsidR="00DC2914" w:rsidRPr="00DD7C7F" w:rsidRDefault="00DC2914" w:rsidP="00DC2914">
            <w:pPr>
              <w:jc w:val="both"/>
              <w:rPr>
                <w:sz w:val="20"/>
                <w:szCs w:val="20"/>
              </w:rPr>
            </w:pPr>
            <w:r w:rsidRPr="00DD7C7F">
              <w:rPr>
                <w:sz w:val="20"/>
                <w:szCs w:val="20"/>
              </w:rPr>
              <w:t xml:space="preserve">The motion for an extension of time to serve and file the application for leave to appeal is granted. The applicant’s request that the applicant’s case be remanded back to the Nova Scotia Court of Appeal pursuant to s. 43(1.1) of the </w:t>
            </w:r>
            <w:r w:rsidRPr="00DD7C7F">
              <w:rPr>
                <w:i/>
                <w:sz w:val="20"/>
                <w:szCs w:val="20"/>
              </w:rPr>
              <w:t>Supreme Court Act</w:t>
            </w:r>
            <w:r w:rsidRPr="00DD7C7F">
              <w:rPr>
                <w:sz w:val="20"/>
                <w:szCs w:val="20"/>
              </w:rPr>
              <w:t xml:space="preserve"> is dismissed. The application for leave to appeal from the judgment of the Nova Scotia Court of Appeal, Number CAC 446850, 2017 NSCA 64, dated June 12, 2017, is dismissed.</w:t>
            </w:r>
          </w:p>
          <w:p w:rsidR="00B82D23" w:rsidRPr="00DD7C7F" w:rsidRDefault="00B82D23" w:rsidP="00DC2914">
            <w:pPr>
              <w:pStyle w:val="SCCBanSummary0"/>
              <w:rPr>
                <w:sz w:val="20"/>
                <w:szCs w:val="20"/>
              </w:rPr>
            </w:pPr>
          </w:p>
        </w:tc>
      </w:tr>
      <w:tr w:rsidR="00267836" w:rsidRPr="00DD7C7F" w:rsidTr="00DC2914">
        <w:tc>
          <w:tcPr>
            <w:tcW w:w="5000" w:type="pct"/>
            <w:gridSpan w:val="4"/>
          </w:tcPr>
          <w:p w:rsidR="00267836" w:rsidRPr="00DD7C7F" w:rsidRDefault="00267836" w:rsidP="00DC2914">
            <w:pPr>
              <w:pStyle w:val="SCCBanSummary0"/>
              <w:rPr>
                <w:sz w:val="20"/>
                <w:szCs w:val="20"/>
              </w:rPr>
            </w:pPr>
            <w:r w:rsidRPr="00DD7C7F">
              <w:rPr>
                <w:sz w:val="20"/>
                <w:szCs w:val="20"/>
              </w:rPr>
              <w:t>(Publication ban in case)</w:t>
            </w:r>
          </w:p>
          <w:p w:rsidR="00267836" w:rsidRPr="00DD7C7F" w:rsidRDefault="00267836"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Criminal law — Evidence — Fresh evidence — Crown witness alleged to have recanted testimony — Whether convictions should be quashed and a new trial ordered or a remand should be ordered?</w:t>
            </w: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 </w:t>
            </w:r>
          </w:p>
          <w:p w:rsidR="00267836" w:rsidRPr="00DD7C7F" w:rsidRDefault="00267836" w:rsidP="00DC2914">
            <w:pPr>
              <w:jc w:val="both"/>
              <w:rPr>
                <w:sz w:val="20"/>
              </w:rPr>
            </w:pPr>
            <w:r w:rsidRPr="00DD7C7F">
              <w:rPr>
                <w:sz w:val="20"/>
              </w:rPr>
              <w:t xml:space="preserve">A man was fatally shot. The applicant was charged with first degree murder, and unlawful possession of a firearm. </w:t>
            </w:r>
            <w:r w:rsidRPr="00DD7C7F">
              <w:rPr>
                <w:color w:val="000000"/>
                <w:sz w:val="20"/>
              </w:rPr>
              <w:t xml:space="preserve">At the applicant’s trial there were two key Crown witnesses, the applicant’s former girlfriend, Ms. Fuller, and Paul Smith. </w:t>
            </w:r>
            <w:r w:rsidRPr="00DD7C7F">
              <w:rPr>
                <w:sz w:val="20"/>
              </w:rPr>
              <w:t xml:space="preserve">The applicant confessed to Ms. Fuller about the murder the same evening it occurred. Ms. Fuller’s evidence was substantially corroborated by independent evidence, including physical evidence and the testimony of Paul Smith. </w:t>
            </w:r>
            <w:r w:rsidRPr="00DD7C7F">
              <w:rPr>
                <w:color w:val="000000"/>
                <w:sz w:val="20"/>
              </w:rPr>
              <w:t>The jury found the applicant guilty of first degree murder, and unlawful possession of a firearm. Life imprisonment with no parole eligibility for 25 years followed. The Court of Appeal dismissed the appeal from the convictions.</w:t>
            </w:r>
            <w:r w:rsidRPr="00DD7C7F">
              <w:rPr>
                <w:sz w:val="20"/>
              </w:rPr>
              <w:t xml:space="preserve"> T</w:t>
            </w:r>
            <w:r w:rsidRPr="00DD7C7F">
              <w:rPr>
                <w:color w:val="000000"/>
                <w:sz w:val="20"/>
              </w:rPr>
              <w:t xml:space="preserve">he applicant asks this Court to remand his case back to the Nova Scotia Court of Appeal, for further proceedings, in accordance with s. 43(1.1) of the </w:t>
            </w:r>
            <w:r w:rsidRPr="00DD7C7F">
              <w:rPr>
                <w:i/>
                <w:color w:val="000000"/>
                <w:sz w:val="20"/>
              </w:rPr>
              <w:t>Supreme Court Act</w:t>
            </w:r>
            <w:r w:rsidRPr="00DD7C7F">
              <w:rPr>
                <w:color w:val="000000"/>
                <w:sz w:val="20"/>
              </w:rPr>
              <w:t>, specifically to consider the admissibility of Paul Smith’s recantations as fresh evidence. In the alternative, he asks that leave be granted so this Court may consider the admissibility of Paul Smith’s recantations as fresh evidence.</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December 2, 2015</w:t>
            </w:r>
          </w:p>
          <w:p w:rsidR="00267836" w:rsidRPr="00DD7C7F" w:rsidRDefault="00267836" w:rsidP="00DC2914">
            <w:pPr>
              <w:jc w:val="both"/>
              <w:rPr>
                <w:sz w:val="20"/>
              </w:rPr>
            </w:pPr>
            <w:r w:rsidRPr="00DD7C7F">
              <w:rPr>
                <w:sz w:val="20"/>
              </w:rPr>
              <w:t>Supreme Court of Nova Scotia, Trial Division</w:t>
            </w:r>
          </w:p>
          <w:p w:rsidR="00267836" w:rsidRPr="00DD7C7F" w:rsidRDefault="00267836" w:rsidP="00DC2914">
            <w:pPr>
              <w:jc w:val="both"/>
              <w:rPr>
                <w:sz w:val="20"/>
              </w:rPr>
            </w:pPr>
            <w:r w:rsidRPr="00DD7C7F">
              <w:rPr>
                <w:sz w:val="20"/>
              </w:rPr>
              <w:t>(Arnold J.)</w:t>
            </w:r>
          </w:p>
          <w:p w:rsidR="00267836" w:rsidRPr="00DD7C7F" w:rsidRDefault="00267836" w:rsidP="00DC2914">
            <w:pPr>
              <w:jc w:val="both"/>
              <w:rPr>
                <w:sz w:val="20"/>
              </w:rPr>
            </w:pPr>
            <w:r w:rsidRPr="00DD7C7F">
              <w:rPr>
                <w:sz w:val="20"/>
              </w:rPr>
              <w:t>(unreported)</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 xml:space="preserve">Convictions entered: first degree murder and </w:t>
            </w:r>
            <w:r w:rsidRPr="00DD7C7F">
              <w:rPr>
                <w:color w:val="000000"/>
                <w:sz w:val="20"/>
              </w:rPr>
              <w:t>unlawful possession of a firearm</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June 12, 2017</w:t>
            </w:r>
          </w:p>
          <w:p w:rsidR="00267836" w:rsidRPr="00DD7C7F" w:rsidRDefault="00267836" w:rsidP="00DC2914">
            <w:pPr>
              <w:jc w:val="both"/>
              <w:rPr>
                <w:sz w:val="20"/>
              </w:rPr>
            </w:pPr>
            <w:r w:rsidRPr="00DD7C7F">
              <w:rPr>
                <w:sz w:val="20"/>
              </w:rPr>
              <w:t>Nova Scotia Court of Appeal</w:t>
            </w:r>
          </w:p>
          <w:p w:rsidR="00267836" w:rsidRPr="00DD7C7F" w:rsidRDefault="00267836" w:rsidP="00DC2914">
            <w:pPr>
              <w:jc w:val="both"/>
              <w:rPr>
                <w:sz w:val="20"/>
              </w:rPr>
            </w:pPr>
            <w:r w:rsidRPr="00DD7C7F">
              <w:rPr>
                <w:sz w:val="20"/>
              </w:rPr>
              <w:t>(Beveridge, Hamilton, Van den Eynden JJ.A.)</w:t>
            </w:r>
          </w:p>
          <w:p w:rsidR="00267836" w:rsidRPr="00DD7C7F" w:rsidRDefault="00512056" w:rsidP="00DC2914">
            <w:pPr>
              <w:jc w:val="both"/>
              <w:rPr>
                <w:sz w:val="20"/>
              </w:rPr>
            </w:pPr>
            <w:hyperlink r:id="rId23" w:history="1">
              <w:r w:rsidR="00267836" w:rsidRPr="00DD7C7F">
                <w:rPr>
                  <w:rStyle w:val="Hyperlink"/>
                  <w:sz w:val="20"/>
                </w:rPr>
                <w:t>2017 NSCA 64</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dismissed</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August 18, 2022</w:t>
            </w:r>
          </w:p>
          <w:p w:rsidR="00267836" w:rsidRPr="00DD7C7F" w:rsidRDefault="00267836" w:rsidP="00DC2914">
            <w:pPr>
              <w:jc w:val="both"/>
              <w:rPr>
                <w:sz w:val="20"/>
              </w:rPr>
            </w:pPr>
            <w:r w:rsidRPr="00DD7C7F">
              <w:rPr>
                <w:sz w:val="20"/>
              </w:rPr>
              <w:t>Supreme Court of Canada</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Motion for an extension of time to serve and file the application for leave to appeal and application for leave to appeal filed</w:t>
            </w: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51"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512056"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40326</w:t>
            </w:r>
          </w:p>
        </w:tc>
        <w:tc>
          <w:tcPr>
            <w:tcW w:w="4457" w:type="pct"/>
            <w:gridSpan w:val="3"/>
          </w:tcPr>
          <w:p w:rsidR="00267836" w:rsidRPr="00DD7C7F" w:rsidRDefault="00267836" w:rsidP="00DC2914">
            <w:pPr>
              <w:pStyle w:val="SCCLsocParty"/>
              <w:jc w:val="both"/>
              <w:rPr>
                <w:b/>
                <w:sz w:val="20"/>
                <w:szCs w:val="20"/>
              </w:rPr>
            </w:pPr>
            <w:r w:rsidRPr="00DD7C7F">
              <w:rPr>
                <w:b/>
                <w:sz w:val="20"/>
                <w:szCs w:val="20"/>
              </w:rPr>
              <w:t>Nathan Johnson c. Sa Majesté le Roi</w:t>
            </w:r>
          </w:p>
          <w:p w:rsidR="00267836" w:rsidRPr="00DD7C7F" w:rsidRDefault="00267836" w:rsidP="00DC2914">
            <w:pPr>
              <w:jc w:val="both"/>
              <w:rPr>
                <w:sz w:val="20"/>
                <w:lang w:val="fr-CA"/>
              </w:rPr>
            </w:pPr>
            <w:r w:rsidRPr="00DD7C7F">
              <w:rPr>
                <w:sz w:val="20"/>
                <w:lang w:val="fr-CA"/>
              </w:rPr>
              <w:t>(N.</w:t>
            </w:r>
            <w:r w:rsidR="00DC2914" w:rsidRPr="00DD7C7F">
              <w:rPr>
                <w:sz w:val="20"/>
                <w:lang w:val="fr-CA"/>
              </w:rPr>
              <w:t>-</w:t>
            </w:r>
            <w:r w:rsidRPr="00DD7C7F">
              <w:rPr>
                <w:sz w:val="20"/>
                <w:lang w:val="fr-CA"/>
              </w:rPr>
              <w:t>É.) (Criminelle) (Sur autorisation)</w:t>
            </w:r>
          </w:p>
        </w:tc>
      </w:tr>
      <w:tr w:rsidR="00B82D23" w:rsidRPr="00512056" w:rsidTr="00DC2914">
        <w:tc>
          <w:tcPr>
            <w:tcW w:w="5000" w:type="pct"/>
            <w:gridSpan w:val="4"/>
          </w:tcPr>
          <w:p w:rsidR="00B82D23" w:rsidRPr="00DD7C7F" w:rsidRDefault="00DC2914" w:rsidP="00DC2914">
            <w:pPr>
              <w:pStyle w:val="SCCBanSummary0"/>
              <w:tabs>
                <w:tab w:val="left" w:pos="2493"/>
              </w:tabs>
              <w:rPr>
                <w:smallCaps w:val="0"/>
                <w:sz w:val="20"/>
                <w:szCs w:val="20"/>
                <w:lang w:val="fr-CA"/>
              </w:rPr>
            </w:pPr>
            <w:r w:rsidRPr="00DD7C7F">
              <w:rPr>
                <w:smallCaps w:val="0"/>
                <w:sz w:val="20"/>
                <w:szCs w:val="20"/>
                <w:lang w:val="fr-CA"/>
              </w:rPr>
              <w:t xml:space="preserve">La requête en prorogation du délai de signification et de dépôt de la demande d’autorisation d’appel est accueillie. La demande par le demandeur pour renvoyer sa cause à la Cour d’appel de la Nouvelle-Écosse conformément à l’art. 43(1.1) de la </w:t>
            </w:r>
            <w:r w:rsidRPr="00DD7C7F">
              <w:rPr>
                <w:i/>
                <w:smallCaps w:val="0"/>
                <w:sz w:val="20"/>
                <w:szCs w:val="20"/>
                <w:lang w:val="fr-CA"/>
              </w:rPr>
              <w:t xml:space="preserve">Loi sur la Cour suprême </w:t>
            </w:r>
            <w:r w:rsidRPr="00DD7C7F">
              <w:rPr>
                <w:smallCaps w:val="0"/>
                <w:sz w:val="20"/>
                <w:szCs w:val="20"/>
                <w:lang w:val="fr-CA"/>
              </w:rPr>
              <w:t>est rejetée. La demande d’autorisation d’appel de l’arrêt de la Cour d’appel de la Nouvelle-Écosse, numéro CAC 446850, 2017 NSCA 64, daté du 12 juin 2017, est rejetée.</w:t>
            </w:r>
          </w:p>
          <w:p w:rsidR="00DC2914" w:rsidRPr="00DD7C7F" w:rsidRDefault="00DC2914" w:rsidP="00DC2914">
            <w:pPr>
              <w:rPr>
                <w:lang w:val="fr-CA"/>
              </w:rPr>
            </w:pPr>
          </w:p>
        </w:tc>
      </w:tr>
      <w:tr w:rsidR="00267836" w:rsidRPr="00512056" w:rsidTr="00DC2914">
        <w:tc>
          <w:tcPr>
            <w:tcW w:w="5000" w:type="pct"/>
            <w:gridSpan w:val="4"/>
          </w:tcPr>
          <w:p w:rsidR="00267836" w:rsidRPr="00DD7C7F" w:rsidRDefault="00267836" w:rsidP="00DC2914">
            <w:pPr>
              <w:pStyle w:val="SCCBanSummary0"/>
              <w:rPr>
                <w:sz w:val="20"/>
                <w:szCs w:val="20"/>
                <w:lang w:val="fr-CA"/>
              </w:rPr>
            </w:pPr>
            <w:r w:rsidRPr="00DD7C7F">
              <w:rPr>
                <w:sz w:val="20"/>
                <w:szCs w:val="20"/>
                <w:lang w:val="fr-CA"/>
              </w:rPr>
              <w:t>(Ordonnance de non-publication au dossier)</w:t>
            </w:r>
          </w:p>
          <w:p w:rsidR="00267836" w:rsidRPr="00DD7C7F" w:rsidRDefault="0026783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Droit criminel — Preuve — Nouvel élément de preuve — Un témoin à charge aurait renié son témoignage — La déclaration de culpabilité devrait-elle être annulée et un nouveau procès ordonné ou un renvoi devrait-il être ordonné?</w:t>
            </w: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 xml:space="preserve"> </w:t>
            </w:r>
          </w:p>
          <w:p w:rsidR="00267836" w:rsidRPr="00DD7C7F" w:rsidRDefault="00267836" w:rsidP="00DC2914">
            <w:pPr>
              <w:jc w:val="both"/>
              <w:rPr>
                <w:color w:val="000000"/>
                <w:sz w:val="20"/>
                <w:lang w:val="fr-CA"/>
              </w:rPr>
            </w:pPr>
            <w:r w:rsidRPr="00DD7C7F">
              <w:rPr>
                <w:sz w:val="20"/>
                <w:lang w:val="fr-CA"/>
              </w:rPr>
              <w:t xml:space="preserve">Un homme a été abattu d’un coup de feu. Le demandeur a été accusé de meurtre au premier degré et de possession illégale d’une arme à feu. Au procès du demandeur, les deux principaux témoins à charge étaient son ancienne petite amie Mme Fuller, et </w:t>
            </w:r>
            <w:r w:rsidRPr="00DD7C7F">
              <w:rPr>
                <w:color w:val="000000"/>
                <w:sz w:val="20"/>
                <w:lang w:val="fr-CA"/>
              </w:rPr>
              <w:t>Paul Smith. Le demandeur a avoué avoir commis le meurtre à Mme</w:t>
            </w:r>
            <w:r w:rsidRPr="00DD7C7F">
              <w:rPr>
                <w:sz w:val="20"/>
                <w:lang w:val="fr-CA"/>
              </w:rPr>
              <w:t> Fuller la soirée même du meurtre. Le témoignage de Mme Fuller a été corroboré en grande partie par la preuve indépendante, notamment la preuve matérielle, et le témoignage de Paul Smith. Le jury a déclaré le demandeur coupable de meurtre au premier degré</w:t>
            </w:r>
            <w:r w:rsidRPr="00DD7C7F">
              <w:rPr>
                <w:color w:val="000000"/>
                <w:sz w:val="20"/>
                <w:lang w:val="fr-CA"/>
              </w:rPr>
              <w:t xml:space="preserve"> et de possession illégale d’une arme à feu. Une peine d’emprisonnement à perpétuité</w:t>
            </w:r>
            <w:r w:rsidRPr="00DD7C7F">
              <w:rPr>
                <w:sz w:val="20"/>
                <w:lang w:val="fr-CA"/>
              </w:rPr>
              <w:t xml:space="preserve"> </w:t>
            </w:r>
            <w:r w:rsidRPr="00DD7C7F">
              <w:rPr>
                <w:color w:val="000000"/>
                <w:sz w:val="20"/>
                <w:lang w:val="fr-CA"/>
              </w:rPr>
              <w:t>sans possibilité de libération conditionnelle avant 25 ans s’en est suivie. La Cour d’appel a rejeté l’appel formé contre les déclarations de culpabilité.</w:t>
            </w:r>
            <w:r w:rsidRPr="00DD7C7F">
              <w:rPr>
                <w:sz w:val="20"/>
                <w:lang w:val="fr-CA"/>
              </w:rPr>
              <w:t xml:space="preserve"> Le demandeur demande à la Cour suprême du Canada de renvoyer l’affaire à la Cour d’appel de la Nouvelle-Écosse</w:t>
            </w:r>
            <w:r w:rsidRPr="00DD7C7F">
              <w:rPr>
                <w:color w:val="000000"/>
                <w:sz w:val="20"/>
                <w:lang w:val="fr-CA"/>
              </w:rPr>
              <w:t xml:space="preserve">, pour que celle-ci tranche d’autres questions, conformément au </w:t>
            </w:r>
            <w:proofErr w:type="spellStart"/>
            <w:r w:rsidRPr="00DD7C7F">
              <w:rPr>
                <w:color w:val="000000"/>
                <w:sz w:val="20"/>
                <w:lang w:val="fr-CA"/>
              </w:rPr>
              <w:t>par</w:t>
            </w:r>
            <w:proofErr w:type="spellEnd"/>
            <w:r w:rsidRPr="00DD7C7F">
              <w:rPr>
                <w:color w:val="000000"/>
                <w:sz w:val="20"/>
                <w:lang w:val="fr-CA"/>
              </w:rPr>
              <w:t xml:space="preserve">. 43(1.1) de la </w:t>
            </w:r>
            <w:r w:rsidRPr="00DD7C7F">
              <w:rPr>
                <w:i/>
                <w:color w:val="000000"/>
                <w:sz w:val="20"/>
                <w:lang w:val="fr-CA"/>
              </w:rPr>
              <w:t>Loi sur la Cour suprême</w:t>
            </w:r>
            <w:r w:rsidRPr="00DD7C7F">
              <w:rPr>
                <w:color w:val="000000"/>
                <w:sz w:val="20"/>
                <w:lang w:val="fr-CA"/>
              </w:rPr>
              <w:t>, notamment pour qu’elle examine l’admissibilité de la renonciation par Paul Smith de son témoignage comme nouvel élément de preuve. Subsidiairement, il demande l’autorisation pour que la Cour suprême du Canada puisse examiner l’admissibilité de la renonciation par Paul Smith de son témoignage comme nouvel élément de preuve.</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 décembre 2015</w:t>
            </w:r>
          </w:p>
          <w:p w:rsidR="00267836" w:rsidRPr="00DD7C7F" w:rsidRDefault="00267836" w:rsidP="00DC2914">
            <w:pPr>
              <w:jc w:val="both"/>
              <w:rPr>
                <w:sz w:val="20"/>
                <w:lang w:val="fr-CA"/>
              </w:rPr>
            </w:pPr>
            <w:r w:rsidRPr="00DD7C7F">
              <w:rPr>
                <w:sz w:val="20"/>
                <w:lang w:val="fr-CA"/>
              </w:rPr>
              <w:t xml:space="preserve">Cour suprême de la Nouvelle-Écosse, </w:t>
            </w:r>
          </w:p>
          <w:p w:rsidR="00267836" w:rsidRPr="00DD7C7F" w:rsidRDefault="00267836" w:rsidP="00DC2914">
            <w:pPr>
              <w:jc w:val="both"/>
              <w:rPr>
                <w:sz w:val="20"/>
                <w:lang w:val="fr-CA"/>
              </w:rPr>
            </w:pPr>
            <w:r w:rsidRPr="00DD7C7F">
              <w:rPr>
                <w:sz w:val="20"/>
                <w:lang w:val="fr-CA"/>
              </w:rPr>
              <w:t>Division de première instance</w:t>
            </w:r>
          </w:p>
          <w:p w:rsidR="00267836" w:rsidRPr="00DD7C7F" w:rsidRDefault="00267836" w:rsidP="00DC2914">
            <w:pPr>
              <w:jc w:val="both"/>
              <w:rPr>
                <w:sz w:val="20"/>
                <w:lang w:val="fr-CA"/>
              </w:rPr>
            </w:pPr>
            <w:r w:rsidRPr="00DD7C7F">
              <w:rPr>
                <w:sz w:val="20"/>
                <w:lang w:val="fr-CA"/>
              </w:rPr>
              <w:t>(juge Arnold)</w:t>
            </w:r>
          </w:p>
          <w:p w:rsidR="00267836" w:rsidRPr="00DD7C7F" w:rsidRDefault="00267836" w:rsidP="00DC2914">
            <w:pPr>
              <w:jc w:val="both"/>
              <w:rPr>
                <w:sz w:val="20"/>
                <w:lang w:val="fr-CA"/>
              </w:rPr>
            </w:pPr>
            <w:r w:rsidRPr="00DD7C7F">
              <w:rPr>
                <w:sz w:val="20"/>
                <w:lang w:val="fr-CA"/>
              </w:rPr>
              <w:t>(non publié)</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Les déclarations de culpabilité de meurtre au premier degré</w:t>
            </w:r>
            <w:r w:rsidRPr="00DD7C7F">
              <w:rPr>
                <w:color w:val="000000"/>
                <w:sz w:val="20"/>
                <w:lang w:val="fr-CA"/>
              </w:rPr>
              <w:t xml:space="preserve"> et de possession illégale d’une arme à feu</w:t>
            </w:r>
            <w:r w:rsidRPr="00DD7C7F">
              <w:rPr>
                <w:sz w:val="20"/>
                <w:lang w:val="fr-CA"/>
              </w:rPr>
              <w:t xml:space="preserve"> sont prononcées.</w:t>
            </w:r>
          </w:p>
          <w:p w:rsidR="00267836" w:rsidRPr="00DD7C7F" w:rsidRDefault="00267836" w:rsidP="00DC2914">
            <w:pPr>
              <w:jc w:val="both"/>
              <w:rPr>
                <w:sz w:val="20"/>
                <w:lang w:val="fr-CA"/>
              </w:rPr>
            </w:pPr>
          </w:p>
        </w:tc>
      </w:tr>
      <w:tr w:rsidR="00267836" w:rsidRPr="00DD7C7F" w:rsidTr="00DC2914">
        <w:tc>
          <w:tcPr>
            <w:tcW w:w="2427" w:type="pct"/>
            <w:gridSpan w:val="2"/>
          </w:tcPr>
          <w:p w:rsidR="00267836" w:rsidRPr="00DD7C7F" w:rsidRDefault="00267836" w:rsidP="00DC2914">
            <w:pPr>
              <w:jc w:val="both"/>
              <w:rPr>
                <w:sz w:val="20"/>
                <w:lang w:val="fr-CA"/>
              </w:rPr>
            </w:pPr>
            <w:r w:rsidRPr="00DD7C7F">
              <w:rPr>
                <w:sz w:val="20"/>
                <w:lang w:val="fr-CA"/>
              </w:rPr>
              <w:t>12 juin 2017</w:t>
            </w:r>
          </w:p>
          <w:p w:rsidR="00267836" w:rsidRPr="00DD7C7F" w:rsidRDefault="00267836" w:rsidP="00DC2914">
            <w:pPr>
              <w:jc w:val="both"/>
              <w:rPr>
                <w:sz w:val="20"/>
                <w:lang w:val="fr-CA"/>
              </w:rPr>
            </w:pPr>
            <w:r w:rsidRPr="00DD7C7F">
              <w:rPr>
                <w:sz w:val="20"/>
                <w:lang w:val="fr-CA"/>
              </w:rPr>
              <w:t>Cour d’appel de la Nouvelle-Écosse</w:t>
            </w:r>
          </w:p>
          <w:p w:rsidR="00267836" w:rsidRPr="00DD7C7F" w:rsidRDefault="00267836" w:rsidP="00DC2914">
            <w:pPr>
              <w:jc w:val="both"/>
              <w:rPr>
                <w:sz w:val="20"/>
              </w:rPr>
            </w:pPr>
            <w:r w:rsidRPr="00DD7C7F">
              <w:rPr>
                <w:sz w:val="20"/>
              </w:rPr>
              <w:t>(juges Beveridge, Hamilton, Van den Eynden)</w:t>
            </w:r>
          </w:p>
          <w:p w:rsidR="00267836" w:rsidRPr="00DD7C7F" w:rsidRDefault="00512056" w:rsidP="00DC2914">
            <w:pPr>
              <w:jc w:val="both"/>
              <w:rPr>
                <w:sz w:val="20"/>
                <w:lang w:val="fr-CA"/>
              </w:rPr>
            </w:pPr>
            <w:hyperlink r:id="rId24" w:history="1">
              <w:r w:rsidR="00267836" w:rsidRPr="00DD7C7F">
                <w:rPr>
                  <w:rStyle w:val="Hyperlink"/>
                  <w:sz w:val="20"/>
                  <w:lang w:val="fr-CA"/>
                </w:rPr>
                <w:t>2017 NSCA 64</w:t>
              </w:r>
            </w:hyperlink>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est rejeté.</w:t>
            </w:r>
          </w:p>
          <w:p w:rsidR="00267836" w:rsidRPr="00DD7C7F" w:rsidRDefault="00267836" w:rsidP="00DC2914">
            <w:pPr>
              <w:jc w:val="both"/>
              <w:rPr>
                <w:sz w:val="20"/>
                <w:lang w:val="fr-CA"/>
              </w:rPr>
            </w:pPr>
          </w:p>
        </w:tc>
      </w:tr>
      <w:tr w:rsidR="00267836" w:rsidRPr="00512056" w:rsidTr="00DC2914">
        <w:trPr>
          <w:trHeight w:val="651"/>
        </w:trPr>
        <w:tc>
          <w:tcPr>
            <w:tcW w:w="2427" w:type="pct"/>
            <w:gridSpan w:val="2"/>
          </w:tcPr>
          <w:p w:rsidR="00267836" w:rsidRPr="00DD7C7F" w:rsidRDefault="00267836" w:rsidP="00DC2914">
            <w:pPr>
              <w:jc w:val="both"/>
              <w:rPr>
                <w:sz w:val="20"/>
                <w:lang w:val="fr-CA"/>
              </w:rPr>
            </w:pPr>
            <w:r w:rsidRPr="00DD7C7F">
              <w:rPr>
                <w:sz w:val="20"/>
                <w:lang w:val="fr-CA"/>
              </w:rPr>
              <w:t>18 août 2022</w:t>
            </w:r>
          </w:p>
          <w:p w:rsidR="00267836" w:rsidRPr="00DD7C7F" w:rsidRDefault="00267836" w:rsidP="00DC2914">
            <w:pPr>
              <w:jc w:val="both"/>
              <w:rPr>
                <w:sz w:val="20"/>
                <w:lang w:val="fr-CA"/>
              </w:rPr>
            </w:pPr>
            <w:r w:rsidRPr="00DD7C7F">
              <w:rPr>
                <w:sz w:val="20"/>
                <w:lang w:val="fr-CA"/>
              </w:rPr>
              <w:t>Cour suprême du Canada</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requête en prorogation du délai de signification et de dépôt de la demande d’autorisation d’appel et la demande d’autorisation d’appel sont présentées.</w:t>
            </w:r>
          </w:p>
        </w:tc>
      </w:tr>
    </w:tbl>
    <w:p w:rsidR="00267836" w:rsidRPr="00DD7C7F" w:rsidRDefault="00267836" w:rsidP="00267836">
      <w:pPr>
        <w:jc w:val="both"/>
        <w:rPr>
          <w:sz w:val="20"/>
          <w:lang w:val="fr-CA"/>
        </w:rPr>
      </w:pPr>
    </w:p>
    <w:p w:rsidR="00267836" w:rsidRPr="00DD7C7F" w:rsidRDefault="00512056" w:rsidP="00267836">
      <w:pPr>
        <w:jc w:val="both"/>
        <w:rPr>
          <w:sz w:val="20"/>
          <w:lang w:val="fr-CA"/>
        </w:rPr>
      </w:pPr>
      <w:r>
        <w:rPr>
          <w:sz w:val="20"/>
        </w:rPr>
        <w:pict>
          <v:rect id="_x0000_i1052" style="width:2in;height:1pt" o:hrpct="0" o:hralign="center" o:hrstd="t" o:hrnoshade="t" o:hr="t" fillcolor="black [3213]" stroked="f"/>
        </w:pict>
      </w: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40132</w:t>
            </w:r>
          </w:p>
        </w:tc>
        <w:tc>
          <w:tcPr>
            <w:tcW w:w="4457" w:type="pct"/>
            <w:gridSpan w:val="3"/>
          </w:tcPr>
          <w:p w:rsidR="00267836" w:rsidRPr="00DD7C7F" w:rsidRDefault="00267836" w:rsidP="00DC2914">
            <w:pPr>
              <w:pStyle w:val="SCCLsocParty"/>
              <w:jc w:val="both"/>
              <w:rPr>
                <w:b/>
                <w:sz w:val="20"/>
                <w:szCs w:val="20"/>
                <w:lang w:val="en-US"/>
              </w:rPr>
            </w:pPr>
            <w:r w:rsidRPr="00DD7C7F">
              <w:rPr>
                <w:b/>
                <w:sz w:val="20"/>
                <w:szCs w:val="20"/>
                <w:lang w:val="en-US"/>
              </w:rPr>
              <w:t>Suzanne Rieger</w:t>
            </w:r>
            <w:r w:rsidR="00DC2914" w:rsidRPr="00DD7C7F">
              <w:rPr>
                <w:b/>
                <w:sz w:val="20"/>
                <w:szCs w:val="20"/>
                <w:lang w:val="en-US"/>
              </w:rPr>
              <w:t xml:space="preserve"> and</w:t>
            </w:r>
            <w:r w:rsidRPr="00DD7C7F">
              <w:rPr>
                <w:b/>
                <w:sz w:val="20"/>
                <w:szCs w:val="20"/>
                <w:lang w:val="en-US"/>
              </w:rPr>
              <w:t xml:space="preserve"> Darin Rieger v. Plains Midstream Canada ULC</w:t>
            </w:r>
          </w:p>
          <w:p w:rsidR="00267836" w:rsidRPr="00DD7C7F" w:rsidRDefault="00267836" w:rsidP="00DC2914">
            <w:pPr>
              <w:jc w:val="both"/>
              <w:rPr>
                <w:sz w:val="20"/>
              </w:rPr>
            </w:pPr>
            <w:r w:rsidRPr="00DD7C7F">
              <w:rPr>
                <w:sz w:val="20"/>
              </w:rPr>
              <w:t>(Alta.) (Civil) (By Leave)</w:t>
            </w:r>
          </w:p>
        </w:tc>
      </w:tr>
      <w:tr w:rsidR="00B82D23" w:rsidRPr="00DD7C7F" w:rsidTr="00DC2914">
        <w:tc>
          <w:tcPr>
            <w:tcW w:w="5000" w:type="pct"/>
            <w:gridSpan w:val="4"/>
          </w:tcPr>
          <w:p w:rsidR="00DC2914" w:rsidRPr="00DD7C7F" w:rsidRDefault="00DC2914" w:rsidP="00DC2914">
            <w:pPr>
              <w:jc w:val="both"/>
              <w:rPr>
                <w:sz w:val="20"/>
                <w:szCs w:val="20"/>
              </w:rPr>
            </w:pPr>
            <w:r w:rsidRPr="00DD7C7F">
              <w:rPr>
                <w:sz w:val="20"/>
                <w:szCs w:val="20"/>
              </w:rPr>
              <w:t>The application for leave to appeal from the judgment of the Court of Appeal of Alberta (Calgary), Number 2001-0113AC, 2022 ABCA 28, dated January 31, 2022, is dismissed with costs.</w:t>
            </w:r>
          </w:p>
          <w:p w:rsidR="00B82D23" w:rsidRPr="00DD7C7F" w:rsidRDefault="00B82D23"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Civil procedure — Class actions — Certification — Court of Appeal setting aside certification as class action — Whether the pleadings disclose a cause of action — Whether interference with use and enjoyment of public property gives rise to a valid claim in negligence for pure economic loss — Whether the proposed class was appropriate for certification — What is the evidentiary burden on a plaintiff seeking certification on the some basis in fact standard — </w:t>
            </w:r>
            <w:r w:rsidRPr="00DD7C7F">
              <w:rPr>
                <w:i/>
                <w:sz w:val="20"/>
              </w:rPr>
              <w:t>Class Proceedings Act</w:t>
            </w:r>
            <w:r w:rsidRPr="00DD7C7F">
              <w:rPr>
                <w:sz w:val="20"/>
              </w:rPr>
              <w:t>, S.A. 2003, c. C-16.5.</w:t>
            </w:r>
          </w:p>
        </w:tc>
      </w:tr>
      <w:tr w:rsidR="00267836" w:rsidRPr="00DD7C7F" w:rsidTr="00DC2914">
        <w:tc>
          <w:tcPr>
            <w:tcW w:w="5000" w:type="pct"/>
            <w:gridSpan w:val="4"/>
          </w:tcPr>
          <w:p w:rsidR="00267836" w:rsidRPr="00DD7C7F" w:rsidRDefault="00267836"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bCs/>
                <w:sz w:val="20"/>
              </w:rPr>
              <w:t xml:space="preserve">In June 2012, a pipeline owned and operated by </w:t>
            </w:r>
            <w:r w:rsidRPr="00DD7C7F">
              <w:rPr>
                <w:sz w:val="20"/>
              </w:rPr>
              <w:t>Plains Midstream Canada ULC</w:t>
            </w:r>
            <w:r w:rsidRPr="00DD7C7F">
              <w:rPr>
                <w:bCs/>
                <w:sz w:val="20"/>
              </w:rPr>
              <w:t xml:space="preserve"> released </w:t>
            </w:r>
            <w:r w:rsidRPr="00DD7C7F">
              <w:rPr>
                <w:sz w:val="20"/>
              </w:rPr>
              <w:t>light sour crude oil into the Red Deer River. It migrated downstream to Gleniffer Lake, resulting in the temporary closure of the river and lake for recreational use.</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At the time of the spill, Suzanne and Darin Rieger jointly owned two lots that were located at (but did not abut) Gleniffer Lake, which they were attempting to sell. The Riegers alleged that the real estate sale value they hoped to achieve was diminished because of the spill. They filed a Statement of Claim against Plains under the </w:t>
            </w:r>
            <w:r w:rsidRPr="00DD7C7F">
              <w:rPr>
                <w:i/>
                <w:sz w:val="20"/>
              </w:rPr>
              <w:t>Class Proceedings Act</w:t>
            </w:r>
            <w:r w:rsidRPr="00DD7C7F">
              <w:rPr>
                <w:sz w:val="20"/>
              </w:rPr>
              <w:t>, S.A. 2003, c. C-16.5, pleading six causes of action: negligence, strict liability, vicarious liability, nuisance, trespass, and breach of the </w:t>
            </w:r>
            <w:r w:rsidRPr="00DD7C7F">
              <w:rPr>
                <w:i/>
                <w:sz w:val="20"/>
              </w:rPr>
              <w:t>Environmental Protection and Enhancement Act</w:t>
            </w:r>
            <w:r w:rsidRPr="00DD7C7F">
              <w:rPr>
                <w:sz w:val="20"/>
              </w:rPr>
              <w:t>, R.S.A. 2000, c. E-12.</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 xml:space="preserve">The Court of Queen’s Bench of Alberta held that the claim satisfied the criteria for certification set out by the </w:t>
            </w:r>
            <w:r w:rsidRPr="00DD7C7F">
              <w:rPr>
                <w:i/>
                <w:sz w:val="20"/>
              </w:rPr>
              <w:t>CPA</w:t>
            </w:r>
            <w:r w:rsidRPr="00DD7C7F">
              <w:rPr>
                <w:sz w:val="20"/>
              </w:rPr>
              <w:t xml:space="preserve"> and ordered the certification of the class proceeding. The court noted that while the Riegers would have to overcome the presumption of the rule for relational economic loss, the issue was an unsettled area of law and dismissal at the certification stage was not justified.</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 xml:space="preserve">The Court of Appeal allowed the appeal and set aside the class action certification decision. The court noted that while deference is owed in certification decisions, the recent judgment in </w:t>
            </w:r>
            <w:r w:rsidRPr="00DD7C7F">
              <w:rPr>
                <w:i/>
                <w:sz w:val="20"/>
              </w:rPr>
              <w:t>1688782 Ontario Inc. v. Maple Leaf Foods Inc.</w:t>
            </w:r>
            <w:r w:rsidRPr="00DD7C7F">
              <w:rPr>
                <w:sz w:val="20"/>
              </w:rPr>
              <w:t>,</w:t>
            </w:r>
            <w:r w:rsidRPr="00DD7C7F">
              <w:rPr>
                <w:i/>
                <w:sz w:val="20"/>
              </w:rPr>
              <w:t xml:space="preserve"> </w:t>
            </w:r>
            <w:r w:rsidRPr="00DD7C7F">
              <w:rPr>
                <w:sz w:val="20"/>
              </w:rPr>
              <w:t>2020 SCC 35, which was not available to the chambers judge at the time of certification, clarified the law on sustainable claims for pure economic loss and led to the conclusion that the Riegers’ class action should not have been certified. The Court of Appeal held the claim did not disclose a valid cause of action, the class was too large and arbitrary to be certified, and a class action was not the preferable procedure.</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May 8, 2020</w:t>
            </w:r>
          </w:p>
          <w:p w:rsidR="00267836" w:rsidRPr="00DD7C7F" w:rsidRDefault="00267836" w:rsidP="00DC2914">
            <w:pPr>
              <w:jc w:val="both"/>
              <w:rPr>
                <w:sz w:val="20"/>
              </w:rPr>
            </w:pPr>
            <w:r w:rsidRPr="00DD7C7F">
              <w:rPr>
                <w:sz w:val="20"/>
              </w:rPr>
              <w:t>Court of Queen’s Bench of Alberta</w:t>
            </w:r>
          </w:p>
          <w:p w:rsidR="00267836" w:rsidRPr="00DD7C7F" w:rsidRDefault="00267836" w:rsidP="00DC2914">
            <w:pPr>
              <w:jc w:val="both"/>
              <w:rPr>
                <w:sz w:val="20"/>
              </w:rPr>
            </w:pPr>
            <w:r w:rsidRPr="00DD7C7F">
              <w:rPr>
                <w:sz w:val="20"/>
              </w:rPr>
              <w:t>(Poelman J.)</w:t>
            </w:r>
          </w:p>
          <w:p w:rsidR="00267836" w:rsidRPr="00DD7C7F" w:rsidRDefault="00512056" w:rsidP="00DC2914">
            <w:pPr>
              <w:jc w:val="both"/>
              <w:rPr>
                <w:sz w:val="20"/>
              </w:rPr>
            </w:pPr>
            <w:hyperlink r:id="rId25" w:history="1">
              <w:r w:rsidR="00267836" w:rsidRPr="00DD7C7F">
                <w:rPr>
                  <w:rStyle w:val="Hyperlink"/>
                  <w:sz w:val="20"/>
                </w:rPr>
                <w:t>2020 ABQB 312</w:t>
              </w:r>
            </w:hyperlink>
            <w:r w:rsidR="00267836" w:rsidRPr="00DD7C7F">
              <w:rPr>
                <w:sz w:val="20"/>
              </w:rPr>
              <w:t>; 1201 07932</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certification as a class action granted</w:t>
            </w:r>
          </w:p>
        </w:tc>
      </w:tr>
      <w:tr w:rsidR="00267836" w:rsidRPr="00DD7C7F" w:rsidTr="00DC2914">
        <w:tc>
          <w:tcPr>
            <w:tcW w:w="2427" w:type="pct"/>
            <w:gridSpan w:val="2"/>
          </w:tcPr>
          <w:p w:rsidR="00267836" w:rsidRPr="00DD7C7F" w:rsidRDefault="00267836" w:rsidP="00DC2914">
            <w:pPr>
              <w:jc w:val="both"/>
              <w:rPr>
                <w:sz w:val="20"/>
              </w:rPr>
            </w:pPr>
            <w:r w:rsidRPr="00DD7C7F">
              <w:rPr>
                <w:sz w:val="20"/>
              </w:rPr>
              <w:t>January 31, 2022</w:t>
            </w:r>
          </w:p>
          <w:p w:rsidR="00267836" w:rsidRPr="00DD7C7F" w:rsidRDefault="00267836" w:rsidP="00DC2914">
            <w:pPr>
              <w:jc w:val="both"/>
              <w:rPr>
                <w:sz w:val="20"/>
              </w:rPr>
            </w:pPr>
            <w:r w:rsidRPr="00DD7C7F">
              <w:rPr>
                <w:sz w:val="20"/>
              </w:rPr>
              <w:t>Court of Appeal of Alberta (Calgary)</w:t>
            </w:r>
          </w:p>
          <w:p w:rsidR="00267836" w:rsidRPr="00DD7C7F" w:rsidRDefault="00267836" w:rsidP="00DC2914">
            <w:pPr>
              <w:jc w:val="both"/>
              <w:rPr>
                <w:sz w:val="20"/>
              </w:rPr>
            </w:pPr>
            <w:r w:rsidRPr="00DD7C7F">
              <w:rPr>
                <w:sz w:val="20"/>
              </w:rPr>
              <w:t>(Martin, McDonald and Ho JJ.A.)</w:t>
            </w:r>
          </w:p>
          <w:p w:rsidR="00267836" w:rsidRPr="00DD7C7F" w:rsidRDefault="00512056" w:rsidP="00DC2914">
            <w:pPr>
              <w:jc w:val="both"/>
              <w:rPr>
                <w:sz w:val="20"/>
              </w:rPr>
            </w:pPr>
            <w:hyperlink r:id="rId26" w:history="1">
              <w:r w:rsidR="00267836" w:rsidRPr="00DD7C7F">
                <w:rPr>
                  <w:rStyle w:val="Hyperlink"/>
                  <w:sz w:val="20"/>
                </w:rPr>
                <w:t>2022 ABCA 28</w:t>
              </w:r>
            </w:hyperlink>
            <w:r w:rsidR="00267836" w:rsidRPr="00DD7C7F">
              <w:rPr>
                <w:sz w:val="20"/>
              </w:rPr>
              <w:t xml:space="preserve"> </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allowed; class action certification decision set aside</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April 1, 2022</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53"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40132</w:t>
            </w:r>
          </w:p>
        </w:tc>
        <w:tc>
          <w:tcPr>
            <w:tcW w:w="4457" w:type="pct"/>
            <w:gridSpan w:val="3"/>
          </w:tcPr>
          <w:p w:rsidR="00267836" w:rsidRPr="00DD7C7F" w:rsidRDefault="00267836" w:rsidP="00DC2914">
            <w:pPr>
              <w:pStyle w:val="SCCLsocParty"/>
              <w:jc w:val="both"/>
              <w:rPr>
                <w:b/>
                <w:sz w:val="20"/>
                <w:szCs w:val="20"/>
              </w:rPr>
            </w:pPr>
            <w:r w:rsidRPr="00DD7C7F">
              <w:rPr>
                <w:b/>
                <w:sz w:val="20"/>
                <w:szCs w:val="20"/>
              </w:rPr>
              <w:t>Suzanne Rieger</w:t>
            </w:r>
            <w:r w:rsidR="00DC2914" w:rsidRPr="00DD7C7F">
              <w:rPr>
                <w:b/>
                <w:sz w:val="20"/>
                <w:szCs w:val="20"/>
              </w:rPr>
              <w:t xml:space="preserve"> et</w:t>
            </w:r>
            <w:r w:rsidRPr="00DD7C7F">
              <w:rPr>
                <w:b/>
                <w:sz w:val="20"/>
                <w:szCs w:val="20"/>
              </w:rPr>
              <w:t xml:space="preserve"> Darin Rieger c. Plains Midstream Canada ULC</w:t>
            </w:r>
          </w:p>
          <w:p w:rsidR="00267836" w:rsidRPr="00DD7C7F" w:rsidRDefault="00267836" w:rsidP="00DC2914">
            <w:pPr>
              <w:jc w:val="both"/>
              <w:rPr>
                <w:sz w:val="20"/>
                <w:lang w:val="fr-CA"/>
              </w:rPr>
            </w:pPr>
            <w:r w:rsidRPr="00DD7C7F">
              <w:rPr>
                <w:sz w:val="20"/>
                <w:lang w:val="fr-CA"/>
              </w:rPr>
              <w:t>(Alb.) (Civile) (Sur autorisation)</w:t>
            </w:r>
          </w:p>
        </w:tc>
      </w:tr>
      <w:tr w:rsidR="00B82D23" w:rsidRPr="00512056" w:rsidTr="00DC2914">
        <w:tc>
          <w:tcPr>
            <w:tcW w:w="5000" w:type="pct"/>
            <w:gridSpan w:val="4"/>
          </w:tcPr>
          <w:p w:rsidR="00B82D23" w:rsidRPr="00DD7C7F" w:rsidRDefault="00DC2914" w:rsidP="00DC2914">
            <w:pPr>
              <w:jc w:val="both"/>
              <w:rPr>
                <w:sz w:val="20"/>
                <w:szCs w:val="20"/>
                <w:lang w:val="fr-CA"/>
              </w:rPr>
            </w:pPr>
            <w:r w:rsidRPr="00DD7C7F">
              <w:rPr>
                <w:sz w:val="20"/>
                <w:szCs w:val="20"/>
                <w:lang w:val="fr-CA"/>
              </w:rPr>
              <w:t>La demande d’autorisation d’appel de l’arrêt de la Cour d’appel de l’Alberta (Calgary), numéro 2001-0113AC, 2022 ABCA 28, daté du 31 janvier 2022, est rejetée avec dépens.</w:t>
            </w:r>
          </w:p>
          <w:p w:rsidR="00DC2914" w:rsidRPr="00DD7C7F" w:rsidRDefault="00DC2914"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 xml:space="preserve">Procédure civile — Recours collectifs — Autorisation — La Cour d’appel annule la demande visant l’autorisation d’une action en tant que recours collectif — Les actes de procédure révèlent-ils une cause d’action? — L’atteinte à l’usage et à la jouissance d’une propriété publique peut-elle donner lieu à une demande valide fondée sur la négligence visant à obtenir l'indemnisation d'une perte purement économique? — Le groupe proposé se prête-t-il à l’autorisation? — Quel est le fardeau de la preuve dont doit s’acquitter un demandeur qui cherche l’autorisation suivant la norme fondée sur l’existence d’un certain fondement factuel? — </w:t>
            </w:r>
            <w:r w:rsidRPr="00DD7C7F">
              <w:rPr>
                <w:i/>
                <w:sz w:val="20"/>
                <w:lang w:val="fr-CA"/>
              </w:rPr>
              <w:t>Class Proceedings Act</w:t>
            </w:r>
            <w:r w:rsidRPr="00DD7C7F">
              <w:rPr>
                <w:sz w:val="20"/>
                <w:lang w:val="fr-CA"/>
              </w:rPr>
              <w:t>, S.A. 2003, c. C-16.5.</w:t>
            </w:r>
          </w:p>
        </w:tc>
      </w:tr>
      <w:tr w:rsidR="00267836" w:rsidRPr="00512056" w:rsidTr="00DC2914">
        <w:tc>
          <w:tcPr>
            <w:tcW w:w="5000" w:type="pct"/>
            <w:gridSpan w:val="4"/>
          </w:tcPr>
          <w:p w:rsidR="00267836" w:rsidRPr="00DD7C7F" w:rsidRDefault="0026783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bCs/>
                <w:sz w:val="20"/>
                <w:lang w:val="fr-CA"/>
              </w:rPr>
              <w:t xml:space="preserve">En juin 2012, un pipeline détenu et exploité par </w:t>
            </w:r>
            <w:r w:rsidRPr="00DD7C7F">
              <w:rPr>
                <w:sz w:val="20"/>
                <w:lang w:val="fr-CA"/>
              </w:rPr>
              <w:t>Plains Midstream Canada ULC</w:t>
            </w:r>
            <w:r w:rsidRPr="00DD7C7F">
              <w:rPr>
                <w:bCs/>
                <w:sz w:val="20"/>
                <w:lang w:val="fr-CA"/>
              </w:rPr>
              <w:t xml:space="preserve"> a déversé du pétrole brut léger corrosif </w:t>
            </w:r>
            <w:r w:rsidRPr="00DD7C7F">
              <w:rPr>
                <w:sz w:val="20"/>
                <w:lang w:val="fr-CA"/>
              </w:rPr>
              <w:t>dans la rivière Red Deer. Il s’est répandu en aval jusqu’au lac Gleniffer, ce qui a causé la fermeture temporaire de la rivière et du lac à des fins récréatives.</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 xml:space="preserve">Au moment du déversement, Suzanne et Darin Rieger détenaient conjointement deux terrains situés près du lac Gleniffer (mais non contigus à celui-ci), qu’ils tentaient de vendre. Monsieur et madame Rieger ont allégué que la valeur de la vente immobilière espérée par ces derniers s’est </w:t>
            </w:r>
            <w:proofErr w:type="gramStart"/>
            <w:r w:rsidRPr="00DD7C7F">
              <w:rPr>
                <w:sz w:val="20"/>
                <w:lang w:val="fr-CA"/>
              </w:rPr>
              <w:t>vu</w:t>
            </w:r>
            <w:proofErr w:type="gramEnd"/>
            <w:r w:rsidRPr="00DD7C7F">
              <w:rPr>
                <w:sz w:val="20"/>
                <w:lang w:val="fr-CA"/>
              </w:rPr>
              <w:t xml:space="preserve"> réduite en raison du déversement. Ils ont intenté une poursuite contre Plains au titre de la </w:t>
            </w:r>
            <w:r w:rsidRPr="00DD7C7F">
              <w:rPr>
                <w:i/>
                <w:sz w:val="20"/>
                <w:lang w:val="fr-CA"/>
              </w:rPr>
              <w:t>Class Proceedings Act</w:t>
            </w:r>
            <w:r w:rsidRPr="00DD7C7F">
              <w:rPr>
                <w:sz w:val="20"/>
                <w:lang w:val="fr-CA"/>
              </w:rPr>
              <w:t>, S.A. 2003, c. C-16.5 (</w:t>
            </w:r>
            <w:r w:rsidRPr="00DD7C7F">
              <w:rPr>
                <w:i/>
                <w:sz w:val="20"/>
                <w:lang w:val="fr-CA"/>
              </w:rPr>
              <w:t>CPA</w:t>
            </w:r>
            <w:r w:rsidRPr="00DD7C7F">
              <w:rPr>
                <w:sz w:val="20"/>
                <w:lang w:val="fr-CA"/>
              </w:rPr>
              <w:t xml:space="preserve">), plaidant six causes d’action: négligence, responsabilité stricte, responsabilité du fait d’autrui, nuisance, intrusion, et contravention de la loi intitulée </w:t>
            </w:r>
            <w:r w:rsidRPr="00DD7C7F">
              <w:rPr>
                <w:i/>
                <w:sz w:val="20"/>
                <w:lang w:val="fr-CA"/>
              </w:rPr>
              <w:t>Environmental Protection and Enhancement Act</w:t>
            </w:r>
            <w:r w:rsidRPr="00DD7C7F">
              <w:rPr>
                <w:sz w:val="20"/>
                <w:lang w:val="fr-CA"/>
              </w:rPr>
              <w:t>, R.S.A. 2000, c. E-12.</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 xml:space="preserve">La Cour du Banc de la Reine de l’Alberta a conclu que la demande satisfaisait aux conditions d’autorisation prévues par la </w:t>
            </w:r>
            <w:r w:rsidRPr="00DD7C7F">
              <w:rPr>
                <w:i/>
                <w:sz w:val="20"/>
                <w:lang w:val="fr-CA"/>
              </w:rPr>
              <w:t>CPA</w:t>
            </w:r>
            <w:r w:rsidRPr="00DD7C7F">
              <w:rPr>
                <w:sz w:val="20"/>
                <w:lang w:val="fr-CA"/>
              </w:rPr>
              <w:t xml:space="preserve"> et a ordonné l’autorisation du recours collectif. Cette Cour a fait remarquer que bien que le couple Rieger aurait à réfuter la présomption liée à la règle de la perte financière relationnelle, le droit relativement à la question en litige n’était pas encore bien établi et le rejet à l’étape de l’autorisation n’était pas justifié.</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 xml:space="preserve">La Cour d’appel a accueilli l’appel et a annulé la décision autorisant le recours collectif. Elle a fait remarquer que bien qu’il faille faire montre de déférence à l’égard de décisions sur l’autorisation, le récent jugement dans l’arrêt </w:t>
            </w:r>
            <w:r w:rsidRPr="00DD7C7F">
              <w:rPr>
                <w:i/>
                <w:sz w:val="20"/>
                <w:lang w:val="fr-CA"/>
              </w:rPr>
              <w:t>1688782 Ontario Inc. c. Aliments Maple Leaf Foods Inc.</w:t>
            </w:r>
            <w:r w:rsidRPr="00DD7C7F">
              <w:rPr>
                <w:sz w:val="20"/>
                <w:lang w:val="fr-CA"/>
              </w:rPr>
              <w:t>,</w:t>
            </w:r>
            <w:r w:rsidRPr="00DD7C7F">
              <w:rPr>
                <w:i/>
                <w:sz w:val="20"/>
                <w:lang w:val="fr-CA"/>
              </w:rPr>
              <w:t xml:space="preserve"> </w:t>
            </w:r>
            <w:r w:rsidRPr="00DD7C7F">
              <w:rPr>
                <w:sz w:val="20"/>
                <w:lang w:val="fr-CA"/>
              </w:rPr>
              <w:t>2020 CSC 35, dont le juge siégeant en son cabinet ne disposait pas au moment de l’autorisation, a clarifié le droit relatif aux demandes viables concernant une perte purement financière et a mené à la conclusion que le recours collectif du couple Rieger n’aurait pas dû être autorisé. La Cour d’appel a statué que la demande ne révélait pas une cause d’action valable, que le groupe visé était trop large et arbitraire pour faire l’objet d’autorisation et qu’un recours collectif n’était pas le meilleur moyen.</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8 mai 2020</w:t>
            </w:r>
          </w:p>
          <w:p w:rsidR="00267836" w:rsidRPr="00DD7C7F" w:rsidRDefault="00267836" w:rsidP="00DC2914">
            <w:pPr>
              <w:jc w:val="both"/>
              <w:rPr>
                <w:sz w:val="20"/>
                <w:lang w:val="fr-CA"/>
              </w:rPr>
            </w:pPr>
            <w:r w:rsidRPr="00DD7C7F">
              <w:rPr>
                <w:sz w:val="20"/>
                <w:lang w:val="fr-CA"/>
              </w:rPr>
              <w:t>Cour du Banc de la Reine de l’Alberta</w:t>
            </w:r>
          </w:p>
          <w:p w:rsidR="00267836" w:rsidRPr="00DD7C7F" w:rsidRDefault="00267836" w:rsidP="00DC2914">
            <w:pPr>
              <w:jc w:val="both"/>
              <w:rPr>
                <w:sz w:val="20"/>
                <w:lang w:val="fr-CA"/>
              </w:rPr>
            </w:pPr>
            <w:r w:rsidRPr="00DD7C7F">
              <w:rPr>
                <w:sz w:val="20"/>
                <w:lang w:val="fr-CA"/>
              </w:rPr>
              <w:t>(juge Poelman)</w:t>
            </w:r>
          </w:p>
          <w:p w:rsidR="00267836" w:rsidRPr="00DD7C7F" w:rsidRDefault="00512056" w:rsidP="00DC2914">
            <w:pPr>
              <w:jc w:val="both"/>
              <w:rPr>
                <w:sz w:val="20"/>
                <w:lang w:val="fr-CA"/>
              </w:rPr>
            </w:pPr>
            <w:hyperlink r:id="rId27" w:history="1">
              <w:r w:rsidR="00267836" w:rsidRPr="00DD7C7F">
                <w:rPr>
                  <w:rStyle w:val="Hyperlink"/>
                  <w:sz w:val="20"/>
                  <w:lang w:val="fr-CA"/>
                </w:rPr>
                <w:t>2020 ABQB 312</w:t>
              </w:r>
            </w:hyperlink>
            <w:r w:rsidR="00267836" w:rsidRPr="00DD7C7F">
              <w:rPr>
                <w:sz w:val="20"/>
                <w:lang w:val="fr-CA"/>
              </w:rPr>
              <w:t>; 1201 07932</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d’autorisation du recours collectif est accueillie.</w:t>
            </w: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31 janvier 2022</w:t>
            </w:r>
          </w:p>
          <w:p w:rsidR="00267836" w:rsidRPr="00DD7C7F" w:rsidRDefault="00267836" w:rsidP="00DC2914">
            <w:pPr>
              <w:jc w:val="both"/>
              <w:rPr>
                <w:sz w:val="20"/>
                <w:lang w:val="fr-CA"/>
              </w:rPr>
            </w:pPr>
            <w:r w:rsidRPr="00DD7C7F">
              <w:rPr>
                <w:sz w:val="20"/>
                <w:lang w:val="fr-CA"/>
              </w:rPr>
              <w:t>Cour d’appel de l’Alberta (Calgary)</w:t>
            </w:r>
          </w:p>
          <w:p w:rsidR="00267836" w:rsidRPr="00DD7C7F" w:rsidRDefault="00267836" w:rsidP="00DC2914">
            <w:pPr>
              <w:jc w:val="both"/>
              <w:rPr>
                <w:sz w:val="20"/>
                <w:lang w:val="fr-CA"/>
              </w:rPr>
            </w:pPr>
            <w:r w:rsidRPr="00DD7C7F">
              <w:rPr>
                <w:sz w:val="20"/>
                <w:lang w:val="fr-CA"/>
              </w:rPr>
              <w:t>(Martin, McDonald et Ho)</w:t>
            </w:r>
          </w:p>
          <w:p w:rsidR="00267836" w:rsidRPr="00DD7C7F" w:rsidRDefault="00512056" w:rsidP="00DC2914">
            <w:pPr>
              <w:jc w:val="both"/>
              <w:rPr>
                <w:sz w:val="20"/>
                <w:lang w:val="fr-CA"/>
              </w:rPr>
            </w:pPr>
            <w:hyperlink r:id="rId28" w:history="1">
              <w:r w:rsidR="00267836" w:rsidRPr="00DD7C7F">
                <w:rPr>
                  <w:rStyle w:val="Hyperlink"/>
                  <w:sz w:val="20"/>
                  <w:lang w:val="fr-CA"/>
                </w:rPr>
                <w:t>2022 ABCA 28</w:t>
              </w:r>
            </w:hyperlink>
            <w:r w:rsidR="00267836" w:rsidRPr="00DD7C7F">
              <w:rPr>
                <w:sz w:val="20"/>
                <w:lang w:val="fr-CA"/>
              </w:rPr>
              <w:t xml:space="preserve"> </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est accueilli; la décision autorisant le recours collectif est annulée.</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1</w:t>
            </w:r>
            <w:r w:rsidRPr="00DD7C7F">
              <w:rPr>
                <w:sz w:val="20"/>
                <w:vertAlign w:val="superscript"/>
                <w:lang w:val="fr-CA"/>
              </w:rPr>
              <w:t>er</w:t>
            </w:r>
            <w:r w:rsidRPr="00DD7C7F">
              <w:rPr>
                <w:sz w:val="20"/>
                <w:lang w:val="fr-CA"/>
              </w:rPr>
              <w:t xml:space="preserve"> avril 2022</w:t>
            </w:r>
          </w:p>
          <w:p w:rsidR="00267836" w:rsidRPr="00DD7C7F" w:rsidRDefault="00267836" w:rsidP="00DC2914">
            <w:pPr>
              <w:jc w:val="both"/>
              <w:rPr>
                <w:sz w:val="20"/>
                <w:lang w:val="fr-CA"/>
              </w:rPr>
            </w:pPr>
            <w:r w:rsidRPr="00DD7C7F">
              <w:rPr>
                <w:sz w:val="20"/>
                <w:lang w:val="fr-CA"/>
              </w:rPr>
              <w:t>Cour suprême du Canada</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d’autorisation d’appel est présentée.</w:t>
            </w:r>
          </w:p>
          <w:p w:rsidR="00267836" w:rsidRPr="00DD7C7F" w:rsidRDefault="00267836" w:rsidP="00DC2914">
            <w:pPr>
              <w:jc w:val="both"/>
              <w:rPr>
                <w:sz w:val="20"/>
                <w:lang w:val="fr-CA"/>
              </w:rPr>
            </w:pPr>
          </w:p>
        </w:tc>
      </w:tr>
    </w:tbl>
    <w:p w:rsidR="00267836" w:rsidRPr="00DD7C7F" w:rsidRDefault="00267836" w:rsidP="00267836">
      <w:pPr>
        <w:jc w:val="both"/>
        <w:rPr>
          <w:sz w:val="20"/>
          <w:lang w:val="fr-CA"/>
        </w:rPr>
      </w:pPr>
    </w:p>
    <w:p w:rsidR="00267836" w:rsidRPr="00DD7C7F" w:rsidRDefault="00512056" w:rsidP="00267836">
      <w:pPr>
        <w:jc w:val="both"/>
        <w:rPr>
          <w:sz w:val="20"/>
          <w:lang w:val="fr-CA"/>
        </w:rPr>
      </w:pPr>
      <w:r>
        <w:rPr>
          <w:sz w:val="20"/>
        </w:rPr>
        <w:pict>
          <v:rect id="_x0000_i1054" style="width:2in;height:1pt" o:hrpct="0" o:hralign="center" o:hrstd="t" o:hrnoshade="t" o:hr="t" fillcolor="black [3213]" stroked="f"/>
        </w:pict>
      </w: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40126</w:t>
            </w:r>
          </w:p>
        </w:tc>
        <w:tc>
          <w:tcPr>
            <w:tcW w:w="4457" w:type="pct"/>
          </w:tcPr>
          <w:p w:rsidR="00267836" w:rsidRPr="00DD7C7F" w:rsidRDefault="00267836" w:rsidP="00DC2914">
            <w:pPr>
              <w:pStyle w:val="SCCLsocParty"/>
              <w:jc w:val="both"/>
              <w:rPr>
                <w:b/>
                <w:sz w:val="20"/>
                <w:szCs w:val="20"/>
                <w:lang w:val="en-US"/>
              </w:rPr>
            </w:pPr>
            <w:r w:rsidRPr="00DD7C7F">
              <w:rPr>
                <w:b/>
                <w:sz w:val="20"/>
                <w:szCs w:val="20"/>
                <w:lang w:val="en-US"/>
              </w:rPr>
              <w:t>Reva Landau v. Attorney General of Canada</w:t>
            </w:r>
          </w:p>
          <w:p w:rsidR="00267836" w:rsidRPr="00DD7C7F" w:rsidRDefault="00267836" w:rsidP="00DC2914">
            <w:pPr>
              <w:jc w:val="both"/>
              <w:rPr>
                <w:sz w:val="20"/>
              </w:rPr>
            </w:pPr>
            <w:r w:rsidRPr="00DD7C7F">
              <w:rPr>
                <w:sz w:val="20"/>
              </w:rPr>
              <w:t>(F.C.) (Civil) (By Leave)</w:t>
            </w:r>
          </w:p>
        </w:tc>
      </w:tr>
      <w:tr w:rsidR="00B82D23" w:rsidRPr="00DD7C7F" w:rsidTr="00DC2914">
        <w:tc>
          <w:tcPr>
            <w:tcW w:w="5000" w:type="pct"/>
            <w:gridSpan w:val="2"/>
          </w:tcPr>
          <w:p w:rsidR="00DC2914" w:rsidRPr="00DD7C7F" w:rsidRDefault="00DC2914" w:rsidP="00DC2914">
            <w:pPr>
              <w:jc w:val="both"/>
              <w:rPr>
                <w:sz w:val="20"/>
                <w:szCs w:val="20"/>
              </w:rPr>
            </w:pPr>
            <w:r w:rsidRPr="00DD7C7F">
              <w:rPr>
                <w:sz w:val="20"/>
                <w:szCs w:val="20"/>
              </w:rPr>
              <w:t>The application for leave to appeal from the judgment of the Federal Court of Appeal, Number A-270-20, 2022 FCA 12, dated January 25, 2022, is dismissed with costs.</w:t>
            </w:r>
          </w:p>
          <w:p w:rsidR="00B82D23" w:rsidRPr="00DD7C7F" w:rsidRDefault="00B82D23" w:rsidP="00DC2914">
            <w:pPr>
              <w:jc w:val="both"/>
              <w:rPr>
                <w:sz w:val="20"/>
              </w:rPr>
            </w:pPr>
          </w:p>
        </w:tc>
      </w:tr>
      <w:tr w:rsidR="00267836" w:rsidRPr="00DD7C7F" w:rsidTr="00DC2914">
        <w:tc>
          <w:tcPr>
            <w:tcW w:w="5000" w:type="pct"/>
            <w:gridSpan w:val="2"/>
          </w:tcPr>
          <w:p w:rsidR="00267836" w:rsidRPr="00DD7C7F" w:rsidRDefault="00267836" w:rsidP="00DC2914">
            <w:pPr>
              <w:jc w:val="both"/>
              <w:rPr>
                <w:sz w:val="20"/>
              </w:rPr>
            </w:pPr>
            <w:r w:rsidRPr="00DD7C7F">
              <w:rPr>
                <w:i/>
                <w:sz w:val="20"/>
              </w:rPr>
              <w:t>Charter of Rights</w:t>
            </w:r>
            <w:r w:rsidRPr="00DD7C7F">
              <w:rPr>
                <w:sz w:val="20"/>
              </w:rPr>
              <w:t xml:space="preserve"> – Right to equality (s. 15) — Discrimination based on marital status — Administrative law — Boards and Tribunals — Social Security Tribunal – Canada Pension Plan — Survivor’s pension – Whether Charter challenges to benefits legislation are subject to an elevated threshold — Whether the survivor’s pension scheme under the Canada Pension Plan violates section 15(1) of the Charter by discriminating against single contributors — </w:t>
            </w:r>
            <w:r w:rsidRPr="00DD7C7F">
              <w:rPr>
                <w:i/>
                <w:sz w:val="20"/>
              </w:rPr>
              <w:t>Canada Pension Plan</w:t>
            </w:r>
            <w:r w:rsidRPr="00DD7C7F">
              <w:rPr>
                <w:sz w:val="20"/>
              </w:rPr>
              <w:t>, R.S.C. 1985, c. C-8.</w:t>
            </w:r>
          </w:p>
        </w:tc>
      </w:tr>
      <w:tr w:rsidR="00267836" w:rsidRPr="00DD7C7F" w:rsidTr="00DC2914">
        <w:tc>
          <w:tcPr>
            <w:tcW w:w="5000" w:type="pct"/>
            <w:gridSpan w:val="2"/>
          </w:tcPr>
          <w:p w:rsidR="00267836" w:rsidRPr="00DD7C7F" w:rsidRDefault="00267836" w:rsidP="00DC2914">
            <w:pPr>
              <w:jc w:val="both"/>
              <w:rPr>
                <w:sz w:val="20"/>
              </w:rPr>
            </w:pPr>
          </w:p>
        </w:tc>
      </w:tr>
    </w:tbl>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7836" w:rsidRPr="00DD7C7F" w:rsidTr="00DC2914">
        <w:tc>
          <w:tcPr>
            <w:tcW w:w="5000" w:type="pct"/>
            <w:gridSpan w:val="3"/>
          </w:tcPr>
          <w:p w:rsidR="00267836" w:rsidRPr="00DD7C7F" w:rsidRDefault="00267836" w:rsidP="00DC2914">
            <w:pPr>
              <w:jc w:val="both"/>
              <w:rPr>
                <w:sz w:val="20"/>
              </w:rPr>
            </w:pPr>
            <w:r w:rsidRPr="00DD7C7F">
              <w:rPr>
                <w:sz w:val="20"/>
              </w:rPr>
              <w:t xml:space="preserve">The applicant, Ms. Reva Landau, has been receiving a retirement pension under the </w:t>
            </w:r>
            <w:r w:rsidRPr="00DD7C7F">
              <w:rPr>
                <w:i/>
                <w:sz w:val="20"/>
              </w:rPr>
              <w:t>Canada Pension Plan</w:t>
            </w:r>
            <w:r w:rsidRPr="00DD7C7F">
              <w:rPr>
                <w:sz w:val="20"/>
              </w:rPr>
              <w:t xml:space="preserve"> (the “Plan”) since 2014.</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 xml:space="preserve">She has never married, nor has she been in a common law relationship. She expects that she will never receive a survivor’s pension — an amount paid to people who were married or in a common law relationship with Plan contributors at the time of the contributor’s death — under the Plan, nor will she leave behind a partner who would be entitled such a pension. </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 xml:space="preserve">Ms. Landau brought an application before the Superior Court of Justice of Ontario to determine whether she is entitled to an enhanced benefit under the Plan because she has suffered discrimination under s. 15(1) of the </w:t>
            </w:r>
            <w:r w:rsidRPr="00DD7C7F">
              <w:rPr>
                <w:i/>
                <w:sz w:val="20"/>
              </w:rPr>
              <w:t xml:space="preserve">Charter </w:t>
            </w:r>
            <w:r w:rsidRPr="00DD7C7F">
              <w:rPr>
                <w:sz w:val="20"/>
              </w:rPr>
              <w:t>on the grounds of marital status. The court determined that the appropriate procedure under the Plan was for Ms. Landau to apply to the Minister of Employment and Social Development for reconsideration of her pension amount, and to appeal to the Social Security Tribunal (SST) if necessary. The application was stayed.</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Ms. Landau applied for reconsideration; the Minister determined that she was receiving the correct amount in pension benefits. Ms. Landau appealed to the SST. The General Division of the SST dismissed the appeal. The Appeal Division upheld the General Division’s decision. The Federal Court of Appeal dismissed Ms. Landau’s application for judicial review of the Appeal Division’s decision.</w:t>
            </w:r>
          </w:p>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June 19, 2017</w:t>
            </w:r>
          </w:p>
          <w:p w:rsidR="00267836" w:rsidRPr="00DD7C7F" w:rsidRDefault="00267836" w:rsidP="00DC2914">
            <w:pPr>
              <w:jc w:val="both"/>
              <w:rPr>
                <w:sz w:val="20"/>
              </w:rPr>
            </w:pPr>
            <w:r w:rsidRPr="00DD7C7F">
              <w:rPr>
                <w:sz w:val="20"/>
              </w:rPr>
              <w:t xml:space="preserve">Minister of Employment and Social </w:t>
            </w:r>
          </w:p>
          <w:p w:rsidR="00267836" w:rsidRPr="00DD7C7F" w:rsidRDefault="00267836" w:rsidP="00DC2914">
            <w:pPr>
              <w:jc w:val="both"/>
              <w:rPr>
                <w:sz w:val="20"/>
              </w:rPr>
            </w:pPr>
            <w:r w:rsidRPr="00DD7C7F">
              <w:rPr>
                <w:sz w:val="20"/>
              </w:rPr>
              <w:t>Development</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Reconsideration decision; confirmed that the applicant’s retirement pension benefit amount was correctly calculated.</w:t>
            </w:r>
          </w:p>
          <w:p w:rsidR="00267836" w:rsidRPr="00DD7C7F" w:rsidRDefault="00267836" w:rsidP="00DC2914">
            <w:pPr>
              <w:jc w:val="both"/>
              <w:rPr>
                <w:sz w:val="20"/>
              </w:rPr>
            </w:pPr>
            <w:r w:rsidRPr="00DD7C7F">
              <w:rPr>
                <w:sz w:val="20"/>
              </w:rPr>
              <w:t xml:space="preserve"> </w:t>
            </w:r>
          </w:p>
        </w:tc>
      </w:tr>
      <w:tr w:rsidR="00267836" w:rsidRPr="00DD7C7F" w:rsidTr="00DC2914">
        <w:tc>
          <w:tcPr>
            <w:tcW w:w="2427" w:type="pct"/>
          </w:tcPr>
          <w:p w:rsidR="00267836" w:rsidRPr="00DD7C7F" w:rsidRDefault="00267836" w:rsidP="00DC2914">
            <w:pPr>
              <w:jc w:val="both"/>
              <w:rPr>
                <w:sz w:val="20"/>
              </w:rPr>
            </w:pPr>
            <w:r w:rsidRPr="00DD7C7F">
              <w:rPr>
                <w:sz w:val="20"/>
              </w:rPr>
              <w:t>March 23, 2020</w:t>
            </w:r>
          </w:p>
          <w:p w:rsidR="00267836" w:rsidRPr="00DD7C7F" w:rsidRDefault="00267836" w:rsidP="00DC2914">
            <w:pPr>
              <w:jc w:val="both"/>
              <w:rPr>
                <w:sz w:val="20"/>
              </w:rPr>
            </w:pPr>
            <w:r w:rsidRPr="00DD7C7F">
              <w:rPr>
                <w:sz w:val="20"/>
              </w:rPr>
              <w:t xml:space="preserve">Social Security Tribunal of Canada </w:t>
            </w:r>
          </w:p>
          <w:p w:rsidR="00267836" w:rsidRPr="00DD7C7F" w:rsidRDefault="00267836" w:rsidP="00DC2914">
            <w:pPr>
              <w:jc w:val="both"/>
              <w:rPr>
                <w:sz w:val="20"/>
              </w:rPr>
            </w:pPr>
            <w:r w:rsidRPr="00DD7C7F">
              <w:rPr>
                <w:sz w:val="20"/>
              </w:rPr>
              <w:t>General Division, Income Security Section</w:t>
            </w:r>
          </w:p>
          <w:p w:rsidR="00267836" w:rsidRPr="00DD7C7F" w:rsidRDefault="00267836" w:rsidP="00DC2914">
            <w:pPr>
              <w:jc w:val="both"/>
              <w:rPr>
                <w:sz w:val="20"/>
              </w:rPr>
            </w:pPr>
            <w:r w:rsidRPr="00DD7C7F">
              <w:rPr>
                <w:sz w:val="20"/>
              </w:rPr>
              <w:t>(Raphael)</w:t>
            </w:r>
          </w:p>
          <w:p w:rsidR="00267836" w:rsidRPr="00DD7C7F" w:rsidRDefault="00267836" w:rsidP="00DC2914">
            <w:pPr>
              <w:jc w:val="both"/>
              <w:rPr>
                <w:sz w:val="20"/>
              </w:rPr>
            </w:pPr>
            <w:r w:rsidRPr="00DD7C7F">
              <w:rPr>
                <w:sz w:val="20"/>
              </w:rPr>
              <w:t>GP-17-2176</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dismissed.</w:t>
            </w:r>
          </w:p>
        </w:tc>
      </w:tr>
      <w:tr w:rsidR="00267836" w:rsidRPr="00DD7C7F" w:rsidTr="00DC2914">
        <w:tc>
          <w:tcPr>
            <w:tcW w:w="2427" w:type="pct"/>
          </w:tcPr>
          <w:p w:rsidR="00267836" w:rsidRPr="00DD7C7F" w:rsidRDefault="00267836" w:rsidP="00DC2914">
            <w:pPr>
              <w:jc w:val="both"/>
              <w:rPr>
                <w:sz w:val="20"/>
              </w:rPr>
            </w:pPr>
            <w:r w:rsidRPr="00DD7C7F">
              <w:rPr>
                <w:sz w:val="20"/>
              </w:rPr>
              <w:t>October 1, 2020</w:t>
            </w:r>
          </w:p>
          <w:p w:rsidR="00267836" w:rsidRPr="00DD7C7F" w:rsidRDefault="00267836" w:rsidP="00DC2914">
            <w:pPr>
              <w:jc w:val="both"/>
              <w:rPr>
                <w:sz w:val="20"/>
              </w:rPr>
            </w:pPr>
            <w:r w:rsidRPr="00DD7C7F">
              <w:rPr>
                <w:sz w:val="20"/>
              </w:rPr>
              <w:t>Social Security Tribunal of Canada</w:t>
            </w:r>
          </w:p>
          <w:p w:rsidR="00267836" w:rsidRPr="00DD7C7F" w:rsidRDefault="00267836" w:rsidP="00DC2914">
            <w:pPr>
              <w:jc w:val="both"/>
              <w:rPr>
                <w:sz w:val="20"/>
              </w:rPr>
            </w:pPr>
            <w:r w:rsidRPr="00DD7C7F">
              <w:rPr>
                <w:sz w:val="20"/>
              </w:rPr>
              <w:t>Appeal Division</w:t>
            </w:r>
          </w:p>
          <w:p w:rsidR="00267836" w:rsidRPr="00DD7C7F" w:rsidRDefault="00267836" w:rsidP="00DC2914">
            <w:pPr>
              <w:jc w:val="both"/>
              <w:rPr>
                <w:sz w:val="20"/>
              </w:rPr>
            </w:pPr>
            <w:r w:rsidRPr="00DD7C7F">
              <w:rPr>
                <w:sz w:val="20"/>
              </w:rPr>
              <w:t>(Parker)</w:t>
            </w:r>
          </w:p>
          <w:p w:rsidR="00267836" w:rsidRPr="00DD7C7F" w:rsidRDefault="00267836" w:rsidP="00DC2914">
            <w:pPr>
              <w:jc w:val="both"/>
              <w:rPr>
                <w:sz w:val="20"/>
              </w:rPr>
            </w:pPr>
            <w:r w:rsidRPr="00DD7C7F">
              <w:rPr>
                <w:sz w:val="20"/>
              </w:rPr>
              <w:t>AD-20-658</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dismissed.</w:t>
            </w:r>
          </w:p>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January 25, 2022</w:t>
            </w:r>
          </w:p>
          <w:p w:rsidR="00267836" w:rsidRPr="00DD7C7F" w:rsidRDefault="00267836" w:rsidP="00DC2914">
            <w:pPr>
              <w:jc w:val="both"/>
              <w:rPr>
                <w:sz w:val="20"/>
              </w:rPr>
            </w:pPr>
            <w:r w:rsidRPr="00DD7C7F">
              <w:rPr>
                <w:sz w:val="20"/>
              </w:rPr>
              <w:t>Federal Court of Appeal</w:t>
            </w:r>
          </w:p>
          <w:p w:rsidR="00267836" w:rsidRPr="00DD7C7F" w:rsidRDefault="00267836" w:rsidP="00DC2914">
            <w:pPr>
              <w:jc w:val="both"/>
              <w:rPr>
                <w:sz w:val="20"/>
              </w:rPr>
            </w:pPr>
            <w:r w:rsidRPr="00DD7C7F">
              <w:rPr>
                <w:sz w:val="20"/>
              </w:rPr>
              <w:t>(Stratas, De Montigny and Laskin JJ.A.)</w:t>
            </w:r>
          </w:p>
          <w:p w:rsidR="00267836" w:rsidRPr="00DD7C7F" w:rsidRDefault="00512056" w:rsidP="00DC2914">
            <w:pPr>
              <w:jc w:val="both"/>
              <w:rPr>
                <w:sz w:val="20"/>
                <w:lang w:val="fr-CA"/>
              </w:rPr>
            </w:pPr>
            <w:hyperlink r:id="rId29" w:history="1">
              <w:r w:rsidR="00267836" w:rsidRPr="00DD7C7F">
                <w:rPr>
                  <w:rStyle w:val="Hyperlink"/>
                  <w:sz w:val="20"/>
                  <w:lang w:val="fr-CA"/>
                </w:rPr>
                <w:t>2022 FCA 12</w:t>
              </w:r>
            </w:hyperlink>
            <w:r w:rsidR="00267836" w:rsidRPr="00DD7C7F">
              <w:rPr>
                <w:sz w:val="20"/>
                <w:lang w:val="fr-CA"/>
              </w:rPr>
              <w:t>; A-270-20</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judicial review dismissed.</w:t>
            </w:r>
          </w:p>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March 25, 2022</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55"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512056"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40126</w:t>
            </w:r>
          </w:p>
        </w:tc>
        <w:tc>
          <w:tcPr>
            <w:tcW w:w="4457" w:type="pct"/>
            <w:gridSpan w:val="3"/>
          </w:tcPr>
          <w:p w:rsidR="00267836" w:rsidRPr="00DD7C7F" w:rsidRDefault="00267836" w:rsidP="00DC2914">
            <w:pPr>
              <w:pStyle w:val="SCCLsocParty"/>
              <w:jc w:val="both"/>
              <w:rPr>
                <w:b/>
                <w:sz w:val="20"/>
                <w:szCs w:val="20"/>
              </w:rPr>
            </w:pPr>
            <w:r w:rsidRPr="00DD7C7F">
              <w:rPr>
                <w:b/>
                <w:sz w:val="20"/>
                <w:szCs w:val="20"/>
              </w:rPr>
              <w:t>Reva Landau c. Procureur général du Canada</w:t>
            </w:r>
          </w:p>
          <w:p w:rsidR="00267836" w:rsidRPr="00DD7C7F" w:rsidRDefault="00267836" w:rsidP="00DC2914">
            <w:pPr>
              <w:jc w:val="both"/>
              <w:rPr>
                <w:sz w:val="20"/>
                <w:lang w:val="fr-CA"/>
              </w:rPr>
            </w:pPr>
            <w:r w:rsidRPr="00DD7C7F">
              <w:rPr>
                <w:sz w:val="20"/>
                <w:lang w:val="fr-CA"/>
              </w:rPr>
              <w:t>(C.F.) (Civile) (Sur autorisation)</w:t>
            </w:r>
          </w:p>
        </w:tc>
      </w:tr>
      <w:tr w:rsidR="00B82D23" w:rsidRPr="00512056" w:rsidTr="00DC2914">
        <w:tc>
          <w:tcPr>
            <w:tcW w:w="5000" w:type="pct"/>
            <w:gridSpan w:val="4"/>
          </w:tcPr>
          <w:p w:rsidR="00B82D23" w:rsidRPr="00DD7C7F" w:rsidRDefault="00DC2914" w:rsidP="00DC2914">
            <w:pPr>
              <w:jc w:val="both"/>
              <w:rPr>
                <w:sz w:val="20"/>
                <w:szCs w:val="20"/>
                <w:lang w:val="fr-CA"/>
              </w:rPr>
            </w:pPr>
            <w:r w:rsidRPr="00DD7C7F">
              <w:rPr>
                <w:sz w:val="20"/>
                <w:szCs w:val="20"/>
                <w:lang w:val="fr-CA"/>
              </w:rPr>
              <w:t>La demande d’autorisation d’appel de l’arrêt de la Cour d’appel fédérale, numéro A-270-20, 2022 FCA 12, daté du 25 janvier 2022, est rejetée avec dépens.</w:t>
            </w:r>
          </w:p>
          <w:p w:rsidR="00DC2914" w:rsidRPr="00DD7C7F" w:rsidRDefault="00DC2914"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i/>
                <w:sz w:val="20"/>
                <w:lang w:val="fr-CA"/>
              </w:rPr>
              <w:t xml:space="preserve">Charte des droits </w:t>
            </w:r>
            <w:r w:rsidRPr="00DD7C7F">
              <w:rPr>
                <w:sz w:val="20"/>
                <w:lang w:val="fr-CA"/>
              </w:rPr>
              <w:t xml:space="preserve">— Droit à l’égalité (art. 15) — Discrimination fondée sur l’état matrimonial — Droit administratif — Organismes et tribunaux administratifs — Tribunal de la sécurité sociale — Régime de pensions du Canada — Pension de survivant — La contestation, en vertu de la Charte, de dispositions législatives en matière de prestations de retraite est-elle assujettie à un critère plus exigeant? — Le régime de pensions du survivant prévu par le Régime de pensions du Canada viole-t-il le paragraphe 15(1) de la Charte du fait qu’il traite de façon discriminatoire les cotisants célibataires? — </w:t>
            </w:r>
            <w:r w:rsidRPr="00DD7C7F">
              <w:rPr>
                <w:i/>
                <w:sz w:val="20"/>
                <w:lang w:val="fr-CA"/>
              </w:rPr>
              <w:t>Régime de pensions du Canada</w:t>
            </w:r>
            <w:r w:rsidRPr="00DD7C7F">
              <w:rPr>
                <w:sz w:val="20"/>
                <w:lang w:val="fr-CA"/>
              </w:rPr>
              <w:t>, R.S.C. 1985, c. C-8.</w:t>
            </w:r>
          </w:p>
        </w:tc>
      </w:tr>
      <w:tr w:rsidR="00267836" w:rsidRPr="00512056" w:rsidTr="00DC2914">
        <w:tc>
          <w:tcPr>
            <w:tcW w:w="5000" w:type="pct"/>
            <w:gridSpan w:val="4"/>
          </w:tcPr>
          <w:p w:rsidR="00267836" w:rsidRPr="00DD7C7F" w:rsidRDefault="0026783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La requérante, M</w:t>
            </w:r>
            <w:r w:rsidRPr="00DD7C7F">
              <w:rPr>
                <w:sz w:val="20"/>
                <w:vertAlign w:val="superscript"/>
                <w:lang w:val="fr-CA"/>
              </w:rPr>
              <w:t>me</w:t>
            </w:r>
            <w:r w:rsidRPr="00DD7C7F">
              <w:rPr>
                <w:sz w:val="20"/>
                <w:lang w:val="fr-CA"/>
              </w:rPr>
              <w:t xml:space="preserve"> Reva Landau, touche une pension de retraite du </w:t>
            </w:r>
            <w:r w:rsidRPr="00DD7C7F">
              <w:rPr>
                <w:i/>
                <w:sz w:val="20"/>
                <w:lang w:val="fr-CA"/>
              </w:rPr>
              <w:t>Régime de pensions du Canada</w:t>
            </w:r>
            <w:r w:rsidRPr="00DD7C7F">
              <w:rPr>
                <w:sz w:val="20"/>
                <w:lang w:val="fr-CA"/>
              </w:rPr>
              <w:t xml:space="preserve"> (le Régime) depuis 2014.</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 xml:space="preserve">Elle n’a jamais été mariée et n’a jamais vécu en union de fait. Elle s’attend à ne jamais recevoir de pension de survivant — une prestation versée à une personne qui était mariée ou vivait en union de fait avec un cotisant au Régime au moment du décès du cotisant — en vertu du Régime et elle ne laissera pas non plus après son décès de conjoint qui aurait droit à une telle pension. </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M</w:t>
            </w:r>
            <w:r w:rsidRPr="00DD7C7F">
              <w:rPr>
                <w:sz w:val="20"/>
                <w:vertAlign w:val="superscript"/>
                <w:lang w:val="fr-CA"/>
              </w:rPr>
              <w:t>me</w:t>
            </w:r>
            <w:r w:rsidRPr="00DD7C7F">
              <w:rPr>
                <w:sz w:val="20"/>
                <w:lang w:val="fr-CA"/>
              </w:rPr>
              <w:t xml:space="preserve"> Landau a saisi la Cour supérieure de justice de l’Ontario d’une requête visant à déterminer si elle avait droit à des prestations bonifiées en vertu du Régime parce qu’elle a été victime de discrimination au sens du par. 15(1) de la </w:t>
            </w:r>
            <w:r w:rsidRPr="00DD7C7F">
              <w:rPr>
                <w:i/>
                <w:sz w:val="20"/>
                <w:lang w:val="fr-CA"/>
              </w:rPr>
              <w:t xml:space="preserve">Charte </w:t>
            </w:r>
            <w:r w:rsidRPr="00DD7C7F">
              <w:rPr>
                <w:sz w:val="20"/>
                <w:lang w:val="fr-CA"/>
              </w:rPr>
              <w:t>en raison de son état matrimonial. La Cour a jugé que la procédure appropriée en vertu du Régime consistait pour M</w:t>
            </w:r>
            <w:r w:rsidRPr="00DD7C7F">
              <w:rPr>
                <w:sz w:val="20"/>
                <w:vertAlign w:val="superscript"/>
                <w:lang w:val="fr-CA"/>
              </w:rPr>
              <w:t>me</w:t>
            </w:r>
            <w:r w:rsidRPr="00DD7C7F">
              <w:rPr>
                <w:sz w:val="20"/>
                <w:lang w:val="fr-CA"/>
              </w:rPr>
              <w:t> Landau à demander au ministre de l’Emploi et du Développement social de reconsidérer le montant de sa pension et d’interjeter appel auprès du Tribunal de la sécurité sociale (TSS) le cas échéant. La requête a été suspendue.</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M</w:t>
            </w:r>
            <w:r w:rsidRPr="00DD7C7F">
              <w:rPr>
                <w:sz w:val="20"/>
                <w:vertAlign w:val="superscript"/>
                <w:lang w:val="fr-CA"/>
              </w:rPr>
              <w:t>me</w:t>
            </w:r>
            <w:r w:rsidRPr="00DD7C7F">
              <w:rPr>
                <w:sz w:val="20"/>
                <w:lang w:val="fr-CA"/>
              </w:rPr>
              <w:t> Landau a demandé un réexamen; le ministre a estimé qu’elle touchait le bon montant de prestations de retraite. M</w:t>
            </w:r>
            <w:r w:rsidRPr="00DD7C7F">
              <w:rPr>
                <w:sz w:val="20"/>
                <w:vertAlign w:val="superscript"/>
                <w:lang w:val="fr-CA"/>
              </w:rPr>
              <w:t>me</w:t>
            </w:r>
            <w:r w:rsidRPr="00DD7C7F">
              <w:rPr>
                <w:sz w:val="20"/>
                <w:lang w:val="fr-CA"/>
              </w:rPr>
              <w:t> Landau a interjeté appel au TSS. La division générale du TSS a rejeté l’appel. La section d’appel a confirmé la décision de la division générale. La demande de contrôle judiciaire de la décision de la division d’appel présentée par M</w:t>
            </w:r>
            <w:r w:rsidRPr="00DD7C7F">
              <w:rPr>
                <w:sz w:val="20"/>
                <w:vertAlign w:val="superscript"/>
                <w:lang w:val="fr-CA"/>
              </w:rPr>
              <w:t>me</w:t>
            </w:r>
            <w:r w:rsidRPr="00DD7C7F">
              <w:rPr>
                <w:sz w:val="20"/>
                <w:lang w:val="fr-CA"/>
              </w:rPr>
              <w:t> Landau a été rejetée par la Cour d’appel fédérale.</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19 juin 2017</w:t>
            </w:r>
          </w:p>
          <w:p w:rsidR="00267836" w:rsidRPr="00DD7C7F" w:rsidRDefault="00267836" w:rsidP="00DC2914">
            <w:pPr>
              <w:jc w:val="both"/>
              <w:rPr>
                <w:sz w:val="20"/>
                <w:lang w:val="fr-CA"/>
              </w:rPr>
            </w:pPr>
            <w:r w:rsidRPr="00DD7C7F">
              <w:rPr>
                <w:sz w:val="20"/>
                <w:lang w:val="fr-CA"/>
              </w:rPr>
              <w:t xml:space="preserve">Ministre de l’Emploi et du Développement social </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 xml:space="preserve">Décision de réexamen confirmant que le montant de la pension de retraite de la requérante avait été correctement calculé. </w:t>
            </w:r>
          </w:p>
          <w:p w:rsidR="00267836" w:rsidRPr="00DD7C7F" w:rsidRDefault="00267836" w:rsidP="00DC2914">
            <w:pPr>
              <w:jc w:val="both"/>
              <w:rPr>
                <w:sz w:val="20"/>
                <w:lang w:val="fr-CA"/>
              </w:rPr>
            </w:pPr>
            <w:r w:rsidRPr="00DD7C7F">
              <w:rPr>
                <w:sz w:val="20"/>
                <w:lang w:val="fr-CA"/>
              </w:rPr>
              <w:t xml:space="preserve"> </w:t>
            </w:r>
          </w:p>
        </w:tc>
      </w:tr>
      <w:tr w:rsidR="00267836" w:rsidRPr="00DD7C7F" w:rsidTr="00DC2914">
        <w:tc>
          <w:tcPr>
            <w:tcW w:w="2427" w:type="pct"/>
            <w:gridSpan w:val="2"/>
          </w:tcPr>
          <w:p w:rsidR="00267836" w:rsidRPr="00DD7C7F" w:rsidRDefault="00267836" w:rsidP="00DC2914">
            <w:pPr>
              <w:jc w:val="both"/>
              <w:rPr>
                <w:sz w:val="20"/>
                <w:lang w:val="fr-CA"/>
              </w:rPr>
            </w:pPr>
            <w:r w:rsidRPr="00DD7C7F">
              <w:rPr>
                <w:sz w:val="20"/>
                <w:lang w:val="fr-CA"/>
              </w:rPr>
              <w:t>23 mars 2020</w:t>
            </w:r>
          </w:p>
          <w:p w:rsidR="00267836" w:rsidRPr="00DD7C7F" w:rsidRDefault="00267836" w:rsidP="00DC2914">
            <w:pPr>
              <w:jc w:val="both"/>
              <w:rPr>
                <w:sz w:val="20"/>
                <w:lang w:val="fr-CA"/>
              </w:rPr>
            </w:pPr>
            <w:r w:rsidRPr="00DD7C7F">
              <w:rPr>
                <w:sz w:val="20"/>
                <w:lang w:val="fr-CA"/>
              </w:rPr>
              <w:t xml:space="preserve">Tribunal de la sécurité sociale du Canada </w:t>
            </w:r>
          </w:p>
          <w:p w:rsidR="00267836" w:rsidRPr="00DD7C7F" w:rsidRDefault="00267836" w:rsidP="00DC2914">
            <w:pPr>
              <w:jc w:val="both"/>
              <w:rPr>
                <w:sz w:val="20"/>
                <w:lang w:val="fr-CA"/>
              </w:rPr>
            </w:pPr>
            <w:r w:rsidRPr="00DD7C7F">
              <w:rPr>
                <w:sz w:val="20"/>
                <w:lang w:val="fr-CA"/>
              </w:rPr>
              <w:t>Division générale, Section de la sécurité du revenu</w:t>
            </w:r>
          </w:p>
          <w:p w:rsidR="00267836" w:rsidRPr="00DD7C7F" w:rsidRDefault="00267836" w:rsidP="00DC2914">
            <w:pPr>
              <w:jc w:val="both"/>
              <w:rPr>
                <w:sz w:val="20"/>
                <w:lang w:val="fr-CA"/>
              </w:rPr>
            </w:pPr>
            <w:r w:rsidRPr="00DD7C7F">
              <w:rPr>
                <w:sz w:val="20"/>
                <w:lang w:val="fr-CA"/>
              </w:rPr>
              <w:t>(Raphaël)</w:t>
            </w:r>
          </w:p>
          <w:p w:rsidR="00267836" w:rsidRPr="00DD7C7F" w:rsidRDefault="00267836" w:rsidP="00DC2914">
            <w:pPr>
              <w:jc w:val="both"/>
              <w:rPr>
                <w:sz w:val="20"/>
                <w:lang w:val="fr-CA"/>
              </w:rPr>
            </w:pPr>
            <w:r w:rsidRPr="00DD7C7F">
              <w:rPr>
                <w:sz w:val="20"/>
                <w:lang w:val="fr-CA"/>
              </w:rPr>
              <w:t>GP-17-2176</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est rejeté.</w:t>
            </w:r>
          </w:p>
        </w:tc>
      </w:tr>
      <w:tr w:rsidR="00267836" w:rsidRPr="00DD7C7F" w:rsidTr="00DC2914">
        <w:tc>
          <w:tcPr>
            <w:tcW w:w="2427" w:type="pct"/>
            <w:gridSpan w:val="2"/>
          </w:tcPr>
          <w:p w:rsidR="00267836" w:rsidRPr="00DD7C7F" w:rsidRDefault="00267836" w:rsidP="00DC2914">
            <w:pPr>
              <w:jc w:val="both"/>
              <w:rPr>
                <w:sz w:val="20"/>
                <w:lang w:val="fr-CA"/>
              </w:rPr>
            </w:pPr>
            <w:r w:rsidRPr="00DD7C7F">
              <w:rPr>
                <w:sz w:val="20"/>
                <w:lang w:val="fr-CA"/>
              </w:rPr>
              <w:t>1</w:t>
            </w:r>
            <w:r w:rsidRPr="00DD7C7F">
              <w:rPr>
                <w:sz w:val="20"/>
                <w:vertAlign w:val="superscript"/>
                <w:lang w:val="fr-CA"/>
              </w:rPr>
              <w:t>er</w:t>
            </w:r>
            <w:r w:rsidRPr="00DD7C7F">
              <w:rPr>
                <w:sz w:val="20"/>
                <w:lang w:val="fr-CA"/>
              </w:rPr>
              <w:t xml:space="preserve"> octobre 2020</w:t>
            </w:r>
          </w:p>
          <w:p w:rsidR="00267836" w:rsidRPr="00DD7C7F" w:rsidRDefault="00267836" w:rsidP="00DC2914">
            <w:pPr>
              <w:jc w:val="both"/>
              <w:rPr>
                <w:sz w:val="20"/>
                <w:lang w:val="fr-CA"/>
              </w:rPr>
            </w:pPr>
            <w:r w:rsidRPr="00DD7C7F">
              <w:rPr>
                <w:sz w:val="20"/>
                <w:lang w:val="fr-CA"/>
              </w:rPr>
              <w:t>Tribunal de la sécurité sociale du Canada</w:t>
            </w:r>
          </w:p>
          <w:p w:rsidR="00267836" w:rsidRPr="00DD7C7F" w:rsidRDefault="00267836" w:rsidP="00DC2914">
            <w:pPr>
              <w:jc w:val="both"/>
              <w:rPr>
                <w:sz w:val="20"/>
                <w:lang w:val="fr-CA"/>
              </w:rPr>
            </w:pPr>
            <w:r w:rsidRPr="00DD7C7F">
              <w:rPr>
                <w:sz w:val="20"/>
                <w:lang w:val="fr-CA"/>
              </w:rPr>
              <w:t>Division d’appel</w:t>
            </w:r>
          </w:p>
          <w:p w:rsidR="00267836" w:rsidRPr="00DD7C7F" w:rsidRDefault="00267836" w:rsidP="00DC2914">
            <w:pPr>
              <w:jc w:val="both"/>
              <w:rPr>
                <w:sz w:val="20"/>
                <w:lang w:val="fr-CA"/>
              </w:rPr>
            </w:pPr>
            <w:r w:rsidRPr="00DD7C7F">
              <w:rPr>
                <w:sz w:val="20"/>
                <w:lang w:val="fr-CA"/>
              </w:rPr>
              <w:t>(Parker)</w:t>
            </w:r>
          </w:p>
          <w:p w:rsidR="00267836" w:rsidRPr="00DD7C7F" w:rsidRDefault="00267836" w:rsidP="00DC2914">
            <w:pPr>
              <w:jc w:val="both"/>
              <w:rPr>
                <w:sz w:val="20"/>
                <w:lang w:val="fr-CA"/>
              </w:rPr>
            </w:pPr>
            <w:r w:rsidRPr="00DD7C7F">
              <w:rPr>
                <w:sz w:val="20"/>
                <w:lang w:val="fr-CA"/>
              </w:rPr>
              <w:t>AD-20-658</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est rejeté.</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25 janvier 2022</w:t>
            </w:r>
          </w:p>
          <w:p w:rsidR="00267836" w:rsidRPr="00DD7C7F" w:rsidRDefault="00267836" w:rsidP="00DC2914">
            <w:pPr>
              <w:jc w:val="both"/>
              <w:rPr>
                <w:sz w:val="20"/>
                <w:lang w:val="fr-CA"/>
              </w:rPr>
            </w:pPr>
            <w:r w:rsidRPr="00DD7C7F">
              <w:rPr>
                <w:sz w:val="20"/>
                <w:lang w:val="fr-CA"/>
              </w:rPr>
              <w:t>Cour d’appel fédérale</w:t>
            </w:r>
          </w:p>
          <w:p w:rsidR="00267836" w:rsidRPr="00DD7C7F" w:rsidRDefault="00267836" w:rsidP="00DC2914">
            <w:pPr>
              <w:jc w:val="both"/>
              <w:rPr>
                <w:sz w:val="20"/>
                <w:lang w:val="fr-CA"/>
              </w:rPr>
            </w:pPr>
            <w:r w:rsidRPr="00DD7C7F">
              <w:rPr>
                <w:sz w:val="20"/>
                <w:lang w:val="fr-CA"/>
              </w:rPr>
              <w:t>(les juges Stratas, De Montigny et Laskin)</w:t>
            </w:r>
          </w:p>
          <w:p w:rsidR="00267836" w:rsidRPr="00DD7C7F" w:rsidRDefault="00512056" w:rsidP="00DC2914">
            <w:pPr>
              <w:jc w:val="both"/>
              <w:rPr>
                <w:sz w:val="20"/>
                <w:lang w:val="fr-CA"/>
              </w:rPr>
            </w:pPr>
            <w:hyperlink r:id="rId30" w:history="1">
              <w:r w:rsidR="00267836" w:rsidRPr="00DD7C7F">
                <w:rPr>
                  <w:rStyle w:val="Hyperlink"/>
                  <w:sz w:val="20"/>
                  <w:lang w:val="fr-CA"/>
                </w:rPr>
                <w:t>2022 FCA 12</w:t>
              </w:r>
            </w:hyperlink>
            <w:r w:rsidR="00267836" w:rsidRPr="00DD7C7F">
              <w:rPr>
                <w:sz w:val="20"/>
                <w:lang w:val="fr-CA"/>
              </w:rPr>
              <w:t>; A-270-20</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de contrôle judiciaire est rejetée.</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25 mars 2022</w:t>
            </w:r>
          </w:p>
          <w:p w:rsidR="00267836" w:rsidRPr="00DD7C7F" w:rsidRDefault="00267836" w:rsidP="00DC2914">
            <w:pPr>
              <w:jc w:val="both"/>
              <w:rPr>
                <w:sz w:val="20"/>
                <w:lang w:val="fr-CA"/>
              </w:rPr>
            </w:pPr>
            <w:r w:rsidRPr="00DD7C7F">
              <w:rPr>
                <w:sz w:val="20"/>
                <w:lang w:val="fr-CA"/>
              </w:rPr>
              <w:t>Cour suprême du Canada</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d’autorisation d’appel est présentée.</w:t>
            </w:r>
          </w:p>
          <w:p w:rsidR="00267836" w:rsidRPr="00DD7C7F" w:rsidRDefault="00267836" w:rsidP="00DC2914">
            <w:pPr>
              <w:jc w:val="both"/>
              <w:rPr>
                <w:sz w:val="20"/>
                <w:lang w:val="fr-CA"/>
              </w:rPr>
            </w:pPr>
          </w:p>
        </w:tc>
      </w:tr>
    </w:tbl>
    <w:p w:rsidR="00267836" w:rsidRPr="00DD7C7F" w:rsidRDefault="00267836" w:rsidP="00267836">
      <w:pPr>
        <w:jc w:val="both"/>
        <w:rPr>
          <w:sz w:val="20"/>
          <w:lang w:val="fr-CA"/>
        </w:rPr>
      </w:pPr>
    </w:p>
    <w:p w:rsidR="00267836" w:rsidRPr="00DD7C7F" w:rsidRDefault="00512056" w:rsidP="00267836">
      <w:pPr>
        <w:jc w:val="both"/>
        <w:rPr>
          <w:sz w:val="20"/>
          <w:lang w:val="fr-CA"/>
        </w:rPr>
      </w:pPr>
      <w:r>
        <w:rPr>
          <w:sz w:val="20"/>
        </w:rPr>
        <w:pict>
          <v:rect id="_x0000_i1056" style="width:2in;height:1pt" o:hrpct="0" o:hralign="center" o:hrstd="t" o:hrnoshade="t" o:hr="t" fillcolor="black [3213]" stroked="f"/>
        </w:pict>
      </w: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40297</w:t>
            </w:r>
          </w:p>
        </w:tc>
        <w:tc>
          <w:tcPr>
            <w:tcW w:w="4457" w:type="pct"/>
            <w:gridSpan w:val="3"/>
          </w:tcPr>
          <w:p w:rsidR="00267836" w:rsidRPr="00DD7C7F" w:rsidRDefault="00267836" w:rsidP="00DC2914">
            <w:pPr>
              <w:pStyle w:val="SCCLsocParty"/>
              <w:jc w:val="both"/>
              <w:rPr>
                <w:b/>
                <w:sz w:val="20"/>
                <w:szCs w:val="20"/>
                <w:lang w:val="en-US"/>
              </w:rPr>
            </w:pPr>
            <w:r w:rsidRPr="00DD7C7F">
              <w:rPr>
                <w:b/>
                <w:sz w:val="20"/>
                <w:szCs w:val="20"/>
                <w:lang w:val="en-US"/>
              </w:rPr>
              <w:t xml:space="preserve">Roger Poirier v. </w:t>
            </w:r>
            <w:r w:rsidR="00DC2914" w:rsidRPr="00DD7C7F">
              <w:rPr>
                <w:b/>
                <w:sz w:val="20"/>
                <w:szCs w:val="20"/>
                <w:lang w:val="en-US"/>
              </w:rPr>
              <w:t>Jeremy Logan, Hilary Goldstein, Jerry Friedberg, Morey Chaplick, M.C. Capital Corp. and Buchli Goldstein LLP</w:t>
            </w:r>
          </w:p>
          <w:p w:rsidR="00267836" w:rsidRPr="00DD7C7F" w:rsidRDefault="00267836" w:rsidP="00DC2914">
            <w:pPr>
              <w:jc w:val="both"/>
              <w:rPr>
                <w:sz w:val="20"/>
              </w:rPr>
            </w:pPr>
            <w:r w:rsidRPr="00DD7C7F">
              <w:rPr>
                <w:sz w:val="20"/>
              </w:rPr>
              <w:t>(Ont.) (Civil) (By Leave)</w:t>
            </w:r>
          </w:p>
        </w:tc>
      </w:tr>
      <w:tr w:rsidR="00B82D23" w:rsidRPr="00DD7C7F" w:rsidTr="00DC2914">
        <w:tc>
          <w:tcPr>
            <w:tcW w:w="5000" w:type="pct"/>
            <w:gridSpan w:val="4"/>
          </w:tcPr>
          <w:p w:rsidR="00DC2914" w:rsidRPr="00DD7C7F" w:rsidRDefault="00DC2914" w:rsidP="00DC2914">
            <w:pPr>
              <w:jc w:val="both"/>
              <w:rPr>
                <w:sz w:val="20"/>
                <w:szCs w:val="20"/>
              </w:rPr>
            </w:pPr>
            <w:r w:rsidRPr="00DD7C7F">
              <w:rPr>
                <w:sz w:val="20"/>
                <w:szCs w:val="20"/>
              </w:rPr>
              <w:t>The application for leave to appeal from the judgment of the Court of Appeal for Ontario, Number C69289, 2022 ONCA 350, dated May 4, 2022, is dismissed with costs to the respondents Hilary Goldstein and Buchli Goldstein LLP.</w:t>
            </w:r>
          </w:p>
          <w:p w:rsidR="00B82D23" w:rsidRPr="00DD7C7F" w:rsidRDefault="00B82D23"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Civil procedure — Abuse of process — Stay — Test for whether plaintiffs must immediately disclose settlement agreements to non-settling defendants — Should superior courts be denied the discretion to fashion their own remedy, and instead be compelled to stay proceedings, whenever a plaintiff fails to immediately disclose a settlement agreement to non-settling defendants?</w:t>
            </w:r>
          </w:p>
        </w:tc>
      </w:tr>
      <w:tr w:rsidR="00267836" w:rsidRPr="00DD7C7F" w:rsidTr="00DC2914">
        <w:tc>
          <w:tcPr>
            <w:tcW w:w="5000" w:type="pct"/>
            <w:gridSpan w:val="4"/>
          </w:tcPr>
          <w:p w:rsidR="00267836" w:rsidRPr="00DD7C7F" w:rsidRDefault="00267836" w:rsidP="00DC2914">
            <w:pPr>
              <w:jc w:val="both"/>
              <w:rPr>
                <w:sz w:val="20"/>
              </w:rPr>
            </w:pPr>
          </w:p>
          <w:p w:rsidR="00267836" w:rsidRPr="00DD7C7F" w:rsidRDefault="00267836" w:rsidP="00DC2914">
            <w:pPr>
              <w:jc w:val="both"/>
              <w:rPr>
                <w:sz w:val="20"/>
              </w:rPr>
            </w:pPr>
            <w:r w:rsidRPr="00DD7C7F">
              <w:rPr>
                <w:color w:val="000000"/>
                <w:sz w:val="20"/>
              </w:rPr>
              <w:t>Mr. Poirier commenced an action against several defendants. He entered into a settlement agreement with one of the defendants during discoveries. He did not disclose the settlement agreement to the other defendants until six months later. A motion judge stayed the proceedings because the settlement agreement had not been disclosed immediately. The Court of Appeal dismissed an appeal.</w:t>
            </w:r>
          </w:p>
        </w:tc>
      </w:tr>
      <w:tr w:rsidR="00267836" w:rsidRPr="00DD7C7F" w:rsidTr="00DC2914">
        <w:tc>
          <w:tcPr>
            <w:tcW w:w="5000" w:type="pct"/>
            <w:gridSpan w:val="4"/>
          </w:tcPr>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March 4, 2021</w:t>
            </w:r>
          </w:p>
          <w:p w:rsidR="00267836" w:rsidRPr="00DD7C7F" w:rsidRDefault="00267836" w:rsidP="00DC2914">
            <w:pPr>
              <w:jc w:val="both"/>
              <w:rPr>
                <w:sz w:val="20"/>
              </w:rPr>
            </w:pPr>
            <w:r w:rsidRPr="00DD7C7F">
              <w:rPr>
                <w:sz w:val="20"/>
              </w:rPr>
              <w:t>Ontario Superior Court of Justice</w:t>
            </w:r>
          </w:p>
          <w:p w:rsidR="00267836" w:rsidRPr="00DD7C7F" w:rsidRDefault="00267836" w:rsidP="00DC2914">
            <w:pPr>
              <w:jc w:val="both"/>
              <w:rPr>
                <w:sz w:val="20"/>
              </w:rPr>
            </w:pPr>
            <w:r w:rsidRPr="00DD7C7F">
              <w:rPr>
                <w:sz w:val="20"/>
              </w:rPr>
              <w:t>(Perell J.)</w:t>
            </w:r>
          </w:p>
          <w:p w:rsidR="00267836" w:rsidRPr="00DD7C7F" w:rsidRDefault="00512056" w:rsidP="00DC2914">
            <w:pPr>
              <w:jc w:val="both"/>
              <w:rPr>
                <w:sz w:val="20"/>
              </w:rPr>
            </w:pPr>
            <w:hyperlink r:id="rId31" w:history="1">
              <w:r w:rsidR="00267836" w:rsidRPr="00DD7C7F">
                <w:rPr>
                  <w:rStyle w:val="Hyperlink"/>
                  <w:rFonts w:eastAsiaTheme="majorEastAsia"/>
                  <w:sz w:val="20"/>
                </w:rPr>
                <w:t>2021 ONSC 1633</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Action stayed</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May 4, 2022</w:t>
            </w:r>
          </w:p>
          <w:p w:rsidR="00267836" w:rsidRPr="00DD7C7F" w:rsidRDefault="00267836" w:rsidP="00DC2914">
            <w:pPr>
              <w:jc w:val="both"/>
              <w:rPr>
                <w:sz w:val="20"/>
              </w:rPr>
            </w:pPr>
            <w:r w:rsidRPr="00DD7C7F">
              <w:rPr>
                <w:sz w:val="20"/>
              </w:rPr>
              <w:t>Court of Appeal for Ontario</w:t>
            </w:r>
          </w:p>
          <w:p w:rsidR="00267836" w:rsidRPr="00DD7C7F" w:rsidRDefault="00267836" w:rsidP="00DC2914">
            <w:pPr>
              <w:jc w:val="both"/>
              <w:rPr>
                <w:sz w:val="20"/>
              </w:rPr>
            </w:pPr>
            <w:r w:rsidRPr="00DD7C7F">
              <w:rPr>
                <w:sz w:val="20"/>
              </w:rPr>
              <w:t>(Pardu, Paciocco, Thorburn JJ.A.)</w:t>
            </w:r>
          </w:p>
          <w:p w:rsidR="00267836" w:rsidRPr="00DD7C7F" w:rsidRDefault="00512056" w:rsidP="00DC2914">
            <w:pPr>
              <w:jc w:val="both"/>
              <w:rPr>
                <w:sz w:val="20"/>
              </w:rPr>
            </w:pPr>
            <w:hyperlink r:id="rId32" w:history="1">
              <w:r w:rsidR="00267836" w:rsidRPr="00DD7C7F">
                <w:rPr>
                  <w:rStyle w:val="Hyperlink"/>
                  <w:rFonts w:eastAsiaTheme="majorEastAsia"/>
                  <w:sz w:val="20"/>
                </w:rPr>
                <w:t>2022 ONCA 350</w:t>
              </w:r>
            </w:hyperlink>
            <w:r w:rsidR="00267836" w:rsidRPr="00DD7C7F">
              <w:rPr>
                <w:sz w:val="20"/>
              </w:rPr>
              <w:t>; C69289</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dismissed</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August 3, 2022</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57"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67836" w:rsidRPr="00DD7C7F"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40297</w:t>
            </w:r>
          </w:p>
        </w:tc>
        <w:tc>
          <w:tcPr>
            <w:tcW w:w="4457" w:type="pct"/>
          </w:tcPr>
          <w:p w:rsidR="00267836" w:rsidRPr="00DD7C7F" w:rsidRDefault="00267836" w:rsidP="00DC2914">
            <w:pPr>
              <w:pStyle w:val="SCCLsocParty"/>
              <w:jc w:val="both"/>
              <w:rPr>
                <w:b/>
                <w:sz w:val="20"/>
                <w:szCs w:val="20"/>
                <w:lang w:val="en-US"/>
              </w:rPr>
            </w:pPr>
            <w:r w:rsidRPr="00DD7C7F">
              <w:rPr>
                <w:b/>
                <w:sz w:val="20"/>
                <w:szCs w:val="20"/>
                <w:lang w:val="en-US"/>
              </w:rPr>
              <w:t xml:space="preserve">Roger Poirier c. </w:t>
            </w:r>
            <w:r w:rsidR="00DC2914" w:rsidRPr="00DD7C7F">
              <w:rPr>
                <w:b/>
                <w:sz w:val="20"/>
                <w:szCs w:val="20"/>
                <w:lang w:val="en-US"/>
              </w:rPr>
              <w:t>Jeremy Logan, Hilary Goldstein, Jerry Friedberg, Morey Chaplick, M.C. Capital Corp. et Buchli Goldstein LLP</w:t>
            </w:r>
          </w:p>
          <w:p w:rsidR="00267836" w:rsidRPr="00DD7C7F" w:rsidRDefault="00267836" w:rsidP="00DC2914">
            <w:pPr>
              <w:jc w:val="both"/>
              <w:rPr>
                <w:sz w:val="20"/>
                <w:lang w:val="fr-CA"/>
              </w:rPr>
            </w:pPr>
            <w:r w:rsidRPr="00DD7C7F">
              <w:rPr>
                <w:sz w:val="20"/>
                <w:lang w:val="fr-CA"/>
              </w:rPr>
              <w:t>(Ont.) (Civile) (Sur autorisation)</w:t>
            </w:r>
          </w:p>
        </w:tc>
      </w:tr>
      <w:tr w:rsidR="00B82D23" w:rsidRPr="00512056" w:rsidTr="00DC2914">
        <w:tc>
          <w:tcPr>
            <w:tcW w:w="5000" w:type="pct"/>
            <w:gridSpan w:val="2"/>
          </w:tcPr>
          <w:p w:rsidR="00B82D23" w:rsidRPr="00DD7C7F" w:rsidRDefault="00DC2914" w:rsidP="00DC2914">
            <w:pPr>
              <w:jc w:val="both"/>
              <w:rPr>
                <w:sz w:val="20"/>
                <w:szCs w:val="20"/>
                <w:lang w:val="fr-CA"/>
              </w:rPr>
            </w:pPr>
            <w:r w:rsidRPr="00DD7C7F">
              <w:rPr>
                <w:sz w:val="20"/>
                <w:szCs w:val="20"/>
                <w:lang w:val="fr-CA"/>
              </w:rPr>
              <w:t xml:space="preserve">La demande d’autorisation d’appel de l’arrêt de la Cour d’appel de l’Ontario, numéro C69289, 2022 ONCA 350, daté du 4 mai 2022, est rejetée avec dépens </w:t>
            </w:r>
            <w:r w:rsidRPr="00DD7C7F">
              <w:rPr>
                <w:color w:val="000000"/>
                <w:sz w:val="20"/>
                <w:szCs w:val="20"/>
                <w:lang w:val="fr-CA"/>
              </w:rPr>
              <w:t>en faveur des intimés Hilary Goldstein et Buchli Goldstein LLP</w:t>
            </w:r>
            <w:r w:rsidRPr="00DD7C7F">
              <w:rPr>
                <w:sz w:val="20"/>
                <w:szCs w:val="20"/>
                <w:lang w:val="fr-CA"/>
              </w:rPr>
              <w:t>.</w:t>
            </w:r>
          </w:p>
          <w:p w:rsidR="00DC2914" w:rsidRPr="00DD7C7F" w:rsidRDefault="00DC2914" w:rsidP="00DC2914">
            <w:pPr>
              <w:jc w:val="both"/>
              <w:rPr>
                <w:sz w:val="20"/>
                <w:lang w:val="fr-CA"/>
              </w:rPr>
            </w:pPr>
          </w:p>
        </w:tc>
      </w:tr>
      <w:tr w:rsidR="00267836" w:rsidRPr="00512056" w:rsidTr="00DC2914">
        <w:tc>
          <w:tcPr>
            <w:tcW w:w="5000" w:type="pct"/>
            <w:gridSpan w:val="2"/>
          </w:tcPr>
          <w:p w:rsidR="00267836" w:rsidRPr="00DD7C7F" w:rsidRDefault="00267836" w:rsidP="00DC2914">
            <w:pPr>
              <w:jc w:val="both"/>
              <w:rPr>
                <w:sz w:val="20"/>
                <w:lang w:val="fr-CA"/>
              </w:rPr>
            </w:pPr>
            <w:r w:rsidRPr="00DD7C7F">
              <w:rPr>
                <w:sz w:val="20"/>
                <w:lang w:val="fr-CA"/>
              </w:rPr>
              <w:t>Procédure civile — Abus de procédure — Sursis — Critère permettant de déterminer si le demandeur doit divulguer immédiatement l’entente de règlement aux autres défendeurs non visés par l’entente — Devrait-on refuser aux cours supérieures le pouvoir discrétionnaire d’élaborer leur propre préparation et les obliger plutôt à suspendre l’instance lorsque le demandeur ne divulgue pas immédiatement l’entente de règlement aux défendeurs non visés par l’entente?</w:t>
            </w:r>
          </w:p>
        </w:tc>
      </w:tr>
      <w:tr w:rsidR="00267836" w:rsidRPr="00DD7C7F" w:rsidTr="00DC2914">
        <w:tc>
          <w:tcPr>
            <w:tcW w:w="5000" w:type="pct"/>
            <w:gridSpan w:val="2"/>
          </w:tcPr>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color w:val="000000"/>
                <w:sz w:val="20"/>
                <w:lang w:val="fr-CA"/>
              </w:rPr>
              <w:t>M. Poirier a intenté une action contre plusieurs défendeurs. Il a conclu une entente de règlement avec l’un des défendeurs lors de l’interrogatoire préalable. Il n’a divulgué l’entente de règlement aux autres défendeurs que six mois plus tard. Le juge saisi de la motion a suspendu l’action parce que l’entente de règlement n’avait pas été divulguée immédiatement. La Cour d’appel a rejeté l’appel de cette décision.</w:t>
            </w:r>
          </w:p>
        </w:tc>
      </w:tr>
      <w:tr w:rsidR="00267836" w:rsidRPr="00DD7C7F" w:rsidTr="00DC2914">
        <w:tc>
          <w:tcPr>
            <w:tcW w:w="5000" w:type="pct"/>
            <w:gridSpan w:val="2"/>
          </w:tcPr>
          <w:p w:rsidR="00267836" w:rsidRPr="00DD7C7F" w:rsidRDefault="00267836" w:rsidP="00DC2914">
            <w:pPr>
              <w:jc w:val="both"/>
              <w:rPr>
                <w:sz w:val="20"/>
                <w:lang w:val="fr-CA"/>
              </w:rPr>
            </w:pPr>
          </w:p>
        </w:tc>
      </w:tr>
    </w:tbl>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7836" w:rsidRPr="00DD7C7F" w:rsidTr="00DC2914">
        <w:tc>
          <w:tcPr>
            <w:tcW w:w="2427" w:type="pct"/>
          </w:tcPr>
          <w:p w:rsidR="00267836" w:rsidRPr="00DD7C7F" w:rsidRDefault="00267836" w:rsidP="00DC2914">
            <w:pPr>
              <w:jc w:val="both"/>
              <w:rPr>
                <w:sz w:val="20"/>
                <w:lang w:val="fr-CA"/>
              </w:rPr>
            </w:pPr>
            <w:r w:rsidRPr="00DD7C7F">
              <w:rPr>
                <w:sz w:val="20"/>
                <w:lang w:val="fr-CA"/>
              </w:rPr>
              <w:t>4 mars 2021</w:t>
            </w:r>
          </w:p>
          <w:p w:rsidR="00267836" w:rsidRPr="00DD7C7F" w:rsidRDefault="00267836" w:rsidP="00DC2914">
            <w:pPr>
              <w:jc w:val="both"/>
              <w:rPr>
                <w:sz w:val="20"/>
                <w:lang w:val="fr-CA"/>
              </w:rPr>
            </w:pPr>
            <w:r w:rsidRPr="00DD7C7F">
              <w:rPr>
                <w:sz w:val="20"/>
                <w:lang w:val="fr-CA"/>
              </w:rPr>
              <w:t xml:space="preserve">Cour supérieure de justice de l’Ontario </w:t>
            </w:r>
          </w:p>
          <w:p w:rsidR="00267836" w:rsidRPr="00DD7C7F" w:rsidRDefault="00267836" w:rsidP="00DC2914">
            <w:pPr>
              <w:jc w:val="both"/>
              <w:rPr>
                <w:sz w:val="20"/>
                <w:lang w:val="fr-CA"/>
              </w:rPr>
            </w:pPr>
            <w:r w:rsidRPr="00DD7C7F">
              <w:rPr>
                <w:sz w:val="20"/>
                <w:lang w:val="fr-CA"/>
              </w:rPr>
              <w:t>(le juge Perell)</w:t>
            </w:r>
          </w:p>
          <w:p w:rsidR="00267836" w:rsidRPr="00DD7C7F" w:rsidRDefault="00512056" w:rsidP="00DC2914">
            <w:pPr>
              <w:jc w:val="both"/>
              <w:rPr>
                <w:sz w:val="20"/>
                <w:lang w:val="fr-CA"/>
              </w:rPr>
            </w:pPr>
            <w:hyperlink r:id="rId33" w:history="1">
              <w:r w:rsidR="00267836" w:rsidRPr="00DD7C7F">
                <w:rPr>
                  <w:rStyle w:val="Hyperlink"/>
                  <w:rFonts w:eastAsiaTheme="majorEastAsia"/>
                  <w:sz w:val="20"/>
                  <w:lang w:val="fr-CA"/>
                </w:rPr>
                <w:t>2021 ONSC 1633</w:t>
              </w:r>
            </w:hyperlink>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L’action est suspendue.</w:t>
            </w:r>
          </w:p>
          <w:p w:rsidR="00267836" w:rsidRPr="00DD7C7F" w:rsidRDefault="00267836" w:rsidP="00DC2914">
            <w:pPr>
              <w:jc w:val="both"/>
              <w:rPr>
                <w:sz w:val="20"/>
                <w:lang w:val="fr-CA"/>
              </w:rPr>
            </w:pPr>
          </w:p>
        </w:tc>
      </w:tr>
      <w:tr w:rsidR="00267836" w:rsidRPr="00DD7C7F" w:rsidTr="00DC2914">
        <w:tc>
          <w:tcPr>
            <w:tcW w:w="2427" w:type="pct"/>
          </w:tcPr>
          <w:p w:rsidR="00267836" w:rsidRPr="00DD7C7F" w:rsidRDefault="00267836" w:rsidP="00DC2914">
            <w:pPr>
              <w:jc w:val="both"/>
              <w:rPr>
                <w:sz w:val="20"/>
                <w:lang w:val="fr-CA"/>
              </w:rPr>
            </w:pPr>
            <w:r w:rsidRPr="00DD7C7F">
              <w:rPr>
                <w:sz w:val="20"/>
                <w:lang w:val="fr-CA"/>
              </w:rPr>
              <w:t>4 mai 2022</w:t>
            </w:r>
          </w:p>
          <w:p w:rsidR="00267836" w:rsidRPr="00DD7C7F" w:rsidRDefault="00267836" w:rsidP="00DC2914">
            <w:pPr>
              <w:jc w:val="both"/>
              <w:rPr>
                <w:sz w:val="20"/>
                <w:lang w:val="fr-CA"/>
              </w:rPr>
            </w:pPr>
            <w:r w:rsidRPr="00DD7C7F">
              <w:rPr>
                <w:sz w:val="20"/>
                <w:lang w:val="fr-CA"/>
              </w:rPr>
              <w:t xml:space="preserve">Cour d’appel de l’Ontario </w:t>
            </w:r>
          </w:p>
          <w:p w:rsidR="00267836" w:rsidRPr="00DD7C7F" w:rsidRDefault="00267836" w:rsidP="00DC2914">
            <w:pPr>
              <w:jc w:val="both"/>
              <w:rPr>
                <w:sz w:val="20"/>
                <w:lang w:val="fr-CA"/>
              </w:rPr>
            </w:pPr>
            <w:r w:rsidRPr="00DD7C7F">
              <w:rPr>
                <w:sz w:val="20"/>
                <w:lang w:val="fr-CA"/>
              </w:rPr>
              <w:t>(les juges Pardu, Paciocco et Thorburn)</w:t>
            </w:r>
          </w:p>
          <w:p w:rsidR="00267836" w:rsidRPr="00DD7C7F" w:rsidRDefault="00512056" w:rsidP="00DC2914">
            <w:pPr>
              <w:jc w:val="both"/>
              <w:rPr>
                <w:sz w:val="20"/>
                <w:lang w:val="fr-CA"/>
              </w:rPr>
            </w:pPr>
            <w:hyperlink r:id="rId34" w:history="1">
              <w:r w:rsidR="00267836" w:rsidRPr="00DD7C7F">
                <w:rPr>
                  <w:rStyle w:val="Hyperlink"/>
                  <w:rFonts w:eastAsiaTheme="majorEastAsia"/>
                  <w:sz w:val="20"/>
                  <w:lang w:val="fr-CA"/>
                </w:rPr>
                <w:t>2022 ONCA 350</w:t>
              </w:r>
            </w:hyperlink>
            <w:r w:rsidR="00267836" w:rsidRPr="00DD7C7F">
              <w:rPr>
                <w:sz w:val="20"/>
                <w:lang w:val="fr-CA"/>
              </w:rPr>
              <w:t>; C69289</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est rejeté.</w:t>
            </w:r>
          </w:p>
          <w:p w:rsidR="00267836" w:rsidRPr="00DD7C7F" w:rsidRDefault="00267836" w:rsidP="00DC2914">
            <w:pPr>
              <w:jc w:val="both"/>
              <w:rPr>
                <w:sz w:val="20"/>
                <w:lang w:val="fr-CA"/>
              </w:rPr>
            </w:pPr>
          </w:p>
        </w:tc>
      </w:tr>
      <w:tr w:rsidR="00267836" w:rsidRPr="00512056" w:rsidTr="00DC2914">
        <w:tc>
          <w:tcPr>
            <w:tcW w:w="2427" w:type="pct"/>
          </w:tcPr>
          <w:p w:rsidR="00267836" w:rsidRPr="00DD7C7F" w:rsidRDefault="00267836" w:rsidP="00DC2914">
            <w:pPr>
              <w:jc w:val="both"/>
              <w:rPr>
                <w:sz w:val="20"/>
                <w:lang w:val="fr-CA"/>
              </w:rPr>
            </w:pPr>
            <w:r w:rsidRPr="00DD7C7F">
              <w:rPr>
                <w:sz w:val="20"/>
                <w:lang w:val="fr-CA"/>
              </w:rPr>
              <w:t>3 août 2022</w:t>
            </w:r>
          </w:p>
          <w:p w:rsidR="00267836" w:rsidRPr="00DD7C7F" w:rsidRDefault="00267836" w:rsidP="00DC2914">
            <w:pPr>
              <w:jc w:val="both"/>
              <w:rPr>
                <w:sz w:val="20"/>
                <w:lang w:val="fr-CA"/>
              </w:rPr>
            </w:pPr>
            <w:r w:rsidRPr="00DD7C7F">
              <w:rPr>
                <w:sz w:val="20"/>
                <w:lang w:val="fr-CA"/>
              </w:rPr>
              <w:t>Cour suprême du Canada</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d’autorisation d’appel est déposée.</w:t>
            </w:r>
          </w:p>
          <w:p w:rsidR="00267836" w:rsidRPr="00DD7C7F" w:rsidRDefault="00267836" w:rsidP="00DC2914">
            <w:pPr>
              <w:jc w:val="both"/>
              <w:rPr>
                <w:sz w:val="20"/>
                <w:lang w:val="fr-CA"/>
              </w:rPr>
            </w:pPr>
          </w:p>
        </w:tc>
      </w:tr>
    </w:tbl>
    <w:p w:rsidR="00267836" w:rsidRPr="00DD7C7F" w:rsidRDefault="00267836" w:rsidP="00267836">
      <w:pPr>
        <w:jc w:val="both"/>
        <w:rPr>
          <w:sz w:val="20"/>
          <w:lang w:val="fr-CA"/>
        </w:rPr>
      </w:pPr>
    </w:p>
    <w:p w:rsidR="00267836" w:rsidRPr="00DD7C7F" w:rsidRDefault="00512056" w:rsidP="00267836">
      <w:pPr>
        <w:widowControl w:val="0"/>
        <w:jc w:val="both"/>
        <w:rPr>
          <w:sz w:val="20"/>
          <w:lang w:val="fr-CA"/>
        </w:rPr>
      </w:pPr>
      <w:r>
        <w:rPr>
          <w:sz w:val="20"/>
        </w:rPr>
        <w:pict>
          <v:rect id="_x0000_i1058" style="width:2in;height:1pt" o:hrpct="0" o:hralign="center" o:hrstd="t" o:hrnoshade="t" o:hr="t" fillcolor="black [3213]" stroked="f"/>
        </w:pict>
      </w: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40140</w:t>
            </w:r>
          </w:p>
        </w:tc>
        <w:tc>
          <w:tcPr>
            <w:tcW w:w="4457" w:type="pct"/>
            <w:gridSpan w:val="3"/>
          </w:tcPr>
          <w:p w:rsidR="00267836" w:rsidRPr="00DD7C7F" w:rsidRDefault="00267836" w:rsidP="00DC2914">
            <w:pPr>
              <w:pStyle w:val="SCCLsocParty"/>
              <w:jc w:val="both"/>
              <w:rPr>
                <w:b/>
                <w:sz w:val="20"/>
                <w:szCs w:val="20"/>
                <w:lang w:val="en-US"/>
              </w:rPr>
            </w:pPr>
            <w:r w:rsidRPr="00DD7C7F">
              <w:rPr>
                <w:b/>
                <w:sz w:val="20"/>
                <w:szCs w:val="20"/>
                <w:lang w:val="en-US"/>
              </w:rPr>
              <w:t xml:space="preserve">G.S.R. Capital Group Inc. v. </w:t>
            </w:r>
            <w:r w:rsidR="00DC2914" w:rsidRPr="00DD7C7F">
              <w:rPr>
                <w:b/>
                <w:sz w:val="20"/>
                <w:szCs w:val="20"/>
                <w:lang w:val="en-US"/>
              </w:rPr>
              <w:t>City of White Rock and James Nyhus, in his capacity as Chief Building Official</w:t>
            </w:r>
          </w:p>
          <w:p w:rsidR="00267836" w:rsidRPr="00DD7C7F" w:rsidRDefault="00267836" w:rsidP="00DC2914">
            <w:pPr>
              <w:jc w:val="both"/>
              <w:rPr>
                <w:sz w:val="20"/>
              </w:rPr>
            </w:pPr>
            <w:r w:rsidRPr="00DD7C7F">
              <w:rPr>
                <w:sz w:val="20"/>
              </w:rPr>
              <w:t>(B.C.) (Civil) (By Leave)</w:t>
            </w:r>
          </w:p>
        </w:tc>
      </w:tr>
      <w:tr w:rsidR="00B82D23" w:rsidRPr="00DD7C7F" w:rsidTr="00DC2914">
        <w:tc>
          <w:tcPr>
            <w:tcW w:w="5000" w:type="pct"/>
            <w:gridSpan w:val="4"/>
          </w:tcPr>
          <w:p w:rsidR="00DC2914" w:rsidRPr="00DD7C7F" w:rsidRDefault="00DC2914" w:rsidP="00DC2914">
            <w:pPr>
              <w:jc w:val="both"/>
              <w:rPr>
                <w:sz w:val="20"/>
                <w:szCs w:val="20"/>
              </w:rPr>
            </w:pPr>
            <w:r w:rsidRPr="00DD7C7F">
              <w:rPr>
                <w:sz w:val="20"/>
                <w:szCs w:val="20"/>
              </w:rPr>
              <w:t>The application for leave to appeal from the judgment of the Court of Appeal for British Columbia (Vancouver), Number CA46914, 2022 BCCA 46, dated February 4, 2022, is dismissed with costs.</w:t>
            </w:r>
          </w:p>
          <w:p w:rsidR="00B82D23" w:rsidRPr="00DD7C7F" w:rsidRDefault="00B82D23"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Municipal law — Zoning — Permits — City issuing development permit to builder for proposed 12-storey residential building — Following election new city council downzoned property and refused to grant builder building permit for project — Builder bringing judicial review proceedings — Whether permit that statutorily binds municipality and permit holder creates a “vested right” that council cannot interfere with unilaterally unless statute clearly requires such construction — Whether existence of valid and binding permit establishing lawful non-conforming use if permittee has detrimentally changed its position in reliance on permit — </w:t>
            </w:r>
            <w:r w:rsidRPr="00DD7C7F">
              <w:rPr>
                <w:i/>
                <w:iCs/>
                <w:sz w:val="20"/>
              </w:rPr>
              <w:t>Local Government Act</w:t>
            </w:r>
            <w:r w:rsidRPr="00DD7C7F">
              <w:rPr>
                <w:sz w:val="20"/>
              </w:rPr>
              <w:t>, R.S.B.C. 2015, c. 1.</w:t>
            </w:r>
          </w:p>
        </w:tc>
      </w:tr>
      <w:tr w:rsidR="00267836" w:rsidRPr="00DD7C7F" w:rsidTr="00DC2914">
        <w:tc>
          <w:tcPr>
            <w:tcW w:w="5000" w:type="pct"/>
            <w:gridSpan w:val="4"/>
          </w:tcPr>
          <w:p w:rsidR="00267836" w:rsidRPr="00DD7C7F" w:rsidRDefault="00267836" w:rsidP="00DC2914">
            <w:pPr>
              <w:jc w:val="both"/>
              <w:rPr>
                <w:sz w:val="20"/>
              </w:rPr>
            </w:pPr>
          </w:p>
          <w:p w:rsidR="00267836" w:rsidRPr="00DD7C7F" w:rsidRDefault="00267836" w:rsidP="00DC2914">
            <w:pPr>
              <w:jc w:val="both"/>
              <w:rPr>
                <w:sz w:val="20"/>
              </w:rPr>
            </w:pPr>
            <w:r w:rsidRPr="00DD7C7F">
              <w:rPr>
                <w:sz w:val="20"/>
              </w:rPr>
              <w:t>The respondent City issued the applicant a development permit in respect of a proposed 12-storey residential building. Following a municipal election, however, the new city council downzoned the property, and the City thereafter refused to grant a building permit for the project.  The applicant brought judicial review proceedings to obtain relief that would allow it to proceed with construction of the planned building.</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On judicial review, the Supreme Court of British Columbia dismissed the petition. The Court of Appeal dismissed the appeal.</w:t>
            </w:r>
          </w:p>
        </w:tc>
      </w:tr>
      <w:tr w:rsidR="00267836" w:rsidRPr="00DD7C7F" w:rsidTr="00DC2914">
        <w:tc>
          <w:tcPr>
            <w:tcW w:w="5000" w:type="pct"/>
            <w:gridSpan w:val="4"/>
          </w:tcPr>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March 31, 2020</w:t>
            </w:r>
          </w:p>
          <w:p w:rsidR="00267836" w:rsidRPr="00DD7C7F" w:rsidRDefault="00267836" w:rsidP="00DC2914">
            <w:pPr>
              <w:jc w:val="both"/>
              <w:rPr>
                <w:sz w:val="20"/>
              </w:rPr>
            </w:pPr>
            <w:r w:rsidRPr="00DD7C7F">
              <w:rPr>
                <w:sz w:val="20"/>
              </w:rPr>
              <w:t>Supreme Court of British Columbia</w:t>
            </w:r>
          </w:p>
          <w:p w:rsidR="00267836" w:rsidRPr="00DD7C7F" w:rsidRDefault="00267836" w:rsidP="00DC2914">
            <w:pPr>
              <w:jc w:val="both"/>
              <w:rPr>
                <w:sz w:val="20"/>
              </w:rPr>
            </w:pPr>
            <w:r w:rsidRPr="00DD7C7F">
              <w:rPr>
                <w:sz w:val="20"/>
              </w:rPr>
              <w:t>(Forth J.)</w:t>
            </w:r>
          </w:p>
          <w:p w:rsidR="00267836" w:rsidRPr="00DD7C7F" w:rsidRDefault="00512056" w:rsidP="00DC2914">
            <w:pPr>
              <w:jc w:val="both"/>
              <w:rPr>
                <w:sz w:val="20"/>
              </w:rPr>
            </w:pPr>
            <w:hyperlink r:id="rId35" w:history="1">
              <w:r w:rsidR="00267836" w:rsidRPr="00DD7C7F">
                <w:rPr>
                  <w:rStyle w:val="Hyperlink"/>
                  <w:sz w:val="20"/>
                </w:rPr>
                <w:t>2020 BCSC 489</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Judicial review proceeding to obtain relief to allow builder to proceed with construction of planned building, dismissed.</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February 4, 2022</w:t>
            </w:r>
          </w:p>
          <w:p w:rsidR="00267836" w:rsidRPr="00DD7C7F" w:rsidRDefault="00267836" w:rsidP="00DC2914">
            <w:pPr>
              <w:jc w:val="both"/>
              <w:rPr>
                <w:sz w:val="20"/>
              </w:rPr>
            </w:pPr>
            <w:r w:rsidRPr="00DD7C7F">
              <w:rPr>
                <w:sz w:val="20"/>
              </w:rPr>
              <w:t xml:space="preserve">Court of Appeal for British Columbia </w:t>
            </w:r>
          </w:p>
          <w:p w:rsidR="00267836" w:rsidRPr="00DD7C7F" w:rsidRDefault="00267836" w:rsidP="00DC2914">
            <w:pPr>
              <w:jc w:val="both"/>
              <w:rPr>
                <w:sz w:val="20"/>
              </w:rPr>
            </w:pPr>
            <w:r w:rsidRPr="00DD7C7F">
              <w:rPr>
                <w:sz w:val="20"/>
              </w:rPr>
              <w:t>(Vancouver)</w:t>
            </w:r>
          </w:p>
          <w:p w:rsidR="00267836" w:rsidRPr="00DD7C7F" w:rsidRDefault="00267836" w:rsidP="00DC2914">
            <w:pPr>
              <w:jc w:val="both"/>
              <w:rPr>
                <w:sz w:val="20"/>
              </w:rPr>
            </w:pPr>
            <w:r w:rsidRPr="00DD7C7F">
              <w:rPr>
                <w:sz w:val="20"/>
              </w:rPr>
              <w:t xml:space="preserve">(Groberman, DeWitt-Van Oosten and Grauer </w:t>
            </w:r>
          </w:p>
          <w:p w:rsidR="00267836" w:rsidRPr="00DD7C7F" w:rsidRDefault="00267836" w:rsidP="00DC2914">
            <w:pPr>
              <w:jc w:val="both"/>
              <w:rPr>
                <w:sz w:val="20"/>
              </w:rPr>
            </w:pPr>
            <w:r w:rsidRPr="00DD7C7F">
              <w:rPr>
                <w:sz w:val="20"/>
              </w:rPr>
              <w:t>JJ.A.)</w:t>
            </w:r>
          </w:p>
          <w:p w:rsidR="00267836" w:rsidRPr="00DD7C7F" w:rsidRDefault="00512056" w:rsidP="00DC2914">
            <w:pPr>
              <w:jc w:val="both"/>
              <w:rPr>
                <w:sz w:val="20"/>
              </w:rPr>
            </w:pPr>
            <w:hyperlink r:id="rId36" w:history="1">
              <w:r w:rsidR="00267836" w:rsidRPr="00DD7C7F">
                <w:rPr>
                  <w:rStyle w:val="Hyperlink"/>
                  <w:sz w:val="20"/>
                </w:rPr>
                <w:t>2022 BCCA 46</w:t>
              </w:r>
            </w:hyperlink>
          </w:p>
          <w:p w:rsidR="00267836" w:rsidRPr="00DD7C7F" w:rsidRDefault="00267836" w:rsidP="00DC2914">
            <w:pPr>
              <w:jc w:val="both"/>
              <w:rPr>
                <w:sz w:val="20"/>
              </w:rPr>
            </w:pPr>
            <w:r w:rsidRPr="00DD7C7F">
              <w:rPr>
                <w:sz w:val="20"/>
              </w:rPr>
              <w:t>File No.: CA46914</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dismissed.</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April 5, 2022</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59"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512056"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40140</w:t>
            </w:r>
          </w:p>
        </w:tc>
        <w:tc>
          <w:tcPr>
            <w:tcW w:w="4457" w:type="pct"/>
            <w:gridSpan w:val="3"/>
          </w:tcPr>
          <w:p w:rsidR="00267836" w:rsidRPr="00DD7C7F" w:rsidRDefault="00267836" w:rsidP="00DC2914">
            <w:pPr>
              <w:pStyle w:val="SCCLsocParty"/>
              <w:jc w:val="both"/>
              <w:rPr>
                <w:b/>
                <w:sz w:val="20"/>
                <w:szCs w:val="20"/>
              </w:rPr>
            </w:pPr>
            <w:r w:rsidRPr="00DD7C7F">
              <w:rPr>
                <w:b/>
                <w:sz w:val="20"/>
                <w:szCs w:val="20"/>
              </w:rPr>
              <w:t xml:space="preserve">G.S.R. Capital Group Inc. c. </w:t>
            </w:r>
            <w:r w:rsidR="00DC2914" w:rsidRPr="00DD7C7F">
              <w:rPr>
                <w:b/>
                <w:sz w:val="20"/>
                <w:szCs w:val="20"/>
              </w:rPr>
              <w:t>City of White Rock et James Nyhus, en sa qualité de chef du service du bâtiment</w:t>
            </w:r>
          </w:p>
          <w:p w:rsidR="00267836" w:rsidRPr="00DD7C7F" w:rsidRDefault="00267836" w:rsidP="00DC2914">
            <w:pPr>
              <w:jc w:val="both"/>
              <w:rPr>
                <w:sz w:val="20"/>
                <w:lang w:val="fr-CA"/>
              </w:rPr>
            </w:pPr>
            <w:r w:rsidRPr="00DD7C7F">
              <w:rPr>
                <w:bCs/>
                <w:color w:val="000000"/>
                <w:sz w:val="20"/>
                <w:shd w:val="clear" w:color="auto" w:fill="FFFFFF"/>
                <w:lang w:val="fr-CA"/>
              </w:rPr>
              <w:t>(C.-B.) (Civile) (Sur autorisation)</w:t>
            </w:r>
            <w:r w:rsidRPr="00DD7C7F">
              <w:rPr>
                <w:sz w:val="20"/>
                <w:lang w:val="fr-CA"/>
              </w:rPr>
              <w:t xml:space="preserve"> </w:t>
            </w:r>
          </w:p>
        </w:tc>
      </w:tr>
      <w:tr w:rsidR="00B82D23" w:rsidRPr="00512056" w:rsidTr="00DC2914">
        <w:tc>
          <w:tcPr>
            <w:tcW w:w="5000" w:type="pct"/>
            <w:gridSpan w:val="4"/>
          </w:tcPr>
          <w:p w:rsidR="00B82D23" w:rsidRPr="00DD7C7F" w:rsidRDefault="00DC2914" w:rsidP="00DC2914">
            <w:pPr>
              <w:jc w:val="both"/>
              <w:rPr>
                <w:sz w:val="20"/>
                <w:szCs w:val="20"/>
                <w:lang w:val="fr-CA"/>
              </w:rPr>
            </w:pPr>
            <w:r w:rsidRPr="00DD7C7F">
              <w:rPr>
                <w:sz w:val="20"/>
                <w:szCs w:val="20"/>
                <w:lang w:val="fr-CA"/>
              </w:rPr>
              <w:t>La demande d’autorisation d’appel de l’arrêt de la Cour d’appel de la Colombie-Britannique (Vancouver), numéro CA46914, 2022 BCCA 46, daté du 4 février 2022, est rejetée avec dépens.</w:t>
            </w:r>
          </w:p>
          <w:p w:rsidR="00DC2914" w:rsidRPr="00DD7C7F" w:rsidRDefault="00DC2914"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 xml:space="preserve">Droit municipal — Zonage — Permis — La ville a délivré un permis d’aménagement à un constructeur pour un projet de construction d’un immeuble résidentiel de 12 étages — À la suite d’élections municipales, le nouveau conseil municipal a modifié le zonage et a refusé de délivrer un permis de construction au constructeur pour ce projet — Le constructeur a présenté une demande de contrôle judiciaire — Le permis qui lie la municipalité et le titulaire du permis en vertu de la loi crée-t-il un « droit acquis » que le conseil municipal ne peut modifier unilatéralement à moins que la loi ne l’exige clairement? — Le fait qu’un permis valide et exécutoire lui a été délivré confère-t-il au titulaire de ce permis le droit à un usage dérogatoire légal s’il a modifié sa position à son détriment sur la foi de ce permis? — </w:t>
            </w:r>
            <w:r w:rsidRPr="00DD7C7F">
              <w:rPr>
                <w:i/>
                <w:iCs/>
                <w:sz w:val="20"/>
                <w:lang w:val="fr-CA"/>
              </w:rPr>
              <w:t>Local Government Act</w:t>
            </w:r>
            <w:r w:rsidRPr="00DD7C7F">
              <w:rPr>
                <w:sz w:val="20"/>
                <w:lang w:val="fr-CA"/>
              </w:rPr>
              <w:t>, R.S.B.C. 2015, c. 1.</w:t>
            </w:r>
          </w:p>
        </w:tc>
      </w:tr>
      <w:tr w:rsidR="00267836" w:rsidRPr="00DD7C7F" w:rsidTr="00DC2914">
        <w:tc>
          <w:tcPr>
            <w:tcW w:w="5000" w:type="pct"/>
            <w:gridSpan w:val="4"/>
          </w:tcPr>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La ville intimée a délivré à la requérante un permis d’aménagement pour un projet de construction d’un immeuble résidentiel de 12 étages. À la suite d’élections municipales, le nouveau conseil municipal a modifié le zonage et la ville a par la suite refusé de délivrer un permis de construction pour ce projet. La requérante a présenté une demande de contrôle judiciaire en vue d’obtenir une réparation lui permettant de procéder à la construction de l’immeuble prévu.</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Saisie de la demande de contrôle judiciaire, la Cour suprême de la Colombie-Britannique a rejeté la requête. La Cour d’appel a rejeté l’appel.</w:t>
            </w:r>
          </w:p>
        </w:tc>
      </w:tr>
      <w:tr w:rsidR="00267836" w:rsidRPr="00DD7C7F" w:rsidTr="00DC2914">
        <w:tc>
          <w:tcPr>
            <w:tcW w:w="5000" w:type="pct"/>
            <w:gridSpan w:val="4"/>
          </w:tcPr>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31 mars 2020</w:t>
            </w:r>
          </w:p>
          <w:p w:rsidR="00267836" w:rsidRPr="00DD7C7F" w:rsidRDefault="00267836" w:rsidP="00DC2914">
            <w:pPr>
              <w:jc w:val="both"/>
              <w:rPr>
                <w:sz w:val="20"/>
                <w:lang w:val="fr-CA"/>
              </w:rPr>
            </w:pPr>
            <w:r w:rsidRPr="00DD7C7F">
              <w:rPr>
                <w:sz w:val="20"/>
                <w:lang w:val="fr-CA"/>
              </w:rPr>
              <w:t xml:space="preserve">Cour suprême de la Colombie-Britannique </w:t>
            </w:r>
          </w:p>
          <w:p w:rsidR="00267836" w:rsidRPr="00DD7C7F" w:rsidRDefault="00267836" w:rsidP="00DC2914">
            <w:pPr>
              <w:jc w:val="both"/>
              <w:rPr>
                <w:sz w:val="20"/>
                <w:lang w:val="fr-CA"/>
              </w:rPr>
            </w:pPr>
            <w:r w:rsidRPr="00DD7C7F">
              <w:rPr>
                <w:sz w:val="20"/>
                <w:lang w:val="fr-CA"/>
              </w:rPr>
              <w:t>(juge Forth)</w:t>
            </w:r>
          </w:p>
          <w:p w:rsidR="00267836" w:rsidRPr="00DD7C7F" w:rsidRDefault="00512056" w:rsidP="00DC2914">
            <w:pPr>
              <w:jc w:val="both"/>
              <w:rPr>
                <w:sz w:val="20"/>
                <w:lang w:val="fr-CA"/>
              </w:rPr>
            </w:pPr>
            <w:hyperlink r:id="rId37" w:history="1">
              <w:r w:rsidR="00267836" w:rsidRPr="00DD7C7F">
                <w:rPr>
                  <w:rStyle w:val="Hyperlink"/>
                  <w:sz w:val="20"/>
                  <w:lang w:val="fr-CA"/>
                </w:rPr>
                <w:t>2020 BCSC 489</w:t>
              </w:r>
            </w:hyperlink>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de contrôle judiciaire en vue d’obtenir une réparation permettant au constructeur de procéder à la construction de l’immeuble prévu est rejetée.</w:t>
            </w:r>
          </w:p>
          <w:p w:rsidR="00267836" w:rsidRPr="00DD7C7F" w:rsidRDefault="00267836" w:rsidP="00DC2914">
            <w:pPr>
              <w:jc w:val="both"/>
              <w:rPr>
                <w:sz w:val="20"/>
                <w:lang w:val="fr-CA"/>
              </w:rPr>
            </w:pPr>
          </w:p>
        </w:tc>
      </w:tr>
      <w:tr w:rsidR="00267836" w:rsidRPr="00DD7C7F" w:rsidTr="00DC2914">
        <w:tc>
          <w:tcPr>
            <w:tcW w:w="2427" w:type="pct"/>
            <w:gridSpan w:val="2"/>
          </w:tcPr>
          <w:p w:rsidR="00267836" w:rsidRPr="00DD7C7F" w:rsidRDefault="00267836" w:rsidP="00DC2914">
            <w:pPr>
              <w:jc w:val="both"/>
              <w:rPr>
                <w:sz w:val="20"/>
                <w:lang w:val="fr-CA"/>
              </w:rPr>
            </w:pPr>
            <w:r w:rsidRPr="00DD7C7F">
              <w:rPr>
                <w:sz w:val="20"/>
                <w:lang w:val="fr-CA"/>
              </w:rPr>
              <w:t>4 février 2022</w:t>
            </w:r>
          </w:p>
          <w:p w:rsidR="00267836" w:rsidRPr="00DD7C7F" w:rsidRDefault="00267836" w:rsidP="00DC2914">
            <w:pPr>
              <w:jc w:val="both"/>
              <w:rPr>
                <w:sz w:val="20"/>
                <w:lang w:val="fr-CA"/>
              </w:rPr>
            </w:pPr>
            <w:r w:rsidRPr="00DD7C7F">
              <w:rPr>
                <w:sz w:val="20"/>
                <w:lang w:val="fr-CA"/>
              </w:rPr>
              <w:t xml:space="preserve">Cour d’appel de la Colombie-Britannique </w:t>
            </w:r>
          </w:p>
          <w:p w:rsidR="00267836" w:rsidRPr="00DD7C7F" w:rsidRDefault="00267836" w:rsidP="00DC2914">
            <w:pPr>
              <w:jc w:val="both"/>
              <w:rPr>
                <w:sz w:val="20"/>
                <w:lang w:val="fr-CA"/>
              </w:rPr>
            </w:pPr>
            <w:r w:rsidRPr="00DD7C7F">
              <w:rPr>
                <w:sz w:val="20"/>
                <w:lang w:val="fr-CA"/>
              </w:rPr>
              <w:t>(Vancouver)</w:t>
            </w:r>
          </w:p>
          <w:p w:rsidR="00267836" w:rsidRPr="00DD7C7F" w:rsidRDefault="00267836" w:rsidP="00DC2914">
            <w:pPr>
              <w:jc w:val="both"/>
              <w:rPr>
                <w:sz w:val="20"/>
                <w:lang w:val="fr-CA"/>
              </w:rPr>
            </w:pPr>
            <w:r w:rsidRPr="00DD7C7F">
              <w:rPr>
                <w:sz w:val="20"/>
                <w:lang w:val="fr-CA"/>
              </w:rPr>
              <w:t>(juges Groberman, DeWitt-Van Oosten et Grauer)</w:t>
            </w:r>
          </w:p>
          <w:p w:rsidR="00267836" w:rsidRPr="00DD7C7F" w:rsidRDefault="00512056" w:rsidP="00DC2914">
            <w:pPr>
              <w:jc w:val="both"/>
              <w:rPr>
                <w:sz w:val="20"/>
                <w:lang w:val="fr-CA"/>
              </w:rPr>
            </w:pPr>
            <w:hyperlink r:id="rId38" w:history="1">
              <w:r w:rsidR="00267836" w:rsidRPr="00DD7C7F">
                <w:rPr>
                  <w:rStyle w:val="Hyperlink"/>
                  <w:sz w:val="20"/>
                  <w:lang w:val="fr-CA"/>
                </w:rPr>
                <w:t>2022 BCCA 46</w:t>
              </w:r>
            </w:hyperlink>
          </w:p>
          <w:p w:rsidR="00267836" w:rsidRPr="00DD7C7F" w:rsidRDefault="00267836" w:rsidP="00DC2914">
            <w:pPr>
              <w:jc w:val="both"/>
              <w:rPr>
                <w:sz w:val="20"/>
                <w:lang w:val="fr-CA"/>
              </w:rPr>
            </w:pPr>
            <w:r w:rsidRPr="00DD7C7F">
              <w:rPr>
                <w:sz w:val="20"/>
                <w:lang w:val="fr-CA"/>
              </w:rPr>
              <w:t>Dossier n</w:t>
            </w:r>
            <w:r w:rsidRPr="00DD7C7F">
              <w:rPr>
                <w:sz w:val="20"/>
                <w:vertAlign w:val="superscript"/>
                <w:lang w:val="fr-CA"/>
              </w:rPr>
              <w:t>o</w:t>
            </w:r>
            <w:r w:rsidRPr="00DD7C7F">
              <w:rPr>
                <w:sz w:val="20"/>
                <w:lang w:val="fr-CA"/>
              </w:rPr>
              <w:t xml:space="preserve"> CA46914</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est rejeté.</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5 avril 2022</w:t>
            </w:r>
          </w:p>
          <w:p w:rsidR="00267836" w:rsidRPr="00DD7C7F" w:rsidRDefault="00267836" w:rsidP="00DC2914">
            <w:pPr>
              <w:jc w:val="both"/>
              <w:rPr>
                <w:sz w:val="20"/>
                <w:lang w:val="fr-CA"/>
              </w:rPr>
            </w:pPr>
            <w:r w:rsidRPr="00DD7C7F">
              <w:rPr>
                <w:sz w:val="20"/>
                <w:lang w:val="fr-CA"/>
              </w:rPr>
              <w:t>Cour suprême du Canada</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d’autorisation d’appel est déposée.</w:t>
            </w:r>
          </w:p>
          <w:p w:rsidR="00267836" w:rsidRPr="00DD7C7F" w:rsidRDefault="00267836" w:rsidP="00DC2914">
            <w:pPr>
              <w:jc w:val="both"/>
              <w:rPr>
                <w:sz w:val="20"/>
                <w:lang w:val="fr-CA"/>
              </w:rPr>
            </w:pPr>
          </w:p>
        </w:tc>
      </w:tr>
    </w:tbl>
    <w:p w:rsidR="00267836" w:rsidRPr="00DD7C7F" w:rsidRDefault="00267836" w:rsidP="00267836">
      <w:pPr>
        <w:jc w:val="both"/>
        <w:rPr>
          <w:sz w:val="20"/>
          <w:lang w:val="fr-CA"/>
        </w:rPr>
      </w:pPr>
    </w:p>
    <w:p w:rsidR="00267836" w:rsidRPr="00DD7C7F" w:rsidRDefault="00512056" w:rsidP="00267836">
      <w:pPr>
        <w:jc w:val="both"/>
        <w:rPr>
          <w:sz w:val="20"/>
          <w:lang w:val="fr-CA"/>
        </w:rPr>
      </w:pPr>
      <w:r>
        <w:rPr>
          <w:sz w:val="20"/>
        </w:rPr>
        <w:pict>
          <v:rect id="_x0000_i1060" style="width:2in;height:1pt" o:hrpct="0" o:hralign="center" o:hrstd="t" o:hrnoshade="t" o:hr="t" fillcolor="black [3213]" stroked="f"/>
        </w:pict>
      </w: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40170</w:t>
            </w:r>
          </w:p>
        </w:tc>
        <w:tc>
          <w:tcPr>
            <w:tcW w:w="4457" w:type="pct"/>
          </w:tcPr>
          <w:p w:rsidR="00267836" w:rsidRPr="00DD7C7F" w:rsidRDefault="00267836" w:rsidP="00DC2914">
            <w:pPr>
              <w:pStyle w:val="SCCLsocParty"/>
              <w:jc w:val="both"/>
              <w:rPr>
                <w:b/>
                <w:sz w:val="20"/>
                <w:szCs w:val="20"/>
                <w:lang w:val="en-US"/>
              </w:rPr>
            </w:pPr>
            <w:r w:rsidRPr="00DD7C7F">
              <w:rPr>
                <w:b/>
                <w:sz w:val="20"/>
                <w:szCs w:val="20"/>
                <w:lang w:val="en-US"/>
              </w:rPr>
              <w:t xml:space="preserve">Albert Russell Weaver v. </w:t>
            </w:r>
            <w:r w:rsidR="00DC2914" w:rsidRPr="00DD7C7F">
              <w:rPr>
                <w:b/>
                <w:sz w:val="20"/>
                <w:szCs w:val="20"/>
                <w:lang w:val="en-US"/>
              </w:rPr>
              <w:t>Thomas Donald Ikaika Miller, Administrator of the Estate of Lani Jo Weaver, Deceased</w:t>
            </w:r>
          </w:p>
          <w:p w:rsidR="00267836" w:rsidRPr="00DD7C7F" w:rsidRDefault="00267836" w:rsidP="00DC2914">
            <w:pPr>
              <w:jc w:val="both"/>
              <w:rPr>
                <w:sz w:val="20"/>
              </w:rPr>
            </w:pPr>
            <w:r w:rsidRPr="00DD7C7F">
              <w:rPr>
                <w:sz w:val="20"/>
              </w:rPr>
              <w:t>(B.C.) (Civil) (By Leave)</w:t>
            </w:r>
          </w:p>
        </w:tc>
      </w:tr>
      <w:tr w:rsidR="00B82D23" w:rsidRPr="00DD7C7F" w:rsidTr="00DC2914">
        <w:tc>
          <w:tcPr>
            <w:tcW w:w="5000" w:type="pct"/>
            <w:gridSpan w:val="2"/>
          </w:tcPr>
          <w:p w:rsidR="00DC2914" w:rsidRPr="00DD7C7F" w:rsidRDefault="00DC2914" w:rsidP="00DC2914">
            <w:pPr>
              <w:jc w:val="both"/>
              <w:rPr>
                <w:sz w:val="20"/>
                <w:szCs w:val="20"/>
              </w:rPr>
            </w:pPr>
            <w:r w:rsidRPr="00DD7C7F">
              <w:rPr>
                <w:sz w:val="20"/>
                <w:szCs w:val="20"/>
              </w:rPr>
              <w:t>The application for leave to appeal from the judgment of the Court of Appeal for British Columbia (Vancouver), Number CA47507, 2022 BCCA 79, dated February 25, 2022, is dismissed with costs.</w:t>
            </w:r>
          </w:p>
          <w:p w:rsidR="00B82D23" w:rsidRPr="00DD7C7F" w:rsidRDefault="00B82D23" w:rsidP="00DC2914">
            <w:pPr>
              <w:jc w:val="both"/>
              <w:rPr>
                <w:sz w:val="20"/>
              </w:rPr>
            </w:pPr>
          </w:p>
        </w:tc>
      </w:tr>
    </w:tbl>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7836" w:rsidRPr="00DD7C7F" w:rsidTr="00DC2914">
        <w:tc>
          <w:tcPr>
            <w:tcW w:w="5000" w:type="pct"/>
            <w:gridSpan w:val="3"/>
          </w:tcPr>
          <w:p w:rsidR="00267836" w:rsidRPr="00DD7C7F" w:rsidRDefault="00267836" w:rsidP="00DC2914">
            <w:pPr>
              <w:jc w:val="both"/>
              <w:rPr>
                <w:sz w:val="20"/>
              </w:rPr>
            </w:pPr>
            <w:r w:rsidRPr="00DD7C7F">
              <w:rPr>
                <w:sz w:val="20"/>
              </w:rPr>
              <w:t xml:space="preserve">Family law — Family assets — Wills and estates — Administration of estates — Executors and administrators — Courts — Jurisdiction — Personal representative of deceased spouse commencing a claim for division of family assets against surviving spouse — Whether property division rights under the </w:t>
            </w:r>
            <w:r w:rsidRPr="00DD7C7F">
              <w:rPr>
                <w:i/>
                <w:sz w:val="20"/>
              </w:rPr>
              <w:t>Family Law Act</w:t>
            </w:r>
            <w:r w:rsidRPr="00DD7C7F">
              <w:rPr>
                <w:sz w:val="20"/>
              </w:rPr>
              <w:t xml:space="preserve">, S.B.C. 2011, c. 25 should be limited to living spouses and/or spouses who commence proceedings under the </w:t>
            </w:r>
            <w:r w:rsidRPr="00DD7C7F">
              <w:rPr>
                <w:i/>
                <w:sz w:val="20"/>
              </w:rPr>
              <w:t>FLA</w:t>
            </w:r>
            <w:r w:rsidRPr="00DD7C7F">
              <w:rPr>
                <w:sz w:val="20"/>
              </w:rPr>
              <w:t xml:space="preserve"> while alive — Whether personal representatives of deceased spouses should be entitled to bring proceedings against a surviving spouse for division of family property under the </w:t>
            </w:r>
            <w:r w:rsidRPr="00DD7C7F">
              <w:rPr>
                <w:i/>
                <w:sz w:val="20"/>
              </w:rPr>
              <w:t xml:space="preserve">FLA </w:t>
            </w:r>
            <w:r w:rsidRPr="00DD7C7F">
              <w:rPr>
                <w:sz w:val="20"/>
              </w:rPr>
              <w:t xml:space="preserve">pursuant to s. 150 of the </w:t>
            </w:r>
            <w:hyperlink r:id="rId39" w:history="1">
              <w:r w:rsidRPr="00DD7C7F">
                <w:rPr>
                  <w:rStyle w:val="Hyperlink"/>
                  <w:i/>
                  <w:iCs/>
                  <w:sz w:val="20"/>
                </w:rPr>
                <w:t>Wills, Estates and Succession Act</w:t>
              </w:r>
              <w:r w:rsidRPr="00DD7C7F">
                <w:rPr>
                  <w:rStyle w:val="Hyperlink"/>
                  <w:sz w:val="20"/>
                </w:rPr>
                <w:t>, S.B.C. 2009, c. 13</w:t>
              </w:r>
            </w:hyperlink>
            <w:r w:rsidRPr="00DD7C7F">
              <w:rPr>
                <w:sz w:val="20"/>
              </w:rPr>
              <w:t xml:space="preserve"> — Whether survivor legislation should prevail over the clear language of a statutory property division scheme or other statutes which create specific rights</w:t>
            </w:r>
          </w:p>
          <w:p w:rsidR="00267836" w:rsidRPr="00DD7C7F" w:rsidRDefault="00267836" w:rsidP="00DC2914">
            <w:pPr>
              <w:jc w:val="both"/>
              <w:rPr>
                <w:sz w:val="20"/>
              </w:rPr>
            </w:pPr>
          </w:p>
        </w:tc>
      </w:tr>
      <w:tr w:rsidR="00267836" w:rsidRPr="00DD7C7F" w:rsidTr="00DC2914">
        <w:tc>
          <w:tcPr>
            <w:tcW w:w="5000" w:type="pct"/>
            <w:gridSpan w:val="3"/>
          </w:tcPr>
          <w:p w:rsidR="00267836" w:rsidRPr="00DD7C7F" w:rsidRDefault="00267836" w:rsidP="00DC2914">
            <w:pPr>
              <w:jc w:val="both"/>
              <w:rPr>
                <w:sz w:val="20"/>
              </w:rPr>
            </w:pPr>
            <w:r w:rsidRPr="00DD7C7F">
              <w:rPr>
                <w:sz w:val="20"/>
              </w:rPr>
              <w:t xml:space="preserve">The applicant was married to Lani Jo Weaver on December 18, 1993. They separated in 2015, but did not divorce or otherwise enter into any agreements or commence any proceedings with respect to a division of family property and family debt. Ms. Weaver died on July 25, 2020. On November 19, 2020, the administrator of Ms. Weaver’s estate, Mr. Miller, filed a notice of family claim, seeking an order for an equal division of family property and family debt under the </w:t>
            </w:r>
            <w:r w:rsidRPr="00DD7C7F">
              <w:rPr>
                <w:i/>
                <w:sz w:val="20"/>
              </w:rPr>
              <w:t>FLA</w:t>
            </w:r>
            <w:r w:rsidRPr="00DD7C7F">
              <w:rPr>
                <w:sz w:val="20"/>
              </w:rPr>
              <w:t>.  He claimed an interest in three properties located in British Columbia, Washington State and Hawaii that were jointly held by the spouses. The applicant applied to strike, dismiss or stay the notice of family claim, on the basis that the court did not have jurisdiction and because Ms. Weaver was deceased at the time the claim was brought.</w:t>
            </w:r>
          </w:p>
        </w:tc>
      </w:tr>
      <w:tr w:rsidR="00267836" w:rsidRPr="00DD7C7F" w:rsidTr="00DC2914">
        <w:tc>
          <w:tcPr>
            <w:tcW w:w="5000" w:type="pct"/>
            <w:gridSpan w:val="3"/>
          </w:tcPr>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May 7, 2021</w:t>
            </w:r>
          </w:p>
          <w:p w:rsidR="00267836" w:rsidRPr="00DD7C7F" w:rsidRDefault="00267836" w:rsidP="00DC2914">
            <w:pPr>
              <w:jc w:val="both"/>
              <w:rPr>
                <w:sz w:val="20"/>
              </w:rPr>
            </w:pPr>
            <w:r w:rsidRPr="00DD7C7F">
              <w:rPr>
                <w:sz w:val="20"/>
              </w:rPr>
              <w:t>Supreme Court of British Columbia</w:t>
            </w:r>
          </w:p>
          <w:p w:rsidR="00267836" w:rsidRPr="00DD7C7F" w:rsidRDefault="00267836" w:rsidP="00DC2914">
            <w:pPr>
              <w:jc w:val="both"/>
              <w:rPr>
                <w:sz w:val="20"/>
              </w:rPr>
            </w:pPr>
            <w:r w:rsidRPr="00DD7C7F">
              <w:rPr>
                <w:sz w:val="20"/>
              </w:rPr>
              <w:t>(Wilkinson J.)</w:t>
            </w:r>
          </w:p>
          <w:p w:rsidR="00267836" w:rsidRPr="00DD7C7F" w:rsidRDefault="00512056" w:rsidP="00DC2914">
            <w:pPr>
              <w:jc w:val="both"/>
              <w:rPr>
                <w:sz w:val="20"/>
              </w:rPr>
            </w:pPr>
            <w:hyperlink r:id="rId40" w:history="1">
              <w:r w:rsidR="00267836" w:rsidRPr="00DD7C7F">
                <w:rPr>
                  <w:rStyle w:val="Hyperlink"/>
                  <w:sz w:val="20"/>
                </w:rPr>
                <w:t>2021 BCSC 881</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Applicant’s application to dismiss, strike or stay a family law claim dismissed</w:t>
            </w:r>
          </w:p>
          <w:p w:rsidR="00267836" w:rsidRPr="00DD7C7F" w:rsidRDefault="00267836" w:rsidP="00DC2914">
            <w:pPr>
              <w:jc w:val="both"/>
              <w:rPr>
                <w:sz w:val="20"/>
              </w:rPr>
            </w:pPr>
          </w:p>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February 25, 2022</w:t>
            </w:r>
          </w:p>
          <w:p w:rsidR="00267836" w:rsidRPr="00DD7C7F" w:rsidRDefault="00267836" w:rsidP="00DC2914">
            <w:pPr>
              <w:jc w:val="both"/>
              <w:rPr>
                <w:sz w:val="20"/>
              </w:rPr>
            </w:pPr>
            <w:r w:rsidRPr="00DD7C7F">
              <w:rPr>
                <w:sz w:val="20"/>
              </w:rPr>
              <w:t xml:space="preserve">Court of Appeal for British Columbia </w:t>
            </w:r>
          </w:p>
          <w:p w:rsidR="00267836" w:rsidRPr="00DD7C7F" w:rsidRDefault="00267836" w:rsidP="00DC2914">
            <w:pPr>
              <w:jc w:val="both"/>
              <w:rPr>
                <w:sz w:val="20"/>
              </w:rPr>
            </w:pPr>
            <w:r w:rsidRPr="00DD7C7F">
              <w:rPr>
                <w:sz w:val="20"/>
              </w:rPr>
              <w:t>(Vancouver)</w:t>
            </w:r>
          </w:p>
          <w:p w:rsidR="00267836" w:rsidRPr="00DD7C7F" w:rsidRDefault="00267836" w:rsidP="00DC2914">
            <w:pPr>
              <w:jc w:val="both"/>
              <w:rPr>
                <w:sz w:val="20"/>
              </w:rPr>
            </w:pPr>
            <w:r w:rsidRPr="00DD7C7F">
              <w:rPr>
                <w:sz w:val="20"/>
              </w:rPr>
              <w:t>(Frankel, DeWitt-Van Oosten and Voith JJ.A.)</w:t>
            </w:r>
          </w:p>
          <w:p w:rsidR="00267836" w:rsidRPr="00DD7C7F" w:rsidRDefault="00512056" w:rsidP="00DC2914">
            <w:pPr>
              <w:jc w:val="both"/>
              <w:rPr>
                <w:sz w:val="20"/>
              </w:rPr>
            </w:pPr>
            <w:hyperlink r:id="rId41" w:history="1">
              <w:r w:rsidR="00267836" w:rsidRPr="00DD7C7F">
                <w:rPr>
                  <w:rStyle w:val="Hyperlink"/>
                  <w:sz w:val="20"/>
                </w:rPr>
                <w:t>2022 BCCA 79</w:t>
              </w:r>
            </w:hyperlink>
          </w:p>
          <w:p w:rsidR="00267836" w:rsidRPr="00DD7C7F" w:rsidRDefault="00267836" w:rsidP="00DC2914">
            <w:pPr>
              <w:jc w:val="both"/>
              <w:rPr>
                <w:sz w:val="20"/>
              </w:rPr>
            </w:pPr>
            <w:r w:rsidRPr="00DD7C7F">
              <w:rPr>
                <w:sz w:val="20"/>
              </w:rPr>
              <w:t>Docket: CA47507</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Applicant’s appeal dismissed</w:t>
            </w:r>
          </w:p>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April 25, 2022</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61"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512056"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40170</w:t>
            </w:r>
          </w:p>
        </w:tc>
        <w:tc>
          <w:tcPr>
            <w:tcW w:w="4457" w:type="pct"/>
            <w:gridSpan w:val="3"/>
          </w:tcPr>
          <w:p w:rsidR="00267836" w:rsidRPr="00DD7C7F" w:rsidRDefault="00267836" w:rsidP="00DC2914">
            <w:pPr>
              <w:pStyle w:val="SCCLsocParty"/>
              <w:jc w:val="both"/>
              <w:rPr>
                <w:b/>
                <w:bCs/>
                <w:sz w:val="20"/>
                <w:szCs w:val="20"/>
              </w:rPr>
            </w:pPr>
            <w:r w:rsidRPr="00DD7C7F">
              <w:rPr>
                <w:b/>
                <w:sz w:val="20"/>
                <w:szCs w:val="20"/>
              </w:rPr>
              <w:t xml:space="preserve">Albert Russell Weaver c. </w:t>
            </w:r>
            <w:r w:rsidR="00821C06" w:rsidRPr="00DD7C7F">
              <w:rPr>
                <w:b/>
                <w:sz w:val="20"/>
                <w:szCs w:val="20"/>
              </w:rPr>
              <w:t>Thomas Donald Ikaika Miller, administrateur de la succession de feu Lani Jo Weaver</w:t>
            </w:r>
          </w:p>
          <w:p w:rsidR="00267836" w:rsidRPr="00DD7C7F" w:rsidRDefault="00267836" w:rsidP="00DC2914">
            <w:pPr>
              <w:jc w:val="both"/>
              <w:rPr>
                <w:sz w:val="20"/>
                <w:lang w:val="fr-CA"/>
              </w:rPr>
            </w:pPr>
            <w:r w:rsidRPr="00DD7C7F">
              <w:rPr>
                <w:bCs/>
                <w:sz w:val="20"/>
                <w:lang w:val="fr-CA"/>
              </w:rPr>
              <w:t>(</w:t>
            </w:r>
            <w:r w:rsidRPr="00DD7C7F">
              <w:rPr>
                <w:bCs/>
                <w:color w:val="000000"/>
                <w:sz w:val="20"/>
                <w:shd w:val="clear" w:color="auto" w:fill="FFFFFF"/>
                <w:lang w:val="fr-CA"/>
              </w:rPr>
              <w:t>C. –B.) (Civile) (Sur autorisation)</w:t>
            </w:r>
          </w:p>
        </w:tc>
      </w:tr>
      <w:tr w:rsidR="00B82D23" w:rsidRPr="00512056" w:rsidTr="00DC2914">
        <w:tc>
          <w:tcPr>
            <w:tcW w:w="5000" w:type="pct"/>
            <w:gridSpan w:val="4"/>
          </w:tcPr>
          <w:p w:rsidR="00B82D23" w:rsidRPr="00DD7C7F" w:rsidRDefault="00821C06" w:rsidP="00DC2914">
            <w:pPr>
              <w:jc w:val="both"/>
              <w:rPr>
                <w:sz w:val="20"/>
                <w:szCs w:val="20"/>
                <w:lang w:val="fr-CA"/>
              </w:rPr>
            </w:pPr>
            <w:r w:rsidRPr="00DD7C7F">
              <w:rPr>
                <w:sz w:val="20"/>
                <w:szCs w:val="20"/>
                <w:lang w:val="fr-CA"/>
              </w:rPr>
              <w:t>La demande d’autorisation d’appel de l’arrêt de la Cour d’appel de la Colombie-Britannique (Vancouver), numéro CA47507, 2022 BCCA 79, daté du 25 février 2022, est rejetée avec dépens.</w:t>
            </w:r>
          </w:p>
          <w:p w:rsidR="00821C06" w:rsidRPr="00DD7C7F" w:rsidRDefault="00821C0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 xml:space="preserve">Droit de la famille — Biens familiaux — Successions — Administration des successions — Exécuteurs et administrateurs — Tribunaux — Compétence — Demande de partage de l’actif familial présentée par le représentant successoral du conjoint décédé contre le conjoint survivant — Les droits en matière de partage des biens conférés par la </w:t>
            </w:r>
            <w:r w:rsidRPr="00DD7C7F">
              <w:rPr>
                <w:i/>
                <w:sz w:val="20"/>
                <w:lang w:val="fr-CA"/>
              </w:rPr>
              <w:t>Family Law Act</w:t>
            </w:r>
            <w:r w:rsidRPr="00DD7C7F">
              <w:rPr>
                <w:sz w:val="20"/>
                <w:lang w:val="fr-CA"/>
              </w:rPr>
              <w:t xml:space="preserve">, S.B.C. 2011, c. 25 ne devraient-ils être reconnus qu’aux conjoints vivants et/ou qu’aux conjoints ayant introduit une demande en vertu de la LFA du vivant de l’autre conjoint? — Le représentant successoral du conjoint décédé devrait-il être autorisé à introduire une instance contre le conjoint survivant en vue d’obtenir le partage de l’actif familial en vertu de la LFA conformément à l’art. 150 de la </w:t>
            </w:r>
            <w:hyperlink r:id="rId42" w:history="1">
              <w:r w:rsidRPr="00DD7C7F">
                <w:rPr>
                  <w:rStyle w:val="Hyperlink"/>
                  <w:i/>
                  <w:iCs/>
                  <w:sz w:val="20"/>
                  <w:lang w:val="fr-CA"/>
                </w:rPr>
                <w:t>Wills, Estates and Succession Act</w:t>
              </w:r>
              <w:r w:rsidRPr="00DD7C7F">
                <w:rPr>
                  <w:rStyle w:val="Hyperlink"/>
                  <w:sz w:val="20"/>
                  <w:lang w:val="fr-CA"/>
                </w:rPr>
                <w:t>, S.B.C. 2009, c. 13</w:t>
              </w:r>
            </w:hyperlink>
            <w:r w:rsidRPr="00DD7C7F">
              <w:rPr>
                <w:sz w:val="20"/>
                <w:lang w:val="fr-CA"/>
              </w:rPr>
              <w:t xml:space="preserve"> — Les dispositions législatives sur les conjoints survivants devraient-elles prévaloir sur le libellé clair d’un régime législatif de partage des biens ou sur d’autres lois créant des droits particuliers?</w:t>
            </w:r>
          </w:p>
          <w:p w:rsidR="00267836" w:rsidRPr="00DD7C7F" w:rsidRDefault="0026783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Le demandeur a épousé Lani Jo Weaver le 18 décembre 1993. Ils se sont séparés en 2015, mais n’ont pas divorcé, ni conclu d’autres ententes, ni entamé de procédures relativement au partage de l’actif ou du passif familial. M</w:t>
            </w:r>
            <w:r w:rsidRPr="00DD7C7F">
              <w:rPr>
                <w:sz w:val="20"/>
                <w:vertAlign w:val="superscript"/>
                <w:lang w:val="fr-CA"/>
              </w:rPr>
              <w:t>me </w:t>
            </w:r>
            <w:r w:rsidRPr="00DD7C7F">
              <w:rPr>
                <w:sz w:val="20"/>
                <w:lang w:val="fr-CA"/>
              </w:rPr>
              <w:t>Weaver est décédée le 25 juillet 2020. Le 19 novembre 2020, l’administrateur de la succession de M</w:t>
            </w:r>
            <w:r w:rsidRPr="00DD7C7F">
              <w:rPr>
                <w:sz w:val="20"/>
                <w:vertAlign w:val="superscript"/>
                <w:lang w:val="fr-CA"/>
              </w:rPr>
              <w:t>me </w:t>
            </w:r>
            <w:r w:rsidRPr="00DD7C7F">
              <w:rPr>
                <w:sz w:val="20"/>
                <w:lang w:val="fr-CA"/>
              </w:rPr>
              <w:t>Weaver, M. Miller, a déposé un avis de demande en matière familiale, dans laquelle il réclamait le partage égal de l’actif et du passif familial en vertu de la FLA. Il revendiquait un intérêt dans trois propriétés situées en Colombie-Britannique, dans l’État de Washington et à Hawaï qui étaient détenues conjointement par les conjoints. Le demandeur a sollicité l’annulation, le rejet ou la suspension de l’avis de demande en matière familiale au motif que le tribunal n’avait pas compétence et que M</w:t>
            </w:r>
            <w:r w:rsidRPr="00DD7C7F">
              <w:rPr>
                <w:sz w:val="20"/>
                <w:vertAlign w:val="superscript"/>
                <w:lang w:val="fr-CA"/>
              </w:rPr>
              <w:t>me </w:t>
            </w:r>
            <w:r w:rsidRPr="00DD7C7F">
              <w:rPr>
                <w:sz w:val="20"/>
                <w:lang w:val="fr-CA"/>
              </w:rPr>
              <w:t>Weaver était décédée au moment où la demande avait été présentée.</w:t>
            </w:r>
          </w:p>
        </w:tc>
      </w:tr>
      <w:tr w:rsidR="00267836" w:rsidRPr="00512056" w:rsidTr="00DC2914">
        <w:tc>
          <w:tcPr>
            <w:tcW w:w="5000" w:type="pct"/>
            <w:gridSpan w:val="4"/>
          </w:tcPr>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7 mai 2021</w:t>
            </w:r>
          </w:p>
          <w:p w:rsidR="00267836" w:rsidRPr="00DD7C7F" w:rsidRDefault="00267836" w:rsidP="00DC2914">
            <w:pPr>
              <w:jc w:val="both"/>
              <w:rPr>
                <w:sz w:val="20"/>
                <w:lang w:val="fr-CA"/>
              </w:rPr>
            </w:pPr>
            <w:r w:rsidRPr="00DD7C7F">
              <w:rPr>
                <w:sz w:val="20"/>
                <w:lang w:val="fr-CA"/>
              </w:rPr>
              <w:t xml:space="preserve">Cour suprême de la Colombie-Britannique </w:t>
            </w:r>
          </w:p>
          <w:p w:rsidR="00267836" w:rsidRPr="00DD7C7F" w:rsidRDefault="00267836" w:rsidP="00DC2914">
            <w:pPr>
              <w:jc w:val="both"/>
              <w:rPr>
                <w:sz w:val="20"/>
                <w:lang w:val="fr-CA"/>
              </w:rPr>
            </w:pPr>
            <w:r w:rsidRPr="00DD7C7F">
              <w:rPr>
                <w:sz w:val="20"/>
                <w:lang w:val="fr-CA"/>
              </w:rPr>
              <w:t>(juge Wilkinson)</w:t>
            </w:r>
          </w:p>
          <w:p w:rsidR="00267836" w:rsidRPr="00DD7C7F" w:rsidRDefault="00512056" w:rsidP="00DC2914">
            <w:pPr>
              <w:jc w:val="both"/>
              <w:rPr>
                <w:sz w:val="20"/>
                <w:lang w:val="fr-CA"/>
              </w:rPr>
            </w:pPr>
            <w:hyperlink r:id="rId43" w:history="1">
              <w:r w:rsidR="00267836" w:rsidRPr="00DD7C7F">
                <w:rPr>
                  <w:rStyle w:val="Hyperlink"/>
                  <w:sz w:val="20"/>
                  <w:lang w:val="fr-CA"/>
                </w:rPr>
                <w:t>2021 BCSC 881</w:t>
              </w:r>
            </w:hyperlink>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présentée par le demandeur en vue d’obtenir l’annulation, le rejet ou la suspension de la demande en matière familiale est rejetée</w:t>
            </w:r>
          </w:p>
          <w:p w:rsidR="00267836" w:rsidRPr="00DD7C7F" w:rsidRDefault="00267836" w:rsidP="00DC2914">
            <w:pPr>
              <w:jc w:val="both"/>
              <w:rPr>
                <w:sz w:val="20"/>
                <w:lang w:val="fr-CA"/>
              </w:rPr>
            </w:pPr>
          </w:p>
          <w:p w:rsidR="00267836" w:rsidRPr="00DD7C7F" w:rsidRDefault="00267836" w:rsidP="00DC2914">
            <w:pPr>
              <w:jc w:val="both"/>
              <w:rPr>
                <w:sz w:val="20"/>
                <w:lang w:val="fr-CA"/>
              </w:rPr>
            </w:pPr>
          </w:p>
        </w:tc>
      </w:tr>
      <w:tr w:rsidR="00267836" w:rsidRPr="00DD7C7F" w:rsidTr="00DC2914">
        <w:tc>
          <w:tcPr>
            <w:tcW w:w="2427" w:type="pct"/>
            <w:gridSpan w:val="2"/>
          </w:tcPr>
          <w:p w:rsidR="00267836" w:rsidRPr="00DD7C7F" w:rsidRDefault="00267836" w:rsidP="00DC2914">
            <w:pPr>
              <w:jc w:val="both"/>
              <w:rPr>
                <w:sz w:val="20"/>
                <w:lang w:val="fr-CA"/>
              </w:rPr>
            </w:pPr>
            <w:r w:rsidRPr="00DD7C7F">
              <w:rPr>
                <w:sz w:val="20"/>
                <w:lang w:val="fr-CA"/>
              </w:rPr>
              <w:t>25 février 2022</w:t>
            </w:r>
          </w:p>
          <w:p w:rsidR="00267836" w:rsidRPr="00DD7C7F" w:rsidRDefault="00267836" w:rsidP="00DC2914">
            <w:pPr>
              <w:jc w:val="both"/>
              <w:rPr>
                <w:sz w:val="20"/>
                <w:lang w:val="fr-CA"/>
              </w:rPr>
            </w:pPr>
            <w:r w:rsidRPr="00DD7C7F">
              <w:rPr>
                <w:sz w:val="20"/>
                <w:lang w:val="fr-CA"/>
              </w:rPr>
              <w:t xml:space="preserve">Cour d’appel de la Colombie-Britannique </w:t>
            </w:r>
          </w:p>
          <w:p w:rsidR="00267836" w:rsidRPr="00DD7C7F" w:rsidRDefault="00267836" w:rsidP="00DC2914">
            <w:pPr>
              <w:jc w:val="both"/>
              <w:rPr>
                <w:sz w:val="20"/>
                <w:lang w:val="fr-CA"/>
              </w:rPr>
            </w:pPr>
            <w:r w:rsidRPr="00DD7C7F">
              <w:rPr>
                <w:sz w:val="20"/>
                <w:lang w:val="fr-CA"/>
              </w:rPr>
              <w:t>(Vancouver)</w:t>
            </w:r>
          </w:p>
          <w:p w:rsidR="00267836" w:rsidRPr="00DD7C7F" w:rsidRDefault="00267836" w:rsidP="00DC2914">
            <w:pPr>
              <w:jc w:val="both"/>
              <w:rPr>
                <w:sz w:val="20"/>
                <w:lang w:val="fr-CA"/>
              </w:rPr>
            </w:pPr>
            <w:r w:rsidRPr="00DD7C7F">
              <w:rPr>
                <w:sz w:val="20"/>
                <w:lang w:val="fr-CA"/>
              </w:rPr>
              <w:t>(juges Frankel, DeWitt-Van Oosten et Voith)</w:t>
            </w:r>
          </w:p>
          <w:p w:rsidR="00267836" w:rsidRPr="00DD7C7F" w:rsidRDefault="00512056" w:rsidP="00DC2914">
            <w:pPr>
              <w:jc w:val="both"/>
              <w:rPr>
                <w:sz w:val="20"/>
                <w:lang w:val="fr-CA"/>
              </w:rPr>
            </w:pPr>
            <w:hyperlink r:id="rId44" w:history="1">
              <w:r w:rsidR="00267836" w:rsidRPr="00DD7C7F">
                <w:rPr>
                  <w:rStyle w:val="Hyperlink"/>
                  <w:sz w:val="20"/>
                  <w:lang w:val="fr-CA"/>
                </w:rPr>
                <w:t>2022 BCCA 79</w:t>
              </w:r>
            </w:hyperlink>
          </w:p>
          <w:p w:rsidR="00267836" w:rsidRPr="00DD7C7F" w:rsidRDefault="00267836" w:rsidP="00DC2914">
            <w:pPr>
              <w:jc w:val="both"/>
              <w:rPr>
                <w:sz w:val="20"/>
                <w:lang w:val="fr-CA"/>
              </w:rPr>
            </w:pPr>
            <w:r w:rsidRPr="00DD7C7F">
              <w:rPr>
                <w:sz w:val="20"/>
                <w:lang w:val="fr-CA"/>
              </w:rPr>
              <w:t>Dossier n</w:t>
            </w:r>
            <w:r w:rsidRPr="00DD7C7F">
              <w:rPr>
                <w:sz w:val="20"/>
                <w:vertAlign w:val="superscript"/>
                <w:lang w:val="fr-CA"/>
              </w:rPr>
              <w:t>o</w:t>
            </w:r>
            <w:r w:rsidRPr="00DD7C7F">
              <w:rPr>
                <w:sz w:val="20"/>
                <w:lang w:val="fr-CA"/>
              </w:rPr>
              <w:t> CA47507</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du demandeur est rejeté</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25 avril 2022</w:t>
            </w:r>
          </w:p>
          <w:p w:rsidR="00267836" w:rsidRPr="00DD7C7F" w:rsidRDefault="00267836" w:rsidP="00DC2914">
            <w:pPr>
              <w:jc w:val="both"/>
              <w:rPr>
                <w:sz w:val="20"/>
                <w:lang w:val="fr-CA"/>
              </w:rPr>
            </w:pPr>
            <w:r w:rsidRPr="00DD7C7F">
              <w:rPr>
                <w:sz w:val="20"/>
                <w:lang w:val="fr-CA"/>
              </w:rPr>
              <w:t>Cour suprême du Canada</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d’autorisation d’appel est déposée</w:t>
            </w:r>
          </w:p>
          <w:p w:rsidR="00267836" w:rsidRPr="00DD7C7F" w:rsidRDefault="00267836" w:rsidP="00DC2914">
            <w:pPr>
              <w:jc w:val="both"/>
              <w:rPr>
                <w:sz w:val="20"/>
                <w:lang w:val="fr-CA"/>
              </w:rPr>
            </w:pPr>
          </w:p>
        </w:tc>
      </w:tr>
    </w:tbl>
    <w:p w:rsidR="00267836" w:rsidRPr="00DD7C7F" w:rsidRDefault="00267836" w:rsidP="00267836">
      <w:pPr>
        <w:jc w:val="both"/>
        <w:rPr>
          <w:sz w:val="20"/>
          <w:lang w:val="fr-CA"/>
        </w:rPr>
      </w:pPr>
    </w:p>
    <w:p w:rsidR="00267836" w:rsidRPr="00DD7C7F" w:rsidRDefault="00512056" w:rsidP="00267836">
      <w:pPr>
        <w:jc w:val="both"/>
        <w:rPr>
          <w:sz w:val="20"/>
          <w:lang w:val="fr-CA"/>
        </w:rPr>
      </w:pPr>
      <w:r>
        <w:rPr>
          <w:sz w:val="20"/>
        </w:rPr>
        <w:pict>
          <v:rect id="_x0000_i1062" style="width:2in;height:1pt" o:hrpct="0" o:hralign="center" o:hrstd="t" o:hrnoshade="t" o:hr="t" fillcolor="black [3213]" stroked="f"/>
        </w:pict>
      </w: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40237</w:t>
            </w:r>
          </w:p>
        </w:tc>
        <w:tc>
          <w:tcPr>
            <w:tcW w:w="4457" w:type="pct"/>
            <w:gridSpan w:val="3"/>
          </w:tcPr>
          <w:p w:rsidR="00267836" w:rsidRPr="00DD7C7F" w:rsidRDefault="00267836" w:rsidP="00DC2914">
            <w:pPr>
              <w:pStyle w:val="SCCLsocParty"/>
              <w:jc w:val="both"/>
              <w:rPr>
                <w:b/>
                <w:sz w:val="20"/>
                <w:szCs w:val="20"/>
                <w:lang w:val="en-US"/>
              </w:rPr>
            </w:pPr>
            <w:r w:rsidRPr="00DD7C7F">
              <w:rPr>
                <w:b/>
                <w:sz w:val="20"/>
                <w:szCs w:val="20"/>
                <w:lang w:val="en-US"/>
              </w:rPr>
              <w:t>Arvind B. Sharma v. His Majesty the King in Right of Alberta</w:t>
            </w:r>
          </w:p>
          <w:p w:rsidR="00267836" w:rsidRPr="00DD7C7F" w:rsidRDefault="00267836" w:rsidP="00DC2914">
            <w:pPr>
              <w:jc w:val="both"/>
              <w:rPr>
                <w:sz w:val="20"/>
              </w:rPr>
            </w:pPr>
            <w:r w:rsidRPr="00DD7C7F">
              <w:rPr>
                <w:sz w:val="20"/>
              </w:rPr>
              <w:t>(Alta.) (Civil) (By Leave)</w:t>
            </w:r>
          </w:p>
        </w:tc>
      </w:tr>
      <w:tr w:rsidR="00B82D23" w:rsidRPr="00DD7C7F" w:rsidTr="00DC2914">
        <w:tc>
          <w:tcPr>
            <w:tcW w:w="5000" w:type="pct"/>
            <w:gridSpan w:val="4"/>
          </w:tcPr>
          <w:p w:rsidR="00821C06" w:rsidRPr="00DD7C7F" w:rsidRDefault="00821C06" w:rsidP="00821C06">
            <w:pPr>
              <w:jc w:val="both"/>
              <w:rPr>
                <w:sz w:val="20"/>
                <w:szCs w:val="20"/>
              </w:rPr>
            </w:pPr>
            <w:r w:rsidRPr="00DD7C7F">
              <w:rPr>
                <w:sz w:val="20"/>
                <w:szCs w:val="20"/>
              </w:rPr>
              <w:t>The application for leave to appeal from the judgment of the Court of Appeal of Alberta (Edmonton), Number 2203-0006AC, 2022 ABCA 113, dated March 28, 2022, is dismissed.</w:t>
            </w:r>
          </w:p>
          <w:p w:rsidR="00B82D23" w:rsidRPr="00DD7C7F" w:rsidRDefault="00B82D23"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Courts — Jurisdiction — Action for damages commenced in the Provincial Court — </w:t>
            </w:r>
            <w:r w:rsidRPr="00DD7C7F">
              <w:rPr>
                <w:color w:val="000000"/>
                <w:sz w:val="20"/>
              </w:rPr>
              <w:t xml:space="preserve">Court of Queen’s Bench dismissed the applicant’s appeal </w:t>
            </w:r>
            <w:r w:rsidRPr="00DD7C7F">
              <w:rPr>
                <w:sz w:val="20"/>
              </w:rPr>
              <w:t xml:space="preserve">— Court of Appeal dismissed the applicant’s </w:t>
            </w:r>
            <w:r w:rsidRPr="00DD7C7F">
              <w:rPr>
                <w:color w:val="000000"/>
                <w:sz w:val="20"/>
              </w:rPr>
              <w:t xml:space="preserve">application for permission to appeal </w:t>
            </w:r>
            <w:r w:rsidRPr="00DD7C7F">
              <w:rPr>
                <w:sz w:val="20"/>
              </w:rPr>
              <w:t xml:space="preserve">— Whether s. 53(2) of the </w:t>
            </w:r>
            <w:r w:rsidRPr="00DD7C7F">
              <w:rPr>
                <w:i/>
                <w:sz w:val="20"/>
              </w:rPr>
              <w:t>Provincial Court Act</w:t>
            </w:r>
            <w:r w:rsidRPr="00DD7C7F">
              <w:rPr>
                <w:sz w:val="20"/>
              </w:rPr>
              <w:t>, R.S.A. 2000, c. P-31 [the “</w:t>
            </w:r>
            <w:r w:rsidRPr="00DD7C7F">
              <w:rPr>
                <w:i/>
                <w:sz w:val="20"/>
              </w:rPr>
              <w:t>Act</w:t>
            </w:r>
            <w:r w:rsidRPr="00DD7C7F">
              <w:rPr>
                <w:sz w:val="20"/>
              </w:rPr>
              <w:t xml:space="preserve">”], which states that: “The decision of the Court of Queen’s Bench is final and cannot be further appealed” removes any and all appellate or review jurisdiction from the Alberta Court of Appeal regarding matters that originate from the Provincial Court of Alberta Civil jurisdiction, and are appealed to the Court of Queen’s Bench of Alberta and dismissed for want of jurisdiction under s. 48(1) of the </w:t>
            </w:r>
            <w:r w:rsidRPr="00DD7C7F">
              <w:rPr>
                <w:i/>
                <w:sz w:val="20"/>
              </w:rPr>
              <w:t>Act</w:t>
            </w:r>
            <w:r w:rsidRPr="00DD7C7F">
              <w:rPr>
                <w:sz w:val="20"/>
              </w:rPr>
              <w:t>?</w:t>
            </w:r>
          </w:p>
          <w:p w:rsidR="00267836" w:rsidRPr="00DD7C7F" w:rsidRDefault="00267836"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color w:val="000000"/>
                <w:sz w:val="20"/>
              </w:rPr>
              <w:t>Mr. Sharma commenced a claim in Provincial Court seeking compensation in the amount of $1500 for damage sustained to his car while in his work parking lot. The respondent brought an application for summary dismissal, which the Provincial Court judge granted. The Provincial Court judge also dismissed Mr. Sharma’s application for disclosure of surveillance videos of the parking lot held by the respondent. The Court of Queen’s Bench dismissed Mr. Sharma’s appeal from the Provincial Court. Mr. Sharma’s application for permission to appeal to the Court of Appeal was denied.</w:t>
            </w:r>
          </w:p>
        </w:tc>
      </w:tr>
      <w:tr w:rsidR="00267836" w:rsidRPr="00DD7C7F" w:rsidTr="00DC2914">
        <w:tc>
          <w:tcPr>
            <w:tcW w:w="5000" w:type="pct"/>
            <w:gridSpan w:val="4"/>
          </w:tcPr>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February 25, 2021</w:t>
            </w:r>
          </w:p>
          <w:p w:rsidR="00267836" w:rsidRPr="00DD7C7F" w:rsidRDefault="00267836" w:rsidP="00DC2914">
            <w:pPr>
              <w:jc w:val="both"/>
              <w:rPr>
                <w:sz w:val="20"/>
              </w:rPr>
            </w:pPr>
            <w:r w:rsidRPr="00DD7C7F">
              <w:rPr>
                <w:sz w:val="20"/>
              </w:rPr>
              <w:t>Provincial Court of Alberta</w:t>
            </w:r>
          </w:p>
          <w:p w:rsidR="00267836" w:rsidRPr="00DD7C7F" w:rsidRDefault="00267836" w:rsidP="00DC2914">
            <w:pPr>
              <w:jc w:val="both"/>
              <w:rPr>
                <w:sz w:val="20"/>
              </w:rPr>
            </w:pPr>
            <w:r w:rsidRPr="00DD7C7F">
              <w:rPr>
                <w:sz w:val="20"/>
              </w:rPr>
              <w:t>(Sharek P.C.J.)</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summary dismissal granted; applicant’s application for disclosure dismissed</w:t>
            </w:r>
          </w:p>
          <w:p w:rsidR="00267836" w:rsidRPr="00DD7C7F" w:rsidRDefault="00267836" w:rsidP="00DC2914">
            <w:pPr>
              <w:jc w:val="both"/>
              <w:rPr>
                <w:sz w:val="20"/>
              </w:rPr>
            </w:pPr>
          </w:p>
        </w:tc>
      </w:tr>
    </w:tbl>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7836" w:rsidRPr="00DD7C7F" w:rsidTr="00DC2914">
        <w:tc>
          <w:tcPr>
            <w:tcW w:w="2427" w:type="pct"/>
          </w:tcPr>
          <w:p w:rsidR="00267836" w:rsidRPr="00DD7C7F" w:rsidRDefault="00267836" w:rsidP="00DC2914">
            <w:pPr>
              <w:jc w:val="both"/>
              <w:rPr>
                <w:sz w:val="20"/>
              </w:rPr>
            </w:pPr>
            <w:r w:rsidRPr="00DD7C7F">
              <w:rPr>
                <w:sz w:val="20"/>
              </w:rPr>
              <w:t>December 9, 2021</w:t>
            </w:r>
          </w:p>
          <w:p w:rsidR="00267836" w:rsidRPr="00DD7C7F" w:rsidRDefault="00267836" w:rsidP="00DC2914">
            <w:pPr>
              <w:jc w:val="both"/>
              <w:rPr>
                <w:sz w:val="20"/>
              </w:rPr>
            </w:pPr>
            <w:r w:rsidRPr="00DD7C7F">
              <w:rPr>
                <w:sz w:val="20"/>
              </w:rPr>
              <w:t>Court of Queen’s Bench of Alberta</w:t>
            </w:r>
          </w:p>
          <w:p w:rsidR="00267836" w:rsidRPr="00DD7C7F" w:rsidRDefault="00267836" w:rsidP="00DC2914">
            <w:pPr>
              <w:jc w:val="both"/>
              <w:rPr>
                <w:sz w:val="20"/>
              </w:rPr>
            </w:pPr>
            <w:r w:rsidRPr="00DD7C7F">
              <w:rPr>
                <w:sz w:val="20"/>
              </w:rPr>
              <w:t>(Little J.)</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dismissed</w:t>
            </w:r>
          </w:p>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March 28, 2022</w:t>
            </w:r>
          </w:p>
          <w:p w:rsidR="00267836" w:rsidRPr="00DD7C7F" w:rsidRDefault="00267836" w:rsidP="00DC2914">
            <w:pPr>
              <w:jc w:val="both"/>
              <w:rPr>
                <w:sz w:val="20"/>
              </w:rPr>
            </w:pPr>
            <w:r w:rsidRPr="00DD7C7F">
              <w:rPr>
                <w:sz w:val="20"/>
              </w:rPr>
              <w:t>Court of Appeal of Alberta (Edmonton)</w:t>
            </w:r>
          </w:p>
          <w:p w:rsidR="00267836" w:rsidRPr="00DD7C7F" w:rsidRDefault="00267836" w:rsidP="00DC2914">
            <w:pPr>
              <w:jc w:val="both"/>
              <w:rPr>
                <w:sz w:val="20"/>
              </w:rPr>
            </w:pPr>
            <w:r w:rsidRPr="00DD7C7F">
              <w:rPr>
                <w:sz w:val="20"/>
              </w:rPr>
              <w:t xml:space="preserve">(Khullar J.A.) </w:t>
            </w:r>
          </w:p>
          <w:p w:rsidR="00267836" w:rsidRPr="00DD7C7F" w:rsidRDefault="00267836" w:rsidP="00DC2914">
            <w:pPr>
              <w:jc w:val="both"/>
              <w:rPr>
                <w:sz w:val="20"/>
              </w:rPr>
            </w:pPr>
            <w:r w:rsidRPr="00DD7C7F">
              <w:rPr>
                <w:sz w:val="20"/>
              </w:rPr>
              <w:t xml:space="preserve">2203-0006AC; </w:t>
            </w:r>
            <w:hyperlink r:id="rId45" w:history="1">
              <w:r w:rsidRPr="00DD7C7F">
                <w:rPr>
                  <w:rStyle w:val="Hyperlink"/>
                  <w:sz w:val="20"/>
                </w:rPr>
                <w:t>2022 ABCA 113</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permission to appeal denied</w:t>
            </w:r>
          </w:p>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May 13, 2022</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63"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40237</w:t>
            </w:r>
          </w:p>
        </w:tc>
        <w:tc>
          <w:tcPr>
            <w:tcW w:w="4457" w:type="pct"/>
            <w:gridSpan w:val="3"/>
          </w:tcPr>
          <w:p w:rsidR="00267836" w:rsidRPr="00DD7C7F" w:rsidRDefault="00267836" w:rsidP="00DC2914">
            <w:pPr>
              <w:pStyle w:val="SCCLsocParty"/>
              <w:jc w:val="both"/>
              <w:rPr>
                <w:b/>
                <w:sz w:val="20"/>
                <w:szCs w:val="20"/>
              </w:rPr>
            </w:pPr>
            <w:r w:rsidRPr="00DD7C7F">
              <w:rPr>
                <w:b/>
                <w:sz w:val="20"/>
                <w:szCs w:val="20"/>
              </w:rPr>
              <w:t>Arvind B. Sharma c. Sa Majesté le Roi du chef de l’Alberta</w:t>
            </w:r>
          </w:p>
          <w:p w:rsidR="00267836" w:rsidRPr="00DD7C7F" w:rsidRDefault="00267836" w:rsidP="00DC2914">
            <w:pPr>
              <w:jc w:val="both"/>
              <w:rPr>
                <w:sz w:val="20"/>
                <w:lang w:val="fr-CA"/>
              </w:rPr>
            </w:pPr>
            <w:r w:rsidRPr="00DD7C7F">
              <w:rPr>
                <w:sz w:val="20"/>
                <w:lang w:val="fr-CA"/>
              </w:rPr>
              <w:t>(Alberta) (Civile) (Sur autorisation)</w:t>
            </w:r>
          </w:p>
        </w:tc>
      </w:tr>
      <w:tr w:rsidR="00B82D23" w:rsidRPr="00512056" w:rsidTr="00DC2914">
        <w:tc>
          <w:tcPr>
            <w:tcW w:w="5000" w:type="pct"/>
            <w:gridSpan w:val="4"/>
          </w:tcPr>
          <w:p w:rsidR="00B82D23" w:rsidRPr="00DD7C7F" w:rsidRDefault="00821C06" w:rsidP="00DC2914">
            <w:pPr>
              <w:jc w:val="both"/>
              <w:rPr>
                <w:sz w:val="20"/>
                <w:szCs w:val="20"/>
                <w:lang w:val="fr-CA"/>
              </w:rPr>
            </w:pPr>
            <w:r w:rsidRPr="00DD7C7F">
              <w:rPr>
                <w:sz w:val="20"/>
                <w:szCs w:val="20"/>
                <w:lang w:val="fr-CA"/>
              </w:rPr>
              <w:t>La demande d’autorisation d’appel de l’arrêt de la Cour d’appel de l’Alberta (Edmonton), numéro 2203-0006AC, 2022 ABCA 113,  daté du 28 mars 2022, est rejetée.</w:t>
            </w:r>
          </w:p>
          <w:p w:rsidR="00821C06" w:rsidRPr="00DD7C7F" w:rsidRDefault="00821C0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 xml:space="preserve">Tribunaux — Compétence — Action en dommages-intérêts introduite devant la Cour provinciale — La Cour du Banc de la Reine a rejeté l’appel du demandeur — La Cour d’appel a rejeté la demande d’autorisation d’appel du demandeur — Le paragraphe 53(2) de la </w:t>
            </w:r>
            <w:r w:rsidRPr="00DD7C7F">
              <w:rPr>
                <w:i/>
                <w:sz w:val="20"/>
                <w:lang w:val="fr-CA"/>
              </w:rPr>
              <w:t>Provincial Court Act</w:t>
            </w:r>
            <w:r w:rsidRPr="00DD7C7F">
              <w:rPr>
                <w:sz w:val="20"/>
                <w:lang w:val="fr-CA"/>
              </w:rPr>
              <w:t>, R.S.A. 2000, c. P-31 (Loi), qui dispose que [</w:t>
            </w:r>
            <w:r w:rsidRPr="00DD7C7F">
              <w:rPr>
                <w:smallCaps/>
                <w:sz w:val="20"/>
                <w:lang w:val="fr-CA"/>
              </w:rPr>
              <w:t>traduction</w:t>
            </w:r>
            <w:r w:rsidRPr="00DD7C7F">
              <w:rPr>
                <w:sz w:val="20"/>
                <w:lang w:val="fr-CA"/>
              </w:rPr>
              <w:t>] « la décision de la Cour du Banc de la Reine est définitive et sans appel », a-t-il pour effet de retirer à la Cour d’appel de l’Alberta toute compétence en matière d’appel ou de contrôle sur les affaires qui relèvent de la compétence civile de la Cour provinciale de l’Alberta et qui font l’objet d’un appel devant la Cour du Banc du la Reine de l’Alberta et sont rejetées pour défaut de compétence en vertu du par. 48(1) de la Loi?</w:t>
            </w:r>
          </w:p>
          <w:p w:rsidR="00267836" w:rsidRPr="00DD7C7F" w:rsidRDefault="0026783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color w:val="000000"/>
                <w:sz w:val="20"/>
                <w:lang w:val="fr-CA"/>
              </w:rPr>
              <w:t>Monsieur Sharma a introduit une demande devant la Cour provinciale en vue d’obtenir une indemnisation de 1 500 $ pour les dommages subis par sa voiture alors qu’elle se trouvait dans le stationnement de son lieu de travail. L’intimée a présenté une requête en rejet sommaire qui a été accueillie par un juge de la Cour provinciale. Le juge de la Cour provinciale a également rejeté la demande de M. Sharma visant à obtenir la communication des vidéos de surveillance du parc de stationnement détenues par l’intimée. La Cour du Banc de la Reine a rejeté l’appel interjeté par M. Sharma de la décision de la Cour provinciale. La demande d’autorisation d’appel de M. Sharma auprès de la Cour d’appel a été rejetée.</w:t>
            </w:r>
          </w:p>
        </w:tc>
      </w:tr>
      <w:tr w:rsidR="00267836" w:rsidRPr="00512056" w:rsidTr="00DC2914">
        <w:tc>
          <w:tcPr>
            <w:tcW w:w="5000" w:type="pct"/>
            <w:gridSpan w:val="4"/>
          </w:tcPr>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25 février 2021</w:t>
            </w:r>
          </w:p>
          <w:p w:rsidR="00267836" w:rsidRPr="00DD7C7F" w:rsidRDefault="00267836" w:rsidP="00DC2914">
            <w:pPr>
              <w:jc w:val="both"/>
              <w:rPr>
                <w:sz w:val="20"/>
                <w:lang w:val="fr-CA"/>
              </w:rPr>
            </w:pPr>
            <w:r w:rsidRPr="00DD7C7F">
              <w:rPr>
                <w:sz w:val="20"/>
                <w:lang w:val="fr-CA"/>
              </w:rPr>
              <w:t>Cour provinciale de l’Alberta</w:t>
            </w:r>
          </w:p>
          <w:p w:rsidR="00267836" w:rsidRPr="00DD7C7F" w:rsidRDefault="00267836" w:rsidP="00DC2914">
            <w:pPr>
              <w:jc w:val="both"/>
              <w:rPr>
                <w:sz w:val="20"/>
                <w:lang w:val="fr-CA"/>
              </w:rPr>
            </w:pPr>
            <w:r w:rsidRPr="00DD7C7F">
              <w:rPr>
                <w:sz w:val="20"/>
                <w:lang w:val="fr-CA"/>
              </w:rPr>
              <w:t>(juge Sharek)</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requête en rejet sommaire est accueillie; la demande de divulgation présentée par le demandeur est rejetée</w:t>
            </w:r>
          </w:p>
          <w:p w:rsidR="00267836" w:rsidRPr="00DD7C7F" w:rsidRDefault="00267836" w:rsidP="00DC2914">
            <w:pPr>
              <w:jc w:val="both"/>
              <w:rPr>
                <w:sz w:val="20"/>
                <w:lang w:val="fr-CA"/>
              </w:rPr>
            </w:pPr>
          </w:p>
        </w:tc>
      </w:tr>
      <w:tr w:rsidR="00267836" w:rsidRPr="00DD7C7F" w:rsidTr="00DC2914">
        <w:tc>
          <w:tcPr>
            <w:tcW w:w="2427" w:type="pct"/>
            <w:gridSpan w:val="2"/>
          </w:tcPr>
          <w:p w:rsidR="00267836" w:rsidRPr="00DD7C7F" w:rsidRDefault="00267836" w:rsidP="00DC2914">
            <w:pPr>
              <w:jc w:val="both"/>
              <w:rPr>
                <w:sz w:val="20"/>
                <w:lang w:val="fr-CA"/>
              </w:rPr>
            </w:pPr>
            <w:r w:rsidRPr="00DD7C7F">
              <w:rPr>
                <w:sz w:val="20"/>
                <w:lang w:val="fr-CA"/>
              </w:rPr>
              <w:t>9 décembre 2021</w:t>
            </w:r>
          </w:p>
          <w:p w:rsidR="00267836" w:rsidRPr="00DD7C7F" w:rsidRDefault="00267836" w:rsidP="00DC2914">
            <w:pPr>
              <w:jc w:val="both"/>
              <w:rPr>
                <w:sz w:val="20"/>
                <w:lang w:val="fr-CA"/>
              </w:rPr>
            </w:pPr>
            <w:r w:rsidRPr="00DD7C7F">
              <w:rPr>
                <w:sz w:val="20"/>
                <w:lang w:val="fr-CA"/>
              </w:rPr>
              <w:t>Cour du Banc de la Reine de l’Alberta</w:t>
            </w:r>
          </w:p>
          <w:p w:rsidR="00267836" w:rsidRPr="00DD7C7F" w:rsidRDefault="00267836" w:rsidP="00DC2914">
            <w:pPr>
              <w:jc w:val="both"/>
              <w:rPr>
                <w:sz w:val="20"/>
                <w:lang w:val="fr-CA"/>
              </w:rPr>
            </w:pPr>
            <w:r w:rsidRPr="00DD7C7F">
              <w:rPr>
                <w:sz w:val="20"/>
                <w:lang w:val="fr-CA"/>
              </w:rPr>
              <w:t>(juge Little)</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est rejeté</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28 mars 2022</w:t>
            </w:r>
          </w:p>
          <w:p w:rsidR="00267836" w:rsidRPr="00DD7C7F" w:rsidRDefault="00267836" w:rsidP="00DC2914">
            <w:pPr>
              <w:jc w:val="both"/>
              <w:rPr>
                <w:sz w:val="20"/>
                <w:lang w:val="fr-CA"/>
              </w:rPr>
            </w:pPr>
            <w:r w:rsidRPr="00DD7C7F">
              <w:rPr>
                <w:sz w:val="20"/>
                <w:lang w:val="fr-CA"/>
              </w:rPr>
              <w:t>Cour d’appel de l’Alberta (Edmonton)</w:t>
            </w:r>
          </w:p>
          <w:p w:rsidR="00267836" w:rsidRPr="00DD7C7F" w:rsidRDefault="00267836" w:rsidP="00DC2914">
            <w:pPr>
              <w:jc w:val="both"/>
              <w:rPr>
                <w:sz w:val="20"/>
                <w:lang w:val="fr-CA"/>
              </w:rPr>
            </w:pPr>
            <w:r w:rsidRPr="00DD7C7F">
              <w:rPr>
                <w:sz w:val="20"/>
                <w:lang w:val="fr-CA"/>
              </w:rPr>
              <w:t xml:space="preserve">(juge Khullar) </w:t>
            </w:r>
          </w:p>
          <w:p w:rsidR="00267836" w:rsidRPr="00DD7C7F" w:rsidRDefault="00267836" w:rsidP="00DC2914">
            <w:pPr>
              <w:jc w:val="both"/>
              <w:rPr>
                <w:sz w:val="20"/>
                <w:lang w:val="fr-CA"/>
              </w:rPr>
            </w:pPr>
            <w:r w:rsidRPr="00DD7C7F">
              <w:rPr>
                <w:sz w:val="20"/>
                <w:lang w:val="fr-CA"/>
              </w:rPr>
              <w:t xml:space="preserve">2203-0006AC; </w:t>
            </w:r>
            <w:hyperlink r:id="rId46" w:history="1">
              <w:r w:rsidRPr="00DD7C7F">
                <w:rPr>
                  <w:rStyle w:val="Hyperlink"/>
                  <w:sz w:val="20"/>
                  <w:lang w:val="fr-CA"/>
                </w:rPr>
                <w:t>2022 ABCA 113</w:t>
              </w:r>
            </w:hyperlink>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 xml:space="preserve">La demande d’autorisation d’appel est rejetée </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13 mai 2022</w:t>
            </w:r>
          </w:p>
          <w:p w:rsidR="00267836" w:rsidRPr="00DD7C7F" w:rsidRDefault="00267836" w:rsidP="00DC2914">
            <w:pPr>
              <w:jc w:val="both"/>
              <w:rPr>
                <w:sz w:val="20"/>
                <w:lang w:val="fr-CA"/>
              </w:rPr>
            </w:pPr>
            <w:r w:rsidRPr="00DD7C7F">
              <w:rPr>
                <w:sz w:val="20"/>
                <w:lang w:val="fr-CA"/>
              </w:rPr>
              <w:t>Cour suprême du Canada</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demande d’autorisation d’appel est déposée</w:t>
            </w:r>
          </w:p>
          <w:p w:rsidR="00267836" w:rsidRPr="00DD7C7F" w:rsidRDefault="00267836" w:rsidP="00DC2914">
            <w:pPr>
              <w:jc w:val="both"/>
              <w:rPr>
                <w:sz w:val="20"/>
                <w:lang w:val="fr-CA"/>
              </w:rPr>
            </w:pPr>
          </w:p>
        </w:tc>
      </w:tr>
    </w:tbl>
    <w:p w:rsidR="00267836" w:rsidRPr="00DD7C7F" w:rsidRDefault="00267836" w:rsidP="00267836">
      <w:pPr>
        <w:jc w:val="both"/>
        <w:rPr>
          <w:sz w:val="20"/>
          <w:lang w:val="fr-CA"/>
        </w:rPr>
      </w:pPr>
    </w:p>
    <w:p w:rsidR="00267836" w:rsidRPr="00DD7C7F" w:rsidRDefault="00512056" w:rsidP="00267836">
      <w:pPr>
        <w:jc w:val="both"/>
        <w:rPr>
          <w:sz w:val="20"/>
          <w:lang w:val="fr-CA"/>
        </w:rPr>
      </w:pPr>
      <w:r>
        <w:rPr>
          <w:sz w:val="20"/>
        </w:rPr>
        <w:pict>
          <v:rect id="_x0000_i1064" style="width:2in;height:1pt" o:hrpct="0" o:hralign="center" o:hrstd="t" o:hrnoshade="t" o:hr="t" fillcolor="black [3213]" stroked="f"/>
        </w:pict>
      </w: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40171</w:t>
            </w:r>
          </w:p>
        </w:tc>
        <w:tc>
          <w:tcPr>
            <w:tcW w:w="4457" w:type="pct"/>
            <w:gridSpan w:val="3"/>
          </w:tcPr>
          <w:p w:rsidR="00267836" w:rsidRPr="00DD7C7F" w:rsidRDefault="00267836" w:rsidP="00DC2914">
            <w:pPr>
              <w:pStyle w:val="SCCLsocParty"/>
              <w:jc w:val="both"/>
              <w:rPr>
                <w:b/>
                <w:sz w:val="20"/>
                <w:szCs w:val="20"/>
                <w:lang w:val="en-US"/>
              </w:rPr>
            </w:pPr>
            <w:r w:rsidRPr="00DD7C7F">
              <w:rPr>
                <w:b/>
                <w:sz w:val="20"/>
                <w:szCs w:val="20"/>
                <w:lang w:val="en-US"/>
              </w:rPr>
              <w:t xml:space="preserve">Iristel Inc. v. </w:t>
            </w:r>
            <w:r w:rsidR="00821C06" w:rsidRPr="00DD7C7F">
              <w:rPr>
                <w:b/>
                <w:sz w:val="20"/>
                <w:szCs w:val="20"/>
                <w:lang w:val="en-US"/>
              </w:rPr>
              <w:t>Telus Communications Inc., Rogers Communications Canada Inc. and Public Interest Advocacy Centre</w:t>
            </w:r>
          </w:p>
          <w:p w:rsidR="00267836" w:rsidRPr="00DD7C7F" w:rsidRDefault="00267836" w:rsidP="00DC2914">
            <w:pPr>
              <w:jc w:val="both"/>
              <w:rPr>
                <w:sz w:val="20"/>
              </w:rPr>
            </w:pPr>
            <w:r w:rsidRPr="00DD7C7F">
              <w:rPr>
                <w:sz w:val="20"/>
              </w:rPr>
              <w:t>(F.C.) (Civil) (By Leave)</w:t>
            </w:r>
          </w:p>
        </w:tc>
      </w:tr>
      <w:tr w:rsidR="00B82D23" w:rsidRPr="00DD7C7F" w:rsidTr="00DC2914">
        <w:tc>
          <w:tcPr>
            <w:tcW w:w="5000" w:type="pct"/>
            <w:gridSpan w:val="4"/>
          </w:tcPr>
          <w:p w:rsidR="00821C06" w:rsidRPr="00DD7C7F" w:rsidRDefault="00821C06" w:rsidP="00821C06">
            <w:pPr>
              <w:jc w:val="both"/>
              <w:rPr>
                <w:sz w:val="20"/>
                <w:szCs w:val="20"/>
              </w:rPr>
            </w:pPr>
            <w:r w:rsidRPr="00DD7C7F">
              <w:rPr>
                <w:sz w:val="20"/>
                <w:szCs w:val="20"/>
              </w:rPr>
              <w:t xml:space="preserve">The application for leave to appeal from the judgment of the </w:t>
            </w:r>
            <w:r w:rsidRPr="00DD7C7F">
              <w:rPr>
                <w:sz w:val="20"/>
                <w:szCs w:val="20"/>
                <w:lang w:val="en-US"/>
              </w:rPr>
              <w:t>Federal Court of Appeal</w:t>
            </w:r>
            <w:r w:rsidRPr="00DD7C7F">
              <w:rPr>
                <w:sz w:val="20"/>
                <w:szCs w:val="20"/>
              </w:rPr>
              <w:t xml:space="preserve">, Number </w:t>
            </w:r>
            <w:r w:rsidRPr="00DD7C7F">
              <w:rPr>
                <w:sz w:val="20"/>
                <w:szCs w:val="20"/>
                <w:lang w:val="en-US"/>
              </w:rPr>
              <w:t>21-A-31</w:t>
            </w:r>
            <w:r w:rsidRPr="00DD7C7F">
              <w:rPr>
                <w:sz w:val="20"/>
                <w:szCs w:val="20"/>
              </w:rPr>
              <w:t xml:space="preserve">, dated </w:t>
            </w:r>
            <w:r w:rsidRPr="00DD7C7F">
              <w:rPr>
                <w:sz w:val="20"/>
                <w:szCs w:val="20"/>
                <w:lang w:val="en-US"/>
              </w:rPr>
              <w:t>March 7, 2022,</w:t>
            </w:r>
            <w:r w:rsidRPr="00DD7C7F">
              <w:rPr>
                <w:sz w:val="20"/>
                <w:szCs w:val="20"/>
              </w:rPr>
              <w:t xml:space="preserve"> is dismissed with costs to the respondents, Telus Communications Inc. and Rogers Communications Canada Inc.</w:t>
            </w:r>
          </w:p>
          <w:p w:rsidR="00B82D23" w:rsidRPr="00DD7C7F" w:rsidRDefault="00B82D23"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Administrative law ⸺ Boards and tribunals ⸺ Canadian Radio-television and Telecommunications Commission (CRTC) ⸺ Whether body performing regulatory and adjudicative functions can interpret standard so that it corresponds to what was envisioned by body when standard was adopted ⸺ Whether result of envisioned interpretation can apply retroactively ⸺ </w:t>
            </w:r>
            <w:r w:rsidRPr="00DD7C7F">
              <w:rPr>
                <w:i/>
                <w:sz w:val="20"/>
              </w:rPr>
              <w:t>Telecommunications Act</w:t>
            </w:r>
            <w:r w:rsidRPr="00DD7C7F">
              <w:rPr>
                <w:sz w:val="20"/>
              </w:rPr>
              <w:t xml:space="preserve">, S.C. 1983, c. 38, ss. 27, 62, 64. </w:t>
            </w:r>
          </w:p>
        </w:tc>
      </w:tr>
      <w:tr w:rsidR="00267836" w:rsidRPr="00DD7C7F" w:rsidTr="00DC2914">
        <w:tc>
          <w:tcPr>
            <w:tcW w:w="5000" w:type="pct"/>
            <w:gridSpan w:val="4"/>
          </w:tcPr>
          <w:p w:rsidR="00267836" w:rsidRPr="00DD7C7F" w:rsidRDefault="00267836"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In August 2018, the respondent Telus Communications Inc. filed an application for relief with the CRTC regarding alleged traffic stimulation activities involving the 867 numbering plan area (867 NPA) telephone numbers of the applicant, Iristel Inc., in Northwestel Inc.’s incumbent serving territory.</w:t>
            </w:r>
            <w:r w:rsidRPr="00DD7C7F">
              <w:rPr>
                <w:color w:val="333333"/>
                <w:sz w:val="20"/>
                <w:shd w:val="clear" w:color="auto" w:fill="FFFFFF"/>
              </w:rPr>
              <w:t xml:space="preserve"> In a prior decision rendered in 2017 (CRTC </w:t>
            </w:r>
            <w:r w:rsidRPr="00DD7C7F">
              <w:rPr>
                <w:sz w:val="20"/>
              </w:rPr>
              <w:t>2017-446) pursuant to an application filed by the respondent Rogers Communications Canada Inc.</w:t>
            </w:r>
            <w:r w:rsidRPr="00DD7C7F">
              <w:rPr>
                <w:color w:val="333333"/>
                <w:sz w:val="20"/>
                <w:shd w:val="clear" w:color="auto" w:fill="FFFFFF"/>
              </w:rPr>
              <w:t xml:space="preserve">, the </w:t>
            </w:r>
            <w:r w:rsidRPr="00DD7C7F">
              <w:rPr>
                <w:sz w:val="20"/>
              </w:rPr>
              <w:t xml:space="preserve">CRTC had found that Iristel had contravened s. 27(2) of the </w:t>
            </w:r>
            <w:r w:rsidRPr="00DD7C7F">
              <w:rPr>
                <w:i/>
                <w:sz w:val="20"/>
              </w:rPr>
              <w:t>Telecommunications Act</w:t>
            </w:r>
            <w:r w:rsidRPr="00DD7C7F">
              <w:rPr>
                <w:sz w:val="20"/>
              </w:rPr>
              <w:t>, S.C. 1983, c. 38 (</w:t>
            </w:r>
            <w:r w:rsidRPr="00DD7C7F">
              <w:rPr>
                <w:i/>
                <w:sz w:val="20"/>
              </w:rPr>
              <w:t>Act</w:t>
            </w:r>
            <w:r w:rsidRPr="00DD7C7F">
              <w:rPr>
                <w:sz w:val="20"/>
              </w:rPr>
              <w:t>), by participating in traffic stimulation activities involving 867 NPA telephone numbers. That practice, by which a telephone carrier inflates, or allows to be inflated, the volume or minutes of calls beyond an anticipated threshold, is a contravention of s. 27(2) where its effect is to give certain parties an undue preference and to subject others, including Canadian consumers, to an undue or unreasonable disadvantage. Further to its</w:t>
            </w:r>
            <w:r w:rsidRPr="00DD7C7F">
              <w:rPr>
                <w:color w:val="333333"/>
                <w:sz w:val="20"/>
                <w:shd w:val="clear" w:color="auto" w:fill="FFFFFF"/>
              </w:rPr>
              <w:t xml:space="preserve"> interim relief decision of November 23, 2018 (CRTC 2018-432), the CRTC found that a review was needed to determine “(i) whether the traffic at issue is stimulated by Iristel and/or inappropriate, and (ii) given the apparent changes in traffic levels, whether Iristel’s current tariffed rate for long distance call termination in the North remains just and reasonable”. On August 14, 2020, the CRTC ruled on final relief under the application</w:t>
            </w:r>
            <w:r w:rsidRPr="00DD7C7F">
              <w:rPr>
                <w:sz w:val="20"/>
              </w:rPr>
              <w:t xml:space="preserve"> (CRTC 2020-268). It found that Iristel had once again contravened s. 27(2) of the </w:t>
            </w:r>
            <w:r w:rsidRPr="00DD7C7F">
              <w:rPr>
                <w:i/>
                <w:sz w:val="20"/>
              </w:rPr>
              <w:t>Act</w:t>
            </w:r>
            <w:r w:rsidRPr="00DD7C7F">
              <w:rPr>
                <w:sz w:val="20"/>
              </w:rPr>
              <w:t xml:space="preserve"> by allowing the use of 867 NPA telephone numbers by certain customers based in distant locations and by granting itself an undue advantage to the detriment of other carriers, whose connection costs had increased while revenue had been generated for Iristel through long-distance call termination charges. The CRTC also found that the tariffed interexchange termination rate was no longer just and reasonable under s. 27(1) of the </w:t>
            </w:r>
            <w:r w:rsidRPr="00DD7C7F">
              <w:rPr>
                <w:i/>
                <w:sz w:val="20"/>
              </w:rPr>
              <w:t>Act</w:t>
            </w:r>
            <w:r w:rsidRPr="00DD7C7F">
              <w:rPr>
                <w:sz w:val="20"/>
              </w:rPr>
              <w:t xml:space="preserve"> because it overcompensated Iristel and provided an incentive for stimulation of traffic to 867 NPA telephone numbers. The CRTC therefore replaced Iristel’s tariffed termination rate with an interim rate that was to become final 90 days from the issuance of the decision — retroactive to the day on which the rate was made interim — unless Iristel filed a tariff notice supported by a Phase II cost study proposing an alternate rate by November 16, 2020. At the time of releasing that decision, the CRTC also published a notice of consultation </w:t>
            </w:r>
            <w:r w:rsidRPr="00DD7C7F">
              <w:rPr>
                <w:color w:val="333333"/>
                <w:sz w:val="20"/>
                <w:shd w:val="clear" w:color="auto" w:fill="FFFFFF"/>
              </w:rPr>
              <w:t>(CRTC 2020-269) in order to determine, once the applications were assessed, whether it was appropriate to impose administrative monetary penalties, including on Iristel. On September 2, 2020, Iristel filed an application</w:t>
            </w:r>
            <w:r w:rsidRPr="00DD7C7F">
              <w:rPr>
                <w:sz w:val="20"/>
              </w:rPr>
              <w:t xml:space="preserve"> with the CRTC to review and vary Telecom Decision 2020</w:t>
            </w:r>
            <w:r w:rsidRPr="00DD7C7F">
              <w:rPr>
                <w:sz w:val="20"/>
              </w:rPr>
              <w:noBreakHyphen/>
              <w:t>268 and Telecom Notice of Consultation 2020</w:t>
            </w:r>
            <w:r w:rsidRPr="00DD7C7F">
              <w:rPr>
                <w:sz w:val="20"/>
              </w:rPr>
              <w:noBreakHyphen/>
              <w:t>269. The CRTC denied the application, and the Federal Court of Appeal dismissed the motion for leave to appeal.</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August 14, 2020</w:t>
            </w:r>
          </w:p>
          <w:p w:rsidR="00267836" w:rsidRPr="00DD7C7F" w:rsidRDefault="00267836" w:rsidP="00DC2914">
            <w:pPr>
              <w:jc w:val="both"/>
              <w:rPr>
                <w:sz w:val="20"/>
              </w:rPr>
            </w:pPr>
            <w:r w:rsidRPr="00DD7C7F">
              <w:rPr>
                <w:sz w:val="20"/>
              </w:rPr>
              <w:t>Canadian Radio-television and Telecommunications Commission</w:t>
            </w:r>
          </w:p>
          <w:p w:rsidR="00267836" w:rsidRPr="00DD7C7F" w:rsidRDefault="00267836" w:rsidP="00DC2914">
            <w:pPr>
              <w:jc w:val="both"/>
              <w:rPr>
                <w:sz w:val="20"/>
              </w:rPr>
            </w:pPr>
            <w:r w:rsidRPr="00DD7C7F">
              <w:rPr>
                <w:sz w:val="20"/>
              </w:rPr>
              <w:t>(Secretary General)</w:t>
            </w:r>
          </w:p>
          <w:p w:rsidR="00267836" w:rsidRPr="00DD7C7F" w:rsidRDefault="00512056" w:rsidP="00DC2914">
            <w:pPr>
              <w:jc w:val="both"/>
              <w:rPr>
                <w:sz w:val="20"/>
              </w:rPr>
            </w:pPr>
            <w:hyperlink r:id="rId47" w:history="1">
              <w:r w:rsidR="00267836" w:rsidRPr="00DD7C7F">
                <w:rPr>
                  <w:rStyle w:val="Hyperlink"/>
                  <w:sz w:val="20"/>
                </w:rPr>
                <w:t>CRTC 2020-268</w:t>
              </w:r>
            </w:hyperlink>
            <w:r w:rsidR="00267836" w:rsidRPr="00DD7C7F">
              <w:rPr>
                <w:sz w:val="20"/>
              </w:rPr>
              <w:t xml:space="preserve"> (decision) </w:t>
            </w:r>
          </w:p>
          <w:p w:rsidR="00267836" w:rsidRPr="00DD7C7F" w:rsidRDefault="00512056" w:rsidP="00DC2914">
            <w:pPr>
              <w:jc w:val="both"/>
              <w:rPr>
                <w:sz w:val="20"/>
              </w:rPr>
            </w:pPr>
            <w:hyperlink r:id="rId48" w:history="1">
              <w:r w:rsidR="00267836" w:rsidRPr="00DD7C7F">
                <w:rPr>
                  <w:rStyle w:val="Hyperlink"/>
                  <w:sz w:val="20"/>
                </w:rPr>
                <w:t>CRTC 2020-269</w:t>
              </w:r>
            </w:hyperlink>
            <w:r w:rsidR="00267836" w:rsidRPr="00DD7C7F">
              <w:rPr>
                <w:sz w:val="20"/>
              </w:rPr>
              <w:t xml:space="preserve"> (notice of consultation)</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 xml:space="preserve">Iristel Inc. and Telus Communications Inc. found to have contravened s. 27(2) of </w:t>
            </w:r>
            <w:r w:rsidRPr="00DD7C7F">
              <w:rPr>
                <w:i/>
                <w:sz w:val="20"/>
              </w:rPr>
              <w:t>Telecommunications Act</w:t>
            </w:r>
            <w:r w:rsidRPr="00DD7C7F">
              <w:rPr>
                <w:sz w:val="20"/>
              </w:rPr>
              <w:t>, S.C. 1983, c. 38, with respect to 867 numbering plan area telephone numbers;</w:t>
            </w:r>
          </w:p>
          <w:p w:rsidR="00267836" w:rsidRPr="00DD7C7F" w:rsidRDefault="00267836" w:rsidP="00DC2914">
            <w:pPr>
              <w:jc w:val="both"/>
              <w:rPr>
                <w:sz w:val="20"/>
              </w:rPr>
            </w:pPr>
            <w:r w:rsidRPr="00DD7C7F">
              <w:rPr>
                <w:sz w:val="20"/>
              </w:rPr>
              <w:t xml:space="preserve">Notice of consultation issued to determine appropriateness of imposing </w:t>
            </w:r>
            <w:r w:rsidRPr="00DD7C7F">
              <w:rPr>
                <w:color w:val="333333"/>
                <w:sz w:val="20"/>
                <w:shd w:val="clear" w:color="auto" w:fill="FFFFFF"/>
              </w:rPr>
              <w:t>administrative monetary penalties</w:t>
            </w:r>
          </w:p>
          <w:p w:rsidR="00267836" w:rsidRPr="00DD7C7F" w:rsidRDefault="00267836" w:rsidP="00DC2914">
            <w:pPr>
              <w:jc w:val="both"/>
              <w:rPr>
                <w:sz w:val="20"/>
              </w:rPr>
            </w:pPr>
          </w:p>
        </w:tc>
      </w:tr>
    </w:tbl>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7836" w:rsidRPr="00DD7C7F" w:rsidTr="00DC2914">
        <w:tc>
          <w:tcPr>
            <w:tcW w:w="2427" w:type="pct"/>
          </w:tcPr>
          <w:p w:rsidR="00267836" w:rsidRPr="00DD7C7F" w:rsidRDefault="00267836" w:rsidP="00DC2914">
            <w:pPr>
              <w:jc w:val="both"/>
              <w:rPr>
                <w:sz w:val="20"/>
              </w:rPr>
            </w:pPr>
            <w:r w:rsidRPr="00DD7C7F">
              <w:rPr>
                <w:sz w:val="20"/>
              </w:rPr>
              <w:t xml:space="preserve">December 1, 2021 </w:t>
            </w:r>
          </w:p>
          <w:p w:rsidR="00267836" w:rsidRPr="00DD7C7F" w:rsidRDefault="00267836" w:rsidP="00DC2914">
            <w:pPr>
              <w:jc w:val="both"/>
              <w:rPr>
                <w:sz w:val="20"/>
              </w:rPr>
            </w:pPr>
            <w:r w:rsidRPr="00DD7C7F">
              <w:rPr>
                <w:sz w:val="20"/>
              </w:rPr>
              <w:t>Canadian Radio-television and Telecommunications Commission</w:t>
            </w:r>
          </w:p>
          <w:p w:rsidR="00267836" w:rsidRPr="00DD7C7F" w:rsidRDefault="00267836" w:rsidP="00DC2914">
            <w:pPr>
              <w:jc w:val="both"/>
              <w:rPr>
                <w:sz w:val="20"/>
              </w:rPr>
            </w:pPr>
            <w:r w:rsidRPr="00DD7C7F">
              <w:rPr>
                <w:sz w:val="20"/>
              </w:rPr>
              <w:t>(Secretary General)</w:t>
            </w:r>
          </w:p>
          <w:p w:rsidR="00267836" w:rsidRPr="00DD7C7F" w:rsidRDefault="00512056" w:rsidP="00DC2914">
            <w:pPr>
              <w:jc w:val="both"/>
              <w:rPr>
                <w:sz w:val="20"/>
              </w:rPr>
            </w:pPr>
            <w:hyperlink r:id="rId49" w:history="1">
              <w:r w:rsidR="00267836" w:rsidRPr="00DD7C7F">
                <w:rPr>
                  <w:rStyle w:val="Hyperlink"/>
                  <w:sz w:val="20"/>
                </w:rPr>
                <w:t>CRTC 2021-397</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to review, vary and rescind Telecom Decision 2020</w:t>
            </w:r>
            <w:r w:rsidRPr="00DD7C7F">
              <w:rPr>
                <w:sz w:val="20"/>
              </w:rPr>
              <w:noBreakHyphen/>
              <w:t>268 and Telecom Notice of Consultation 2020</w:t>
            </w:r>
            <w:r w:rsidRPr="00DD7C7F">
              <w:rPr>
                <w:sz w:val="20"/>
              </w:rPr>
              <w:noBreakHyphen/>
              <w:t>269 denied</w:t>
            </w:r>
          </w:p>
        </w:tc>
      </w:tr>
      <w:tr w:rsidR="00267836" w:rsidRPr="00DD7C7F" w:rsidTr="00DC2914">
        <w:tc>
          <w:tcPr>
            <w:tcW w:w="2427" w:type="pct"/>
          </w:tcPr>
          <w:p w:rsidR="00267836" w:rsidRPr="00DD7C7F" w:rsidRDefault="00267836" w:rsidP="00DC2914">
            <w:pPr>
              <w:jc w:val="both"/>
              <w:rPr>
                <w:sz w:val="20"/>
              </w:rPr>
            </w:pPr>
            <w:r w:rsidRPr="00DD7C7F">
              <w:rPr>
                <w:sz w:val="20"/>
              </w:rPr>
              <w:t>March 7, 2022</w:t>
            </w:r>
          </w:p>
          <w:p w:rsidR="00267836" w:rsidRPr="00DD7C7F" w:rsidRDefault="00267836" w:rsidP="00DC2914">
            <w:pPr>
              <w:jc w:val="both"/>
              <w:rPr>
                <w:sz w:val="20"/>
              </w:rPr>
            </w:pPr>
            <w:r w:rsidRPr="00DD7C7F">
              <w:rPr>
                <w:sz w:val="20"/>
              </w:rPr>
              <w:t>Federal Court of Appeal</w:t>
            </w:r>
          </w:p>
          <w:p w:rsidR="00267836" w:rsidRPr="00DD7C7F" w:rsidRDefault="00267836" w:rsidP="00DC2914">
            <w:pPr>
              <w:jc w:val="both"/>
              <w:rPr>
                <w:sz w:val="20"/>
              </w:rPr>
            </w:pPr>
            <w:r w:rsidRPr="00DD7C7F">
              <w:rPr>
                <w:sz w:val="20"/>
              </w:rPr>
              <w:t>(De Montigny, Rivoalen and Locke JJ.A.)</w:t>
            </w:r>
          </w:p>
          <w:p w:rsidR="00267836" w:rsidRPr="00DD7C7F" w:rsidRDefault="00267836" w:rsidP="00DC2914">
            <w:pPr>
              <w:jc w:val="both"/>
              <w:rPr>
                <w:sz w:val="20"/>
              </w:rPr>
            </w:pPr>
            <w:r w:rsidRPr="00DD7C7F">
              <w:rPr>
                <w:sz w:val="20"/>
              </w:rPr>
              <w:t>21-A-31 (unreported)</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Motion for leave to appeal dismissed</w:t>
            </w:r>
          </w:p>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April 28, 2022</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65"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40171</w:t>
            </w:r>
          </w:p>
        </w:tc>
        <w:tc>
          <w:tcPr>
            <w:tcW w:w="4457" w:type="pct"/>
          </w:tcPr>
          <w:p w:rsidR="00267836" w:rsidRPr="00DD7C7F" w:rsidRDefault="00267836" w:rsidP="00DC2914">
            <w:pPr>
              <w:pStyle w:val="SCCLsocParty"/>
              <w:jc w:val="both"/>
              <w:rPr>
                <w:b/>
                <w:sz w:val="20"/>
                <w:szCs w:val="20"/>
              </w:rPr>
            </w:pPr>
            <w:r w:rsidRPr="00DD7C7F">
              <w:rPr>
                <w:b/>
                <w:sz w:val="20"/>
                <w:szCs w:val="20"/>
              </w:rPr>
              <w:t xml:space="preserve">Iristel inc. c. </w:t>
            </w:r>
            <w:r w:rsidR="00821C06" w:rsidRPr="00DD7C7F">
              <w:rPr>
                <w:b/>
                <w:sz w:val="20"/>
                <w:szCs w:val="20"/>
              </w:rPr>
              <w:t>Telus Communications Inc., Rogers Communications Canada Inc. et Centre pour la défense de l’intérêt public</w:t>
            </w:r>
          </w:p>
          <w:p w:rsidR="00267836" w:rsidRPr="00DD7C7F" w:rsidRDefault="00267836" w:rsidP="00DC2914">
            <w:pPr>
              <w:jc w:val="both"/>
              <w:rPr>
                <w:sz w:val="20"/>
                <w:lang w:val="fr-CA"/>
              </w:rPr>
            </w:pPr>
            <w:r w:rsidRPr="00DD7C7F">
              <w:rPr>
                <w:sz w:val="20"/>
                <w:lang w:val="fr-CA"/>
              </w:rPr>
              <w:t>(C.F.) (Civile) (Autorisation)</w:t>
            </w:r>
          </w:p>
        </w:tc>
      </w:tr>
      <w:tr w:rsidR="00B82D23" w:rsidRPr="00512056" w:rsidTr="00DC2914">
        <w:tc>
          <w:tcPr>
            <w:tcW w:w="5000" w:type="pct"/>
            <w:gridSpan w:val="2"/>
          </w:tcPr>
          <w:p w:rsidR="00821C06" w:rsidRPr="00DD7C7F" w:rsidRDefault="00821C06" w:rsidP="00821C06">
            <w:pPr>
              <w:jc w:val="both"/>
              <w:rPr>
                <w:sz w:val="20"/>
                <w:szCs w:val="20"/>
                <w:lang w:val="fr-CA"/>
              </w:rPr>
            </w:pPr>
            <w:r w:rsidRPr="00DD7C7F">
              <w:rPr>
                <w:sz w:val="20"/>
                <w:szCs w:val="20"/>
                <w:lang w:val="fr-CA"/>
              </w:rPr>
              <w:t>La demande d’autorisation d’appel de l’arrêt de la Cour d’appel fédérale, numéro 21-A-31, daté du 7 mars 2022, est rejetée avec dépens en faveur des intimés, Telus Communications Inc. et Rogers Communications Canada Inc.</w:t>
            </w:r>
          </w:p>
          <w:p w:rsidR="00B82D23" w:rsidRPr="00DD7C7F" w:rsidRDefault="00B82D23" w:rsidP="00DC2914">
            <w:pPr>
              <w:jc w:val="both"/>
              <w:rPr>
                <w:sz w:val="20"/>
                <w:lang w:val="fr-CA"/>
              </w:rPr>
            </w:pPr>
          </w:p>
        </w:tc>
      </w:tr>
      <w:tr w:rsidR="00267836" w:rsidRPr="00DD7C7F" w:rsidTr="00DC2914">
        <w:tc>
          <w:tcPr>
            <w:tcW w:w="5000" w:type="pct"/>
            <w:gridSpan w:val="2"/>
          </w:tcPr>
          <w:p w:rsidR="00267836" w:rsidRPr="00DD7C7F" w:rsidRDefault="00267836" w:rsidP="00DC2914">
            <w:pPr>
              <w:jc w:val="both"/>
              <w:rPr>
                <w:sz w:val="20"/>
              </w:rPr>
            </w:pPr>
            <w:r w:rsidRPr="00DD7C7F">
              <w:rPr>
                <w:sz w:val="20"/>
                <w:lang w:val="fr-CA"/>
              </w:rPr>
              <w:t xml:space="preserve">Droit administratif </w:t>
            </w:r>
            <w:r w:rsidRPr="00DD7C7F">
              <w:rPr>
                <w:sz w:val="20"/>
              </w:rPr>
              <w:t>⸺</w:t>
            </w:r>
            <w:r w:rsidRPr="00DD7C7F">
              <w:rPr>
                <w:sz w:val="20"/>
                <w:lang w:val="fr-CA"/>
              </w:rPr>
              <w:t xml:space="preserve"> Organismes et tribunaux administratifs </w:t>
            </w:r>
            <w:r w:rsidRPr="00DD7C7F">
              <w:rPr>
                <w:sz w:val="20"/>
              </w:rPr>
              <w:t>⸺</w:t>
            </w:r>
            <w:r w:rsidRPr="00DD7C7F">
              <w:rPr>
                <w:sz w:val="20"/>
                <w:lang w:val="fr-CA"/>
              </w:rPr>
              <w:t xml:space="preserve"> Conseil de la radiodiffusion et des télécommunications canadiennes (CRTC) </w:t>
            </w:r>
            <w:r w:rsidRPr="00DD7C7F">
              <w:rPr>
                <w:sz w:val="20"/>
              </w:rPr>
              <w:t>⸺</w:t>
            </w:r>
            <w:r w:rsidRPr="00DD7C7F">
              <w:rPr>
                <w:sz w:val="20"/>
                <w:lang w:val="fr-CA"/>
              </w:rPr>
              <w:t xml:space="preserve"> Un organisme exerçant des fonctions réglementaire et d’adjudication peut-il interpréter une norme afin de la faire correspondre à ce qu’il envisageait au moment de son adoption? </w:t>
            </w:r>
            <w:r w:rsidRPr="00DD7C7F">
              <w:rPr>
                <w:sz w:val="20"/>
              </w:rPr>
              <w:t>⸺</w:t>
            </w:r>
            <w:r w:rsidRPr="00DD7C7F">
              <w:rPr>
                <w:sz w:val="20"/>
                <w:lang w:val="fr-CA"/>
              </w:rPr>
              <w:t xml:space="preserve"> Le résultat de l’interprétation envisagée peut-il avoir pour effet de s’appliquer rétroactivement? </w:t>
            </w:r>
            <w:r w:rsidRPr="00DD7C7F">
              <w:rPr>
                <w:sz w:val="20"/>
              </w:rPr>
              <w:t xml:space="preserve">⸺ </w:t>
            </w:r>
            <w:r w:rsidRPr="00DD7C7F">
              <w:rPr>
                <w:i/>
                <w:sz w:val="20"/>
              </w:rPr>
              <w:t>Loi sur les télécommunications</w:t>
            </w:r>
            <w:r w:rsidRPr="00DD7C7F">
              <w:rPr>
                <w:sz w:val="20"/>
              </w:rPr>
              <w:t xml:space="preserve">, L.C. 1983, ch. 38, art. 27, 62, 64.  </w:t>
            </w:r>
          </w:p>
        </w:tc>
      </w:tr>
      <w:tr w:rsidR="00267836" w:rsidRPr="00DD7C7F" w:rsidTr="00DC2914">
        <w:tc>
          <w:tcPr>
            <w:tcW w:w="5000" w:type="pct"/>
            <w:gridSpan w:val="2"/>
          </w:tcPr>
          <w:p w:rsidR="00267836" w:rsidRPr="00DD7C7F" w:rsidRDefault="00267836" w:rsidP="00DC2914">
            <w:pPr>
              <w:jc w:val="both"/>
              <w:rPr>
                <w:sz w:val="20"/>
              </w:rPr>
            </w:pPr>
          </w:p>
        </w:tc>
      </w:tr>
    </w:tbl>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7836" w:rsidRPr="00512056" w:rsidTr="00DC2914">
        <w:tc>
          <w:tcPr>
            <w:tcW w:w="5000" w:type="pct"/>
            <w:gridSpan w:val="3"/>
          </w:tcPr>
          <w:p w:rsidR="00267836" w:rsidRPr="00DD7C7F" w:rsidRDefault="00267836" w:rsidP="00DC2914">
            <w:pPr>
              <w:jc w:val="both"/>
              <w:rPr>
                <w:sz w:val="20"/>
                <w:lang w:val="fr-CA"/>
              </w:rPr>
            </w:pPr>
            <w:r w:rsidRPr="00DD7C7F">
              <w:rPr>
                <w:sz w:val="20"/>
                <w:lang w:val="fr-CA"/>
              </w:rPr>
              <w:t xml:space="preserve">En août 2018, l’intimé Telus communications Inc. a déposé auprès du CRTC une demande de mesures de redressement relativement à des </w:t>
            </w:r>
            <w:r w:rsidRPr="00DD7C7F">
              <w:rPr>
                <w:color w:val="333333"/>
                <w:sz w:val="20"/>
                <w:shd w:val="clear" w:color="auto" w:fill="FFFFFF"/>
                <w:lang w:val="fr-CA"/>
              </w:rPr>
              <w:t xml:space="preserve">activités alléguées de stimulation de trafic liées aux numéros de téléphone de la demanderesse Iristel Inc. dans l’indicatif régional 867 (IR 867) dans le territoire de desserte où Norouestel Inc. exerce ses activités comme titulaire. Dans le cadre d’une décision antérieure rendue en 2017 (CRTC </w:t>
            </w:r>
            <w:r w:rsidRPr="00DD7C7F">
              <w:rPr>
                <w:sz w:val="20"/>
                <w:lang w:val="fr-CA"/>
              </w:rPr>
              <w:t>2017-446) comme suite au dépôt d’une demande par l’intimé Rogers communications Canada Inc.</w:t>
            </w:r>
            <w:r w:rsidRPr="00DD7C7F">
              <w:rPr>
                <w:color w:val="333333"/>
                <w:sz w:val="20"/>
                <w:shd w:val="clear" w:color="auto" w:fill="FFFFFF"/>
                <w:lang w:val="fr-CA"/>
              </w:rPr>
              <w:t xml:space="preserve">, </w:t>
            </w:r>
            <w:r w:rsidRPr="00DD7C7F">
              <w:rPr>
                <w:sz w:val="20"/>
                <w:lang w:val="fr-CA"/>
              </w:rPr>
              <w:t xml:space="preserve">le CRTC avait déjà conclu qu’Iristel avait contrevenu au </w:t>
            </w:r>
            <w:proofErr w:type="spellStart"/>
            <w:r w:rsidRPr="00DD7C7F">
              <w:rPr>
                <w:sz w:val="20"/>
                <w:lang w:val="fr-CA"/>
              </w:rPr>
              <w:t>par</w:t>
            </w:r>
            <w:proofErr w:type="spellEnd"/>
            <w:r w:rsidRPr="00DD7C7F">
              <w:rPr>
                <w:sz w:val="20"/>
                <w:lang w:val="fr-CA"/>
              </w:rPr>
              <w:t xml:space="preserve">. 27(2) de la </w:t>
            </w:r>
            <w:r w:rsidRPr="00DD7C7F">
              <w:rPr>
                <w:i/>
                <w:sz w:val="20"/>
                <w:lang w:val="fr-CA"/>
              </w:rPr>
              <w:t>Loi sur les télécommunications</w:t>
            </w:r>
            <w:r w:rsidRPr="00DD7C7F">
              <w:rPr>
                <w:sz w:val="20"/>
                <w:lang w:val="fr-CA"/>
              </w:rPr>
              <w:t xml:space="preserve">, L.C. 1983, ch. 38 (la </w:t>
            </w:r>
            <w:r w:rsidRPr="00DD7C7F">
              <w:rPr>
                <w:i/>
                <w:sz w:val="20"/>
                <w:lang w:val="fr-CA"/>
              </w:rPr>
              <w:t>Loi</w:t>
            </w:r>
            <w:r w:rsidRPr="00DD7C7F">
              <w:rPr>
                <w:sz w:val="20"/>
                <w:lang w:val="fr-CA"/>
              </w:rPr>
              <w:t xml:space="preserve">) en participant à des activités de stimulation de trafic liées aux numéros de téléphone IR 867. Cette pratique par laquelle un fournisseur de services téléphoniques provoque l’augmentation, ou permet l’augmentation du volume ou des minutes d’appels au-delà du seuil prévu constitue une violation du par. 27(2) lorsqu’elle a pour conséquences d’accorder une préférence indue à certaines parties et faire subir à d’autres, dont les consommateurs canadiens, un désavantage indu ou déraisonnable. </w:t>
            </w:r>
            <w:r w:rsidRPr="00DD7C7F">
              <w:rPr>
                <w:color w:val="333333"/>
                <w:sz w:val="20"/>
                <w:shd w:val="clear" w:color="auto" w:fill="FFFFFF"/>
                <w:lang w:val="fr-CA"/>
              </w:rPr>
              <w:t xml:space="preserve">Comme suite à la décision en redressements provisoires rendue le 23 novembre 2018 (CRTC 2018-432), le CRTC a conclu qu’il était nécessaire d’entreprendre une étude afin de déterminer : «  i) si le trafic en cause est stimulé par Iristel et/ou s’il est inapproprié; et ii) si, compte tenu des changements des niveaux de trafic observés, le tarif actuel d’Iristel pour le raccordement d’appels interurbains dans le Nord demeure juste et raisonnable. » Le 14 août 2020, le CRTC s’est prononcé quant au </w:t>
            </w:r>
            <w:r w:rsidRPr="00DD7C7F">
              <w:rPr>
                <w:sz w:val="20"/>
                <w:lang w:val="fr-CA"/>
              </w:rPr>
              <w:t xml:space="preserve">redressement définitif de la demande (CRTC 2020-268). Il a conclu qu’Iristel avait de nouveau contrevenu au </w:t>
            </w:r>
            <w:proofErr w:type="spellStart"/>
            <w:r w:rsidRPr="00DD7C7F">
              <w:rPr>
                <w:sz w:val="20"/>
                <w:lang w:val="fr-CA"/>
              </w:rPr>
              <w:t>par</w:t>
            </w:r>
            <w:proofErr w:type="spellEnd"/>
            <w:r w:rsidRPr="00DD7C7F">
              <w:rPr>
                <w:sz w:val="20"/>
                <w:lang w:val="fr-CA"/>
              </w:rPr>
              <w:t xml:space="preserve">. 27(2) de la </w:t>
            </w:r>
            <w:r w:rsidRPr="00DD7C7F">
              <w:rPr>
                <w:i/>
                <w:sz w:val="20"/>
                <w:lang w:val="fr-CA"/>
              </w:rPr>
              <w:t xml:space="preserve">Loi </w:t>
            </w:r>
            <w:r w:rsidRPr="00DD7C7F">
              <w:rPr>
                <w:sz w:val="20"/>
                <w:lang w:val="fr-CA"/>
              </w:rPr>
              <w:t xml:space="preserve">en autorisant l’utilisation de numéros de téléphone de l’IR 867 par certains clients se trouvant à des endroits éloignés et en s’accordant un avantage indu au détriment des autres entreprises qui ont subi une augmentation de leur coût de connexion alors que les frais de raccordement d’appel interurbains ont généré des revenus pour Iristel. De plus, le CRTC a conclu que le taux tarifé de raccordement intercirconscription n’était plus juste et raisonnable en vertu du par. 27(1) de la </w:t>
            </w:r>
            <w:r w:rsidRPr="00DD7C7F">
              <w:rPr>
                <w:i/>
                <w:sz w:val="20"/>
                <w:lang w:val="fr-CA"/>
              </w:rPr>
              <w:t>Loi</w:t>
            </w:r>
            <w:r w:rsidRPr="00DD7C7F">
              <w:rPr>
                <w:sz w:val="20"/>
                <w:lang w:val="fr-CA"/>
              </w:rPr>
              <w:t xml:space="preserve"> puisqu’il engendrait une surcompensation au bénéfice d’Iristel et qu'il était une incitation à se livrer à la stimulation du trafic liée aux numéros de téléphone de l’IR 867. Par conséquent, le CRTC a remplacé le taux tarifé de raccordement d’Iristel par un taux provisoire qui deviendra définitif dans 90 jours de la date de la publication de la décision et rétroactif au moment où il a été rendu provisoire, à moins qu’Iristel ne dépose un avis de modification tarifaire appuyé d’une étude de coûts de la phase II proposant un autre tarif d’ici le 16 novembre 2020. </w:t>
            </w:r>
            <w:r w:rsidRPr="00DD7C7F">
              <w:rPr>
                <w:color w:val="333333"/>
                <w:sz w:val="20"/>
                <w:shd w:val="clear" w:color="auto" w:fill="FFFFFF"/>
                <w:lang w:val="fr-CA"/>
              </w:rPr>
              <w:t xml:space="preserve">Simultanément à la sortie de cette décision, le CRTC a également publié l’avis de consultation (CRTC 2020-269) afin de déterminer au terme de l’étude des demandes s’il est approprié d’imposer des sanctions administratives pécuniaires notamment à l’endroit d’Iristel. </w:t>
            </w:r>
            <w:r w:rsidRPr="00DD7C7F">
              <w:rPr>
                <w:sz w:val="20"/>
                <w:lang w:val="fr-CA"/>
              </w:rPr>
              <w:t>Le 2 septembre 2020, Iristel a déposé une demande visant à réviser et modifier la décision de télécom 2020-268 et l’avis de consultation de télécom 2020-269 auprès du CRTC. Le CRTC a refusé la demande et la Cour d’appel fédérale rejeté la requête pour l’obtention d’une autorisation d’en appeler.</w:t>
            </w:r>
          </w:p>
          <w:p w:rsidR="00267836" w:rsidRPr="00DD7C7F" w:rsidRDefault="00267836" w:rsidP="00DC2914">
            <w:pPr>
              <w:jc w:val="both"/>
              <w:rPr>
                <w:sz w:val="20"/>
                <w:lang w:val="fr-CA"/>
              </w:rPr>
            </w:pPr>
          </w:p>
        </w:tc>
      </w:tr>
      <w:tr w:rsidR="00267836" w:rsidRPr="00512056" w:rsidTr="00DC2914">
        <w:tc>
          <w:tcPr>
            <w:tcW w:w="2427" w:type="pct"/>
          </w:tcPr>
          <w:p w:rsidR="00267836" w:rsidRPr="00DD7C7F" w:rsidRDefault="00267836" w:rsidP="00DC2914">
            <w:pPr>
              <w:jc w:val="both"/>
              <w:rPr>
                <w:sz w:val="20"/>
                <w:lang w:val="fr-CA"/>
              </w:rPr>
            </w:pPr>
            <w:r w:rsidRPr="00DD7C7F">
              <w:rPr>
                <w:sz w:val="20"/>
                <w:lang w:val="fr-CA"/>
              </w:rPr>
              <w:t>Le 14 août 2020</w:t>
            </w:r>
          </w:p>
          <w:p w:rsidR="00267836" w:rsidRPr="00DD7C7F" w:rsidRDefault="00267836" w:rsidP="00DC2914">
            <w:pPr>
              <w:jc w:val="both"/>
              <w:rPr>
                <w:sz w:val="20"/>
                <w:lang w:val="fr-CA"/>
              </w:rPr>
            </w:pPr>
            <w:r w:rsidRPr="00DD7C7F">
              <w:rPr>
                <w:sz w:val="20"/>
                <w:lang w:val="fr-CA"/>
              </w:rPr>
              <w:t>Conseil de la radiodiffusion et des télécommunications canadiennes</w:t>
            </w:r>
          </w:p>
          <w:p w:rsidR="00267836" w:rsidRPr="00DD7C7F" w:rsidRDefault="00267836" w:rsidP="00DC2914">
            <w:pPr>
              <w:jc w:val="both"/>
              <w:rPr>
                <w:sz w:val="20"/>
                <w:lang w:val="fr-CA"/>
              </w:rPr>
            </w:pPr>
            <w:r w:rsidRPr="00DD7C7F">
              <w:rPr>
                <w:sz w:val="20"/>
                <w:lang w:val="fr-CA"/>
              </w:rPr>
              <w:t>(Le secrétaire général)</w:t>
            </w:r>
          </w:p>
          <w:p w:rsidR="00267836" w:rsidRPr="00DD7C7F" w:rsidRDefault="00267836" w:rsidP="00DC2914">
            <w:pPr>
              <w:jc w:val="both"/>
              <w:rPr>
                <w:sz w:val="20"/>
                <w:lang w:val="fr-CA"/>
              </w:rPr>
            </w:pPr>
            <w:r w:rsidRPr="00DD7C7F">
              <w:rPr>
                <w:rStyle w:val="Hyperlink"/>
                <w:sz w:val="20"/>
                <w:lang w:val="fr-CA"/>
              </w:rPr>
              <w:t>CRTC 2020-268</w:t>
            </w:r>
            <w:r w:rsidRPr="00DD7C7F">
              <w:rPr>
                <w:sz w:val="20"/>
                <w:lang w:val="fr-CA"/>
              </w:rPr>
              <w:t xml:space="preserve"> (décision) </w:t>
            </w:r>
          </w:p>
          <w:p w:rsidR="00267836" w:rsidRPr="00DD7C7F" w:rsidRDefault="00512056" w:rsidP="00DC2914">
            <w:pPr>
              <w:jc w:val="both"/>
              <w:rPr>
                <w:sz w:val="20"/>
              </w:rPr>
            </w:pPr>
            <w:hyperlink r:id="rId50" w:history="1">
              <w:r w:rsidR="00267836" w:rsidRPr="00DD7C7F">
                <w:rPr>
                  <w:rStyle w:val="Hyperlink"/>
                  <w:sz w:val="20"/>
                </w:rPr>
                <w:t>CRTC 2020-26</w:t>
              </w:r>
            </w:hyperlink>
            <w:r w:rsidR="00267836" w:rsidRPr="00DD7C7F">
              <w:rPr>
                <w:rStyle w:val="Hyperlink"/>
                <w:sz w:val="20"/>
              </w:rPr>
              <w:t>9</w:t>
            </w:r>
            <w:r w:rsidR="00267836" w:rsidRPr="00DD7C7F">
              <w:rPr>
                <w:sz w:val="20"/>
              </w:rPr>
              <w:t xml:space="preserve"> (avis de consultation)</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lang w:val="fr-CA"/>
              </w:rPr>
            </w:pPr>
            <w:r w:rsidRPr="00DD7C7F">
              <w:rPr>
                <w:sz w:val="20"/>
                <w:lang w:val="fr-CA"/>
              </w:rPr>
              <w:t xml:space="preserve">Violations du par. 27(2) de la </w:t>
            </w:r>
            <w:r w:rsidRPr="00DD7C7F">
              <w:rPr>
                <w:i/>
                <w:sz w:val="20"/>
                <w:lang w:val="fr-CA"/>
              </w:rPr>
              <w:t>Loi sur les télécommunications</w:t>
            </w:r>
            <w:r w:rsidRPr="00DD7C7F">
              <w:rPr>
                <w:sz w:val="20"/>
                <w:lang w:val="fr-CA"/>
              </w:rPr>
              <w:t>, L.C. 1983, ch. 38 déclarées à l’endroit d’Iristel Inc. et de Telus communications Inc. relativement aux numéros de téléphone de l’indicatif régional 867;</w:t>
            </w:r>
          </w:p>
          <w:p w:rsidR="00267836" w:rsidRPr="00DD7C7F" w:rsidRDefault="00267836" w:rsidP="00DC2914">
            <w:pPr>
              <w:jc w:val="both"/>
              <w:rPr>
                <w:sz w:val="20"/>
                <w:lang w:val="fr-CA"/>
              </w:rPr>
            </w:pPr>
            <w:r w:rsidRPr="00DD7C7F">
              <w:rPr>
                <w:sz w:val="20"/>
                <w:lang w:val="fr-CA"/>
              </w:rPr>
              <w:t>Publication de l’avis de consultation afin de déterminer la pertinence d’imposer des sanctions administratives pécuniaires.</w:t>
            </w:r>
          </w:p>
          <w:p w:rsidR="00267836" w:rsidRPr="00DD7C7F" w:rsidRDefault="00267836" w:rsidP="00DC2914">
            <w:pPr>
              <w:jc w:val="both"/>
              <w:rPr>
                <w:sz w:val="20"/>
                <w:lang w:val="fr-CA"/>
              </w:rPr>
            </w:pPr>
          </w:p>
        </w:tc>
      </w:tr>
      <w:tr w:rsidR="00267836" w:rsidRPr="00512056" w:rsidTr="00DC2914">
        <w:tc>
          <w:tcPr>
            <w:tcW w:w="2427" w:type="pct"/>
          </w:tcPr>
          <w:p w:rsidR="00267836" w:rsidRPr="00DD7C7F" w:rsidRDefault="00267836" w:rsidP="00DC2914">
            <w:pPr>
              <w:jc w:val="both"/>
              <w:rPr>
                <w:sz w:val="20"/>
                <w:lang w:val="fr-CA"/>
              </w:rPr>
            </w:pPr>
            <w:r w:rsidRPr="00DD7C7F">
              <w:rPr>
                <w:sz w:val="20"/>
                <w:lang w:val="fr-CA"/>
              </w:rPr>
              <w:t>Le 1</w:t>
            </w:r>
            <w:r w:rsidRPr="00DD7C7F">
              <w:rPr>
                <w:sz w:val="20"/>
                <w:vertAlign w:val="superscript"/>
                <w:lang w:val="fr-CA"/>
              </w:rPr>
              <w:t>er</w:t>
            </w:r>
            <w:r w:rsidRPr="00DD7C7F">
              <w:rPr>
                <w:sz w:val="20"/>
                <w:lang w:val="fr-CA"/>
              </w:rPr>
              <w:t xml:space="preserve"> décembre 2021 </w:t>
            </w:r>
          </w:p>
          <w:p w:rsidR="00267836" w:rsidRPr="00DD7C7F" w:rsidRDefault="00267836" w:rsidP="00DC2914">
            <w:pPr>
              <w:jc w:val="both"/>
              <w:rPr>
                <w:sz w:val="20"/>
                <w:lang w:val="fr-CA"/>
              </w:rPr>
            </w:pPr>
            <w:r w:rsidRPr="00DD7C7F">
              <w:rPr>
                <w:sz w:val="20"/>
                <w:lang w:val="fr-CA"/>
              </w:rPr>
              <w:t>Conseil de la radiodiffusion et des télécommunications canadiennes</w:t>
            </w:r>
          </w:p>
          <w:p w:rsidR="00267836" w:rsidRPr="00DD7C7F" w:rsidRDefault="00267836" w:rsidP="00DC2914">
            <w:pPr>
              <w:jc w:val="both"/>
              <w:rPr>
                <w:sz w:val="20"/>
              </w:rPr>
            </w:pPr>
            <w:r w:rsidRPr="00DD7C7F">
              <w:rPr>
                <w:sz w:val="20"/>
              </w:rPr>
              <w:t>(Le secrétaire général)</w:t>
            </w:r>
          </w:p>
          <w:p w:rsidR="00267836" w:rsidRPr="00DD7C7F" w:rsidRDefault="00512056" w:rsidP="00DC2914">
            <w:pPr>
              <w:jc w:val="both"/>
              <w:rPr>
                <w:sz w:val="20"/>
              </w:rPr>
            </w:pPr>
            <w:hyperlink r:id="rId51" w:history="1">
              <w:r w:rsidR="00267836" w:rsidRPr="00DD7C7F">
                <w:rPr>
                  <w:rStyle w:val="Hyperlink"/>
                  <w:sz w:val="20"/>
                </w:rPr>
                <w:t>CRTC 2021-397</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lang w:val="fr-CA"/>
              </w:rPr>
            </w:pPr>
            <w:r w:rsidRPr="00DD7C7F">
              <w:rPr>
                <w:sz w:val="20"/>
                <w:lang w:val="fr-CA"/>
              </w:rPr>
              <w:t xml:space="preserve">Demande de révision, de modification et de révocation de la décision de télécom 2020-268 et de l’avis de consultation de télécom 2020-269 </w:t>
            </w:r>
            <w:proofErr w:type="gramStart"/>
            <w:r w:rsidRPr="00DD7C7F">
              <w:rPr>
                <w:sz w:val="20"/>
                <w:lang w:val="fr-CA"/>
              </w:rPr>
              <w:t>refusée</w:t>
            </w:r>
            <w:proofErr w:type="gramEnd"/>
            <w:r w:rsidRPr="00DD7C7F">
              <w:rPr>
                <w:sz w:val="20"/>
                <w:lang w:val="fr-CA"/>
              </w:rPr>
              <w:t>.</w:t>
            </w:r>
          </w:p>
        </w:tc>
      </w:tr>
      <w:tr w:rsidR="00267836" w:rsidRPr="00512056" w:rsidTr="00DC2914">
        <w:tc>
          <w:tcPr>
            <w:tcW w:w="2427" w:type="pct"/>
          </w:tcPr>
          <w:p w:rsidR="00267836" w:rsidRPr="00DD7C7F" w:rsidRDefault="00267836" w:rsidP="00DC2914">
            <w:pPr>
              <w:jc w:val="both"/>
              <w:rPr>
                <w:sz w:val="20"/>
                <w:lang w:val="fr-CA"/>
              </w:rPr>
            </w:pPr>
            <w:r w:rsidRPr="00DD7C7F">
              <w:rPr>
                <w:sz w:val="20"/>
                <w:lang w:val="fr-CA"/>
              </w:rPr>
              <w:t>Le 7 mars 2022</w:t>
            </w:r>
          </w:p>
          <w:p w:rsidR="00267836" w:rsidRPr="00DD7C7F" w:rsidRDefault="00267836" w:rsidP="00DC2914">
            <w:pPr>
              <w:jc w:val="both"/>
              <w:rPr>
                <w:sz w:val="20"/>
                <w:lang w:val="fr-CA"/>
              </w:rPr>
            </w:pPr>
            <w:r w:rsidRPr="00DD7C7F">
              <w:rPr>
                <w:sz w:val="20"/>
                <w:lang w:val="fr-CA"/>
              </w:rPr>
              <w:t>Cour d’appel fédérale</w:t>
            </w:r>
          </w:p>
          <w:p w:rsidR="00267836" w:rsidRPr="00DD7C7F" w:rsidRDefault="00267836" w:rsidP="00DC2914">
            <w:pPr>
              <w:jc w:val="both"/>
              <w:rPr>
                <w:sz w:val="20"/>
                <w:lang w:val="fr-CA"/>
              </w:rPr>
            </w:pPr>
            <w:r w:rsidRPr="00DD7C7F">
              <w:rPr>
                <w:sz w:val="20"/>
                <w:lang w:val="fr-CA"/>
              </w:rPr>
              <w:t>(Les juges De Montigny, Rivoalen et Locke)</w:t>
            </w:r>
          </w:p>
          <w:p w:rsidR="00267836" w:rsidRPr="00DD7C7F" w:rsidRDefault="00267836" w:rsidP="00DC2914">
            <w:pPr>
              <w:jc w:val="both"/>
              <w:rPr>
                <w:sz w:val="20"/>
              </w:rPr>
            </w:pPr>
            <w:r w:rsidRPr="00DD7C7F">
              <w:rPr>
                <w:sz w:val="20"/>
              </w:rPr>
              <w:t>21-A-31 (non publié)</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lang w:val="fr-CA"/>
              </w:rPr>
            </w:pPr>
            <w:r w:rsidRPr="00DD7C7F">
              <w:rPr>
                <w:sz w:val="20"/>
                <w:lang w:val="fr-CA"/>
              </w:rPr>
              <w:t>Requête pour obtenir une autorisation d’en appeler rejetée.</w:t>
            </w:r>
          </w:p>
          <w:p w:rsidR="00267836" w:rsidRPr="00DD7C7F" w:rsidRDefault="00267836" w:rsidP="00DC2914">
            <w:pPr>
              <w:jc w:val="both"/>
              <w:rPr>
                <w:sz w:val="20"/>
                <w:lang w:val="fr-CA"/>
              </w:rPr>
            </w:pPr>
          </w:p>
        </w:tc>
      </w:tr>
      <w:tr w:rsidR="00267836" w:rsidRPr="00DD7C7F" w:rsidTr="00DC2914">
        <w:tc>
          <w:tcPr>
            <w:tcW w:w="2427" w:type="pct"/>
          </w:tcPr>
          <w:p w:rsidR="00267836" w:rsidRPr="00DD7C7F" w:rsidRDefault="00267836" w:rsidP="00DC2914">
            <w:pPr>
              <w:jc w:val="both"/>
              <w:rPr>
                <w:sz w:val="20"/>
                <w:lang w:val="fr-CA"/>
              </w:rPr>
            </w:pPr>
            <w:r w:rsidRPr="00DD7C7F">
              <w:rPr>
                <w:sz w:val="20"/>
                <w:lang w:val="fr-CA"/>
              </w:rPr>
              <w:t>Le 28 avril 2022</w:t>
            </w:r>
          </w:p>
          <w:p w:rsidR="00267836" w:rsidRPr="00DD7C7F" w:rsidRDefault="00267836" w:rsidP="00DC2914">
            <w:pPr>
              <w:jc w:val="both"/>
              <w:rPr>
                <w:sz w:val="20"/>
                <w:lang w:val="fr-CA"/>
              </w:rPr>
            </w:pPr>
            <w:r w:rsidRPr="00DD7C7F">
              <w:rPr>
                <w:sz w:val="20"/>
                <w:lang w:val="fr-CA"/>
              </w:rPr>
              <w:t>Cour suprême du Canada</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rPr>
            </w:pPr>
            <w:r w:rsidRPr="00DD7C7F">
              <w:rPr>
                <w:sz w:val="20"/>
              </w:rPr>
              <w:t>Demande d'autorisation d'appel déposée.</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66" style="width:2in;height:1pt" o:hrpct="0" o:hralign="center" o:hrstd="t" o:hrnoshade="t" o:hr="t" fillcolor="black [3213]" stroked="f"/>
        </w:pict>
      </w: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40228</w:t>
            </w:r>
          </w:p>
        </w:tc>
        <w:tc>
          <w:tcPr>
            <w:tcW w:w="4457" w:type="pct"/>
            <w:gridSpan w:val="3"/>
          </w:tcPr>
          <w:p w:rsidR="00267836" w:rsidRPr="00DD7C7F" w:rsidRDefault="00821C06" w:rsidP="00DC2914">
            <w:pPr>
              <w:pStyle w:val="SCCLsocParty"/>
              <w:jc w:val="both"/>
              <w:rPr>
                <w:b/>
                <w:sz w:val="20"/>
                <w:szCs w:val="20"/>
                <w:lang w:val="en-US"/>
              </w:rPr>
            </w:pPr>
            <w:r w:rsidRPr="00DD7C7F">
              <w:rPr>
                <w:b/>
                <w:sz w:val="20"/>
                <w:szCs w:val="20"/>
                <w:lang w:val="en-US"/>
              </w:rPr>
              <w:t>Ralph Peter Rieder zu Wallburg and ADMG Publishing Ltd.</w:t>
            </w:r>
            <w:r w:rsidR="00267836" w:rsidRPr="00DD7C7F">
              <w:rPr>
                <w:b/>
                <w:sz w:val="20"/>
                <w:szCs w:val="20"/>
                <w:lang w:val="en-US"/>
              </w:rPr>
              <w:t xml:space="preserve"> v. </w:t>
            </w:r>
            <w:r w:rsidRPr="00DD7C7F">
              <w:rPr>
                <w:b/>
                <w:sz w:val="20"/>
                <w:szCs w:val="20"/>
                <w:lang w:val="en-US"/>
              </w:rPr>
              <w:t>Plista Gmbh, Michel Gagnon, Stephanie Kohnert and Stefan Klimek</w:t>
            </w:r>
          </w:p>
          <w:p w:rsidR="00267836" w:rsidRPr="00DD7C7F" w:rsidRDefault="00267836" w:rsidP="00DC2914">
            <w:pPr>
              <w:jc w:val="both"/>
              <w:rPr>
                <w:sz w:val="20"/>
              </w:rPr>
            </w:pPr>
            <w:r w:rsidRPr="00DD7C7F">
              <w:rPr>
                <w:sz w:val="20"/>
              </w:rPr>
              <w:t>(Ont.) (Civil) (By Leave)</w:t>
            </w:r>
          </w:p>
        </w:tc>
      </w:tr>
      <w:tr w:rsidR="00B82D23" w:rsidRPr="00DD7C7F" w:rsidTr="00DC2914">
        <w:tc>
          <w:tcPr>
            <w:tcW w:w="5000" w:type="pct"/>
            <w:gridSpan w:val="4"/>
          </w:tcPr>
          <w:p w:rsidR="00821C06" w:rsidRPr="00DD7C7F" w:rsidRDefault="00821C06" w:rsidP="00821C06">
            <w:pPr>
              <w:jc w:val="both"/>
              <w:rPr>
                <w:sz w:val="20"/>
                <w:szCs w:val="20"/>
              </w:rPr>
            </w:pPr>
            <w:r w:rsidRPr="00DD7C7F">
              <w:rPr>
                <w:sz w:val="20"/>
                <w:szCs w:val="20"/>
              </w:rPr>
              <w:t>The motion for an extension of time to serve and file the application for leave to appeal is granted. The application for leave to appeal from the judgment of the Court of Appeal for Ontario, Number C69668, 2022 ONCA 281, dated April 8, 2022, is dismissed with costs.</w:t>
            </w:r>
          </w:p>
          <w:p w:rsidR="00B82D23" w:rsidRPr="00DD7C7F" w:rsidRDefault="00B82D23"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Courts — Jurisdiction — </w:t>
            </w:r>
            <w:r w:rsidRPr="00DD7C7F">
              <w:rPr>
                <w:i/>
                <w:sz w:val="20"/>
              </w:rPr>
              <w:t>Forum non conveniens</w:t>
            </w:r>
            <w:r w:rsidRPr="00DD7C7F">
              <w:rPr>
                <w:sz w:val="20"/>
              </w:rPr>
              <w:t xml:space="preserve"> — Motion judge determining that breach of contract claim was pleaded in tort and defamation to obtain jurisdictional advantage — Whether, in deciding motion to dismiss for lack of jurisdiction, court is bound by plaintiff’s characterization of an action</w:t>
            </w:r>
          </w:p>
        </w:tc>
      </w:tr>
      <w:tr w:rsidR="00267836" w:rsidRPr="00DD7C7F" w:rsidTr="00DC2914">
        <w:tc>
          <w:tcPr>
            <w:tcW w:w="5000" w:type="pct"/>
            <w:gridSpan w:val="4"/>
          </w:tcPr>
          <w:p w:rsidR="00267836" w:rsidRPr="00DD7C7F" w:rsidRDefault="00267836"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Applicant Ralph Peter Rieder zu Wallburg is the sole shareholder and president of the applicant corporation ADMG Publishing Ltd., which operates a network of websites (together, “Rieder and ADMG”). Respondent Plista GMBH (“Plista”) is a German corporation in the online advertising business; the individual respondents, Michel Gagnon, Stefanie Kohnert, and Stefan Klimek, are Plista employees working in Germany. </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In February 2019, ADMG entered into a contract to host Plista’s advertisements on its network of websites. Plista paid ADMG a monthly amount that varied depending on the number of times its advertisements were “clicked” by visitors. An essential term of the contract stipulated that the jurisdiction for dealing with contractual matters was Germany.</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 xml:space="preserve">In July 2020, Plista made allegations of fraud — suggesting that ADMG had fabricated the number of clicks on its advertisements — and terminated the contract. </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Rieder and ADMG brought an action before the Superior Court of Justice of Ontario alleging a variety of tortious conduct by the respondents. Plista and the individual respondents sought to have the claim dismissed for lack of jurisdiction, or stayed on the basis that Ontario was not the appropriate forum.</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A motion judge dismissed the claim for lack of jurisdiction. In the alternative, the motion judge held that Germany, and not Ontario, was the appropriate forum in which to conduct the litigation. The Court of Appeal upheld the motion judge’s decision.</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June 21, 2021</w:t>
            </w:r>
          </w:p>
          <w:p w:rsidR="00267836" w:rsidRPr="00DD7C7F" w:rsidRDefault="00267836" w:rsidP="00DC2914">
            <w:pPr>
              <w:jc w:val="both"/>
              <w:rPr>
                <w:sz w:val="20"/>
              </w:rPr>
            </w:pPr>
            <w:r w:rsidRPr="00DD7C7F">
              <w:rPr>
                <w:sz w:val="20"/>
              </w:rPr>
              <w:t>Ontario Superior Court of Justice</w:t>
            </w:r>
          </w:p>
          <w:p w:rsidR="00267836" w:rsidRPr="00DD7C7F" w:rsidRDefault="00267836" w:rsidP="00DC2914">
            <w:pPr>
              <w:jc w:val="both"/>
              <w:rPr>
                <w:sz w:val="20"/>
              </w:rPr>
            </w:pPr>
            <w:r w:rsidRPr="00DD7C7F">
              <w:rPr>
                <w:sz w:val="20"/>
              </w:rPr>
              <w:t>(Edwards J.)</w:t>
            </w:r>
          </w:p>
          <w:p w:rsidR="00267836" w:rsidRPr="00DD7C7F" w:rsidRDefault="00512056" w:rsidP="00DC2914">
            <w:pPr>
              <w:jc w:val="both"/>
              <w:rPr>
                <w:sz w:val="20"/>
              </w:rPr>
            </w:pPr>
            <w:hyperlink r:id="rId52" w:history="1">
              <w:r w:rsidR="00267836" w:rsidRPr="00DD7C7F">
                <w:rPr>
                  <w:rStyle w:val="Hyperlink"/>
                  <w:sz w:val="20"/>
                </w:rPr>
                <w:t>2021 ONSC 4458</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Motion to dismiss the action granted.</w:t>
            </w:r>
          </w:p>
          <w:p w:rsidR="00267836" w:rsidRPr="00DD7C7F" w:rsidRDefault="00267836" w:rsidP="00DC2914">
            <w:pPr>
              <w:jc w:val="both"/>
              <w:rPr>
                <w:sz w:val="20"/>
              </w:rPr>
            </w:pP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April 8, 2022</w:t>
            </w:r>
          </w:p>
          <w:p w:rsidR="00267836" w:rsidRPr="00DD7C7F" w:rsidRDefault="00267836" w:rsidP="00DC2914">
            <w:pPr>
              <w:jc w:val="both"/>
              <w:rPr>
                <w:sz w:val="20"/>
              </w:rPr>
            </w:pPr>
            <w:r w:rsidRPr="00DD7C7F">
              <w:rPr>
                <w:sz w:val="20"/>
              </w:rPr>
              <w:t>Court of Appeal for Ontario</w:t>
            </w:r>
          </w:p>
          <w:p w:rsidR="00267836" w:rsidRPr="00DD7C7F" w:rsidRDefault="00267836" w:rsidP="00DC2914">
            <w:pPr>
              <w:jc w:val="both"/>
              <w:rPr>
                <w:sz w:val="20"/>
              </w:rPr>
            </w:pPr>
            <w:r w:rsidRPr="00DD7C7F">
              <w:rPr>
                <w:sz w:val="20"/>
              </w:rPr>
              <w:t>(Doherty, Huscroft and Young JJ.A.)</w:t>
            </w:r>
          </w:p>
          <w:p w:rsidR="00267836" w:rsidRPr="00DD7C7F" w:rsidRDefault="00512056" w:rsidP="00DC2914">
            <w:pPr>
              <w:jc w:val="both"/>
              <w:rPr>
                <w:sz w:val="20"/>
              </w:rPr>
            </w:pPr>
            <w:hyperlink r:id="rId53" w:history="1">
              <w:r w:rsidR="00267836" w:rsidRPr="00DD7C7F">
                <w:rPr>
                  <w:rStyle w:val="Hyperlink"/>
                  <w:sz w:val="20"/>
                </w:rPr>
                <w:t>2022 ONCA 281</w:t>
              </w:r>
            </w:hyperlink>
            <w:r w:rsidR="00267836" w:rsidRPr="00DD7C7F">
              <w:rPr>
                <w:sz w:val="20"/>
              </w:rPr>
              <w:t>; C69668</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 xml:space="preserve">Appeal dismissed. </w:t>
            </w:r>
          </w:p>
          <w:p w:rsidR="00267836" w:rsidRPr="00DD7C7F" w:rsidRDefault="00267836" w:rsidP="00DC2914">
            <w:pPr>
              <w:jc w:val="both"/>
              <w:rPr>
                <w:sz w:val="20"/>
              </w:rPr>
            </w:pP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June 8, 2022</w:t>
            </w:r>
          </w:p>
          <w:p w:rsidR="00267836" w:rsidRPr="00DD7C7F" w:rsidRDefault="00267836" w:rsidP="00DC2914">
            <w:pPr>
              <w:jc w:val="both"/>
              <w:rPr>
                <w:sz w:val="20"/>
              </w:rPr>
            </w:pPr>
            <w:r w:rsidRPr="00DD7C7F">
              <w:rPr>
                <w:sz w:val="20"/>
              </w:rPr>
              <w:t>Supreme Court of Canada</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Motion for extension of time to serve and file application for leave to appeal and Application for leave to appeal filed.</w:t>
            </w: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67" style="width:2in;height:1pt" o:hrpct="0" o:hralign="center" o:hrstd="t" o:hrnoshade="t" o:hr="t" fillcolor="black [3213]" stroked="f"/>
        </w:pict>
      </w:r>
    </w:p>
    <w:p w:rsidR="00267836" w:rsidRPr="00DD7C7F" w:rsidRDefault="00267836" w:rsidP="00267836">
      <w:pPr>
        <w:jc w:val="both"/>
        <w:rPr>
          <w:sz w:val="20"/>
        </w:rPr>
      </w:pPr>
    </w:p>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40228</w:t>
            </w:r>
          </w:p>
        </w:tc>
        <w:tc>
          <w:tcPr>
            <w:tcW w:w="4457" w:type="pct"/>
            <w:gridSpan w:val="3"/>
          </w:tcPr>
          <w:p w:rsidR="00267836" w:rsidRPr="00DD7C7F" w:rsidRDefault="00821C06" w:rsidP="00821C06">
            <w:pPr>
              <w:pStyle w:val="SCCLsocParty"/>
              <w:jc w:val="both"/>
              <w:rPr>
                <w:b/>
                <w:sz w:val="20"/>
                <w:szCs w:val="20"/>
              </w:rPr>
            </w:pPr>
            <w:r w:rsidRPr="00DD7C7F">
              <w:rPr>
                <w:b/>
                <w:sz w:val="20"/>
                <w:szCs w:val="20"/>
              </w:rPr>
              <w:t>Ralph Peter Rieder zu Wallburg et ADMG Publishing Ltd.</w:t>
            </w:r>
            <w:r w:rsidR="00267836" w:rsidRPr="00DD7C7F">
              <w:rPr>
                <w:b/>
                <w:sz w:val="20"/>
                <w:szCs w:val="20"/>
              </w:rPr>
              <w:t xml:space="preserve"> c. </w:t>
            </w:r>
            <w:r w:rsidRPr="00DD7C7F">
              <w:rPr>
                <w:b/>
                <w:sz w:val="20"/>
                <w:szCs w:val="20"/>
              </w:rPr>
              <w:t>Plista Gmbh, Michel Gagnon, Stephanie Kohnert et Stefan Klimek</w:t>
            </w:r>
          </w:p>
          <w:p w:rsidR="00267836" w:rsidRPr="00DD7C7F" w:rsidRDefault="00267836" w:rsidP="00DC2914">
            <w:pPr>
              <w:jc w:val="both"/>
              <w:rPr>
                <w:sz w:val="20"/>
                <w:lang w:val="fr-CA"/>
              </w:rPr>
            </w:pPr>
            <w:r w:rsidRPr="00DD7C7F">
              <w:rPr>
                <w:sz w:val="20"/>
                <w:lang w:val="fr-CA"/>
              </w:rPr>
              <w:t>(Ont.) (Civile) (Sur autorisation)</w:t>
            </w:r>
          </w:p>
        </w:tc>
      </w:tr>
      <w:tr w:rsidR="00B82D23" w:rsidRPr="00512056" w:rsidTr="00DC2914">
        <w:tc>
          <w:tcPr>
            <w:tcW w:w="5000" w:type="pct"/>
            <w:gridSpan w:val="4"/>
          </w:tcPr>
          <w:p w:rsidR="00B82D23" w:rsidRPr="00DD7C7F" w:rsidRDefault="00821C06" w:rsidP="00DC2914">
            <w:pPr>
              <w:jc w:val="both"/>
              <w:rPr>
                <w:sz w:val="20"/>
                <w:szCs w:val="20"/>
                <w:lang w:val="fr-CA"/>
              </w:rPr>
            </w:pPr>
            <w:r w:rsidRPr="00DD7C7F">
              <w:rPr>
                <w:sz w:val="20"/>
                <w:szCs w:val="20"/>
                <w:lang w:val="fr-CA"/>
              </w:rPr>
              <w:t>La requête en prorogation du délai de signification et de dépôt de la demande d’autorisation d’appel est accueillie. La demande d’autorisation d’appel de l’arrêt de la Cour d’appel de l’Ontario, numéro C69668, 2022 ONCA 281, daté du 8 avril 2022, est rejetée avec dépens.</w:t>
            </w:r>
          </w:p>
          <w:p w:rsidR="00821C06" w:rsidRPr="00DD7C7F" w:rsidRDefault="00821C0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 xml:space="preserve">Tribunaux — Compétence — </w:t>
            </w:r>
            <w:r w:rsidRPr="00DD7C7F">
              <w:rPr>
                <w:i/>
                <w:sz w:val="20"/>
                <w:lang w:val="fr-CA"/>
              </w:rPr>
              <w:t>Forum non conveniens</w:t>
            </w:r>
            <w:r w:rsidRPr="00DD7C7F">
              <w:rPr>
                <w:sz w:val="20"/>
                <w:lang w:val="fr-CA"/>
              </w:rPr>
              <w:t xml:space="preserve"> — Le juge saisi de la motion a conclu que l’action visant la rupture de contrat a été intentée en alléguant la responsabilité délictuelle et la diffamation afin d’obtenir un avantage sur le plan de la compétence — Lorsqu’un tribunal doit trancher une motion en rejet pour défaut de compétence, est-il lié par la caractérisation faite de l’action par le demandeur?</w:t>
            </w:r>
          </w:p>
        </w:tc>
      </w:tr>
      <w:tr w:rsidR="00267836" w:rsidRPr="00512056" w:rsidTr="00DC2914">
        <w:tc>
          <w:tcPr>
            <w:tcW w:w="5000" w:type="pct"/>
            <w:gridSpan w:val="4"/>
          </w:tcPr>
          <w:p w:rsidR="00267836" w:rsidRPr="00DD7C7F" w:rsidRDefault="00267836"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 xml:space="preserve">Le demandeur, Ralph Peter Rieder zu Wallburg, est l’unique actionnaire et président de la société demanderesse ADMG Publishing Ltd., qui exploite un réseau de sites Web (conjointement, « Rieder et ADMG »). L’intimée, Plista GMBH (« Plista ») est une société allemande qui œuvre dans le domaine des annonces publicitaires en ligne; les individus intimés, Michel Gagnon, Stefanie Kohnert et Stefan Klimek, sont des employés de Plista qui travaillent en Allemagne. </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En février 2019, ADMG a conclu un contrat avec Plista en vue d'héberger les annonces publicitaires de cette dernière sur son réseau de sites Web. Plista versait des frais mensuels à ADMG qui variaient en fonction du nombre de fois que les visiteurs « cliquaient » sur ses annonces. Une condition essentielle du contrat stipulait que l’Allemagne était le ressort compétent pour traiter des questions contractuelles.</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En juillet 2020, Plista a allégué des actes de fraude — prétendant qu’ADMG avait inventé le nombre de clics qu’il y avait eu relativement à ses annonces — et a résilié le contrat.</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Rieder et ADMG ont intenté une action devant la Cour supérieure de justice de l’Ontario alléguant que les intimés s’étaient livrés à diverses conduites délictueuses. Plista et les individus intimés ont demandé le rejet de l’action pour défaut de compétence, ou la suspension de celle-ci au motif que l’Ontario n’était pas le ressort compétent pour trancher cette action.</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Le juge saisi de la motion a rejeté l’action pour défaut de compétence. Subsidiairement, il a conclu que l’Allemagne, et non l’Ontario, était le ressort approprié pour engager le litige. La Cour d’appel a confirmé la décision du juge saisi de la motion.</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21 juin 2021</w:t>
            </w:r>
          </w:p>
          <w:p w:rsidR="00267836" w:rsidRPr="00DD7C7F" w:rsidRDefault="00267836" w:rsidP="00DC2914">
            <w:pPr>
              <w:jc w:val="both"/>
              <w:rPr>
                <w:sz w:val="20"/>
                <w:lang w:val="fr-CA"/>
              </w:rPr>
            </w:pPr>
            <w:r w:rsidRPr="00DD7C7F">
              <w:rPr>
                <w:sz w:val="20"/>
                <w:lang w:val="fr-CA"/>
              </w:rPr>
              <w:t>Cour supérieure de justice de l’Ontario</w:t>
            </w:r>
          </w:p>
          <w:p w:rsidR="00267836" w:rsidRPr="00DD7C7F" w:rsidRDefault="00267836" w:rsidP="00DC2914">
            <w:pPr>
              <w:jc w:val="both"/>
              <w:rPr>
                <w:sz w:val="20"/>
                <w:lang w:val="fr-CA"/>
              </w:rPr>
            </w:pPr>
            <w:r w:rsidRPr="00DD7C7F">
              <w:rPr>
                <w:sz w:val="20"/>
                <w:lang w:val="fr-CA"/>
              </w:rPr>
              <w:t>(juge Edwards)</w:t>
            </w:r>
          </w:p>
          <w:p w:rsidR="00267836" w:rsidRPr="00DD7C7F" w:rsidRDefault="00512056" w:rsidP="00DC2914">
            <w:pPr>
              <w:jc w:val="both"/>
              <w:rPr>
                <w:sz w:val="20"/>
                <w:lang w:val="fr-CA"/>
              </w:rPr>
            </w:pPr>
            <w:hyperlink r:id="rId54" w:history="1">
              <w:r w:rsidR="00267836" w:rsidRPr="00DD7C7F">
                <w:rPr>
                  <w:rStyle w:val="Hyperlink"/>
                  <w:sz w:val="20"/>
                  <w:lang w:val="fr-CA"/>
                </w:rPr>
                <w:t>2021 ONSC 4458</w:t>
              </w:r>
            </w:hyperlink>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motion en rejet de l’action est accueillie.</w:t>
            </w:r>
          </w:p>
          <w:p w:rsidR="00267836" w:rsidRPr="00DD7C7F" w:rsidRDefault="00267836" w:rsidP="00DC2914">
            <w:pPr>
              <w:jc w:val="both"/>
              <w:rPr>
                <w:sz w:val="20"/>
                <w:lang w:val="fr-CA"/>
              </w:rPr>
            </w:pPr>
          </w:p>
          <w:p w:rsidR="00267836" w:rsidRPr="00DD7C7F" w:rsidRDefault="00267836" w:rsidP="00DC2914">
            <w:pPr>
              <w:jc w:val="both"/>
              <w:rPr>
                <w:sz w:val="20"/>
                <w:lang w:val="fr-CA"/>
              </w:rPr>
            </w:pPr>
          </w:p>
        </w:tc>
      </w:tr>
      <w:tr w:rsidR="00267836" w:rsidRPr="00DD7C7F" w:rsidTr="00DC2914">
        <w:tc>
          <w:tcPr>
            <w:tcW w:w="2427" w:type="pct"/>
            <w:gridSpan w:val="2"/>
          </w:tcPr>
          <w:p w:rsidR="00267836" w:rsidRPr="00DD7C7F" w:rsidRDefault="00267836" w:rsidP="00DC2914">
            <w:pPr>
              <w:jc w:val="both"/>
              <w:rPr>
                <w:sz w:val="20"/>
                <w:lang w:val="fr-CA"/>
              </w:rPr>
            </w:pPr>
            <w:r w:rsidRPr="00DD7C7F">
              <w:rPr>
                <w:sz w:val="20"/>
                <w:lang w:val="fr-CA"/>
              </w:rPr>
              <w:t>8 avril 2022</w:t>
            </w:r>
          </w:p>
          <w:p w:rsidR="00267836" w:rsidRPr="00DD7C7F" w:rsidRDefault="00267836" w:rsidP="00DC2914">
            <w:pPr>
              <w:jc w:val="both"/>
              <w:rPr>
                <w:sz w:val="20"/>
                <w:lang w:val="fr-CA"/>
              </w:rPr>
            </w:pPr>
            <w:r w:rsidRPr="00DD7C7F">
              <w:rPr>
                <w:sz w:val="20"/>
                <w:lang w:val="fr-CA"/>
              </w:rPr>
              <w:t>Cour d’appel de l’Ontario</w:t>
            </w:r>
          </w:p>
          <w:p w:rsidR="00267836" w:rsidRPr="00DD7C7F" w:rsidRDefault="00267836" w:rsidP="00DC2914">
            <w:pPr>
              <w:jc w:val="both"/>
              <w:rPr>
                <w:sz w:val="20"/>
                <w:lang w:val="fr-CA"/>
              </w:rPr>
            </w:pPr>
            <w:r w:rsidRPr="00DD7C7F">
              <w:rPr>
                <w:sz w:val="20"/>
                <w:lang w:val="fr-CA"/>
              </w:rPr>
              <w:t>(juges Doherty, Huscroft et Young)</w:t>
            </w:r>
          </w:p>
          <w:p w:rsidR="00267836" w:rsidRPr="00DD7C7F" w:rsidRDefault="00512056" w:rsidP="00DC2914">
            <w:pPr>
              <w:jc w:val="both"/>
              <w:rPr>
                <w:sz w:val="20"/>
                <w:lang w:val="fr-CA"/>
              </w:rPr>
            </w:pPr>
            <w:hyperlink r:id="rId55" w:history="1">
              <w:r w:rsidR="00267836" w:rsidRPr="00DD7C7F">
                <w:rPr>
                  <w:rStyle w:val="Hyperlink"/>
                  <w:sz w:val="20"/>
                  <w:lang w:val="fr-CA"/>
                </w:rPr>
                <w:t>2022 ONCA 281</w:t>
              </w:r>
            </w:hyperlink>
            <w:r w:rsidR="00267836" w:rsidRPr="00DD7C7F">
              <w:rPr>
                <w:sz w:val="20"/>
                <w:lang w:val="fr-CA"/>
              </w:rPr>
              <w:t>; C69668</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 xml:space="preserve">L’appel est rejeté. </w:t>
            </w:r>
          </w:p>
          <w:p w:rsidR="00267836" w:rsidRPr="00DD7C7F" w:rsidRDefault="00267836" w:rsidP="00DC2914">
            <w:pPr>
              <w:jc w:val="both"/>
              <w:rPr>
                <w:sz w:val="20"/>
                <w:lang w:val="fr-CA"/>
              </w:rPr>
            </w:pP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8 juin 2022</w:t>
            </w:r>
          </w:p>
          <w:p w:rsidR="00267836" w:rsidRPr="00DD7C7F" w:rsidRDefault="00267836" w:rsidP="00DC2914">
            <w:pPr>
              <w:jc w:val="both"/>
              <w:rPr>
                <w:sz w:val="20"/>
                <w:lang w:val="fr-CA"/>
              </w:rPr>
            </w:pPr>
            <w:r w:rsidRPr="00DD7C7F">
              <w:rPr>
                <w:sz w:val="20"/>
                <w:lang w:val="fr-CA"/>
              </w:rPr>
              <w:t>Cour suprême du Canada</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 requête en prorogation du délai de signification et de dépôt de la demande d’autorisation d’appel et la demande d’autorisation d’appel sont présentées.</w:t>
            </w:r>
          </w:p>
        </w:tc>
      </w:tr>
    </w:tbl>
    <w:p w:rsidR="00267836" w:rsidRPr="00DD7C7F" w:rsidRDefault="00267836" w:rsidP="00267836">
      <w:pPr>
        <w:jc w:val="both"/>
        <w:rPr>
          <w:sz w:val="20"/>
          <w:lang w:val="fr-CA"/>
        </w:rPr>
      </w:pPr>
    </w:p>
    <w:p w:rsidR="00267836" w:rsidRPr="00DD7C7F" w:rsidRDefault="00512056" w:rsidP="00267836">
      <w:pPr>
        <w:jc w:val="both"/>
        <w:rPr>
          <w:sz w:val="20"/>
          <w:lang w:val="fr-CA"/>
        </w:rPr>
      </w:pPr>
      <w:r>
        <w:rPr>
          <w:sz w:val="20"/>
        </w:rPr>
        <w:pict>
          <v:rect id="_x0000_i1068" style="width:2in;height:1pt" o:hrpct="0" o:hralign="center" o:hrstd="t" o:hrnoshade="t" o:hr="t" fillcolor="black [3213]" stroked="f"/>
        </w:pict>
      </w:r>
    </w:p>
    <w:p w:rsidR="00267836" w:rsidRPr="00DD7C7F" w:rsidRDefault="00267836" w:rsidP="00267836">
      <w:pPr>
        <w:widowControl w:val="0"/>
        <w:jc w:val="both"/>
        <w:rPr>
          <w:sz w:val="20"/>
          <w:lang w:val="fr-CA"/>
        </w:rPr>
      </w:pPr>
    </w:p>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40165</w:t>
            </w:r>
          </w:p>
        </w:tc>
        <w:tc>
          <w:tcPr>
            <w:tcW w:w="4457" w:type="pct"/>
            <w:gridSpan w:val="3"/>
          </w:tcPr>
          <w:p w:rsidR="00267836" w:rsidRPr="00DD7C7F" w:rsidRDefault="00267836" w:rsidP="00DC2914">
            <w:pPr>
              <w:pStyle w:val="SCCLsocParty"/>
              <w:jc w:val="both"/>
              <w:rPr>
                <w:b/>
                <w:sz w:val="20"/>
                <w:szCs w:val="20"/>
                <w:lang w:val="en-US"/>
              </w:rPr>
            </w:pPr>
            <w:r w:rsidRPr="00DD7C7F">
              <w:rPr>
                <w:b/>
                <w:sz w:val="20"/>
                <w:szCs w:val="20"/>
                <w:lang w:val="en-US"/>
              </w:rPr>
              <w:t>Robin Cliff v. His Majesty the King</w:t>
            </w:r>
          </w:p>
          <w:p w:rsidR="00267836" w:rsidRPr="00DD7C7F" w:rsidRDefault="00267836" w:rsidP="00DC2914">
            <w:pPr>
              <w:jc w:val="both"/>
              <w:rPr>
                <w:sz w:val="20"/>
              </w:rPr>
            </w:pPr>
            <w:r w:rsidRPr="00DD7C7F">
              <w:rPr>
                <w:sz w:val="20"/>
              </w:rPr>
              <w:t>(F.C.) (Civil) (By Leave)</w:t>
            </w:r>
          </w:p>
        </w:tc>
      </w:tr>
      <w:tr w:rsidR="00B82D23" w:rsidRPr="00DD7C7F" w:rsidTr="00DC2914">
        <w:tc>
          <w:tcPr>
            <w:tcW w:w="5000" w:type="pct"/>
            <w:gridSpan w:val="4"/>
          </w:tcPr>
          <w:p w:rsidR="00C461F4" w:rsidRPr="00DD7C7F" w:rsidRDefault="00C461F4" w:rsidP="00C461F4">
            <w:pPr>
              <w:jc w:val="both"/>
              <w:rPr>
                <w:sz w:val="20"/>
                <w:szCs w:val="20"/>
              </w:rPr>
            </w:pPr>
            <w:r w:rsidRPr="00DD7C7F">
              <w:rPr>
                <w:sz w:val="20"/>
                <w:szCs w:val="20"/>
              </w:rPr>
              <w:t>The motion to join two Federal Court of Appeal file numbers under one application for leave to appeal is granted. The application for leave to appeal from the judgments of the Federal Court of Appeal, Numbers A-265-19 and A-266-19, 2022 FCA 16, dated February 1, 2022, is dismissed with costs.</w:t>
            </w:r>
          </w:p>
          <w:p w:rsidR="00B82D23" w:rsidRPr="00DD7C7F" w:rsidRDefault="00B82D23"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Commercial law — Corporations – Directors — Liability — Director of company intending to resign from her position shortly after her appointment as director — What are the precise documentary requirements of a “written resignation” for the purposes of the </w:t>
            </w:r>
            <w:r w:rsidRPr="00DD7C7F">
              <w:rPr>
                <w:i/>
                <w:sz w:val="20"/>
              </w:rPr>
              <w:t>Ontario</w:t>
            </w:r>
            <w:r w:rsidRPr="00DD7C7F">
              <w:rPr>
                <w:sz w:val="20"/>
              </w:rPr>
              <w:t xml:space="preserve"> </w:t>
            </w:r>
            <w:r w:rsidRPr="00DD7C7F">
              <w:rPr>
                <w:i/>
                <w:sz w:val="20"/>
              </w:rPr>
              <w:t>Business Corporations Act</w:t>
            </w:r>
            <w:r w:rsidRPr="00DD7C7F">
              <w:rPr>
                <w:sz w:val="20"/>
              </w:rPr>
              <w:t xml:space="preserve">, </w:t>
            </w:r>
            <w:hyperlink r:id="rId56" w:history="1">
              <w:r w:rsidRPr="00DD7C7F">
                <w:rPr>
                  <w:rStyle w:val="Hyperlink"/>
                  <w:sz w:val="20"/>
                </w:rPr>
                <w:t>R.S.O. 1990, c. B.16</w:t>
              </w:r>
            </w:hyperlink>
            <w:r w:rsidRPr="00DD7C7F">
              <w:rPr>
                <w:sz w:val="20"/>
              </w:rPr>
              <w:t xml:space="preserve"> or similar legislation? — What are the precise requirements for such a resignation to be “received by the corporation”?</w:t>
            </w:r>
          </w:p>
        </w:tc>
      </w:tr>
      <w:tr w:rsidR="00267836" w:rsidRPr="00DD7C7F" w:rsidTr="00DC2914">
        <w:tc>
          <w:tcPr>
            <w:tcW w:w="5000" w:type="pct"/>
            <w:gridSpan w:val="4"/>
          </w:tcPr>
          <w:p w:rsidR="00267836" w:rsidRPr="00DD7C7F" w:rsidRDefault="00267836" w:rsidP="00DC2914">
            <w:pPr>
              <w:jc w:val="both"/>
              <w:rPr>
                <w:sz w:val="20"/>
              </w:rPr>
            </w:pPr>
          </w:p>
          <w:p w:rsidR="00267836" w:rsidRPr="00DD7C7F" w:rsidRDefault="00267836" w:rsidP="00DC2914">
            <w:pPr>
              <w:jc w:val="both"/>
              <w:rPr>
                <w:sz w:val="20"/>
              </w:rPr>
            </w:pPr>
            <w:r w:rsidRPr="00DD7C7F">
              <w:rPr>
                <w:sz w:val="20"/>
              </w:rPr>
              <w:t>In 2001, the applicant’s husband directed his accountant to incorporate a company on his behalf. The accountant incorporated Cliff Crucibles Inc. under the</w:t>
            </w:r>
            <w:hyperlink r:id="rId57" w:history="1"/>
            <w:r w:rsidRPr="00DD7C7F">
              <w:rPr>
                <w:rStyle w:val="Hyperlink"/>
                <w:sz w:val="20"/>
              </w:rPr>
              <w:t xml:space="preserve"> </w:t>
            </w:r>
            <w:hyperlink r:id="rId58" w:history="1">
              <w:r w:rsidRPr="00DD7C7F">
                <w:rPr>
                  <w:rStyle w:val="Hyperlink"/>
                  <w:i/>
                  <w:iCs/>
                  <w:sz w:val="20"/>
                </w:rPr>
                <w:t>Business Corporations Act, </w:t>
              </w:r>
            </w:hyperlink>
            <w:hyperlink r:id="rId59" w:history="1">
              <w:r w:rsidRPr="00DD7C7F">
                <w:rPr>
                  <w:rStyle w:val="Hyperlink"/>
                  <w:sz w:val="20"/>
                </w:rPr>
                <w:t>R.S.O. 1990, c. B.16</w:t>
              </w:r>
            </w:hyperlink>
            <w:r w:rsidRPr="00DD7C7F">
              <w:rPr>
                <w:sz w:val="20"/>
              </w:rPr>
              <w:t xml:space="preserve">. Mr. and Ms. Cliff were the shareholders of the corporation, and appointed themselves as the corporation’s directors effective May 18, 2001. From the outset, however, Ms. Cliff was adamant that she was only willing to be a director on a temporary basis and that on the day she signed documentation to become a director, she told Mr. Cliff that she wanted to be removed as a director. Mr. Cliff asked the accountant to remove the applicant as a director of the corporation. A </w:t>
            </w:r>
            <w:r w:rsidRPr="00DD7C7F">
              <w:rPr>
                <w:rStyle w:val="citationcar"/>
                <w:sz w:val="20"/>
              </w:rPr>
              <w:t>“Form 1 — Initial Return/Notice of Change” was prepared by the accountant’s office.</w:t>
            </w:r>
            <w:r w:rsidRPr="00DD7C7F">
              <w:rPr>
                <w:sz w:val="20"/>
              </w:rPr>
              <w:t xml:space="preserve"> The document stated that Ms. Cliff’s directorship started on September 4, 2003 and ceased on December 12, 2003. A copy was placed in the corporation’s minute book. The Form 1 was then submitted to the Ontario Ministry of Consumer and Commercial Relations. There was no explanation for the discrepancy between the date of Ms. Cliff’s appointment on Form 1 and the </w:t>
            </w:r>
            <w:hyperlink r:id="rId60" w:history="1">
              <w:r w:rsidRPr="00DD7C7F">
                <w:rPr>
                  <w:rStyle w:val="Hyperlink"/>
                  <w:i/>
                  <w:sz w:val="20"/>
                </w:rPr>
                <w:t>OBCA</w:t>
              </w:r>
            </w:hyperlink>
            <w:r w:rsidRPr="00DD7C7F">
              <w:rPr>
                <w:sz w:val="20"/>
              </w:rPr>
              <w:t xml:space="preserve"> public registry which reflected the date of the resolution in the minute book. No written resignation was received by the corporation. Cliff Crucibles Inc. was dissolved in 2013, at which time it had outstanding tax liabilities under the </w:t>
            </w:r>
            <w:hyperlink r:id="rId61" w:history="1">
              <w:r w:rsidRPr="00DD7C7F">
                <w:rPr>
                  <w:rStyle w:val="Hyperlink"/>
                  <w:i/>
                  <w:iCs/>
                  <w:sz w:val="20"/>
                </w:rPr>
                <w:t>Excise Tax Act</w:t>
              </w:r>
            </w:hyperlink>
            <w:hyperlink r:id="rId62" w:history="1"/>
            <w:r w:rsidRPr="00DD7C7F">
              <w:rPr>
                <w:rStyle w:val="Hyperlink"/>
                <w:sz w:val="20"/>
              </w:rPr>
              <w:t xml:space="preserve"> </w:t>
            </w:r>
            <w:hyperlink r:id="rId63" w:history="1">
              <w:r w:rsidRPr="00DD7C7F">
                <w:rPr>
                  <w:rStyle w:val="Hyperlink"/>
                  <w:sz w:val="20"/>
                </w:rPr>
                <w:t>R.S.C., 1985, c. E-15</w:t>
              </w:r>
            </w:hyperlink>
            <w:r w:rsidRPr="00DD7C7F">
              <w:rPr>
                <w:sz w:val="20"/>
              </w:rPr>
              <w:t xml:space="preserve"> (“</w:t>
            </w:r>
            <w:hyperlink r:id="rId64" w:history="1">
              <w:r w:rsidRPr="00DD7C7F">
                <w:rPr>
                  <w:rStyle w:val="Hyperlink"/>
                  <w:i/>
                  <w:sz w:val="20"/>
                </w:rPr>
                <w:t>ETA</w:t>
              </w:r>
            </w:hyperlink>
            <w:r w:rsidRPr="00DD7C7F">
              <w:rPr>
                <w:sz w:val="20"/>
              </w:rPr>
              <w:t>”) and the</w:t>
            </w:r>
            <w:r w:rsidRPr="00DD7C7F">
              <w:rPr>
                <w:rStyle w:val="Emphasis"/>
                <w:sz w:val="20"/>
              </w:rPr>
              <w:t xml:space="preserve"> </w:t>
            </w:r>
            <w:hyperlink r:id="rId65" w:history="1">
              <w:r w:rsidRPr="00DD7C7F">
                <w:rPr>
                  <w:rStyle w:val="Hyperlink"/>
                  <w:i/>
                  <w:iCs/>
                  <w:sz w:val="20"/>
                </w:rPr>
                <w:t>Income Tax Act</w:t>
              </w:r>
            </w:hyperlink>
            <w:hyperlink r:id="rId66" w:history="1">
              <w:r w:rsidRPr="00DD7C7F">
                <w:rPr>
                  <w:rStyle w:val="Hyperlink"/>
                  <w:sz w:val="20"/>
                </w:rPr>
                <w:t>, R.S.C., 1985, c. 1 (5th Supp</w:t>
              </w:r>
            </w:hyperlink>
            <w:r w:rsidRPr="00DD7C7F">
              <w:rPr>
                <w:sz w:val="20"/>
              </w:rPr>
              <w:t>.) (“</w:t>
            </w:r>
            <w:r w:rsidRPr="00DD7C7F">
              <w:rPr>
                <w:i/>
                <w:sz w:val="20"/>
              </w:rPr>
              <w:t>ITA</w:t>
            </w:r>
            <w:r w:rsidRPr="00DD7C7F">
              <w:rPr>
                <w:sz w:val="20"/>
              </w:rPr>
              <w:t xml:space="preserve">”). The Minister of National Revenue assessed Ms. Cliff and Mr. Cliff, as directors of Cliff Crucibles Inc., for unremitted net tax under the </w:t>
            </w:r>
            <w:hyperlink r:id="rId67" w:history="1">
              <w:r w:rsidRPr="00DD7C7F">
                <w:rPr>
                  <w:rStyle w:val="Hyperlink"/>
                  <w:i/>
                  <w:sz w:val="20"/>
                </w:rPr>
                <w:t>ETA</w:t>
              </w:r>
            </w:hyperlink>
            <w:r w:rsidRPr="00DD7C7F">
              <w:rPr>
                <w:i/>
                <w:sz w:val="20"/>
              </w:rPr>
              <w:t xml:space="preserve"> </w:t>
            </w:r>
            <w:r w:rsidRPr="00DD7C7F">
              <w:rPr>
                <w:sz w:val="20"/>
              </w:rPr>
              <w:t xml:space="preserve">and for the unremitted source deductions under the </w:t>
            </w:r>
            <w:hyperlink r:id="rId68" w:history="1">
              <w:r w:rsidRPr="00DD7C7F">
                <w:rPr>
                  <w:rStyle w:val="Hyperlink"/>
                  <w:i/>
                  <w:sz w:val="20"/>
                </w:rPr>
                <w:t>ITA</w:t>
              </w:r>
            </w:hyperlink>
            <w:r w:rsidRPr="00DD7C7F">
              <w:rPr>
                <w:sz w:val="20"/>
              </w:rPr>
              <w:t xml:space="preserve"> of the corporation. For a director to be liable to be assessed under s. 227.1 of the </w:t>
            </w:r>
            <w:r w:rsidRPr="00DD7C7F">
              <w:rPr>
                <w:i/>
                <w:sz w:val="20"/>
              </w:rPr>
              <w:t>ITA</w:t>
            </w:r>
            <w:r w:rsidRPr="00DD7C7F">
              <w:rPr>
                <w:sz w:val="20"/>
              </w:rPr>
              <w:t xml:space="preserve"> and s. 323 (1) of the </w:t>
            </w:r>
            <w:r w:rsidRPr="00DD7C7F">
              <w:rPr>
                <w:i/>
                <w:sz w:val="20"/>
              </w:rPr>
              <w:t>ETA</w:t>
            </w:r>
            <w:r w:rsidRPr="00DD7C7F">
              <w:rPr>
                <w:sz w:val="20"/>
              </w:rPr>
              <w:t xml:space="preserve">, the assessment had to have been made within two years after a director’s resignation. The applicant filed notices of objection and subsequently notices of appeal to the Tax Court. The sole issue was whether the applicant had resigned as a director of Cliff Crucibles Inc. in accordance with </w:t>
            </w:r>
            <w:hyperlink r:id="rId69" w:anchor="sec121subsec2_smooth" w:history="1">
              <w:r w:rsidRPr="00DD7C7F">
                <w:rPr>
                  <w:rStyle w:val="Hyperlink"/>
                  <w:sz w:val="20"/>
                </w:rPr>
                <w:t>s. 121(2)</w:t>
              </w:r>
            </w:hyperlink>
            <w:r w:rsidRPr="00DD7C7F">
              <w:rPr>
                <w:sz w:val="20"/>
              </w:rPr>
              <w:t xml:space="preserve"> of the </w:t>
            </w:r>
            <w:hyperlink r:id="rId70" w:history="1">
              <w:r w:rsidRPr="00DD7C7F">
                <w:rPr>
                  <w:rStyle w:val="Hyperlink"/>
                  <w:i/>
                  <w:sz w:val="20"/>
                </w:rPr>
                <w:t>OBCA</w:t>
              </w:r>
            </w:hyperlink>
            <w:r w:rsidRPr="00DD7C7F">
              <w:rPr>
                <w:sz w:val="20"/>
              </w:rPr>
              <w:t xml:space="preserve"> more than two years prior to the date on which she was assessed.</w:t>
            </w:r>
          </w:p>
        </w:tc>
      </w:tr>
      <w:tr w:rsidR="00267836" w:rsidRPr="00DD7C7F" w:rsidTr="00DC2914">
        <w:tc>
          <w:tcPr>
            <w:tcW w:w="5000" w:type="pct"/>
            <w:gridSpan w:val="4"/>
          </w:tcPr>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December 13, 2018</w:t>
            </w:r>
          </w:p>
          <w:p w:rsidR="00267836" w:rsidRPr="00DD7C7F" w:rsidRDefault="00267836" w:rsidP="00DC2914">
            <w:pPr>
              <w:jc w:val="both"/>
              <w:rPr>
                <w:sz w:val="20"/>
              </w:rPr>
            </w:pPr>
            <w:r w:rsidRPr="00DD7C7F">
              <w:rPr>
                <w:sz w:val="20"/>
              </w:rPr>
              <w:t>Tax Court of Canada</w:t>
            </w:r>
          </w:p>
          <w:p w:rsidR="00267836" w:rsidRPr="00DD7C7F" w:rsidRDefault="00267836" w:rsidP="00DC2914">
            <w:pPr>
              <w:jc w:val="both"/>
              <w:rPr>
                <w:sz w:val="20"/>
              </w:rPr>
            </w:pPr>
            <w:r w:rsidRPr="00DD7C7F">
              <w:rPr>
                <w:sz w:val="20"/>
              </w:rPr>
              <w:t>(Rossiter C.J.)</w:t>
            </w:r>
          </w:p>
          <w:p w:rsidR="00267836" w:rsidRPr="00DD7C7F" w:rsidRDefault="00267836" w:rsidP="00DC2914">
            <w:pPr>
              <w:jc w:val="both"/>
              <w:rPr>
                <w:sz w:val="20"/>
              </w:rPr>
            </w:pPr>
            <w:r w:rsidRPr="00DD7C7F">
              <w:rPr>
                <w:sz w:val="20"/>
              </w:rPr>
              <w:t>Unreported</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Applicant’s appeal allowed and matter remitted to the Minister for reassessment; Ruling that applicant had not resigned as director of the corporation</w:t>
            </w:r>
          </w:p>
        </w:tc>
      </w:tr>
      <w:tr w:rsidR="00267836" w:rsidRPr="00DD7C7F" w:rsidTr="00DC2914">
        <w:tc>
          <w:tcPr>
            <w:tcW w:w="2427" w:type="pct"/>
            <w:gridSpan w:val="2"/>
          </w:tcPr>
          <w:p w:rsidR="00267836" w:rsidRPr="00DD7C7F" w:rsidRDefault="00267836" w:rsidP="00DC2914">
            <w:pPr>
              <w:jc w:val="both"/>
              <w:rPr>
                <w:sz w:val="20"/>
              </w:rPr>
            </w:pPr>
            <w:r w:rsidRPr="00DD7C7F">
              <w:rPr>
                <w:sz w:val="20"/>
              </w:rPr>
              <w:t>February 1, 2022</w:t>
            </w:r>
          </w:p>
          <w:p w:rsidR="00267836" w:rsidRPr="00DD7C7F" w:rsidRDefault="00267836" w:rsidP="00DC2914">
            <w:pPr>
              <w:jc w:val="both"/>
              <w:rPr>
                <w:sz w:val="20"/>
              </w:rPr>
            </w:pPr>
            <w:r w:rsidRPr="00DD7C7F">
              <w:rPr>
                <w:sz w:val="20"/>
              </w:rPr>
              <w:t>Federal Court of Appeal</w:t>
            </w:r>
          </w:p>
          <w:p w:rsidR="00267836" w:rsidRPr="00DD7C7F" w:rsidRDefault="00267836" w:rsidP="00DC2914">
            <w:pPr>
              <w:jc w:val="both"/>
              <w:rPr>
                <w:sz w:val="20"/>
              </w:rPr>
            </w:pPr>
            <w:r w:rsidRPr="00DD7C7F">
              <w:rPr>
                <w:sz w:val="20"/>
              </w:rPr>
              <w:t>(Gauthier, Webb and Rennie JJ.A.)</w:t>
            </w:r>
          </w:p>
          <w:p w:rsidR="00267836" w:rsidRPr="00DD7C7F" w:rsidRDefault="00512056" w:rsidP="00DC2914">
            <w:pPr>
              <w:jc w:val="both"/>
              <w:rPr>
                <w:rStyle w:val="Hyperlink"/>
                <w:sz w:val="20"/>
              </w:rPr>
            </w:pPr>
            <w:hyperlink r:id="rId71" w:history="1">
              <w:r w:rsidR="00267836" w:rsidRPr="00DD7C7F">
                <w:rPr>
                  <w:rStyle w:val="Hyperlink"/>
                  <w:sz w:val="20"/>
                </w:rPr>
                <w:t>2022 FCA 16</w:t>
              </w:r>
            </w:hyperlink>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Applicant’s appeal dismissed</w:t>
            </w:r>
          </w:p>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April 4, 2022</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69" style="width:2in;height:1pt" o:hrpct="0" o:hralign="center" o:hrstd="t" o:hrnoshade="t" o:hr="t" fillcolor="black [3213]" stroked="f"/>
        </w:pict>
      </w:r>
    </w:p>
    <w:p w:rsidR="00267836" w:rsidRPr="00DD7C7F" w:rsidRDefault="00267836" w:rsidP="00267836">
      <w:pPr>
        <w:jc w:val="both"/>
        <w:rPr>
          <w:sz w:val="20"/>
        </w:rPr>
      </w:pPr>
    </w:p>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512056"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40165</w:t>
            </w:r>
          </w:p>
        </w:tc>
        <w:tc>
          <w:tcPr>
            <w:tcW w:w="4457" w:type="pct"/>
            <w:gridSpan w:val="3"/>
          </w:tcPr>
          <w:p w:rsidR="00267836" w:rsidRPr="00DD7C7F" w:rsidRDefault="00267836" w:rsidP="00DC2914">
            <w:pPr>
              <w:pStyle w:val="SCCLsocParty"/>
              <w:jc w:val="both"/>
              <w:rPr>
                <w:b/>
                <w:sz w:val="20"/>
                <w:szCs w:val="20"/>
              </w:rPr>
            </w:pPr>
            <w:r w:rsidRPr="00DD7C7F">
              <w:rPr>
                <w:b/>
                <w:sz w:val="20"/>
                <w:szCs w:val="20"/>
              </w:rPr>
              <w:t>Robin Cliff c. Sa Majesté le Roi</w:t>
            </w:r>
          </w:p>
          <w:p w:rsidR="00267836" w:rsidRPr="00DD7C7F" w:rsidRDefault="00267836" w:rsidP="00DC2914">
            <w:pPr>
              <w:jc w:val="both"/>
              <w:rPr>
                <w:sz w:val="20"/>
                <w:lang w:val="fr-CA"/>
              </w:rPr>
            </w:pPr>
            <w:r w:rsidRPr="00DD7C7F">
              <w:rPr>
                <w:sz w:val="20"/>
                <w:lang w:val="fr-CA"/>
              </w:rPr>
              <w:t>(C.F.) (Civile) (Sur autorisation)</w:t>
            </w:r>
          </w:p>
        </w:tc>
      </w:tr>
      <w:tr w:rsidR="00B82D23" w:rsidRPr="00512056" w:rsidTr="00DC2914">
        <w:tc>
          <w:tcPr>
            <w:tcW w:w="5000" w:type="pct"/>
            <w:gridSpan w:val="4"/>
          </w:tcPr>
          <w:p w:rsidR="00B82D23" w:rsidRPr="00DD7C7F" w:rsidRDefault="00C461F4" w:rsidP="00DC2914">
            <w:pPr>
              <w:jc w:val="both"/>
              <w:rPr>
                <w:sz w:val="20"/>
                <w:szCs w:val="20"/>
                <w:lang w:val="fr-CA"/>
              </w:rPr>
            </w:pPr>
            <w:r w:rsidRPr="00DD7C7F">
              <w:rPr>
                <w:sz w:val="20"/>
                <w:szCs w:val="20"/>
                <w:lang w:val="fr-CA"/>
              </w:rPr>
              <w:t>La requête pour joindre deux numéros de dossiers de la Cour d’appel fédérale en une seule demande d’autorisation d’appel est accueillie. La demande d’autorisation d’appel des arrêts de la Cour d’appel fédérale, numéros A-265-19 et A-266-19, 2022 CAF 16, daté du 1 février 2022, est rejetée avec dépens.</w:t>
            </w:r>
          </w:p>
          <w:p w:rsidR="00C461F4" w:rsidRPr="00DD7C7F" w:rsidRDefault="00C461F4" w:rsidP="00DC2914">
            <w:pPr>
              <w:jc w:val="both"/>
              <w:rPr>
                <w:sz w:val="20"/>
                <w:lang w:val="fr-CA"/>
              </w:rPr>
            </w:pPr>
          </w:p>
        </w:tc>
      </w:tr>
      <w:tr w:rsidR="00267836" w:rsidRPr="00512056" w:rsidTr="00DC2914">
        <w:tc>
          <w:tcPr>
            <w:tcW w:w="5000" w:type="pct"/>
            <w:gridSpan w:val="4"/>
          </w:tcPr>
          <w:p w:rsidR="00267836" w:rsidRPr="00DD7C7F" w:rsidRDefault="00267836" w:rsidP="00DC2914">
            <w:pPr>
              <w:jc w:val="both"/>
              <w:rPr>
                <w:sz w:val="20"/>
                <w:lang w:val="fr-CA"/>
              </w:rPr>
            </w:pPr>
            <w:r w:rsidRPr="00DD7C7F">
              <w:rPr>
                <w:sz w:val="20"/>
                <w:lang w:val="fr-CA"/>
              </w:rPr>
              <w:t xml:space="preserve">Droit commercial — Sociétés par actions — Administrateurs — Responsabilité — Administratrice d’une société ayant l’intention de démissionner de son poste peu de temps après sa nomination à titre d’administratrice — Quels sont précisément les documents exigés pour qu’il y ait « démission écrite » au sens de la </w:t>
            </w:r>
            <w:r w:rsidRPr="00DD7C7F">
              <w:rPr>
                <w:i/>
                <w:iCs/>
                <w:sz w:val="20"/>
                <w:lang w:val="fr-CA"/>
              </w:rPr>
              <w:t>Loi sur les sociétés par actions</w:t>
            </w:r>
            <w:r w:rsidRPr="00DD7C7F">
              <w:rPr>
                <w:sz w:val="20"/>
                <w:lang w:val="fr-CA"/>
              </w:rPr>
              <w:t xml:space="preserve"> de l’Ontario, </w:t>
            </w:r>
            <w:hyperlink r:id="rId72" w:history="1">
              <w:r w:rsidRPr="00DD7C7F">
                <w:rPr>
                  <w:sz w:val="20"/>
                  <w:lang w:val="fr-CA"/>
                </w:rPr>
                <w:t>L</w:t>
              </w:r>
              <w:r w:rsidRPr="00DD7C7F">
                <w:rPr>
                  <w:rStyle w:val="Hyperlink"/>
                  <w:sz w:val="20"/>
                  <w:lang w:val="fr-CA"/>
                </w:rPr>
                <w:t>.R.O. 1990, c. B.16</w:t>
              </w:r>
            </w:hyperlink>
            <w:r w:rsidRPr="00DD7C7F">
              <w:rPr>
                <w:sz w:val="20"/>
                <w:lang w:val="fr-CA"/>
              </w:rPr>
              <w:t xml:space="preserve"> ou de lois similaires? — Quelles sont précisément les conditions à respecter pour que cette démission ait été « reçue par la société »?</w:t>
            </w:r>
          </w:p>
        </w:tc>
      </w:tr>
      <w:tr w:rsidR="00267836" w:rsidRPr="00512056" w:rsidTr="00DC2914">
        <w:tc>
          <w:tcPr>
            <w:tcW w:w="5000" w:type="pct"/>
            <w:gridSpan w:val="4"/>
          </w:tcPr>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 xml:space="preserve">En 2001, le mari de la demanderesse a demandé à son comptable de constituer une société en son nom. Le comptable a constitué la société Cliff Crucibles Inc. en vertu de la </w:t>
            </w:r>
            <w:r w:rsidRPr="00DD7C7F">
              <w:rPr>
                <w:i/>
                <w:iCs/>
                <w:sz w:val="20"/>
                <w:lang w:val="fr-CA"/>
              </w:rPr>
              <w:t>Loi sur les sociétés par actions</w:t>
            </w:r>
            <w:r w:rsidRPr="00DD7C7F">
              <w:rPr>
                <w:sz w:val="20"/>
                <w:lang w:val="fr-CA"/>
              </w:rPr>
              <w:t xml:space="preserve"> de l’Ontario, L.R</w:t>
            </w:r>
            <w:hyperlink r:id="rId73" w:history="1">
              <w:r w:rsidRPr="00DD7C7F">
                <w:rPr>
                  <w:rStyle w:val="Hyperlink"/>
                  <w:sz w:val="20"/>
                  <w:lang w:val="fr-CA"/>
                </w:rPr>
                <w:t>.O. 1990, c. B.16</w:t>
              </w:r>
            </w:hyperlink>
            <w:r w:rsidRPr="00DD7C7F">
              <w:rPr>
                <w:sz w:val="20"/>
                <w:lang w:val="fr-CA"/>
              </w:rPr>
              <w:t>. M. et M</w:t>
            </w:r>
            <w:r w:rsidRPr="00DD7C7F">
              <w:rPr>
                <w:sz w:val="20"/>
                <w:vertAlign w:val="superscript"/>
                <w:lang w:val="fr-CA"/>
              </w:rPr>
              <w:t>me</w:t>
            </w:r>
            <w:r w:rsidRPr="00DD7C7F">
              <w:rPr>
                <w:sz w:val="20"/>
                <w:lang w:val="fr-CA"/>
              </w:rPr>
              <w:t> Cliff était les actionnaires de la société et se sont désignés eux-mêmes comme administrateurs de la société à compter du 18 mai 2001. Dès le départ, M</w:t>
            </w:r>
            <w:r w:rsidRPr="00DD7C7F">
              <w:rPr>
                <w:sz w:val="20"/>
                <w:vertAlign w:val="superscript"/>
                <w:lang w:val="fr-CA"/>
              </w:rPr>
              <w:t>me</w:t>
            </w:r>
            <w:r w:rsidRPr="00DD7C7F">
              <w:rPr>
                <w:sz w:val="20"/>
                <w:lang w:val="fr-CA"/>
              </w:rPr>
              <w:t xml:space="preserve"> Cliff avait toutefois affirmé catégoriquement qu’elle ne souhaitait occuper le poste d’administratrice que temporairement, et qu’au moment où elle avait signé les documents pour devenir administratrice, elle avait dit à M. Cliff qu’elle voulait démissionner de son poste. M. Cliff a demandé au comptable de retirer la demanderesse à titre d’administratrice de la société. Le cabinet du comptable a préparé une « Formule 1 : Rapport initial/Avis de modification ». </w:t>
            </w:r>
            <w:r w:rsidRPr="00DD7C7F">
              <w:rPr>
                <w:rStyle w:val="citationcar"/>
                <w:sz w:val="20"/>
                <w:lang w:val="fr-CA"/>
              </w:rPr>
              <w:t xml:space="preserve">Le </w:t>
            </w:r>
            <w:r w:rsidRPr="00DD7C7F">
              <w:rPr>
                <w:sz w:val="20"/>
                <w:lang w:val="fr-CA"/>
              </w:rPr>
              <w:t>document indiquait que M</w:t>
            </w:r>
            <w:r w:rsidRPr="00DD7C7F">
              <w:rPr>
                <w:sz w:val="20"/>
                <w:vertAlign w:val="superscript"/>
                <w:lang w:val="fr-CA"/>
              </w:rPr>
              <w:t>me</w:t>
            </w:r>
            <w:r w:rsidRPr="00DD7C7F">
              <w:rPr>
                <w:sz w:val="20"/>
                <w:lang w:val="fr-CA"/>
              </w:rPr>
              <w:t> Cliff avait commencé à occuper le poste d’administratrice le 4 septembre 2003 et qu’elle avait cessé de l’occuper le 12 décembre 2003. Une copie du document a été jointe au registre des procès-verbaux de la société. La Formule 1 a ensuite été remise au ministère de la Consommation et du Commerce de l’Ontario. Aucune explication n’a été fournie au sujet de la divergence entre la date à laquelle M</w:t>
            </w:r>
            <w:r w:rsidRPr="00DD7C7F">
              <w:rPr>
                <w:sz w:val="20"/>
                <w:vertAlign w:val="superscript"/>
                <w:lang w:val="fr-CA"/>
              </w:rPr>
              <w:t>me</w:t>
            </w:r>
            <w:r w:rsidRPr="00DD7C7F">
              <w:rPr>
                <w:sz w:val="20"/>
                <w:lang w:val="fr-CA"/>
              </w:rPr>
              <w:t xml:space="preserve"> Cliff avait été nommée au poste d’administratrice sur la Formule 1 et le registre public des sociétés constituées en vertu de la LSAO, qui indiquait la date de la résolution figurant au registre des procès-verbaux. Aucune démission écrite n’a été reçue par la société. Cliff Crucibles Inc. a été dissoute en 2013, alors qu’elle avait une dette non réglée au titre de la </w:t>
            </w:r>
            <w:r w:rsidRPr="00DD7C7F">
              <w:rPr>
                <w:i/>
                <w:iCs/>
                <w:sz w:val="20"/>
                <w:lang w:val="fr-CA"/>
              </w:rPr>
              <w:t>Loi sur la taxe d’accise</w:t>
            </w:r>
            <w:r w:rsidRPr="00DD7C7F">
              <w:rPr>
                <w:sz w:val="20"/>
                <w:lang w:val="fr-CA"/>
              </w:rPr>
              <w:t xml:space="preserve">, L.R.C. 1985, c. E-15 (la LTA) et de la </w:t>
            </w:r>
            <w:r w:rsidRPr="00DD7C7F">
              <w:rPr>
                <w:i/>
                <w:sz w:val="20"/>
                <w:lang w:val="fr-CA"/>
              </w:rPr>
              <w:t>Loi de l’impôt sur le revenu</w:t>
            </w:r>
            <w:r w:rsidRPr="00DD7C7F">
              <w:rPr>
                <w:iCs/>
                <w:sz w:val="20"/>
                <w:lang w:val="fr-CA"/>
              </w:rPr>
              <w:t>,</w:t>
            </w:r>
            <w:r w:rsidRPr="00DD7C7F">
              <w:rPr>
                <w:i/>
                <w:sz w:val="20"/>
                <w:lang w:val="fr-CA"/>
              </w:rPr>
              <w:t xml:space="preserve"> </w:t>
            </w:r>
            <w:r w:rsidRPr="00DD7C7F">
              <w:rPr>
                <w:sz w:val="20"/>
                <w:lang w:val="fr-CA"/>
              </w:rPr>
              <w:t>L.R.C. 1985, c, 1 (5</w:t>
            </w:r>
            <w:r w:rsidRPr="00DD7C7F">
              <w:rPr>
                <w:sz w:val="20"/>
                <w:vertAlign w:val="superscript"/>
                <w:lang w:val="fr-CA"/>
              </w:rPr>
              <w:t>e</w:t>
            </w:r>
            <w:r w:rsidRPr="00DD7C7F">
              <w:rPr>
                <w:sz w:val="20"/>
                <w:lang w:val="fr-CA"/>
              </w:rPr>
              <w:t xml:space="preserve"> suppl.) (la LIR). Le ministre du Revenu national a établi une cotisation à l’égard de M</w:t>
            </w:r>
            <w:r w:rsidRPr="00DD7C7F">
              <w:rPr>
                <w:sz w:val="20"/>
                <w:vertAlign w:val="superscript"/>
                <w:lang w:val="fr-CA"/>
              </w:rPr>
              <w:t>me</w:t>
            </w:r>
            <w:r w:rsidRPr="00DD7C7F">
              <w:rPr>
                <w:sz w:val="20"/>
                <w:lang w:val="fr-CA"/>
              </w:rPr>
              <w:t xml:space="preserve"> Cliff et de M. Cliff, à titre d’administrateurs de Cliff Crucibles Inc., pour la taxe nette non versée d’une société en vertu de la LTA et pour les retenues à la source non versées en vertu de la LIR. Pour pouvoir établir une cotisation à l’égard d’un administrateur en vertu de l’art. 227.1 de la LIR et du par. 323(1) de la LTA, le ministre doit établir la cotisation dans les deux ans suivant la démission de l’administrateur. La demanderesse a déposé des avis d’opposition et, par la suite, des avis d’appel à la Cour de l’impôt. La seule question en litige était de savoir si la demanderesse avait démissionné de son poste d’administratrice de Cliff Crucibles Inc. conformément au </w:t>
            </w:r>
            <w:proofErr w:type="spellStart"/>
            <w:r w:rsidRPr="00DD7C7F">
              <w:rPr>
                <w:sz w:val="20"/>
                <w:lang w:val="fr-CA"/>
              </w:rPr>
              <w:t>par</w:t>
            </w:r>
            <w:proofErr w:type="spellEnd"/>
            <w:r w:rsidRPr="00DD7C7F">
              <w:rPr>
                <w:sz w:val="20"/>
                <w:lang w:val="fr-CA"/>
              </w:rPr>
              <w:t>. 121(2) de la LSAO plus de deux ans avant la date à laquelle elle avait fait l’objet d’une cotisation.</w:t>
            </w:r>
          </w:p>
        </w:tc>
      </w:tr>
      <w:tr w:rsidR="00267836" w:rsidRPr="00512056" w:rsidTr="00DC2914">
        <w:tc>
          <w:tcPr>
            <w:tcW w:w="5000" w:type="pct"/>
            <w:gridSpan w:val="4"/>
          </w:tcPr>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13 décembre 2018</w:t>
            </w:r>
          </w:p>
          <w:p w:rsidR="00267836" w:rsidRPr="00DD7C7F" w:rsidRDefault="00267836" w:rsidP="00DC2914">
            <w:pPr>
              <w:jc w:val="both"/>
              <w:rPr>
                <w:sz w:val="20"/>
                <w:lang w:val="fr-CA"/>
              </w:rPr>
            </w:pPr>
            <w:r w:rsidRPr="00DD7C7F">
              <w:rPr>
                <w:sz w:val="20"/>
                <w:lang w:val="fr-CA"/>
              </w:rPr>
              <w:t xml:space="preserve">Cour canadienne de l’impôt </w:t>
            </w:r>
          </w:p>
          <w:p w:rsidR="00267836" w:rsidRPr="00DD7C7F" w:rsidRDefault="00267836" w:rsidP="00DC2914">
            <w:pPr>
              <w:jc w:val="both"/>
              <w:rPr>
                <w:sz w:val="20"/>
                <w:lang w:val="fr-CA"/>
              </w:rPr>
            </w:pPr>
            <w:r w:rsidRPr="00DD7C7F">
              <w:rPr>
                <w:sz w:val="20"/>
                <w:lang w:val="fr-CA"/>
              </w:rPr>
              <w:t>(juge en chef Rossiter)</w:t>
            </w:r>
          </w:p>
          <w:p w:rsidR="00267836" w:rsidRPr="00DD7C7F" w:rsidRDefault="00267836" w:rsidP="00DC2914">
            <w:pPr>
              <w:jc w:val="both"/>
              <w:rPr>
                <w:sz w:val="20"/>
                <w:lang w:val="fr-CA"/>
              </w:rPr>
            </w:pPr>
            <w:r w:rsidRPr="00DD7C7F">
              <w:rPr>
                <w:sz w:val="20"/>
                <w:lang w:val="fr-CA"/>
              </w:rPr>
              <w:t>décision non publiée</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de la demanderesse est accueilli et l’affaire est renvoyée au ministre pour qu’il établisse une nouvelle cotisation. Conclusion que la demanderesse n’avait pas démissionnée de son poste d’administratrice de la société</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1</w:t>
            </w:r>
            <w:r w:rsidRPr="00DD7C7F">
              <w:rPr>
                <w:sz w:val="20"/>
                <w:vertAlign w:val="superscript"/>
                <w:lang w:val="fr-CA"/>
              </w:rPr>
              <w:t>er</w:t>
            </w:r>
            <w:r w:rsidRPr="00DD7C7F">
              <w:rPr>
                <w:sz w:val="20"/>
                <w:lang w:val="fr-CA"/>
              </w:rPr>
              <w:t xml:space="preserve"> février 2022</w:t>
            </w:r>
          </w:p>
          <w:p w:rsidR="00267836" w:rsidRPr="00DD7C7F" w:rsidRDefault="00267836" w:rsidP="00DC2914">
            <w:pPr>
              <w:jc w:val="both"/>
              <w:rPr>
                <w:sz w:val="20"/>
                <w:lang w:val="fr-CA"/>
              </w:rPr>
            </w:pPr>
            <w:r w:rsidRPr="00DD7C7F">
              <w:rPr>
                <w:sz w:val="20"/>
                <w:lang w:val="fr-CA"/>
              </w:rPr>
              <w:t>Cour d’appel fédérale</w:t>
            </w:r>
          </w:p>
          <w:p w:rsidR="00267836" w:rsidRPr="00DD7C7F" w:rsidRDefault="00267836" w:rsidP="00DC2914">
            <w:pPr>
              <w:jc w:val="both"/>
              <w:rPr>
                <w:sz w:val="20"/>
                <w:lang w:val="fr-CA"/>
              </w:rPr>
            </w:pPr>
            <w:r w:rsidRPr="00DD7C7F">
              <w:rPr>
                <w:sz w:val="20"/>
                <w:lang w:val="fr-CA"/>
              </w:rPr>
              <w:t>(les juges Gauthier, Webb et Rennie)</w:t>
            </w:r>
          </w:p>
          <w:p w:rsidR="00267836" w:rsidRPr="00DD7C7F" w:rsidRDefault="00512056" w:rsidP="00DC2914">
            <w:pPr>
              <w:jc w:val="both"/>
              <w:rPr>
                <w:rStyle w:val="Hyperlink"/>
                <w:sz w:val="20"/>
                <w:lang w:val="fr-CA"/>
              </w:rPr>
            </w:pPr>
            <w:hyperlink r:id="rId74" w:history="1">
              <w:r w:rsidR="00267836" w:rsidRPr="00DD7C7F">
                <w:rPr>
                  <w:rStyle w:val="Hyperlink"/>
                  <w:sz w:val="20"/>
                  <w:lang w:val="fr-CA"/>
                </w:rPr>
                <w:t>2022 FCA 16</w:t>
              </w:r>
            </w:hyperlink>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 xml:space="preserve">L’appel de la demanderesse est rejeté </w:t>
            </w:r>
          </w:p>
          <w:p w:rsidR="00267836" w:rsidRPr="00DD7C7F" w:rsidRDefault="00267836" w:rsidP="00DC2914">
            <w:pPr>
              <w:jc w:val="both"/>
              <w:rPr>
                <w:sz w:val="20"/>
                <w:lang w:val="fr-CA"/>
              </w:rPr>
            </w:pPr>
          </w:p>
        </w:tc>
      </w:tr>
      <w:tr w:rsidR="00267836" w:rsidRPr="00512056" w:rsidTr="00DC2914">
        <w:tc>
          <w:tcPr>
            <w:tcW w:w="2427" w:type="pct"/>
            <w:gridSpan w:val="2"/>
          </w:tcPr>
          <w:p w:rsidR="00267836" w:rsidRPr="00DD7C7F" w:rsidRDefault="00267836" w:rsidP="00DC2914">
            <w:pPr>
              <w:jc w:val="both"/>
              <w:rPr>
                <w:sz w:val="20"/>
                <w:lang w:val="fr-CA"/>
              </w:rPr>
            </w:pPr>
            <w:r w:rsidRPr="00DD7C7F">
              <w:rPr>
                <w:sz w:val="20"/>
                <w:lang w:val="fr-CA"/>
              </w:rPr>
              <w:t>4 avril 2022</w:t>
            </w:r>
          </w:p>
          <w:p w:rsidR="00267836" w:rsidRPr="00DD7C7F" w:rsidRDefault="00267836" w:rsidP="00DC2914">
            <w:pPr>
              <w:jc w:val="both"/>
              <w:rPr>
                <w:sz w:val="20"/>
                <w:lang w:val="fr-CA"/>
              </w:rPr>
            </w:pPr>
            <w:r w:rsidRPr="00DD7C7F">
              <w:rPr>
                <w:sz w:val="20"/>
                <w:lang w:val="fr-CA"/>
              </w:rPr>
              <w:t xml:space="preserve">Cour suprême du Canada </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 xml:space="preserve">La demande d’autorisation d’appel est déposée </w:t>
            </w:r>
          </w:p>
          <w:p w:rsidR="00267836" w:rsidRPr="00DD7C7F" w:rsidRDefault="00267836" w:rsidP="00DC2914">
            <w:pPr>
              <w:jc w:val="both"/>
              <w:rPr>
                <w:sz w:val="20"/>
                <w:lang w:val="fr-CA"/>
              </w:rPr>
            </w:pPr>
          </w:p>
        </w:tc>
      </w:tr>
    </w:tbl>
    <w:p w:rsidR="00267836" w:rsidRPr="00DD7C7F" w:rsidRDefault="00267836" w:rsidP="00267836">
      <w:pPr>
        <w:jc w:val="both"/>
        <w:rPr>
          <w:sz w:val="20"/>
          <w:lang w:val="fr-CA"/>
        </w:rPr>
      </w:pPr>
    </w:p>
    <w:p w:rsidR="00267836" w:rsidRPr="00DD7C7F" w:rsidRDefault="00512056" w:rsidP="00267836">
      <w:pPr>
        <w:jc w:val="both"/>
        <w:rPr>
          <w:sz w:val="20"/>
          <w:lang w:val="fr-CA"/>
        </w:rPr>
      </w:pPr>
      <w:r>
        <w:rPr>
          <w:sz w:val="20"/>
        </w:rPr>
        <w:pict>
          <v:rect id="_x0000_i1070" style="width:2in;height:1pt" o:hrpct="0" o:hralign="center" o:hrstd="t" o:hrnoshade="t" o:hr="t" fillcolor="black [3213]" stroked="f"/>
        </w:pict>
      </w:r>
    </w:p>
    <w:p w:rsidR="00267836" w:rsidRPr="00DD7C7F" w:rsidRDefault="00267836" w:rsidP="002678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67836" w:rsidRPr="00DD7C7F" w:rsidTr="00DC2914">
        <w:tc>
          <w:tcPr>
            <w:tcW w:w="543" w:type="pct"/>
          </w:tcPr>
          <w:p w:rsidR="00267836" w:rsidRPr="00DD7C7F" w:rsidRDefault="00267836" w:rsidP="00DC2914">
            <w:pPr>
              <w:jc w:val="both"/>
              <w:rPr>
                <w:sz w:val="20"/>
              </w:rPr>
            </w:pPr>
            <w:r w:rsidRPr="00DD7C7F">
              <w:rPr>
                <w:rStyle w:val="SCCFileNumberChar"/>
                <w:sz w:val="20"/>
                <w:szCs w:val="20"/>
              </w:rPr>
              <w:t>40273</w:t>
            </w:r>
          </w:p>
        </w:tc>
        <w:tc>
          <w:tcPr>
            <w:tcW w:w="4457" w:type="pct"/>
            <w:gridSpan w:val="3"/>
          </w:tcPr>
          <w:p w:rsidR="00267836" w:rsidRPr="00DD7C7F" w:rsidRDefault="00C461F4" w:rsidP="00DC2914">
            <w:pPr>
              <w:pStyle w:val="SCCLsocParty"/>
              <w:jc w:val="both"/>
              <w:rPr>
                <w:b/>
                <w:sz w:val="20"/>
                <w:szCs w:val="20"/>
                <w:lang w:val="en-US"/>
              </w:rPr>
            </w:pPr>
            <w:r w:rsidRPr="00DD7C7F">
              <w:rPr>
                <w:b/>
                <w:sz w:val="20"/>
                <w:szCs w:val="20"/>
                <w:lang w:val="en-US"/>
              </w:rPr>
              <w:t>Eduardo Garcia Obregon a.k.a. Eduardo Garcia a.k.a. Eddie Obregon, Claudia Patricia Garcia a.k.a. Patricia Garcia a.k.a. Claudia Patricia De Garcia a.k.a. Claudia Santisteban and Managed (Portfolio), Corp., Genesis (LA), Corp. (Ontario Corporation Number 1653094), Genesis (LA), Corp. (Alberta Corporate Access Number 2013145921), FC Int, Corp. and First Canadian Int, Corp.</w:t>
            </w:r>
            <w:r w:rsidR="00267836" w:rsidRPr="00DD7C7F">
              <w:rPr>
                <w:b/>
                <w:sz w:val="20"/>
                <w:szCs w:val="20"/>
                <w:lang w:val="en-US"/>
              </w:rPr>
              <w:t xml:space="preserve"> v. </w:t>
            </w:r>
            <w:r w:rsidRPr="00DD7C7F">
              <w:rPr>
                <w:b/>
                <w:sz w:val="20"/>
                <w:szCs w:val="20"/>
                <w:lang w:val="en-US"/>
              </w:rPr>
              <w:t>Caja Paraguaya de Jubilaciones y Pensiones del Personal de Itaipu Binacional</w:t>
            </w:r>
          </w:p>
          <w:p w:rsidR="00267836" w:rsidRPr="00DD7C7F" w:rsidRDefault="00267836" w:rsidP="00DC2914">
            <w:pPr>
              <w:jc w:val="both"/>
              <w:rPr>
                <w:sz w:val="20"/>
              </w:rPr>
            </w:pPr>
            <w:r w:rsidRPr="00DD7C7F">
              <w:rPr>
                <w:sz w:val="20"/>
              </w:rPr>
              <w:t>(Ont.) (Civil) (By Leave)</w:t>
            </w:r>
          </w:p>
        </w:tc>
      </w:tr>
      <w:tr w:rsidR="00B82D23" w:rsidRPr="00DD7C7F" w:rsidTr="00DC2914">
        <w:tc>
          <w:tcPr>
            <w:tcW w:w="5000" w:type="pct"/>
            <w:gridSpan w:val="4"/>
          </w:tcPr>
          <w:p w:rsidR="00C461F4" w:rsidRPr="00DD7C7F" w:rsidRDefault="00C461F4" w:rsidP="00C461F4">
            <w:pPr>
              <w:jc w:val="both"/>
              <w:rPr>
                <w:sz w:val="20"/>
                <w:szCs w:val="20"/>
              </w:rPr>
            </w:pPr>
            <w:r w:rsidRPr="00DD7C7F">
              <w:rPr>
                <w:sz w:val="20"/>
                <w:szCs w:val="20"/>
              </w:rPr>
              <w:t>The application for leave to appeal of Eduardo Garcia Obregon a.k.a. Eduardo Garcia a.k.a. Eddie Obregon and Claudia Patricia Garcia a.k.a. Patricia Garcia a.k.a. Claudia Patricia De Garcia a.k.a. Claudia Santisteban, from the judgment of the Court of Appeal for Ontario, Number C66155, 2020 ONCA 124, dated February 14, 2020, is dismissed with costs.</w:t>
            </w:r>
          </w:p>
          <w:p w:rsidR="00C461F4" w:rsidRPr="00DD7C7F" w:rsidRDefault="00C461F4" w:rsidP="00C461F4">
            <w:pPr>
              <w:jc w:val="both"/>
              <w:rPr>
                <w:sz w:val="20"/>
                <w:szCs w:val="20"/>
              </w:rPr>
            </w:pPr>
          </w:p>
          <w:p w:rsidR="00C461F4" w:rsidRPr="00DD7C7F" w:rsidRDefault="00C461F4" w:rsidP="00C461F4">
            <w:pPr>
              <w:jc w:val="both"/>
              <w:rPr>
                <w:sz w:val="20"/>
                <w:szCs w:val="20"/>
              </w:rPr>
            </w:pPr>
            <w:r w:rsidRPr="00DD7C7F">
              <w:rPr>
                <w:sz w:val="20"/>
                <w:szCs w:val="20"/>
              </w:rPr>
              <w:t>The motion, by Eduardo Garcia and Patricia Garcia, to represent Managed (Portfolio), Corp., Genesis (LA), Corp. (Ontario Corporation Number 1653094), Genesis (LA), Corp. (Alberta Corporate Access Number 2013145921), FC Int, Corp. and First Canadian Int, Corp. is dismissed.</w:t>
            </w:r>
          </w:p>
          <w:p w:rsidR="00C461F4" w:rsidRPr="00DD7C7F" w:rsidRDefault="00C461F4" w:rsidP="00C461F4">
            <w:pPr>
              <w:jc w:val="both"/>
              <w:rPr>
                <w:sz w:val="20"/>
                <w:szCs w:val="20"/>
              </w:rPr>
            </w:pPr>
          </w:p>
          <w:p w:rsidR="00C461F4" w:rsidRPr="00DD7C7F" w:rsidRDefault="00C461F4" w:rsidP="00C461F4">
            <w:pPr>
              <w:jc w:val="both"/>
              <w:rPr>
                <w:sz w:val="20"/>
                <w:szCs w:val="20"/>
              </w:rPr>
            </w:pPr>
            <w:r w:rsidRPr="00DD7C7F">
              <w:rPr>
                <w:sz w:val="20"/>
                <w:szCs w:val="20"/>
              </w:rPr>
              <w:t>In any event, had the motion to represent been granted, the application for leave to appeal of Managed (Portfolio), Corp., Genesis (LA), Corp. (Ontario Corporation Number 1653094), Genesis (LA), Corp. (Alberta Corporate Access Number 2013145921), FC Int, Corp. and First Canadian Int, Corp. would have been dismissed.</w:t>
            </w:r>
          </w:p>
          <w:p w:rsidR="00B82D23" w:rsidRPr="00DD7C7F" w:rsidRDefault="00B82D23" w:rsidP="00DC2914">
            <w:pPr>
              <w:jc w:val="both"/>
              <w:rPr>
                <w:sz w:val="20"/>
              </w:rPr>
            </w:pPr>
          </w:p>
        </w:tc>
      </w:tr>
      <w:tr w:rsidR="00267836" w:rsidRPr="00DD7C7F" w:rsidTr="00DC2914">
        <w:tc>
          <w:tcPr>
            <w:tcW w:w="5000" w:type="pct"/>
            <w:gridSpan w:val="4"/>
          </w:tcPr>
          <w:p w:rsidR="00267836" w:rsidRPr="00DD7C7F" w:rsidRDefault="00267836" w:rsidP="00DC2914">
            <w:pPr>
              <w:jc w:val="both"/>
              <w:rPr>
                <w:sz w:val="20"/>
              </w:rPr>
            </w:pPr>
            <w:r w:rsidRPr="00DD7C7F">
              <w:rPr>
                <w:sz w:val="20"/>
              </w:rPr>
              <w:t xml:space="preserve">Torts — Corporations — Fraudulent misrepresentation — Insiders facilitating fraud against pension fund by allowing certain individuals and corporations to misrepresent the nature of investments in exchange for kickbacks — Pension fund replacing insiders, new management commencing action against the individuals and corporations implicated in the fraudulent scheme — Whether Court of Appeal erred in its application of the corporate identification doctrine — Whether Court of Appeal erred in its application of the </w:t>
            </w:r>
            <w:r w:rsidRPr="00DD7C7F">
              <w:rPr>
                <w:i/>
                <w:sz w:val="20"/>
              </w:rPr>
              <w:t xml:space="preserve">ex turpi causa </w:t>
            </w:r>
            <w:r w:rsidRPr="00DD7C7F">
              <w:rPr>
                <w:sz w:val="20"/>
              </w:rPr>
              <w:t>doctrine</w:t>
            </w:r>
          </w:p>
        </w:tc>
      </w:tr>
      <w:tr w:rsidR="00267836" w:rsidRPr="00DD7C7F" w:rsidTr="00DC2914">
        <w:tc>
          <w:tcPr>
            <w:tcW w:w="5000" w:type="pct"/>
            <w:gridSpan w:val="4"/>
          </w:tcPr>
          <w:p w:rsidR="00267836" w:rsidRPr="00DD7C7F" w:rsidRDefault="00267836" w:rsidP="00DC2914">
            <w:pPr>
              <w:jc w:val="both"/>
              <w:rPr>
                <w:sz w:val="20"/>
              </w:rPr>
            </w:pPr>
          </w:p>
          <w:p w:rsidR="00267836" w:rsidRPr="00DD7C7F" w:rsidRDefault="00267836" w:rsidP="00DC2914">
            <w:pPr>
              <w:jc w:val="both"/>
              <w:rPr>
                <w:sz w:val="20"/>
                <w:lang w:val="fr-CA"/>
              </w:rPr>
            </w:pPr>
            <w:r w:rsidRPr="00DD7C7F">
              <w:rPr>
                <w:sz w:val="20"/>
              </w:rPr>
              <w:t xml:space="preserve">The individual applicants, Eduardo Garcia and Patricia Garcia (together, the “Garcias”), immigrated to Canada from Guatemala in 2002. The corporate applicants were incorporated by the Garcias between 2005 and 2009 (together, the “Garcia corporations”). </w:t>
            </w:r>
            <w:r w:rsidRPr="00DD7C7F">
              <w:rPr>
                <w:sz w:val="20"/>
                <w:lang w:val="fr-CA"/>
              </w:rPr>
              <w:t xml:space="preserve">The respondent Caja Paraguaya De Jubilaciones Y Pensiones Del Personal De Itaipu Binacional ("Cajubi”) is a Paraguayan pension fund. </w:t>
            </w:r>
          </w:p>
          <w:p w:rsidR="00267836" w:rsidRPr="00DD7C7F" w:rsidRDefault="00267836" w:rsidP="00DC2914">
            <w:pPr>
              <w:jc w:val="both"/>
              <w:rPr>
                <w:sz w:val="20"/>
                <w:lang w:val="fr-CA"/>
              </w:rPr>
            </w:pPr>
          </w:p>
          <w:p w:rsidR="00267836" w:rsidRPr="00DD7C7F" w:rsidRDefault="00267836" w:rsidP="00DC2914">
            <w:pPr>
              <w:jc w:val="both"/>
              <w:rPr>
                <w:sz w:val="20"/>
              </w:rPr>
            </w:pPr>
            <w:r w:rsidRPr="00DD7C7F">
              <w:rPr>
                <w:sz w:val="20"/>
              </w:rPr>
              <w:t xml:space="preserve">Cajubi invested over $34 million in investment products purported to be advanced by legitimate regulated Canadian institutions, but which were in fact the Garcia corporations, which had been designed to mimic the legitimate institutions. The Garcia corporations invested about 90% of Cajubi’s money with the legitimate Canadian institutions and took 10% in the form of an “up-front fee” which was neither disclosed nor invoiced. Some of the up-front fee was retained, but the bulk was paid as kickbacks to the Swiss bank account of a Panamanian nominee company at the direction of three Cajubi “insiders” — its president, vice president, and treasurer — who facilitated the investments. </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When losses related to this scheme became apparent, the insiders were removed from office. Cajubi’s new management brought an action against a number of parties, including the Garcias and the Garcia corporations, in an attempt to recover its money. Following a trial, the Garcias were ordered to pay over $20 million in damages for fraudulent misrepresentation and breach of fiduciary duty; each of the Garcia corporations were held to be jointly and severally liable with the Garcias for specified amounts of those damages. Eduardo and Patricia Garcia were also ordered to pay punitive damages in the amounts of $250,000 and $100,000 respectively.</w:t>
            </w:r>
          </w:p>
          <w:p w:rsidR="00267836" w:rsidRPr="00DD7C7F" w:rsidRDefault="00267836" w:rsidP="00DC2914">
            <w:pPr>
              <w:jc w:val="both"/>
              <w:rPr>
                <w:sz w:val="20"/>
              </w:rPr>
            </w:pPr>
          </w:p>
          <w:p w:rsidR="00267836" w:rsidRPr="00DD7C7F" w:rsidRDefault="00267836" w:rsidP="00DC2914">
            <w:pPr>
              <w:jc w:val="both"/>
              <w:rPr>
                <w:sz w:val="20"/>
              </w:rPr>
            </w:pPr>
            <w:r w:rsidRPr="00DD7C7F">
              <w:rPr>
                <w:sz w:val="20"/>
              </w:rPr>
              <w:t>The Garcias and the Garcia corporations appealed from the trial judgment; their appeal was dismissed by the Court of Appeal for Ontario</w:t>
            </w:r>
          </w:p>
        </w:tc>
      </w:tr>
      <w:tr w:rsidR="00267836" w:rsidRPr="00DD7C7F" w:rsidTr="00DC2914">
        <w:tc>
          <w:tcPr>
            <w:tcW w:w="5000" w:type="pct"/>
            <w:gridSpan w:val="4"/>
          </w:tcPr>
          <w:p w:rsidR="00267836" w:rsidRPr="00DD7C7F" w:rsidRDefault="00267836" w:rsidP="00DC2914">
            <w:pPr>
              <w:jc w:val="both"/>
              <w:rPr>
                <w:sz w:val="20"/>
              </w:rPr>
            </w:pPr>
          </w:p>
        </w:tc>
      </w:tr>
      <w:tr w:rsidR="00267836" w:rsidRPr="00DD7C7F" w:rsidTr="00DC2914">
        <w:tc>
          <w:tcPr>
            <w:tcW w:w="2427" w:type="pct"/>
            <w:gridSpan w:val="2"/>
          </w:tcPr>
          <w:p w:rsidR="00267836" w:rsidRPr="00DD7C7F" w:rsidRDefault="00267836" w:rsidP="00DC2914">
            <w:pPr>
              <w:jc w:val="both"/>
              <w:rPr>
                <w:sz w:val="20"/>
              </w:rPr>
            </w:pPr>
            <w:r w:rsidRPr="00DD7C7F">
              <w:rPr>
                <w:sz w:val="20"/>
              </w:rPr>
              <w:t>October 12, 2018</w:t>
            </w:r>
          </w:p>
          <w:p w:rsidR="00267836" w:rsidRPr="00DD7C7F" w:rsidRDefault="00267836" w:rsidP="00DC2914">
            <w:pPr>
              <w:jc w:val="both"/>
              <w:rPr>
                <w:sz w:val="20"/>
              </w:rPr>
            </w:pPr>
            <w:r w:rsidRPr="00DD7C7F">
              <w:rPr>
                <w:sz w:val="20"/>
              </w:rPr>
              <w:t>Ontario Superior Court of Justice</w:t>
            </w:r>
          </w:p>
          <w:p w:rsidR="00267836" w:rsidRPr="00DD7C7F" w:rsidRDefault="00267836" w:rsidP="00DC2914">
            <w:pPr>
              <w:jc w:val="both"/>
              <w:rPr>
                <w:sz w:val="20"/>
              </w:rPr>
            </w:pPr>
            <w:r w:rsidRPr="00DD7C7F">
              <w:rPr>
                <w:sz w:val="20"/>
              </w:rPr>
              <w:t>(Dunphy J.)</w:t>
            </w:r>
          </w:p>
          <w:p w:rsidR="00267836" w:rsidRPr="00DD7C7F" w:rsidRDefault="00512056" w:rsidP="00DC2914">
            <w:pPr>
              <w:jc w:val="both"/>
              <w:rPr>
                <w:sz w:val="20"/>
              </w:rPr>
            </w:pPr>
            <w:hyperlink r:id="rId75" w:history="1">
              <w:r w:rsidR="00267836" w:rsidRPr="00DD7C7F">
                <w:rPr>
                  <w:rStyle w:val="Hyperlink"/>
                  <w:sz w:val="20"/>
                </w:rPr>
                <w:t>2018 ONSC 5379</w:t>
              </w:r>
            </w:hyperlink>
            <w:r w:rsidR="00267836" w:rsidRPr="00DD7C7F">
              <w:rPr>
                <w:sz w:val="20"/>
              </w:rPr>
              <w:t xml:space="preserve">; CV-11-9210-00CL </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Judgment for plaintiff, Caja Paraguaya de Jubilaciones y Pensiones del Personal de Itaipu Binacional; counterclaim and crossclaim dismissed.</w:t>
            </w:r>
          </w:p>
          <w:p w:rsidR="00267836" w:rsidRPr="00DD7C7F" w:rsidRDefault="00267836" w:rsidP="00DC2914">
            <w:pPr>
              <w:jc w:val="both"/>
              <w:rPr>
                <w:sz w:val="20"/>
              </w:rPr>
            </w:pPr>
          </w:p>
        </w:tc>
      </w:tr>
    </w:tbl>
    <w:p w:rsidR="00C461F4" w:rsidRPr="00DD7C7F" w:rsidRDefault="00C461F4">
      <w:r w:rsidRPr="00DD7C7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7836" w:rsidRPr="00DD7C7F" w:rsidTr="00DC2914">
        <w:tc>
          <w:tcPr>
            <w:tcW w:w="2427" w:type="pct"/>
          </w:tcPr>
          <w:p w:rsidR="00267836" w:rsidRPr="00DD7C7F" w:rsidRDefault="00267836" w:rsidP="00DC2914">
            <w:pPr>
              <w:jc w:val="both"/>
              <w:rPr>
                <w:sz w:val="20"/>
              </w:rPr>
            </w:pPr>
            <w:r w:rsidRPr="00DD7C7F">
              <w:rPr>
                <w:sz w:val="20"/>
              </w:rPr>
              <w:t>February 14, 2020</w:t>
            </w:r>
          </w:p>
          <w:p w:rsidR="00267836" w:rsidRPr="00DD7C7F" w:rsidRDefault="00267836" w:rsidP="00DC2914">
            <w:pPr>
              <w:jc w:val="both"/>
              <w:rPr>
                <w:sz w:val="20"/>
              </w:rPr>
            </w:pPr>
            <w:r w:rsidRPr="00DD7C7F">
              <w:rPr>
                <w:sz w:val="20"/>
              </w:rPr>
              <w:t>Court of Appeal for Ontario</w:t>
            </w:r>
          </w:p>
          <w:p w:rsidR="00267836" w:rsidRPr="00DD7C7F" w:rsidRDefault="00267836" w:rsidP="00DC2914">
            <w:pPr>
              <w:jc w:val="both"/>
              <w:rPr>
                <w:sz w:val="20"/>
              </w:rPr>
            </w:pPr>
            <w:r w:rsidRPr="00DD7C7F">
              <w:rPr>
                <w:sz w:val="20"/>
              </w:rPr>
              <w:t>(Pepall, Pardu and Paciocco JJ.A.)</w:t>
            </w:r>
          </w:p>
          <w:p w:rsidR="00267836" w:rsidRPr="00DD7C7F" w:rsidRDefault="00512056" w:rsidP="00DC2914">
            <w:pPr>
              <w:jc w:val="both"/>
              <w:rPr>
                <w:sz w:val="20"/>
              </w:rPr>
            </w:pPr>
            <w:hyperlink r:id="rId76" w:history="1">
              <w:r w:rsidR="00267836" w:rsidRPr="00DD7C7F">
                <w:rPr>
                  <w:rStyle w:val="Hyperlink"/>
                  <w:sz w:val="20"/>
                </w:rPr>
                <w:t>2020 ONCA 124</w:t>
              </w:r>
            </w:hyperlink>
            <w:r w:rsidR="00267836" w:rsidRPr="00DD7C7F">
              <w:rPr>
                <w:sz w:val="20"/>
              </w:rPr>
              <w:t>; C66155</w:t>
            </w:r>
          </w:p>
          <w:p w:rsidR="00267836" w:rsidRPr="00DD7C7F" w:rsidRDefault="00267836" w:rsidP="00DC2914">
            <w:pPr>
              <w:jc w:val="both"/>
              <w:rPr>
                <w:sz w:val="20"/>
              </w:rPr>
            </w:pP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Appeal dismissed.</w:t>
            </w:r>
          </w:p>
          <w:p w:rsidR="00267836" w:rsidRPr="00DD7C7F" w:rsidRDefault="00267836" w:rsidP="00DC2914">
            <w:pPr>
              <w:jc w:val="both"/>
              <w:rPr>
                <w:sz w:val="20"/>
              </w:rPr>
            </w:pPr>
          </w:p>
        </w:tc>
      </w:tr>
      <w:tr w:rsidR="00267836" w:rsidRPr="00DD7C7F" w:rsidTr="00DC2914">
        <w:tc>
          <w:tcPr>
            <w:tcW w:w="2427" w:type="pct"/>
          </w:tcPr>
          <w:p w:rsidR="00267836" w:rsidRPr="00DD7C7F" w:rsidRDefault="00267836" w:rsidP="00DC2914">
            <w:pPr>
              <w:jc w:val="both"/>
              <w:rPr>
                <w:sz w:val="20"/>
              </w:rPr>
            </w:pPr>
            <w:r w:rsidRPr="00DD7C7F">
              <w:rPr>
                <w:sz w:val="20"/>
              </w:rPr>
              <w:t>March 30, 2020</w:t>
            </w:r>
          </w:p>
          <w:p w:rsidR="00267836" w:rsidRPr="00DD7C7F" w:rsidRDefault="00267836" w:rsidP="00DC2914">
            <w:pPr>
              <w:jc w:val="both"/>
              <w:rPr>
                <w:sz w:val="20"/>
              </w:rPr>
            </w:pPr>
            <w:r w:rsidRPr="00DD7C7F">
              <w:rPr>
                <w:sz w:val="20"/>
              </w:rPr>
              <w:t>Supreme Court of Canada</w:t>
            </w:r>
          </w:p>
        </w:tc>
        <w:tc>
          <w:tcPr>
            <w:tcW w:w="243" w:type="pct"/>
          </w:tcPr>
          <w:p w:rsidR="00267836" w:rsidRPr="00DD7C7F" w:rsidRDefault="00267836" w:rsidP="00DC2914">
            <w:pPr>
              <w:jc w:val="both"/>
              <w:rPr>
                <w:sz w:val="20"/>
              </w:rPr>
            </w:pPr>
          </w:p>
        </w:tc>
        <w:tc>
          <w:tcPr>
            <w:tcW w:w="2330" w:type="pct"/>
          </w:tcPr>
          <w:p w:rsidR="00267836" w:rsidRPr="00DD7C7F" w:rsidRDefault="00267836" w:rsidP="00DC2914">
            <w:pPr>
              <w:jc w:val="both"/>
              <w:rPr>
                <w:sz w:val="20"/>
              </w:rPr>
            </w:pPr>
            <w:r w:rsidRPr="00DD7C7F">
              <w:rPr>
                <w:sz w:val="20"/>
              </w:rPr>
              <w:t>Application for leave to appeal filed</w:t>
            </w:r>
          </w:p>
          <w:p w:rsidR="00267836" w:rsidRPr="00DD7C7F" w:rsidRDefault="00267836" w:rsidP="00DC2914">
            <w:pPr>
              <w:jc w:val="both"/>
              <w:rPr>
                <w:sz w:val="20"/>
              </w:rPr>
            </w:pPr>
          </w:p>
        </w:tc>
      </w:tr>
    </w:tbl>
    <w:p w:rsidR="00267836" w:rsidRPr="00DD7C7F" w:rsidRDefault="00267836" w:rsidP="00267836">
      <w:pPr>
        <w:jc w:val="both"/>
        <w:rPr>
          <w:sz w:val="20"/>
        </w:rPr>
      </w:pPr>
    </w:p>
    <w:p w:rsidR="00267836" w:rsidRPr="00DD7C7F" w:rsidRDefault="00512056" w:rsidP="00267836">
      <w:pPr>
        <w:jc w:val="both"/>
        <w:rPr>
          <w:sz w:val="20"/>
        </w:rPr>
      </w:pPr>
      <w:r>
        <w:rPr>
          <w:sz w:val="20"/>
        </w:rPr>
        <w:pict>
          <v:rect id="_x0000_i1071" style="width:2in;height:1pt" o:hrpct="0" o:hralign="center" o:hrstd="t" o:hrnoshade="t" o:hr="t" fillcolor="black [3213]" stroked="f"/>
        </w:pict>
      </w:r>
    </w:p>
    <w:p w:rsidR="00267836" w:rsidRPr="00DD7C7F" w:rsidRDefault="00267836" w:rsidP="0026783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67836" w:rsidRPr="00DD7C7F" w:rsidTr="00DC2914">
        <w:tc>
          <w:tcPr>
            <w:tcW w:w="543" w:type="pct"/>
          </w:tcPr>
          <w:p w:rsidR="00267836" w:rsidRPr="00DD7C7F" w:rsidRDefault="00267836" w:rsidP="00DC2914">
            <w:pPr>
              <w:jc w:val="both"/>
              <w:rPr>
                <w:sz w:val="20"/>
                <w:lang w:val="fr-CA"/>
              </w:rPr>
            </w:pPr>
            <w:r w:rsidRPr="00DD7C7F">
              <w:rPr>
                <w:rStyle w:val="SCCFileNumberChar"/>
                <w:sz w:val="20"/>
                <w:szCs w:val="20"/>
                <w:lang w:val="fr-CA"/>
              </w:rPr>
              <w:t>40273</w:t>
            </w:r>
          </w:p>
        </w:tc>
        <w:tc>
          <w:tcPr>
            <w:tcW w:w="4457" w:type="pct"/>
          </w:tcPr>
          <w:p w:rsidR="00267836" w:rsidRPr="00DD7C7F" w:rsidRDefault="00C461F4" w:rsidP="00DC2914">
            <w:pPr>
              <w:pStyle w:val="SCCLsocParty"/>
              <w:jc w:val="both"/>
              <w:rPr>
                <w:b/>
                <w:sz w:val="20"/>
                <w:szCs w:val="20"/>
              </w:rPr>
            </w:pPr>
            <w:r w:rsidRPr="00DD7C7F">
              <w:rPr>
                <w:b/>
                <w:sz w:val="20"/>
                <w:szCs w:val="20"/>
              </w:rPr>
              <w:t>Eduardo Garcia Obregon, alias Eduardo Garcia, alias Eddie Obregon, Claudia Patricia Garcia, alias Patricia Garcia, alias Claudia Patricia De Garcia, alias Claudia Santisteban et Managed (Portfolio), Corp., Genesis (LA), Corp. (Ontario Corporation Number 1653094), Genesis (LA), Corp. (Alberta Corporate Access Number 2013145921), FC Int, Corp. et First Canadian Int, Corp.</w:t>
            </w:r>
            <w:r w:rsidR="00267836" w:rsidRPr="00DD7C7F">
              <w:rPr>
                <w:b/>
                <w:sz w:val="20"/>
                <w:szCs w:val="20"/>
              </w:rPr>
              <w:t xml:space="preserve"> c. </w:t>
            </w:r>
            <w:r w:rsidRPr="00DD7C7F">
              <w:rPr>
                <w:b/>
                <w:sz w:val="20"/>
                <w:szCs w:val="20"/>
              </w:rPr>
              <w:t>Caja Paraguaya de Jubilaciones y Pensiones del Personal de Itaipu Binacional</w:t>
            </w:r>
          </w:p>
          <w:p w:rsidR="00267836" w:rsidRPr="00DD7C7F" w:rsidRDefault="00267836" w:rsidP="00DC2914">
            <w:pPr>
              <w:jc w:val="both"/>
              <w:rPr>
                <w:sz w:val="20"/>
                <w:lang w:val="fr-CA"/>
              </w:rPr>
            </w:pPr>
            <w:r w:rsidRPr="00DD7C7F">
              <w:rPr>
                <w:sz w:val="20"/>
                <w:lang w:val="fr-CA"/>
              </w:rPr>
              <w:t>(Ontario) (Civile) (Sur autorisation)</w:t>
            </w:r>
          </w:p>
        </w:tc>
      </w:tr>
      <w:tr w:rsidR="00B82D23" w:rsidRPr="00512056" w:rsidTr="00DC2914">
        <w:tc>
          <w:tcPr>
            <w:tcW w:w="5000" w:type="pct"/>
            <w:gridSpan w:val="2"/>
          </w:tcPr>
          <w:p w:rsidR="00C461F4" w:rsidRPr="00DD7C7F" w:rsidRDefault="00C461F4" w:rsidP="00C461F4">
            <w:pPr>
              <w:jc w:val="both"/>
              <w:rPr>
                <w:sz w:val="20"/>
                <w:szCs w:val="20"/>
                <w:lang w:val="fr-CA"/>
              </w:rPr>
            </w:pPr>
            <w:r w:rsidRPr="00DD7C7F">
              <w:rPr>
                <w:sz w:val="20"/>
                <w:szCs w:val="20"/>
                <w:lang w:val="fr-CA"/>
              </w:rPr>
              <w:t>La demande d’autorisation d’appel  d’Eduardo Garcia Obregon, alias Eduardo Garcia alias Eddie Obregon et Claudia Patricia Garcia, alias Patricia Garcia, alias Claudia Patricia De Garcia, alias Claudia Santisteban, de l’arrêt de la Cour d’appel de l’Ontario, numéro C66155, 2020 ONCA 124, daté du 14 février 2020, est rejetée avec dépens.</w:t>
            </w:r>
          </w:p>
          <w:p w:rsidR="00C461F4" w:rsidRPr="00DD7C7F" w:rsidRDefault="00C461F4" w:rsidP="00C461F4">
            <w:pPr>
              <w:jc w:val="both"/>
              <w:rPr>
                <w:sz w:val="20"/>
                <w:szCs w:val="20"/>
                <w:lang w:val="fr-CA"/>
              </w:rPr>
            </w:pPr>
          </w:p>
          <w:p w:rsidR="00C461F4" w:rsidRPr="00DD7C7F" w:rsidRDefault="00C461F4" w:rsidP="00C461F4">
            <w:pPr>
              <w:jc w:val="both"/>
              <w:rPr>
                <w:sz w:val="20"/>
                <w:szCs w:val="20"/>
                <w:lang w:val="fr-CA"/>
              </w:rPr>
            </w:pPr>
            <w:r w:rsidRPr="00DD7C7F">
              <w:rPr>
                <w:sz w:val="20"/>
                <w:szCs w:val="20"/>
                <w:lang w:val="fr-CA"/>
              </w:rPr>
              <w:t>La requête, déposée par Eduardo Garcia et  Patricia Garcia, pour représenter Managed (Portfolio), Corp., Genesis (LA), Corp. (Ontario Corporation Number 1653094), Genesis (LA), Corp. (Alberta Corporate Access Number 2013145921), FC Int, Corp. et First Canadian Int, Corp. est rejetée.</w:t>
            </w:r>
          </w:p>
          <w:p w:rsidR="00C461F4" w:rsidRPr="00DD7C7F" w:rsidRDefault="00C461F4" w:rsidP="00C461F4">
            <w:pPr>
              <w:jc w:val="both"/>
              <w:rPr>
                <w:sz w:val="20"/>
                <w:szCs w:val="20"/>
                <w:lang w:val="fr-CA"/>
              </w:rPr>
            </w:pPr>
          </w:p>
          <w:p w:rsidR="00C461F4" w:rsidRPr="00DD7C7F" w:rsidRDefault="00C461F4" w:rsidP="00C461F4">
            <w:pPr>
              <w:jc w:val="both"/>
              <w:rPr>
                <w:sz w:val="20"/>
                <w:szCs w:val="20"/>
                <w:lang w:val="fr-CA"/>
              </w:rPr>
            </w:pPr>
            <w:r w:rsidRPr="00DD7C7F">
              <w:rPr>
                <w:sz w:val="20"/>
                <w:szCs w:val="20"/>
                <w:lang w:val="fr-CA"/>
              </w:rPr>
              <w:t>Quoiqu’il en soit, même si la requête pour représenter avait été accueillie, la demande d’autorisation d’appel de Managed (Portfolio), Corp., Genesis (LA), Corp. (Ontario Corporation Number 1653094), Genesis (LA), Corp. (Alberta Corporate Access Number 2013145921), FC Int, Corp. et First Canadian Int, Corp. aurait été rejetée.</w:t>
            </w:r>
          </w:p>
          <w:p w:rsidR="00B82D23" w:rsidRPr="00DD7C7F" w:rsidRDefault="00B82D23" w:rsidP="00DC2914">
            <w:pPr>
              <w:jc w:val="both"/>
              <w:rPr>
                <w:sz w:val="20"/>
                <w:lang w:val="fr-CA"/>
              </w:rPr>
            </w:pPr>
          </w:p>
        </w:tc>
      </w:tr>
      <w:tr w:rsidR="00267836" w:rsidRPr="00512056" w:rsidTr="00DC2914">
        <w:tc>
          <w:tcPr>
            <w:tcW w:w="5000" w:type="pct"/>
            <w:gridSpan w:val="2"/>
          </w:tcPr>
          <w:p w:rsidR="00267836" w:rsidRPr="00DD7C7F" w:rsidRDefault="00267836" w:rsidP="00DC2914">
            <w:pPr>
              <w:jc w:val="both"/>
              <w:rPr>
                <w:sz w:val="20"/>
                <w:lang w:val="fr-CA"/>
              </w:rPr>
            </w:pPr>
            <w:r w:rsidRPr="00DD7C7F">
              <w:rPr>
                <w:sz w:val="20"/>
                <w:lang w:val="fr-CA"/>
              </w:rPr>
              <w:t xml:space="preserve">Responsabilité délictuelle — Sociétés par actions — Déclarations inexactes frauduleuses — Initiés facilitant une fraude contre une caisse de retraite en permettant à certaines personnes et à certaines sociétés de présenter de façon inexacte la nature de placements en échange de commissions clandestines — Les responsables de la caisse de retraite ont remplacé les initiés et la nouvelle direction a intenté des poursuites contre les personnes physiques et morales impliquées dans le stratagème frauduleux — La Cour d’appel a-t-elle commis une erreur dans son application de la théorie de l’identification à la personne morale?— La Cour d’appel a-t-elle commis une erreur dans son application de la règle </w:t>
            </w:r>
            <w:r w:rsidRPr="00DD7C7F">
              <w:rPr>
                <w:i/>
                <w:sz w:val="20"/>
                <w:lang w:val="fr-CA"/>
              </w:rPr>
              <w:t>ex turpi causa</w:t>
            </w:r>
            <w:r w:rsidRPr="00DD7C7F">
              <w:rPr>
                <w:sz w:val="20"/>
                <w:lang w:val="fr-CA"/>
              </w:rPr>
              <w:t>?</w:t>
            </w:r>
          </w:p>
          <w:p w:rsidR="00C461F4" w:rsidRPr="00DD7C7F" w:rsidRDefault="00C461F4" w:rsidP="00DC2914">
            <w:pPr>
              <w:jc w:val="both"/>
              <w:rPr>
                <w:sz w:val="20"/>
                <w:lang w:val="fr-CA"/>
              </w:rPr>
            </w:pPr>
          </w:p>
        </w:tc>
      </w:tr>
    </w:tbl>
    <w:p w:rsidR="00C461F4" w:rsidRPr="00DD7C7F" w:rsidRDefault="00C461F4">
      <w:pPr>
        <w:rPr>
          <w:lang w:val="fr-CA"/>
        </w:rPr>
      </w:pPr>
      <w:r w:rsidRPr="00DD7C7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67836" w:rsidRPr="00512056" w:rsidTr="00DC2914">
        <w:tc>
          <w:tcPr>
            <w:tcW w:w="5000" w:type="pct"/>
            <w:gridSpan w:val="3"/>
          </w:tcPr>
          <w:p w:rsidR="00267836" w:rsidRPr="00DD7C7F" w:rsidRDefault="00267836" w:rsidP="00DC2914">
            <w:pPr>
              <w:jc w:val="both"/>
              <w:rPr>
                <w:sz w:val="20"/>
                <w:lang w:val="fr-CA"/>
              </w:rPr>
            </w:pPr>
            <w:r w:rsidRPr="00DD7C7F">
              <w:rPr>
                <w:sz w:val="20"/>
                <w:lang w:val="fr-CA"/>
              </w:rPr>
              <w:t>Les personnes physiques demanderesses, Eduardo Garcia et Patricia Garcia (les Garcia), ont immigré du Guatemala au Canada en 2002. Les personnes morales demanderesses ont été constituées par les Garcia entre 2005 et 2009 (les sociétés Garcia). La défenderesse Caja Paraguaya de Jubilaciones y Pensiones del Personal de Itaipu Binacional (Cajubi) est une caisse de retraite du Paraguay.</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Cajubi a investi plus de 34 millions de dollars dans des produits d’investissement qui étaient censés être proposés par des institutions canadiennes légitimes et réglementées, mais qui étaient en fait les sociétés Garcia, qui avaient été conçues pour imiter des institutions légitimes. Les sociétés Garcia ont investi environ 90 % de l’argent de Cajubi auprès d’institutions canadiennes légitimes et ont retenu 10 % sous forme de « frais initiaux » qui n’ont été ni divulgués ni facturés. Une partie des frais initiaux a été conservée, mais la majeure partie a été versée sous forme de commissions clandestines sur le compte bancaire suisse d’une société prête-nom panaméenne sous la direction de trois « initiés » de Cajubi — son président, son vice-président et son trésorier — qui ont facilité les investissements.</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Lorsque les pertes liées à ce stratagème ont été découvertes, les initiés ont été démis de leurs fonctions. La nouvelle direction de Cajubi a intenté une action contre un certain nombre de parties, y compris les Garcia et les sociétés Garcia, en vue de récupérer son argent. À la suite d’un procès, les Garcias ont été condamnés à payer plus de 20 millions de dollars en dommages-intérêts pour déclarations inexactes frauduleuses et manquements à l’obligation fiduciaire; chacune des sociétés Garcia a été jugée solidairement responsable avec les Garcia pour des montants spécifiques de ces dommages-intérêts. Eduardo et Patricia Garcia ont également été condamnés à payer des dommages-intérêts punitifs d’un montant de 250 000 $ et de 100 000 $ respectivement.</w:t>
            </w:r>
          </w:p>
          <w:p w:rsidR="00267836" w:rsidRPr="00DD7C7F" w:rsidRDefault="00267836" w:rsidP="00DC2914">
            <w:pPr>
              <w:jc w:val="both"/>
              <w:rPr>
                <w:sz w:val="20"/>
                <w:lang w:val="fr-CA"/>
              </w:rPr>
            </w:pPr>
          </w:p>
          <w:p w:rsidR="00267836" w:rsidRPr="00DD7C7F" w:rsidRDefault="00267836" w:rsidP="00DC2914">
            <w:pPr>
              <w:jc w:val="both"/>
              <w:rPr>
                <w:sz w:val="20"/>
                <w:lang w:val="fr-CA"/>
              </w:rPr>
            </w:pPr>
            <w:r w:rsidRPr="00DD7C7F">
              <w:rPr>
                <w:sz w:val="20"/>
                <w:lang w:val="fr-CA"/>
              </w:rPr>
              <w:t xml:space="preserve">Les Garcia et les sociétés Garcia ont fait appel du jugement de première instance; leur appel a été rejeté par la Cour d’appel de l’Ontario </w:t>
            </w:r>
          </w:p>
        </w:tc>
      </w:tr>
      <w:tr w:rsidR="00267836" w:rsidRPr="00512056" w:rsidTr="00DC2914">
        <w:tc>
          <w:tcPr>
            <w:tcW w:w="5000" w:type="pct"/>
            <w:gridSpan w:val="3"/>
          </w:tcPr>
          <w:p w:rsidR="00267836" w:rsidRPr="00DD7C7F" w:rsidRDefault="00267836" w:rsidP="00DC2914">
            <w:pPr>
              <w:jc w:val="both"/>
              <w:rPr>
                <w:sz w:val="20"/>
                <w:lang w:val="fr-CA"/>
              </w:rPr>
            </w:pPr>
          </w:p>
        </w:tc>
      </w:tr>
      <w:tr w:rsidR="00267836" w:rsidRPr="00512056" w:rsidTr="00DC2914">
        <w:tc>
          <w:tcPr>
            <w:tcW w:w="2427" w:type="pct"/>
          </w:tcPr>
          <w:p w:rsidR="00267836" w:rsidRPr="00DD7C7F" w:rsidRDefault="00267836" w:rsidP="00DC2914">
            <w:pPr>
              <w:jc w:val="both"/>
              <w:rPr>
                <w:sz w:val="20"/>
                <w:lang w:val="fr-CA"/>
              </w:rPr>
            </w:pPr>
            <w:r w:rsidRPr="00DD7C7F">
              <w:rPr>
                <w:sz w:val="20"/>
                <w:lang w:val="fr-CA"/>
              </w:rPr>
              <w:t>12 octobre 2018</w:t>
            </w:r>
          </w:p>
          <w:p w:rsidR="00267836" w:rsidRPr="00DD7C7F" w:rsidRDefault="00267836" w:rsidP="00DC2914">
            <w:pPr>
              <w:jc w:val="both"/>
              <w:rPr>
                <w:sz w:val="20"/>
                <w:lang w:val="fr-CA"/>
              </w:rPr>
            </w:pPr>
            <w:r w:rsidRPr="00DD7C7F">
              <w:rPr>
                <w:sz w:val="20"/>
                <w:lang w:val="fr-CA"/>
              </w:rPr>
              <w:t xml:space="preserve">Cour supérieure de justice de l’Ontario Ontario </w:t>
            </w:r>
          </w:p>
          <w:p w:rsidR="00267836" w:rsidRPr="00DD7C7F" w:rsidRDefault="00267836" w:rsidP="00DC2914">
            <w:pPr>
              <w:jc w:val="both"/>
              <w:rPr>
                <w:sz w:val="20"/>
                <w:lang w:val="fr-CA"/>
              </w:rPr>
            </w:pPr>
            <w:r w:rsidRPr="00DD7C7F">
              <w:rPr>
                <w:sz w:val="20"/>
                <w:lang w:val="fr-CA"/>
              </w:rPr>
              <w:t>(le juge Dunphy)</w:t>
            </w:r>
          </w:p>
          <w:p w:rsidR="00267836" w:rsidRPr="00DD7C7F" w:rsidRDefault="00512056" w:rsidP="00DC2914">
            <w:pPr>
              <w:jc w:val="both"/>
              <w:rPr>
                <w:sz w:val="20"/>
                <w:lang w:val="fr-CA"/>
              </w:rPr>
            </w:pPr>
            <w:hyperlink r:id="rId77" w:history="1">
              <w:r w:rsidR="00267836" w:rsidRPr="00DD7C7F">
                <w:rPr>
                  <w:rStyle w:val="Hyperlink"/>
                  <w:sz w:val="20"/>
                  <w:lang w:val="fr-CA"/>
                </w:rPr>
                <w:t>2018 ONSC 5379</w:t>
              </w:r>
            </w:hyperlink>
            <w:r w:rsidR="00267836" w:rsidRPr="00DD7C7F">
              <w:rPr>
                <w:sz w:val="20"/>
                <w:lang w:val="fr-CA"/>
              </w:rPr>
              <w:t xml:space="preserve">; CV-11-9210-00CL </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Jugement en faveur de la demanderesse, Caja Paraguaya de Jubilaciones y Pensiones del Personal de Itaipu Binacional; demande reconventionnelle et demande entre défendeurs rejetées</w:t>
            </w:r>
          </w:p>
          <w:p w:rsidR="00267836" w:rsidRPr="00DD7C7F" w:rsidRDefault="00267836" w:rsidP="00DC2914">
            <w:pPr>
              <w:jc w:val="both"/>
              <w:rPr>
                <w:sz w:val="20"/>
                <w:lang w:val="fr-CA"/>
              </w:rPr>
            </w:pPr>
          </w:p>
        </w:tc>
      </w:tr>
      <w:tr w:rsidR="00267836" w:rsidRPr="00DD7C7F" w:rsidTr="00DC2914">
        <w:tc>
          <w:tcPr>
            <w:tcW w:w="2427" w:type="pct"/>
          </w:tcPr>
          <w:p w:rsidR="00267836" w:rsidRPr="00DD7C7F" w:rsidRDefault="00267836" w:rsidP="00DC2914">
            <w:pPr>
              <w:jc w:val="both"/>
              <w:rPr>
                <w:sz w:val="20"/>
                <w:lang w:val="fr-CA"/>
              </w:rPr>
            </w:pPr>
            <w:r w:rsidRPr="00DD7C7F">
              <w:rPr>
                <w:sz w:val="20"/>
                <w:lang w:val="fr-CA"/>
              </w:rPr>
              <w:t>14 février 2020</w:t>
            </w:r>
          </w:p>
          <w:p w:rsidR="00267836" w:rsidRPr="00DD7C7F" w:rsidRDefault="00267836" w:rsidP="00DC2914">
            <w:pPr>
              <w:jc w:val="both"/>
              <w:rPr>
                <w:sz w:val="20"/>
                <w:lang w:val="fr-CA"/>
              </w:rPr>
            </w:pPr>
            <w:r w:rsidRPr="00DD7C7F">
              <w:rPr>
                <w:sz w:val="20"/>
                <w:lang w:val="fr-CA"/>
              </w:rPr>
              <w:t>Cour d’appel de l’Ontario</w:t>
            </w:r>
          </w:p>
          <w:p w:rsidR="00267836" w:rsidRPr="00DD7C7F" w:rsidRDefault="00267836" w:rsidP="00DC2914">
            <w:pPr>
              <w:jc w:val="both"/>
              <w:rPr>
                <w:sz w:val="20"/>
                <w:lang w:val="fr-CA"/>
              </w:rPr>
            </w:pPr>
            <w:r w:rsidRPr="00DD7C7F">
              <w:rPr>
                <w:sz w:val="20"/>
                <w:lang w:val="fr-CA"/>
              </w:rPr>
              <w:t>(les juges Pepall, Pardu et Paciocco)</w:t>
            </w:r>
          </w:p>
          <w:p w:rsidR="00267836" w:rsidRPr="00DD7C7F" w:rsidRDefault="00512056" w:rsidP="00DC2914">
            <w:pPr>
              <w:jc w:val="both"/>
              <w:rPr>
                <w:sz w:val="20"/>
                <w:lang w:val="fr-CA"/>
              </w:rPr>
            </w:pPr>
            <w:hyperlink r:id="rId78" w:history="1">
              <w:r w:rsidR="00267836" w:rsidRPr="00DD7C7F">
                <w:rPr>
                  <w:rStyle w:val="Hyperlink"/>
                  <w:sz w:val="20"/>
                  <w:lang w:val="fr-CA"/>
                </w:rPr>
                <w:t>2020 ONCA 124</w:t>
              </w:r>
            </w:hyperlink>
            <w:r w:rsidR="00267836" w:rsidRPr="00DD7C7F">
              <w:rPr>
                <w:sz w:val="20"/>
                <w:lang w:val="fr-CA"/>
              </w:rPr>
              <w:t>; C66155</w:t>
            </w:r>
          </w:p>
          <w:p w:rsidR="00267836" w:rsidRPr="00DD7C7F" w:rsidRDefault="00267836" w:rsidP="00DC2914">
            <w:pPr>
              <w:jc w:val="both"/>
              <w:rPr>
                <w:sz w:val="20"/>
                <w:lang w:val="fr-CA"/>
              </w:rPr>
            </w:pP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L’appel est rejeté</w:t>
            </w:r>
          </w:p>
          <w:p w:rsidR="00267836" w:rsidRPr="00DD7C7F" w:rsidRDefault="00267836" w:rsidP="00DC2914">
            <w:pPr>
              <w:jc w:val="both"/>
              <w:rPr>
                <w:sz w:val="20"/>
                <w:lang w:val="fr-CA"/>
              </w:rPr>
            </w:pPr>
          </w:p>
        </w:tc>
      </w:tr>
      <w:tr w:rsidR="00267836" w:rsidRPr="00512056" w:rsidTr="00DC2914">
        <w:tc>
          <w:tcPr>
            <w:tcW w:w="2427" w:type="pct"/>
          </w:tcPr>
          <w:p w:rsidR="00267836" w:rsidRPr="00DD7C7F" w:rsidRDefault="00267836" w:rsidP="00DC2914">
            <w:pPr>
              <w:jc w:val="both"/>
              <w:rPr>
                <w:sz w:val="20"/>
                <w:lang w:val="fr-CA"/>
              </w:rPr>
            </w:pPr>
            <w:r w:rsidRPr="00DD7C7F">
              <w:rPr>
                <w:sz w:val="20"/>
                <w:lang w:val="fr-CA"/>
              </w:rPr>
              <w:t>30 mars 2020</w:t>
            </w:r>
          </w:p>
          <w:p w:rsidR="00267836" w:rsidRPr="00DD7C7F" w:rsidRDefault="00267836" w:rsidP="00DC2914">
            <w:pPr>
              <w:jc w:val="both"/>
              <w:rPr>
                <w:sz w:val="20"/>
                <w:lang w:val="fr-CA"/>
              </w:rPr>
            </w:pPr>
            <w:r w:rsidRPr="00DD7C7F">
              <w:rPr>
                <w:sz w:val="20"/>
                <w:lang w:val="fr-CA"/>
              </w:rPr>
              <w:t>Cour suprême du Canada</w:t>
            </w:r>
          </w:p>
        </w:tc>
        <w:tc>
          <w:tcPr>
            <w:tcW w:w="243" w:type="pct"/>
          </w:tcPr>
          <w:p w:rsidR="00267836" w:rsidRPr="00DD7C7F" w:rsidRDefault="00267836" w:rsidP="00DC2914">
            <w:pPr>
              <w:jc w:val="both"/>
              <w:rPr>
                <w:sz w:val="20"/>
                <w:lang w:val="fr-CA"/>
              </w:rPr>
            </w:pPr>
          </w:p>
        </w:tc>
        <w:tc>
          <w:tcPr>
            <w:tcW w:w="2330" w:type="pct"/>
          </w:tcPr>
          <w:p w:rsidR="00267836" w:rsidRPr="00DD7C7F" w:rsidRDefault="00267836" w:rsidP="00DC2914">
            <w:pPr>
              <w:jc w:val="both"/>
              <w:rPr>
                <w:sz w:val="20"/>
                <w:lang w:val="fr-CA"/>
              </w:rPr>
            </w:pPr>
            <w:r w:rsidRPr="00DD7C7F">
              <w:rPr>
                <w:sz w:val="20"/>
                <w:lang w:val="fr-CA"/>
              </w:rPr>
              <w:t xml:space="preserve">Dépôt de la demande d’autorisation d’appel </w:t>
            </w:r>
          </w:p>
          <w:p w:rsidR="00267836" w:rsidRPr="00DD7C7F" w:rsidRDefault="00267836" w:rsidP="00DC2914">
            <w:pPr>
              <w:jc w:val="both"/>
              <w:rPr>
                <w:sz w:val="20"/>
                <w:lang w:val="fr-CA"/>
              </w:rPr>
            </w:pPr>
          </w:p>
        </w:tc>
      </w:tr>
    </w:tbl>
    <w:p w:rsidR="004B2E86" w:rsidRPr="00DD7C7F" w:rsidRDefault="004B2E86" w:rsidP="004B2E86">
      <w:pPr>
        <w:jc w:val="both"/>
        <w:rPr>
          <w:sz w:val="20"/>
          <w:szCs w:val="20"/>
          <w:lang w:val="fr-CA"/>
        </w:rPr>
      </w:pPr>
    </w:p>
    <w:p w:rsidR="00102792" w:rsidRPr="00DD7C7F" w:rsidRDefault="00512056" w:rsidP="004B2E86">
      <w:pPr>
        <w:jc w:val="both"/>
        <w:rPr>
          <w:sz w:val="20"/>
          <w:szCs w:val="20"/>
          <w:lang w:val="fr-CA"/>
        </w:rPr>
      </w:pPr>
      <w:r>
        <w:rPr>
          <w:sz w:val="20"/>
          <w:szCs w:val="20"/>
        </w:rPr>
        <w:pict>
          <v:rect id="_x0000_i1072" style="width:2in;height:1pt" o:hrpct="0" o:hralign="center" o:hrstd="t" o:hrnoshade="t" o:hr="t" fillcolor="black" stroked="f"/>
        </w:pict>
      </w:r>
    </w:p>
    <w:p w:rsidR="00E06F20" w:rsidRPr="00DD7C7F" w:rsidRDefault="00E06F20" w:rsidP="00102792">
      <w:pPr>
        <w:jc w:val="both"/>
        <w:rPr>
          <w:sz w:val="20"/>
          <w:lang w:val="fr-CA"/>
        </w:rPr>
      </w:pPr>
    </w:p>
    <w:p w:rsidR="00890FEB" w:rsidRPr="00DD7C7F" w:rsidRDefault="00890FEB" w:rsidP="008D292F">
      <w:pPr>
        <w:rPr>
          <w:sz w:val="20"/>
          <w:szCs w:val="20"/>
          <w:lang w:val="fr-CA"/>
        </w:rPr>
      </w:pPr>
    </w:p>
    <w:p w:rsidR="00890FEB" w:rsidRPr="00DD7C7F" w:rsidRDefault="00890FEB" w:rsidP="008D292F">
      <w:pPr>
        <w:rPr>
          <w:b/>
          <w:sz w:val="20"/>
          <w:szCs w:val="20"/>
          <w:lang w:val="fr-CA"/>
        </w:rPr>
        <w:sectPr w:rsidR="00890FEB" w:rsidRPr="00DD7C7F" w:rsidSect="008D292F">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567602" w:rsidRPr="00DD7C7F" w:rsidRDefault="001434B9" w:rsidP="00567602">
      <w:pPr>
        <w:pStyle w:val="Header1StyleE"/>
        <w:pBdr>
          <w:bottom w:val="single" w:sz="12" w:space="1" w:color="auto"/>
        </w:pBdr>
        <w:rPr>
          <w:lang w:val="fr-CA"/>
        </w:rPr>
      </w:pPr>
      <w:bookmarkStart w:id="5" w:name="_Toc121404091"/>
      <w:r w:rsidRPr="00DD7C7F">
        <w:rPr>
          <w:lang w:val="fr-CA"/>
        </w:rPr>
        <w:t>Appeals heard since the last issue and disposition</w:t>
      </w:r>
      <w:r w:rsidR="00271E1E" w:rsidRPr="00DD7C7F">
        <w:rPr>
          <w:lang w:val="fr-CA"/>
        </w:rPr>
        <w:t xml:space="preserve"> / </w:t>
      </w:r>
      <w:r w:rsidR="00567602" w:rsidRPr="00DD7C7F">
        <w:rPr>
          <w:lang w:val="fr-CA"/>
        </w:rPr>
        <w:br/>
      </w:r>
      <w:r w:rsidRPr="00DD7C7F">
        <w:rPr>
          <w:lang w:val="fr-CA"/>
        </w:rPr>
        <w:t>Appels entendus depuis la dernière parution et résultat</w:t>
      </w:r>
      <w:bookmarkEnd w:id="5"/>
    </w:p>
    <w:p w:rsidR="00567602" w:rsidRPr="00DD7C7F" w:rsidRDefault="00567602" w:rsidP="009B36BA">
      <w:pPr>
        <w:widowControl w:val="0"/>
        <w:jc w:val="both"/>
        <w:rPr>
          <w:sz w:val="20"/>
          <w:szCs w:val="20"/>
          <w:lang w:val="fr-CA"/>
        </w:rPr>
      </w:pPr>
    </w:p>
    <w:p w:rsidR="00717608" w:rsidRPr="00DD7C7F" w:rsidRDefault="006349BF" w:rsidP="00717608">
      <w:pPr>
        <w:rPr>
          <w:b/>
          <w:sz w:val="20"/>
          <w:szCs w:val="20"/>
        </w:rPr>
      </w:pPr>
      <w:r w:rsidRPr="00DD7C7F">
        <w:rPr>
          <w:b/>
          <w:sz w:val="20"/>
          <w:szCs w:val="20"/>
        </w:rPr>
        <w:t>DEC</w:t>
      </w:r>
      <w:r w:rsidR="002C13E1" w:rsidRPr="00DD7C7F">
        <w:rPr>
          <w:b/>
          <w:sz w:val="20"/>
          <w:szCs w:val="20"/>
        </w:rPr>
        <w:t>EMBER</w:t>
      </w:r>
      <w:r w:rsidR="00717608" w:rsidRPr="00DD7C7F">
        <w:rPr>
          <w:b/>
          <w:sz w:val="20"/>
          <w:szCs w:val="20"/>
        </w:rPr>
        <w:t xml:space="preserve"> </w:t>
      </w:r>
      <w:r w:rsidRPr="00DD7C7F">
        <w:rPr>
          <w:b/>
          <w:sz w:val="20"/>
          <w:szCs w:val="20"/>
        </w:rPr>
        <w:t>5</w:t>
      </w:r>
      <w:r w:rsidR="00717608" w:rsidRPr="00DD7C7F">
        <w:rPr>
          <w:b/>
          <w:sz w:val="20"/>
          <w:szCs w:val="20"/>
        </w:rPr>
        <w:t>, 20</w:t>
      </w:r>
      <w:r w:rsidR="00172473" w:rsidRPr="00DD7C7F">
        <w:rPr>
          <w:b/>
          <w:sz w:val="20"/>
          <w:szCs w:val="20"/>
        </w:rPr>
        <w:t>2</w:t>
      </w:r>
      <w:r w:rsidR="00E8642A" w:rsidRPr="00DD7C7F">
        <w:rPr>
          <w:b/>
          <w:sz w:val="20"/>
          <w:szCs w:val="20"/>
        </w:rPr>
        <w:t>2</w:t>
      </w:r>
      <w:r w:rsidR="00717608" w:rsidRPr="00DD7C7F">
        <w:rPr>
          <w:b/>
          <w:sz w:val="20"/>
          <w:szCs w:val="20"/>
        </w:rPr>
        <w:t xml:space="preserve"> / LE </w:t>
      </w:r>
      <w:r w:rsidRPr="00DD7C7F">
        <w:rPr>
          <w:b/>
          <w:sz w:val="20"/>
          <w:szCs w:val="20"/>
        </w:rPr>
        <w:t>5</w:t>
      </w:r>
      <w:r w:rsidR="00717608" w:rsidRPr="00DD7C7F">
        <w:rPr>
          <w:b/>
          <w:sz w:val="20"/>
          <w:szCs w:val="20"/>
        </w:rPr>
        <w:t xml:space="preserve"> </w:t>
      </w:r>
      <w:r w:rsidRPr="00DD7C7F">
        <w:rPr>
          <w:b/>
          <w:sz w:val="20"/>
          <w:szCs w:val="20"/>
        </w:rPr>
        <w:t>DÉC</w:t>
      </w:r>
      <w:r w:rsidR="002C13E1" w:rsidRPr="00DD7C7F">
        <w:rPr>
          <w:b/>
          <w:sz w:val="20"/>
          <w:szCs w:val="20"/>
        </w:rPr>
        <w:t>EMBRE</w:t>
      </w:r>
      <w:r w:rsidR="00717608" w:rsidRPr="00DD7C7F">
        <w:rPr>
          <w:b/>
          <w:sz w:val="20"/>
          <w:szCs w:val="20"/>
        </w:rPr>
        <w:t xml:space="preserve"> 20</w:t>
      </w:r>
      <w:r w:rsidR="00172473" w:rsidRPr="00DD7C7F">
        <w:rPr>
          <w:b/>
          <w:sz w:val="20"/>
          <w:szCs w:val="20"/>
        </w:rPr>
        <w:t>2</w:t>
      </w:r>
      <w:r w:rsidR="00E8642A" w:rsidRPr="00DD7C7F">
        <w:rPr>
          <w:b/>
          <w:sz w:val="20"/>
          <w:szCs w:val="20"/>
        </w:rPr>
        <w:t>2</w:t>
      </w:r>
    </w:p>
    <w:p w:rsidR="00172473" w:rsidRPr="00DD7C7F" w:rsidRDefault="00172473" w:rsidP="00717608">
      <w:pPr>
        <w:rPr>
          <w:sz w:val="20"/>
          <w:szCs w:val="20"/>
        </w:rPr>
      </w:pPr>
    </w:p>
    <w:p w:rsidR="00E8642A" w:rsidRPr="00DD7C7F" w:rsidRDefault="006349BF" w:rsidP="00E8642A">
      <w:pPr>
        <w:widowControl w:val="0"/>
        <w:rPr>
          <w:sz w:val="20"/>
          <w:szCs w:val="20"/>
        </w:rPr>
      </w:pPr>
      <w:r w:rsidRPr="00DD7C7F">
        <w:rPr>
          <w:b/>
          <w:sz w:val="20"/>
          <w:szCs w:val="20"/>
        </w:rPr>
        <w:t>James Allan Anderson v. Diana Anderson</w:t>
      </w:r>
      <w:r w:rsidR="00E8642A" w:rsidRPr="00DD7C7F">
        <w:rPr>
          <w:b/>
          <w:sz w:val="20"/>
          <w:szCs w:val="20"/>
        </w:rPr>
        <w:t xml:space="preserve"> </w:t>
      </w:r>
      <w:r w:rsidR="00E8642A" w:rsidRPr="00DD7C7F">
        <w:rPr>
          <w:sz w:val="20"/>
          <w:szCs w:val="20"/>
        </w:rPr>
        <w:t>(</w:t>
      </w:r>
      <w:r w:rsidRPr="00DD7C7F">
        <w:rPr>
          <w:sz w:val="20"/>
          <w:szCs w:val="20"/>
        </w:rPr>
        <w:t>Sask</w:t>
      </w:r>
      <w:r w:rsidR="00E8642A" w:rsidRPr="00DD7C7F">
        <w:rPr>
          <w:sz w:val="20"/>
          <w:szCs w:val="20"/>
        </w:rPr>
        <w:t xml:space="preserve">.) (Civil) (By Leave) </w:t>
      </w:r>
      <w:r w:rsidRPr="00DD7C7F">
        <w:rPr>
          <w:iCs/>
          <w:sz w:val="20"/>
          <w:szCs w:val="20"/>
        </w:rPr>
        <w:t>(</w:t>
      </w:r>
      <w:hyperlink r:id="rId85" w:history="1">
        <w:r w:rsidRPr="00DD7C7F">
          <w:rPr>
            <w:rStyle w:val="Hyperlink"/>
            <w:iCs/>
            <w:sz w:val="20"/>
            <w:szCs w:val="20"/>
          </w:rPr>
          <w:t>39884</w:t>
        </w:r>
      </w:hyperlink>
      <w:r w:rsidRPr="00DD7C7F">
        <w:rPr>
          <w:iCs/>
          <w:sz w:val="20"/>
          <w:szCs w:val="20"/>
        </w:rPr>
        <w:t>)</w:t>
      </w:r>
    </w:p>
    <w:p w:rsidR="00E8642A" w:rsidRPr="00DD7C7F" w:rsidRDefault="00E8642A" w:rsidP="00E8642A">
      <w:pPr>
        <w:widowControl w:val="0"/>
        <w:ind w:left="1109" w:hanging="1109"/>
        <w:rPr>
          <w:sz w:val="20"/>
          <w:szCs w:val="20"/>
        </w:rPr>
      </w:pPr>
    </w:p>
    <w:p w:rsidR="00E8642A" w:rsidRPr="00DD7C7F" w:rsidRDefault="00E8642A" w:rsidP="00E8642A">
      <w:pPr>
        <w:widowControl w:val="0"/>
        <w:ind w:left="1109" w:hanging="1109"/>
        <w:rPr>
          <w:sz w:val="20"/>
          <w:szCs w:val="20"/>
          <w:lang w:val="fr-CA"/>
        </w:rPr>
      </w:pPr>
      <w:r w:rsidRPr="00DD7C7F">
        <w:rPr>
          <w:sz w:val="20"/>
          <w:szCs w:val="20"/>
          <w:lang w:val="fr-CA"/>
        </w:rPr>
        <w:t xml:space="preserve">Coram: </w:t>
      </w:r>
      <w:r w:rsidRPr="00DD7C7F">
        <w:rPr>
          <w:sz w:val="20"/>
          <w:szCs w:val="20"/>
          <w:lang w:val="fr-CA"/>
        </w:rPr>
        <w:tab/>
      </w:r>
      <w:r w:rsidR="006349BF" w:rsidRPr="00DD7C7F">
        <w:rPr>
          <w:sz w:val="20"/>
          <w:szCs w:val="20"/>
          <w:lang w:val="fr-CA"/>
        </w:rPr>
        <w:t>Karakatsanis, Côté, Rowe, Martin, Kasirer, Jamal and O’Bonsawin JJ.</w:t>
      </w:r>
    </w:p>
    <w:p w:rsidR="00102792" w:rsidRPr="00DD7C7F" w:rsidRDefault="00102792" w:rsidP="00102792">
      <w:pPr>
        <w:ind w:left="1109" w:hanging="1109"/>
        <w:rPr>
          <w:color w:val="000000"/>
          <w:sz w:val="20"/>
          <w:szCs w:val="20"/>
          <w:lang w:val="fr-CA"/>
        </w:rPr>
      </w:pPr>
    </w:p>
    <w:p w:rsidR="00102792" w:rsidRPr="00DD7C7F" w:rsidRDefault="00102792" w:rsidP="00102792">
      <w:pPr>
        <w:ind w:left="1109" w:hanging="1109"/>
        <w:rPr>
          <w:b/>
          <w:bCs/>
          <w:color w:val="000000"/>
          <w:sz w:val="20"/>
          <w:szCs w:val="20"/>
          <w:lang w:val="fr-CA"/>
        </w:rPr>
      </w:pPr>
      <w:r w:rsidRPr="00DD7C7F">
        <w:rPr>
          <w:b/>
          <w:bCs/>
          <w:color w:val="000000"/>
          <w:sz w:val="20"/>
          <w:szCs w:val="20"/>
          <w:lang w:val="fr-CA"/>
        </w:rPr>
        <w:t>RESERVED / EN DÉLIBÉRÉ</w:t>
      </w:r>
    </w:p>
    <w:p w:rsidR="00E06F20" w:rsidRPr="00DD7C7F" w:rsidRDefault="00E06F20" w:rsidP="00102792">
      <w:pPr>
        <w:ind w:left="1109" w:hanging="1109"/>
        <w:rPr>
          <w:bCs/>
          <w:color w:val="000000"/>
          <w:sz w:val="20"/>
          <w:szCs w:val="27"/>
          <w:lang w:val="fr-CA"/>
        </w:rPr>
      </w:pPr>
    </w:p>
    <w:p w:rsidR="00E06F20" w:rsidRPr="00DD7C7F" w:rsidRDefault="00512056" w:rsidP="00281DA2">
      <w:pPr>
        <w:jc w:val="center"/>
        <w:rPr>
          <w:color w:val="000000"/>
          <w:sz w:val="20"/>
          <w:szCs w:val="27"/>
        </w:rPr>
      </w:pPr>
      <w:r>
        <w:rPr>
          <w:sz w:val="20"/>
          <w:szCs w:val="20"/>
        </w:rPr>
        <w:pict>
          <v:rect id="_x0000_i1075" style="width:2in;height:1pt" o:hrpct="0" o:hralign="center" o:hrstd="t" o:hrnoshade="t" o:hr="t" fillcolor="black [3213]" stroked="f"/>
        </w:pict>
      </w:r>
    </w:p>
    <w:p w:rsidR="00102792" w:rsidRPr="00DD7C7F" w:rsidRDefault="00102792" w:rsidP="00102792">
      <w:pPr>
        <w:widowControl w:val="0"/>
        <w:rPr>
          <w:sz w:val="20"/>
          <w:szCs w:val="20"/>
        </w:rPr>
      </w:pPr>
    </w:p>
    <w:p w:rsidR="006349BF" w:rsidRPr="00DD7C7F" w:rsidRDefault="006349BF" w:rsidP="006349BF">
      <w:pPr>
        <w:rPr>
          <w:b/>
          <w:sz w:val="20"/>
          <w:szCs w:val="20"/>
          <w:lang w:val="fr-CA"/>
        </w:rPr>
      </w:pPr>
      <w:r w:rsidRPr="00DD7C7F">
        <w:rPr>
          <w:b/>
          <w:sz w:val="20"/>
          <w:szCs w:val="20"/>
          <w:lang w:val="fr-CA"/>
        </w:rPr>
        <w:t>DECEMBER 6, 2022 / LE 6 DÉCEMBRE 2022</w:t>
      </w:r>
    </w:p>
    <w:p w:rsidR="00E8642A" w:rsidRPr="00DD7C7F" w:rsidRDefault="00E8642A" w:rsidP="00E8642A">
      <w:pPr>
        <w:rPr>
          <w:sz w:val="20"/>
          <w:szCs w:val="20"/>
          <w:lang w:val="fr-CA"/>
        </w:rPr>
      </w:pPr>
    </w:p>
    <w:p w:rsidR="00E8642A" w:rsidRPr="00DD7C7F" w:rsidRDefault="006349BF" w:rsidP="00E8642A">
      <w:pPr>
        <w:widowControl w:val="0"/>
        <w:rPr>
          <w:sz w:val="20"/>
          <w:szCs w:val="20"/>
          <w:lang w:val="fr-CA"/>
        </w:rPr>
      </w:pPr>
      <w:r w:rsidRPr="00DD7C7F">
        <w:rPr>
          <w:b/>
          <w:sz w:val="20"/>
          <w:szCs w:val="20"/>
          <w:lang w:val="fr-CA"/>
        </w:rPr>
        <w:t>Mikerlson Vernelus c. Sa Majesté le Roi</w:t>
      </w:r>
      <w:r w:rsidR="00E8642A" w:rsidRPr="00DD7C7F">
        <w:rPr>
          <w:sz w:val="20"/>
          <w:szCs w:val="20"/>
          <w:lang w:val="fr-CA"/>
        </w:rPr>
        <w:t xml:space="preserve"> </w:t>
      </w:r>
      <w:r w:rsidRPr="00DD7C7F">
        <w:rPr>
          <w:sz w:val="20"/>
          <w:szCs w:val="20"/>
          <w:lang w:val="fr-CA"/>
        </w:rPr>
        <w:t xml:space="preserve">(Qc) (Criminelle) (De plein droit) </w:t>
      </w:r>
      <w:r w:rsidRPr="00DD7C7F">
        <w:rPr>
          <w:iCs/>
          <w:sz w:val="20"/>
          <w:szCs w:val="20"/>
          <w:lang w:val="fr-CA"/>
        </w:rPr>
        <w:t>(</w:t>
      </w:r>
      <w:hyperlink r:id="rId86" w:history="1">
        <w:r w:rsidRPr="00DD7C7F">
          <w:rPr>
            <w:rStyle w:val="Hyperlink"/>
            <w:iCs/>
            <w:sz w:val="20"/>
            <w:szCs w:val="20"/>
            <w:lang w:val="fr-CA"/>
          </w:rPr>
          <w:t>40072</w:t>
        </w:r>
      </w:hyperlink>
      <w:r w:rsidRPr="00DD7C7F">
        <w:rPr>
          <w:iCs/>
          <w:sz w:val="20"/>
          <w:szCs w:val="20"/>
          <w:lang w:val="fr-CA"/>
        </w:rPr>
        <w:t>)</w:t>
      </w:r>
    </w:p>
    <w:p w:rsidR="00E8642A" w:rsidRPr="00DD7C7F" w:rsidRDefault="00E8642A" w:rsidP="00E8642A">
      <w:pPr>
        <w:widowControl w:val="0"/>
        <w:ind w:left="1109" w:hanging="1109"/>
        <w:rPr>
          <w:sz w:val="20"/>
          <w:szCs w:val="20"/>
          <w:lang w:val="fr-CA"/>
        </w:rPr>
      </w:pPr>
      <w:r w:rsidRPr="00DD7C7F">
        <w:rPr>
          <w:b/>
          <w:sz w:val="20"/>
          <w:szCs w:val="20"/>
          <w:lang w:val="fr-CA"/>
        </w:rPr>
        <w:t xml:space="preserve">2022 SCC </w:t>
      </w:r>
      <w:r w:rsidR="00AF0620" w:rsidRPr="00DD7C7F">
        <w:rPr>
          <w:b/>
          <w:sz w:val="20"/>
          <w:szCs w:val="20"/>
          <w:lang w:val="fr-CA"/>
        </w:rPr>
        <w:t>53</w:t>
      </w:r>
      <w:r w:rsidRPr="00DD7C7F">
        <w:rPr>
          <w:b/>
          <w:sz w:val="20"/>
          <w:szCs w:val="20"/>
          <w:lang w:val="fr-CA"/>
        </w:rPr>
        <w:t xml:space="preserve"> / 2022 CSC </w:t>
      </w:r>
      <w:r w:rsidR="00AF0620" w:rsidRPr="00DD7C7F">
        <w:rPr>
          <w:b/>
          <w:sz w:val="20"/>
          <w:szCs w:val="20"/>
          <w:lang w:val="fr-CA"/>
        </w:rPr>
        <w:t>53</w:t>
      </w:r>
    </w:p>
    <w:p w:rsidR="00E8642A" w:rsidRPr="00DD7C7F" w:rsidRDefault="00E8642A" w:rsidP="00E8642A">
      <w:pPr>
        <w:widowControl w:val="0"/>
        <w:ind w:left="1109" w:hanging="1109"/>
        <w:rPr>
          <w:sz w:val="20"/>
          <w:szCs w:val="20"/>
          <w:lang w:val="fr-CA"/>
        </w:rPr>
      </w:pPr>
    </w:p>
    <w:p w:rsidR="002C13E1" w:rsidRPr="00DD7C7F" w:rsidRDefault="002C13E1" w:rsidP="002C13E1">
      <w:pPr>
        <w:widowControl w:val="0"/>
        <w:ind w:left="1109" w:hanging="1109"/>
        <w:rPr>
          <w:sz w:val="20"/>
          <w:szCs w:val="20"/>
          <w:lang w:val="fr-CA"/>
        </w:rPr>
      </w:pPr>
      <w:r w:rsidRPr="00DD7C7F">
        <w:rPr>
          <w:sz w:val="20"/>
          <w:szCs w:val="20"/>
          <w:lang w:val="fr-CA"/>
        </w:rPr>
        <w:t xml:space="preserve">Coram: </w:t>
      </w:r>
      <w:r w:rsidRPr="00DD7C7F">
        <w:rPr>
          <w:sz w:val="20"/>
          <w:szCs w:val="20"/>
          <w:lang w:val="fr-CA"/>
        </w:rPr>
        <w:tab/>
      </w:r>
      <w:r w:rsidR="006349BF" w:rsidRPr="00DD7C7F">
        <w:rPr>
          <w:sz w:val="20"/>
          <w:szCs w:val="20"/>
          <w:lang w:val="fr-CA"/>
        </w:rPr>
        <w:t>Les juges Côté, Brown, Martin, Kasirer et O’Bonsawin</w:t>
      </w:r>
      <w:r w:rsidRPr="00DD7C7F">
        <w:rPr>
          <w:sz w:val="20"/>
          <w:szCs w:val="20"/>
          <w:lang w:val="fr-CA"/>
        </w:rPr>
        <w:t>.</w:t>
      </w:r>
    </w:p>
    <w:p w:rsidR="00E8642A" w:rsidRPr="00DD7C7F" w:rsidRDefault="00E8642A" w:rsidP="00E8642A">
      <w:pPr>
        <w:ind w:left="1109" w:hanging="1109"/>
        <w:rPr>
          <w:color w:val="000000"/>
          <w:sz w:val="20"/>
          <w:szCs w:val="20"/>
          <w:lang w:val="fr-CA"/>
        </w:rPr>
      </w:pPr>
    </w:p>
    <w:p w:rsidR="00512056" w:rsidRPr="00512056" w:rsidRDefault="00512056" w:rsidP="00512056">
      <w:pPr>
        <w:jc w:val="both"/>
        <w:rPr>
          <w:sz w:val="20"/>
          <w:szCs w:val="20"/>
          <w:lang w:val="fr-CA"/>
        </w:rPr>
      </w:pPr>
      <w:r w:rsidRPr="00512056">
        <w:rPr>
          <w:sz w:val="20"/>
          <w:szCs w:val="20"/>
          <w:lang w:val="fr-CA"/>
        </w:rPr>
        <w:t xml:space="preserve">L’appel interjeté contre l’arrêt de la Cour d’appel du Québec (Montréal), numéro 500-10-006907-180, </w:t>
      </w:r>
      <w:hyperlink r:id="rId87" w:history="1">
        <w:r w:rsidRPr="00512056">
          <w:rPr>
            <w:rStyle w:val="Hyperlink"/>
            <w:color w:val="660000"/>
            <w:sz w:val="20"/>
            <w:szCs w:val="20"/>
            <w:u w:val="none"/>
            <w:lang w:val="fr-CA"/>
          </w:rPr>
          <w:t>2022 QCCA 138</w:t>
        </w:r>
      </w:hyperlink>
      <w:r w:rsidRPr="00512056">
        <w:rPr>
          <w:sz w:val="20"/>
          <w:szCs w:val="20"/>
          <w:lang w:val="fr-CA"/>
        </w:rPr>
        <w:t>, daté du 31 janvier 2022, a été entendu le 6 décembre 2022 et la Cour a prononcé oralement le même jour le jugement suivant :</w:t>
      </w:r>
    </w:p>
    <w:p w:rsidR="00512056" w:rsidRPr="00512056" w:rsidRDefault="00512056" w:rsidP="00512056">
      <w:pPr>
        <w:jc w:val="both"/>
        <w:rPr>
          <w:sz w:val="20"/>
          <w:szCs w:val="20"/>
          <w:lang w:val="fr-CA"/>
        </w:rPr>
      </w:pPr>
    </w:p>
    <w:p w:rsidR="00512056" w:rsidRPr="00512056" w:rsidRDefault="00512056" w:rsidP="00512056">
      <w:pPr>
        <w:jc w:val="both"/>
        <w:rPr>
          <w:sz w:val="20"/>
          <w:szCs w:val="20"/>
          <w:lang w:val="fr-CA"/>
        </w:rPr>
      </w:pPr>
      <w:r w:rsidRPr="00512056">
        <w:rPr>
          <w:smallCaps/>
          <w:sz w:val="20"/>
          <w:szCs w:val="20"/>
          <w:lang w:val="fr-CA"/>
        </w:rPr>
        <w:t>Le juge Kasirer</w:t>
      </w:r>
      <w:r w:rsidRPr="00512056">
        <w:rPr>
          <w:sz w:val="20"/>
          <w:szCs w:val="20"/>
          <w:lang w:val="fr-CA"/>
        </w:rPr>
        <w:t xml:space="preserve"> — La Cour est d’avis de rejeter le pourvoi pour les motifs du juge Moore au nom de la majorité de la Cour d’appel.</w:t>
      </w:r>
    </w:p>
    <w:p w:rsidR="00512056" w:rsidRPr="00512056" w:rsidRDefault="00512056" w:rsidP="00512056">
      <w:pPr>
        <w:jc w:val="both"/>
        <w:rPr>
          <w:sz w:val="20"/>
          <w:szCs w:val="20"/>
          <w:lang w:val="fr-CA"/>
        </w:rPr>
      </w:pPr>
    </w:p>
    <w:p w:rsidR="00512056" w:rsidRPr="00512056" w:rsidRDefault="00512056" w:rsidP="00512056">
      <w:pPr>
        <w:jc w:val="both"/>
        <w:rPr>
          <w:sz w:val="20"/>
          <w:szCs w:val="20"/>
          <w:lang w:val="fr-CA"/>
        </w:rPr>
      </w:pPr>
      <w:r w:rsidRPr="00512056">
        <w:rPr>
          <w:sz w:val="20"/>
          <w:szCs w:val="20"/>
          <w:lang w:val="fr-CA"/>
        </w:rPr>
        <w:t>Nous partageons l’avis de la majorité selon lequel il était raisonnable pour la juge de première instance de conclure que, considérée dans son ensemble, la preuve excluait toute autre conclusion que la culpabilité (voir</w:t>
      </w:r>
      <w:r w:rsidRPr="00512056">
        <w:rPr>
          <w:i/>
          <w:sz w:val="20"/>
          <w:szCs w:val="20"/>
          <w:lang w:val="fr-CA"/>
        </w:rPr>
        <w:t xml:space="preserve"> R. c. Villaroman</w:t>
      </w:r>
      <w:r w:rsidRPr="00512056">
        <w:rPr>
          <w:sz w:val="20"/>
          <w:szCs w:val="20"/>
          <w:lang w:val="fr-CA"/>
        </w:rPr>
        <w:t xml:space="preserve">, 2016 CSC 33, [2016] 1 R.C.S. 1000, par. 71, cité par la majorité en l’espèce, au </w:t>
      </w:r>
      <w:proofErr w:type="spellStart"/>
      <w:r w:rsidRPr="00512056">
        <w:rPr>
          <w:sz w:val="20"/>
          <w:szCs w:val="20"/>
          <w:lang w:val="fr-CA"/>
        </w:rPr>
        <w:t>par</w:t>
      </w:r>
      <w:proofErr w:type="spellEnd"/>
      <w:r w:rsidRPr="00512056">
        <w:rPr>
          <w:sz w:val="20"/>
          <w:szCs w:val="20"/>
          <w:lang w:val="fr-CA"/>
        </w:rPr>
        <w:t>. 41 de ses motifs).</w:t>
      </w:r>
    </w:p>
    <w:p w:rsidR="00512056" w:rsidRPr="00512056" w:rsidRDefault="00512056" w:rsidP="00512056">
      <w:pPr>
        <w:jc w:val="both"/>
        <w:rPr>
          <w:sz w:val="20"/>
          <w:szCs w:val="20"/>
          <w:lang w:val="fr-CA"/>
        </w:rPr>
      </w:pPr>
    </w:p>
    <w:p w:rsidR="00512056" w:rsidRPr="00512056" w:rsidRDefault="00512056" w:rsidP="00512056">
      <w:pPr>
        <w:jc w:val="both"/>
        <w:rPr>
          <w:sz w:val="20"/>
          <w:szCs w:val="20"/>
          <w:lang w:val="fr-CA"/>
        </w:rPr>
      </w:pPr>
      <w:r w:rsidRPr="00512056">
        <w:rPr>
          <w:sz w:val="20"/>
          <w:szCs w:val="20"/>
          <w:lang w:val="fr-CA"/>
        </w:rPr>
        <w:t>Tous les moyens d’appel sont sans fondement.</w:t>
      </w:r>
    </w:p>
    <w:p w:rsidR="00512056" w:rsidRPr="00512056" w:rsidRDefault="00512056" w:rsidP="00512056">
      <w:pPr>
        <w:jc w:val="both"/>
        <w:rPr>
          <w:sz w:val="20"/>
          <w:szCs w:val="20"/>
          <w:lang w:val="fr-CA"/>
        </w:rPr>
      </w:pPr>
    </w:p>
    <w:p w:rsidR="00512056" w:rsidRPr="00512056" w:rsidRDefault="00512056" w:rsidP="00512056">
      <w:pPr>
        <w:jc w:val="both"/>
        <w:rPr>
          <w:sz w:val="20"/>
          <w:szCs w:val="20"/>
          <w:lang w:val="fr-CA"/>
        </w:rPr>
      </w:pPr>
      <w:r w:rsidRPr="00512056">
        <w:rPr>
          <w:sz w:val="20"/>
          <w:szCs w:val="20"/>
          <w:lang w:val="fr-CA"/>
        </w:rPr>
        <w:t xml:space="preserve">Premièrement, la juge de première instance n’a pas commis d’erreur dans son application du test énoncé dans l’arrêt </w:t>
      </w:r>
      <w:r w:rsidRPr="00512056">
        <w:rPr>
          <w:i/>
          <w:sz w:val="20"/>
          <w:szCs w:val="20"/>
          <w:lang w:val="fr-CA"/>
        </w:rPr>
        <w:t>R. c. W</w:t>
      </w:r>
      <w:proofErr w:type="gramStart"/>
      <w:r w:rsidRPr="00512056">
        <w:rPr>
          <w:i/>
          <w:sz w:val="20"/>
          <w:szCs w:val="20"/>
          <w:lang w:val="fr-CA"/>
        </w:rPr>
        <w:t>.(</w:t>
      </w:r>
      <w:proofErr w:type="gramEnd"/>
      <w:r w:rsidRPr="00512056">
        <w:rPr>
          <w:i/>
          <w:sz w:val="20"/>
          <w:szCs w:val="20"/>
          <w:lang w:val="fr-CA"/>
        </w:rPr>
        <w:t>D.)</w:t>
      </w:r>
      <w:r w:rsidRPr="00512056">
        <w:rPr>
          <w:sz w:val="20"/>
          <w:szCs w:val="20"/>
          <w:lang w:val="fr-CA"/>
        </w:rPr>
        <w:t>, [1991] 1 R.C.S. 742, p. 758</w:t>
      </w:r>
      <w:r w:rsidRPr="00512056">
        <w:rPr>
          <w:i/>
          <w:sz w:val="20"/>
          <w:szCs w:val="20"/>
          <w:lang w:val="fr-CA"/>
        </w:rPr>
        <w:t>.</w:t>
      </w:r>
      <w:r w:rsidRPr="00512056">
        <w:rPr>
          <w:sz w:val="20"/>
          <w:szCs w:val="20"/>
          <w:lang w:val="fr-CA"/>
        </w:rPr>
        <w:t xml:space="preserve"> La juge rejette entièrement la preuve présentée en défense, tout en concluant que cette preuve ne soulève aucun doute raisonnable. Estimant être en présence d’une preuve circonstancielle forte ayant trait à la possession, la juge se retrouvait devant une absence de preuve susceptible de contrer l’inférence de culpabilité qui découlait raisonnablement de la preuve à charge. Rien dans ses motifs ne laisse croire que la juge utilise le rejet de la preuve en défense à titre de preuve positive de culpabilité. Les juges majoritaires en appel font le même constat au </w:t>
      </w:r>
      <w:proofErr w:type="spellStart"/>
      <w:r w:rsidRPr="00512056">
        <w:rPr>
          <w:sz w:val="20"/>
          <w:szCs w:val="20"/>
          <w:lang w:val="fr-CA"/>
        </w:rPr>
        <w:t>par</w:t>
      </w:r>
      <w:proofErr w:type="spellEnd"/>
      <w:r w:rsidRPr="00512056">
        <w:rPr>
          <w:sz w:val="20"/>
          <w:szCs w:val="20"/>
          <w:lang w:val="fr-CA"/>
        </w:rPr>
        <w:t>. 36 de leurs motifs lorsqu’ils concluent que « le rejet par la juge du témoignage de l’appelant, en raison de ses contradictions, devient déterminant et fatal pour le sort de sa défense ».</w:t>
      </w:r>
    </w:p>
    <w:p w:rsidR="00512056" w:rsidRPr="00512056" w:rsidRDefault="00512056" w:rsidP="00512056">
      <w:pPr>
        <w:jc w:val="both"/>
        <w:rPr>
          <w:sz w:val="20"/>
          <w:szCs w:val="20"/>
          <w:lang w:val="fr-CA"/>
        </w:rPr>
      </w:pPr>
    </w:p>
    <w:p w:rsidR="00512056" w:rsidRPr="00512056" w:rsidRDefault="00512056" w:rsidP="00512056">
      <w:pPr>
        <w:jc w:val="both"/>
        <w:rPr>
          <w:sz w:val="20"/>
          <w:szCs w:val="20"/>
          <w:lang w:val="fr-CA"/>
        </w:rPr>
      </w:pPr>
      <w:r w:rsidRPr="00512056">
        <w:rPr>
          <w:sz w:val="20"/>
          <w:szCs w:val="20"/>
          <w:lang w:val="fr-CA"/>
        </w:rPr>
        <w:t xml:space="preserve">Deuxièmement, la majorité de la Cour d’appel ne s’est pas méprise dans son application de l’arrêt </w:t>
      </w:r>
      <w:r w:rsidRPr="00512056">
        <w:rPr>
          <w:i/>
          <w:sz w:val="20"/>
          <w:szCs w:val="20"/>
          <w:lang w:val="fr-CA"/>
        </w:rPr>
        <w:t>Villaroman</w:t>
      </w:r>
      <w:r w:rsidRPr="00512056">
        <w:rPr>
          <w:sz w:val="20"/>
          <w:szCs w:val="20"/>
          <w:lang w:val="fr-CA"/>
        </w:rPr>
        <w:t>. Le critère de la « seule inférence raisonnable » ne signifie pas, bien entendu, que la culpabilité devait être la seule inférence possible ou imaginable.</w:t>
      </w:r>
    </w:p>
    <w:p w:rsidR="00512056" w:rsidRPr="00512056" w:rsidRDefault="00512056" w:rsidP="00512056">
      <w:pPr>
        <w:jc w:val="both"/>
        <w:rPr>
          <w:sz w:val="20"/>
          <w:szCs w:val="20"/>
          <w:lang w:val="fr-CA"/>
        </w:rPr>
      </w:pPr>
    </w:p>
    <w:p w:rsidR="00512056" w:rsidRPr="00512056" w:rsidRDefault="00512056" w:rsidP="00512056">
      <w:pPr>
        <w:jc w:val="both"/>
        <w:rPr>
          <w:sz w:val="20"/>
          <w:szCs w:val="20"/>
          <w:lang w:val="fr-CA"/>
        </w:rPr>
      </w:pPr>
      <w:r w:rsidRPr="00512056">
        <w:rPr>
          <w:sz w:val="20"/>
          <w:szCs w:val="20"/>
          <w:lang w:val="fr-CA"/>
        </w:rPr>
        <w:t>Le juge dissident en appel insiste sur le fait qu’il était « raisonnable et non conjectural d’inférer la possibilité que M. Daniel ait placé l’arme dans le sac » (par. 28 (note en bas de page omise)). Cette hypothèse est en effet plausible compte tenu du fait que M. Daniel était assis à côté du sac et que son ADN a été retrouvé sur l’arme. Or, comme le souligne la majorité de la Cour d’appel, le fait que ce soit ou non l’appelant qui ait placé l’arme dans le sac « importe peu » (par. 38). Dans la mesure où la poursuite a établi que l’arme n’y avait pas été placée à l’insu de l’appelant ou contre son gré, tous les éléments de la possession étaient réunis. Ainsi, la juge de première instance pouvait conclure que la seule inférence raisonnable était que l’arme a été dissimulée dans le sac au vu et au su de l’appelant.</w:t>
      </w:r>
    </w:p>
    <w:p w:rsidR="00512056" w:rsidRPr="00512056" w:rsidRDefault="00512056" w:rsidP="00512056">
      <w:pPr>
        <w:jc w:val="both"/>
        <w:rPr>
          <w:sz w:val="20"/>
          <w:szCs w:val="20"/>
          <w:lang w:val="fr-CA"/>
        </w:rPr>
      </w:pPr>
    </w:p>
    <w:p w:rsidR="00512056" w:rsidRDefault="00512056">
      <w:pPr>
        <w:rPr>
          <w:sz w:val="20"/>
          <w:szCs w:val="20"/>
          <w:lang w:val="fr-CA"/>
        </w:rPr>
      </w:pPr>
      <w:r>
        <w:rPr>
          <w:sz w:val="20"/>
          <w:szCs w:val="20"/>
          <w:lang w:val="fr-CA"/>
        </w:rPr>
        <w:br w:type="page"/>
      </w:r>
    </w:p>
    <w:p w:rsidR="00512056" w:rsidRPr="00512056" w:rsidRDefault="00512056" w:rsidP="00512056">
      <w:pPr>
        <w:jc w:val="both"/>
        <w:rPr>
          <w:sz w:val="20"/>
          <w:szCs w:val="20"/>
          <w:lang w:val="fr-CA"/>
        </w:rPr>
      </w:pPr>
      <w:r w:rsidRPr="00512056">
        <w:rPr>
          <w:sz w:val="20"/>
          <w:szCs w:val="20"/>
          <w:lang w:val="fr-CA"/>
        </w:rPr>
        <w:t>Troisièmement, la juge de première instance n’a pas erré en se référant à la réaction calme de l’appelant au moment de son arrestation pour possession d’arme à feu. En effet, comme le soulignent les juges majoritaires, la juge n’a pas utilisé cet élément afin d’évaluer la crédibilité de l’appelant lors de son témoignage, mais bien pour apprécier, à titre d’élément de preuve circonstancielle, la connaissance par l’appelant de la présence de l’arme dans son sac (motifs de la majorité, par. 37).</w:t>
      </w:r>
    </w:p>
    <w:p w:rsidR="00512056" w:rsidRPr="00512056" w:rsidRDefault="00512056" w:rsidP="00512056">
      <w:pPr>
        <w:jc w:val="both"/>
        <w:rPr>
          <w:sz w:val="20"/>
          <w:szCs w:val="20"/>
          <w:lang w:val="fr-CA"/>
        </w:rPr>
      </w:pPr>
    </w:p>
    <w:p w:rsidR="00E8642A" w:rsidRPr="00512056" w:rsidRDefault="00512056" w:rsidP="00512056">
      <w:pPr>
        <w:widowControl w:val="0"/>
        <w:tabs>
          <w:tab w:val="left" w:pos="720"/>
          <w:tab w:val="left" w:pos="1440"/>
          <w:tab w:val="left" w:pos="2851"/>
          <w:tab w:val="left" w:pos="4320"/>
          <w:tab w:val="left" w:pos="10224"/>
          <w:tab w:val="left" w:pos="11376"/>
        </w:tabs>
        <w:rPr>
          <w:sz w:val="20"/>
          <w:szCs w:val="20"/>
          <w:lang w:val="fr-CA"/>
        </w:rPr>
      </w:pPr>
      <w:r w:rsidRPr="00512056">
        <w:rPr>
          <w:sz w:val="20"/>
          <w:szCs w:val="20"/>
          <w:lang w:val="fr-CA"/>
        </w:rPr>
        <w:t>Pour ces motifs, l’appel est rejeté.</w:t>
      </w:r>
    </w:p>
    <w:p w:rsidR="00E06F20" w:rsidRPr="00512056" w:rsidRDefault="00E06F20" w:rsidP="00A234E1">
      <w:pPr>
        <w:jc w:val="both"/>
        <w:rPr>
          <w:sz w:val="20"/>
          <w:szCs w:val="20"/>
          <w:lang w:val="fr-CA"/>
        </w:rPr>
      </w:pPr>
    </w:p>
    <w:p w:rsidR="00512056" w:rsidRPr="00512056" w:rsidRDefault="00512056" w:rsidP="00512056">
      <w:pPr>
        <w:jc w:val="both"/>
        <w:rPr>
          <w:sz w:val="20"/>
          <w:szCs w:val="20"/>
        </w:rPr>
      </w:pPr>
      <w:r w:rsidRPr="00512056">
        <w:rPr>
          <w:sz w:val="20"/>
          <w:szCs w:val="20"/>
        </w:rPr>
        <w:t>The appeal from the judgment of the Court of Appeal of Quebec (Montreal), Number</w:t>
      </w:r>
      <w:r w:rsidRPr="00512056">
        <w:rPr>
          <w:sz w:val="20"/>
          <w:szCs w:val="20"/>
          <w:lang w:val="en-US"/>
        </w:rPr>
        <w:t xml:space="preserve"> </w:t>
      </w:r>
      <w:r w:rsidRPr="00512056">
        <w:rPr>
          <w:sz w:val="20"/>
          <w:szCs w:val="20"/>
        </w:rPr>
        <w:t xml:space="preserve">500-10-006907-180, </w:t>
      </w:r>
      <w:hyperlink r:id="rId88" w:history="1">
        <w:r w:rsidRPr="00512056">
          <w:rPr>
            <w:rStyle w:val="Hyperlink"/>
            <w:color w:val="660000"/>
            <w:sz w:val="20"/>
            <w:szCs w:val="20"/>
            <w:u w:val="none"/>
          </w:rPr>
          <w:t>2022 QCCA 138</w:t>
        </w:r>
      </w:hyperlink>
      <w:r w:rsidRPr="00512056">
        <w:rPr>
          <w:sz w:val="20"/>
          <w:szCs w:val="20"/>
        </w:rPr>
        <w:t>, dated</w:t>
      </w:r>
      <w:r w:rsidRPr="00512056">
        <w:rPr>
          <w:sz w:val="20"/>
          <w:szCs w:val="20"/>
          <w:lang w:val="en-US"/>
        </w:rPr>
        <w:t xml:space="preserve"> </w:t>
      </w:r>
      <w:r w:rsidRPr="00512056">
        <w:rPr>
          <w:sz w:val="20"/>
          <w:szCs w:val="20"/>
        </w:rPr>
        <w:t xml:space="preserve">January 31, 2022, was heard on December 6, 2022, and the Court on that day delivered the following judgment orally: </w:t>
      </w:r>
    </w:p>
    <w:p w:rsidR="00512056" w:rsidRPr="00512056" w:rsidRDefault="00512056" w:rsidP="00512056">
      <w:pPr>
        <w:jc w:val="both"/>
        <w:rPr>
          <w:sz w:val="20"/>
          <w:szCs w:val="20"/>
        </w:rPr>
      </w:pPr>
    </w:p>
    <w:p w:rsidR="00512056" w:rsidRPr="00512056" w:rsidRDefault="00512056" w:rsidP="00512056">
      <w:pPr>
        <w:jc w:val="both"/>
        <w:rPr>
          <w:sz w:val="20"/>
          <w:szCs w:val="20"/>
        </w:rPr>
      </w:pPr>
      <w:r w:rsidRPr="00512056">
        <w:rPr>
          <w:sz w:val="20"/>
          <w:szCs w:val="20"/>
        </w:rPr>
        <w:t>[</w:t>
      </w:r>
      <w:r w:rsidRPr="00512056">
        <w:rPr>
          <w:smallCaps/>
          <w:sz w:val="20"/>
          <w:szCs w:val="20"/>
          <w:lang w:val="en-US"/>
        </w:rPr>
        <w:t>translation]</w:t>
      </w:r>
    </w:p>
    <w:p w:rsidR="00512056" w:rsidRPr="00512056" w:rsidRDefault="00512056" w:rsidP="00512056">
      <w:pPr>
        <w:jc w:val="both"/>
        <w:rPr>
          <w:sz w:val="20"/>
          <w:szCs w:val="20"/>
          <w:lang w:val="en-US"/>
        </w:rPr>
      </w:pPr>
      <w:r w:rsidRPr="00512056">
        <w:rPr>
          <w:smallCaps/>
          <w:sz w:val="20"/>
          <w:szCs w:val="20"/>
          <w:lang w:val="en-US"/>
        </w:rPr>
        <w:t>Kasirer J.</w:t>
      </w:r>
      <w:r w:rsidRPr="00512056">
        <w:rPr>
          <w:sz w:val="20"/>
          <w:szCs w:val="20"/>
          <w:lang w:val="en-US"/>
        </w:rPr>
        <w:t xml:space="preserve"> — The Court</w:t>
      </w:r>
      <w:r w:rsidRPr="00512056">
        <w:rPr>
          <w:sz w:val="20"/>
          <w:szCs w:val="20"/>
        </w:rPr>
        <w:t xml:space="preserve"> </w:t>
      </w:r>
      <w:r w:rsidRPr="00512056">
        <w:rPr>
          <w:sz w:val="20"/>
          <w:szCs w:val="20"/>
          <w:lang w:val="en-US"/>
        </w:rPr>
        <w:t>is of the view that the appeal should be dismissed for the reasons given by Moore J.A. for the majority of the Court of Appeal.</w:t>
      </w:r>
    </w:p>
    <w:p w:rsidR="00512056" w:rsidRPr="00512056" w:rsidRDefault="00512056" w:rsidP="00512056">
      <w:pPr>
        <w:jc w:val="both"/>
        <w:rPr>
          <w:sz w:val="20"/>
          <w:szCs w:val="20"/>
        </w:rPr>
      </w:pPr>
    </w:p>
    <w:p w:rsidR="00512056" w:rsidRPr="00512056" w:rsidRDefault="00512056" w:rsidP="00512056">
      <w:pPr>
        <w:jc w:val="both"/>
        <w:rPr>
          <w:rFonts w:asciiTheme="minorBidi" w:hAnsiTheme="minorBidi"/>
          <w:sz w:val="20"/>
          <w:szCs w:val="20"/>
        </w:rPr>
      </w:pPr>
      <w:r w:rsidRPr="00512056">
        <w:rPr>
          <w:sz w:val="20"/>
          <w:szCs w:val="20"/>
        </w:rPr>
        <w:t xml:space="preserve">We agree with the majority that it was reasonable for the trial judge to conclude that the evidence as a whole excluded all reasonable alternatives to guilt (see </w:t>
      </w:r>
      <w:r w:rsidRPr="00512056">
        <w:rPr>
          <w:i/>
          <w:sz w:val="20"/>
          <w:szCs w:val="20"/>
        </w:rPr>
        <w:t>R. v. Villaroman</w:t>
      </w:r>
      <w:r w:rsidRPr="00512056">
        <w:rPr>
          <w:sz w:val="20"/>
          <w:szCs w:val="20"/>
        </w:rPr>
        <w:t>, 2016 SCC 33, [2016</w:t>
      </w:r>
      <w:r w:rsidRPr="00512056">
        <w:rPr>
          <w:rFonts w:asciiTheme="minorBidi" w:hAnsiTheme="minorBidi"/>
          <w:sz w:val="20"/>
          <w:szCs w:val="20"/>
        </w:rPr>
        <w:t>] 1 S.C.R. 1000, at para. 71, cited by the majority in this case at para. 41 of its reasons).</w:t>
      </w:r>
    </w:p>
    <w:p w:rsidR="00512056" w:rsidRPr="00512056" w:rsidRDefault="00512056" w:rsidP="00512056">
      <w:pPr>
        <w:jc w:val="both"/>
        <w:rPr>
          <w:rFonts w:asciiTheme="minorBidi" w:hAnsiTheme="minorBidi"/>
          <w:sz w:val="20"/>
          <w:szCs w:val="20"/>
        </w:rPr>
      </w:pPr>
    </w:p>
    <w:p w:rsidR="00512056" w:rsidRPr="00512056" w:rsidRDefault="00512056" w:rsidP="00512056">
      <w:pPr>
        <w:jc w:val="both"/>
        <w:rPr>
          <w:rFonts w:asciiTheme="minorBidi" w:hAnsiTheme="minorBidi"/>
          <w:sz w:val="20"/>
          <w:szCs w:val="20"/>
        </w:rPr>
      </w:pPr>
      <w:r w:rsidRPr="00512056">
        <w:rPr>
          <w:rFonts w:asciiTheme="minorBidi" w:hAnsiTheme="minorBidi"/>
          <w:sz w:val="20"/>
          <w:szCs w:val="20"/>
        </w:rPr>
        <w:t>All of the grounds of appeal are without merit.</w:t>
      </w:r>
    </w:p>
    <w:p w:rsidR="00512056" w:rsidRPr="00512056" w:rsidRDefault="00512056" w:rsidP="00512056">
      <w:pPr>
        <w:jc w:val="both"/>
        <w:rPr>
          <w:rFonts w:asciiTheme="minorBidi" w:hAnsiTheme="minorBidi"/>
          <w:sz w:val="20"/>
          <w:szCs w:val="20"/>
        </w:rPr>
      </w:pPr>
    </w:p>
    <w:p w:rsidR="00512056" w:rsidRPr="00512056" w:rsidRDefault="00512056" w:rsidP="00512056">
      <w:pPr>
        <w:jc w:val="both"/>
        <w:rPr>
          <w:rFonts w:asciiTheme="minorBidi" w:hAnsiTheme="minorBidi"/>
          <w:sz w:val="20"/>
          <w:szCs w:val="20"/>
        </w:rPr>
      </w:pPr>
      <w:r w:rsidRPr="00512056">
        <w:rPr>
          <w:rFonts w:asciiTheme="minorBidi" w:hAnsiTheme="minorBidi"/>
          <w:sz w:val="20"/>
          <w:szCs w:val="20"/>
        </w:rPr>
        <w:t xml:space="preserve">First, the trial judge made no error in applying the test set out in </w:t>
      </w:r>
      <w:r w:rsidRPr="00512056">
        <w:rPr>
          <w:rFonts w:asciiTheme="minorBidi" w:hAnsiTheme="minorBidi"/>
          <w:i/>
          <w:sz w:val="20"/>
          <w:szCs w:val="20"/>
        </w:rPr>
        <w:t>R. v. W</w:t>
      </w:r>
      <w:proofErr w:type="gramStart"/>
      <w:r w:rsidRPr="00512056">
        <w:rPr>
          <w:rFonts w:asciiTheme="minorBidi" w:hAnsiTheme="minorBidi"/>
          <w:i/>
          <w:sz w:val="20"/>
          <w:szCs w:val="20"/>
        </w:rPr>
        <w:t>.(</w:t>
      </w:r>
      <w:proofErr w:type="gramEnd"/>
      <w:r w:rsidRPr="00512056">
        <w:rPr>
          <w:rFonts w:asciiTheme="minorBidi" w:hAnsiTheme="minorBidi"/>
          <w:i/>
          <w:sz w:val="20"/>
          <w:szCs w:val="20"/>
        </w:rPr>
        <w:t>D.)</w:t>
      </w:r>
      <w:r w:rsidRPr="00512056">
        <w:rPr>
          <w:rFonts w:asciiTheme="minorBidi" w:hAnsiTheme="minorBidi"/>
          <w:sz w:val="20"/>
          <w:szCs w:val="20"/>
        </w:rPr>
        <w:t xml:space="preserve">, </w:t>
      </w:r>
      <w:r w:rsidRPr="00512056">
        <w:rPr>
          <w:sz w:val="20"/>
          <w:szCs w:val="20"/>
        </w:rPr>
        <w:t>[1991</w:t>
      </w:r>
      <w:r w:rsidRPr="00512056">
        <w:rPr>
          <w:rFonts w:asciiTheme="minorBidi" w:hAnsiTheme="minorBidi"/>
          <w:sz w:val="20"/>
          <w:szCs w:val="20"/>
        </w:rPr>
        <w:t>] 1 S.C.R. 742, at p. 758. She wholly rejected the defence evidence while concluding that it did not raise a reasonable doubt. Finding that there was strong circumstantial evidence relating to possession, the judge was faced with a lack of evidence that could counter the inference of guilt reasonably arising from the Crown’s evidence. Nothing in the judge’s reasons suggests that she used the rejection of the defence evidence as positive evidence of guilt. The majority of the Court of Appeal made the same observation at para. 36 of its reasons, finding that</w:t>
      </w:r>
      <w:r w:rsidRPr="00512056" w:rsidDel="00EE54C6">
        <w:rPr>
          <w:rFonts w:asciiTheme="minorBidi" w:hAnsiTheme="minorBidi"/>
          <w:sz w:val="20"/>
          <w:szCs w:val="20"/>
        </w:rPr>
        <w:t xml:space="preserve"> </w:t>
      </w:r>
      <w:r w:rsidRPr="00512056">
        <w:rPr>
          <w:sz w:val="20"/>
          <w:szCs w:val="20"/>
        </w:rPr>
        <w:t>[</w:t>
      </w:r>
      <w:r w:rsidRPr="00512056">
        <w:rPr>
          <w:smallCaps/>
          <w:sz w:val="20"/>
          <w:szCs w:val="20"/>
        </w:rPr>
        <w:t>translation</w:t>
      </w:r>
      <w:r w:rsidRPr="00512056">
        <w:rPr>
          <w:rFonts w:asciiTheme="minorBidi" w:hAnsiTheme="minorBidi"/>
          <w:sz w:val="20"/>
          <w:szCs w:val="20"/>
        </w:rPr>
        <w:t>] “the judge’s rejection of the appellant’s testimony, due to its inconsistencies, became determinative of and fatal to the outcome of his defence”.</w:t>
      </w:r>
    </w:p>
    <w:p w:rsidR="00512056" w:rsidRPr="00512056" w:rsidRDefault="00512056" w:rsidP="00512056">
      <w:pPr>
        <w:jc w:val="both"/>
        <w:rPr>
          <w:rFonts w:asciiTheme="minorBidi" w:hAnsiTheme="minorBidi"/>
          <w:sz w:val="20"/>
          <w:szCs w:val="20"/>
        </w:rPr>
      </w:pPr>
    </w:p>
    <w:p w:rsidR="00512056" w:rsidRPr="00512056" w:rsidRDefault="00512056" w:rsidP="00512056">
      <w:pPr>
        <w:jc w:val="both"/>
        <w:rPr>
          <w:rFonts w:asciiTheme="minorBidi" w:hAnsiTheme="minorBidi"/>
          <w:sz w:val="20"/>
          <w:szCs w:val="20"/>
        </w:rPr>
      </w:pPr>
      <w:r w:rsidRPr="00512056">
        <w:rPr>
          <w:rFonts w:asciiTheme="minorBidi" w:hAnsiTheme="minorBidi"/>
          <w:sz w:val="20"/>
          <w:szCs w:val="20"/>
        </w:rPr>
        <w:t xml:space="preserve">Second, the majority of the Court of Appeal did not err in applying </w:t>
      </w:r>
      <w:r w:rsidRPr="00512056">
        <w:rPr>
          <w:rFonts w:asciiTheme="minorBidi" w:hAnsiTheme="minorBidi"/>
          <w:i/>
          <w:sz w:val="20"/>
          <w:szCs w:val="20"/>
        </w:rPr>
        <w:t>Villaroman</w:t>
      </w:r>
      <w:r w:rsidRPr="00512056">
        <w:rPr>
          <w:rFonts w:asciiTheme="minorBidi" w:hAnsiTheme="minorBidi"/>
          <w:sz w:val="20"/>
          <w:szCs w:val="20"/>
        </w:rPr>
        <w:t>. The “only reasonable inference” criterion obviously does not mean that guilt had to be the only possible or conceivable inference.</w:t>
      </w:r>
    </w:p>
    <w:p w:rsidR="00512056" w:rsidRPr="00512056" w:rsidRDefault="00512056" w:rsidP="00512056">
      <w:pPr>
        <w:jc w:val="both"/>
        <w:rPr>
          <w:rFonts w:asciiTheme="minorBidi" w:hAnsiTheme="minorBidi"/>
          <w:sz w:val="20"/>
          <w:szCs w:val="20"/>
        </w:rPr>
      </w:pPr>
    </w:p>
    <w:p w:rsidR="00512056" w:rsidRPr="00512056" w:rsidRDefault="00512056" w:rsidP="00512056">
      <w:pPr>
        <w:jc w:val="both"/>
        <w:rPr>
          <w:rFonts w:asciiTheme="minorBidi" w:hAnsiTheme="minorBidi"/>
          <w:sz w:val="20"/>
          <w:szCs w:val="20"/>
        </w:rPr>
      </w:pPr>
      <w:r w:rsidRPr="00512056">
        <w:rPr>
          <w:rFonts w:asciiTheme="minorBidi" w:hAnsiTheme="minorBidi"/>
          <w:sz w:val="20"/>
          <w:szCs w:val="20"/>
        </w:rPr>
        <w:t xml:space="preserve">The dissenting judge on appeal stressed that it was </w:t>
      </w:r>
      <w:r w:rsidRPr="00512056">
        <w:rPr>
          <w:sz w:val="20"/>
          <w:szCs w:val="20"/>
        </w:rPr>
        <w:t>[</w:t>
      </w:r>
      <w:r w:rsidRPr="00512056">
        <w:rPr>
          <w:smallCaps/>
          <w:sz w:val="20"/>
          <w:szCs w:val="20"/>
        </w:rPr>
        <w:t>translation</w:t>
      </w:r>
      <w:r w:rsidRPr="00512056">
        <w:rPr>
          <w:rFonts w:asciiTheme="minorBidi" w:hAnsiTheme="minorBidi"/>
          <w:sz w:val="20"/>
          <w:szCs w:val="20"/>
        </w:rPr>
        <w:t>] “reasonable and not speculative to infer that Mr. Daniel may have placed the firearm in the bag” (para. 28 (footnote omitted)). This is indeed a plausible theory given the fact that Mr. Daniel was sitting beside the bag and that his DNA was found on the firearm. However, as the majority of the Court of Appeal noted, whether or not it was the appellant who placed the firearm in the bag [</w:t>
      </w:r>
      <w:r w:rsidRPr="00512056">
        <w:rPr>
          <w:rFonts w:asciiTheme="minorBidi" w:hAnsiTheme="minorBidi"/>
          <w:smallCaps/>
          <w:sz w:val="20"/>
          <w:szCs w:val="20"/>
        </w:rPr>
        <w:t>translation</w:t>
      </w:r>
      <w:r w:rsidRPr="00512056">
        <w:rPr>
          <w:rFonts w:asciiTheme="minorBidi" w:hAnsiTheme="minorBidi"/>
          <w:sz w:val="20"/>
          <w:szCs w:val="20"/>
        </w:rPr>
        <w:t>] “is immaterial” (para. 38). Insofar as the prosecution established that the firearm had not been placed there without the appellant’s knowledge or against his will, all of the elements of possession were present. The trial judge could therefore conclude that the only reasonable inference was that the firearm had been concealed in the bag with the appellant’s full knowledge.</w:t>
      </w:r>
    </w:p>
    <w:p w:rsidR="00512056" w:rsidRPr="00512056" w:rsidRDefault="00512056" w:rsidP="00512056">
      <w:pPr>
        <w:jc w:val="both"/>
        <w:rPr>
          <w:rFonts w:asciiTheme="minorBidi" w:hAnsiTheme="minorBidi"/>
          <w:sz w:val="20"/>
          <w:szCs w:val="20"/>
        </w:rPr>
      </w:pPr>
    </w:p>
    <w:p w:rsidR="00512056" w:rsidRPr="00512056" w:rsidRDefault="00512056" w:rsidP="00512056">
      <w:pPr>
        <w:jc w:val="both"/>
        <w:rPr>
          <w:rFonts w:asciiTheme="minorBidi" w:hAnsiTheme="minorBidi"/>
          <w:sz w:val="20"/>
          <w:szCs w:val="20"/>
        </w:rPr>
      </w:pPr>
      <w:r w:rsidRPr="00512056">
        <w:rPr>
          <w:rFonts w:asciiTheme="minorBidi" w:hAnsiTheme="minorBidi"/>
          <w:sz w:val="20"/>
          <w:szCs w:val="20"/>
        </w:rPr>
        <w:t>Third, the trial judge did not err in referring to the appellant’s calm reaction when he was arrested for possession of a firearm. As the majority noted, the judge did not use this to evaluate the appellant’s credibility during his testimony, but rather to assess, as one element of the circumstantial evidence, the appellant’s knowledge of the fact that the firearm was in his bag (majority reasons, at para. 37).</w:t>
      </w:r>
    </w:p>
    <w:p w:rsidR="00512056" w:rsidRPr="00512056" w:rsidRDefault="00512056" w:rsidP="00512056">
      <w:pPr>
        <w:jc w:val="both"/>
        <w:rPr>
          <w:rFonts w:asciiTheme="minorBidi" w:hAnsiTheme="minorBidi"/>
          <w:sz w:val="20"/>
          <w:szCs w:val="20"/>
        </w:rPr>
      </w:pPr>
    </w:p>
    <w:p w:rsidR="00512056" w:rsidRPr="00512056" w:rsidRDefault="00512056" w:rsidP="00512056">
      <w:pPr>
        <w:jc w:val="both"/>
        <w:rPr>
          <w:sz w:val="20"/>
          <w:szCs w:val="20"/>
          <w:lang w:val="en-US"/>
        </w:rPr>
      </w:pPr>
      <w:r w:rsidRPr="00512056">
        <w:rPr>
          <w:rFonts w:asciiTheme="minorBidi" w:hAnsiTheme="minorBidi"/>
          <w:sz w:val="20"/>
          <w:szCs w:val="20"/>
        </w:rPr>
        <w:t>For these reasons, the appeal is dismissed.</w:t>
      </w:r>
    </w:p>
    <w:p w:rsidR="00512056" w:rsidRPr="00DD7C7F" w:rsidRDefault="00512056" w:rsidP="00A234E1">
      <w:pPr>
        <w:jc w:val="both"/>
        <w:rPr>
          <w:sz w:val="20"/>
          <w:lang w:val="fr-CA"/>
        </w:rPr>
      </w:pPr>
    </w:p>
    <w:p w:rsidR="00D004FC" w:rsidRPr="00DD7C7F" w:rsidRDefault="00512056" w:rsidP="00102792">
      <w:pPr>
        <w:rPr>
          <w:sz w:val="20"/>
          <w:szCs w:val="20"/>
          <w:lang w:val="fr-CA"/>
        </w:rPr>
      </w:pPr>
      <w:r>
        <w:rPr>
          <w:sz w:val="20"/>
          <w:szCs w:val="20"/>
        </w:rPr>
        <w:pict>
          <v:rect id="_x0000_i1076" style="width:2in;height:1pt" o:hrpct="0" o:hralign="center" o:hrstd="t" o:hrnoshade="t" o:hr="t" fillcolor="black [3213]" stroked="f"/>
        </w:pict>
      </w:r>
    </w:p>
    <w:p w:rsidR="006349BF" w:rsidRPr="00DD7C7F" w:rsidRDefault="006349BF" w:rsidP="006349BF">
      <w:pPr>
        <w:widowControl w:val="0"/>
        <w:jc w:val="both"/>
        <w:rPr>
          <w:sz w:val="20"/>
          <w:szCs w:val="20"/>
          <w:lang w:val="fr-CA"/>
        </w:rPr>
      </w:pPr>
    </w:p>
    <w:p w:rsidR="00512056" w:rsidRDefault="00512056">
      <w:pPr>
        <w:rPr>
          <w:b/>
          <w:sz w:val="20"/>
          <w:szCs w:val="20"/>
          <w:lang w:val="fr-CA"/>
        </w:rPr>
      </w:pPr>
      <w:r>
        <w:rPr>
          <w:b/>
          <w:sz w:val="20"/>
          <w:szCs w:val="20"/>
          <w:lang w:val="fr-CA"/>
        </w:rPr>
        <w:br w:type="page"/>
      </w:r>
    </w:p>
    <w:p w:rsidR="006349BF" w:rsidRPr="00DD7C7F" w:rsidRDefault="006349BF" w:rsidP="006349BF">
      <w:pPr>
        <w:rPr>
          <w:b/>
          <w:sz w:val="20"/>
          <w:szCs w:val="20"/>
          <w:lang w:val="fr-CA"/>
        </w:rPr>
      </w:pPr>
      <w:r w:rsidRPr="00DD7C7F">
        <w:rPr>
          <w:b/>
          <w:sz w:val="20"/>
          <w:szCs w:val="20"/>
          <w:lang w:val="fr-CA"/>
        </w:rPr>
        <w:t>DECEMBER 7-8, 2022 / LE 7-8 DÉCEMBRE 2022</w:t>
      </w:r>
    </w:p>
    <w:p w:rsidR="006349BF" w:rsidRPr="00DD7C7F" w:rsidRDefault="006349BF" w:rsidP="006349BF">
      <w:pPr>
        <w:rPr>
          <w:sz w:val="20"/>
          <w:szCs w:val="20"/>
          <w:lang w:val="fr-CA"/>
        </w:rPr>
      </w:pPr>
    </w:p>
    <w:p w:rsidR="006349BF" w:rsidRPr="00DD7C7F" w:rsidRDefault="006349BF" w:rsidP="006349BF">
      <w:pPr>
        <w:widowControl w:val="0"/>
        <w:rPr>
          <w:sz w:val="20"/>
          <w:szCs w:val="20"/>
          <w:lang w:val="fr-CA"/>
        </w:rPr>
      </w:pPr>
      <w:r w:rsidRPr="00DD7C7F">
        <w:rPr>
          <w:b/>
          <w:sz w:val="20"/>
          <w:szCs w:val="20"/>
          <w:lang w:val="fr-CA"/>
        </w:rPr>
        <w:t xml:space="preserve">Procureur général du Québec, et al. </w:t>
      </w:r>
      <w:proofErr w:type="gramStart"/>
      <w:r w:rsidRPr="00DD7C7F">
        <w:rPr>
          <w:b/>
          <w:sz w:val="20"/>
          <w:szCs w:val="20"/>
          <w:lang w:val="fr-CA"/>
        </w:rPr>
        <w:t>c</w:t>
      </w:r>
      <w:proofErr w:type="gramEnd"/>
      <w:r w:rsidRPr="00DD7C7F">
        <w:rPr>
          <w:b/>
          <w:sz w:val="20"/>
          <w:szCs w:val="20"/>
          <w:lang w:val="fr-CA"/>
        </w:rPr>
        <w:t xml:space="preserve">. Procureur général du Canada, et al. </w:t>
      </w:r>
      <w:r w:rsidRPr="00DD7C7F">
        <w:rPr>
          <w:sz w:val="20"/>
          <w:szCs w:val="20"/>
          <w:lang w:val="fr-CA"/>
        </w:rPr>
        <w:t xml:space="preserve">(Qc) (Civile) (De plein droit) </w:t>
      </w:r>
      <w:r w:rsidRPr="00DD7C7F">
        <w:rPr>
          <w:iCs/>
          <w:sz w:val="20"/>
          <w:szCs w:val="20"/>
          <w:lang w:val="fr-CA"/>
        </w:rPr>
        <w:t>(</w:t>
      </w:r>
      <w:hyperlink r:id="rId89" w:history="1">
        <w:r w:rsidRPr="00DD7C7F">
          <w:rPr>
            <w:rStyle w:val="Hyperlink"/>
            <w:iCs/>
            <w:sz w:val="20"/>
            <w:szCs w:val="20"/>
            <w:lang w:val="fr-CA"/>
          </w:rPr>
          <w:t>40061</w:t>
        </w:r>
      </w:hyperlink>
      <w:r w:rsidRPr="00DD7C7F">
        <w:rPr>
          <w:iCs/>
          <w:sz w:val="20"/>
          <w:szCs w:val="20"/>
          <w:lang w:val="fr-CA"/>
        </w:rPr>
        <w:t>)</w:t>
      </w:r>
    </w:p>
    <w:p w:rsidR="006349BF" w:rsidRPr="00DD7C7F" w:rsidRDefault="006349BF" w:rsidP="006349BF">
      <w:pPr>
        <w:widowControl w:val="0"/>
        <w:ind w:left="1109" w:hanging="1109"/>
        <w:rPr>
          <w:sz w:val="20"/>
          <w:szCs w:val="20"/>
          <w:lang w:val="fr-CA"/>
        </w:rPr>
      </w:pPr>
    </w:p>
    <w:p w:rsidR="006349BF" w:rsidRPr="00DD7C7F" w:rsidRDefault="006349BF" w:rsidP="006349BF">
      <w:pPr>
        <w:widowControl w:val="0"/>
        <w:ind w:left="1109" w:hanging="1109"/>
        <w:rPr>
          <w:sz w:val="20"/>
          <w:szCs w:val="20"/>
          <w:lang w:val="fr-CA"/>
        </w:rPr>
      </w:pPr>
      <w:r w:rsidRPr="00DD7C7F">
        <w:rPr>
          <w:sz w:val="20"/>
          <w:szCs w:val="20"/>
          <w:lang w:val="fr-CA"/>
        </w:rPr>
        <w:t xml:space="preserve">Coram: </w:t>
      </w:r>
      <w:r w:rsidRPr="00DD7C7F">
        <w:rPr>
          <w:sz w:val="20"/>
          <w:szCs w:val="20"/>
          <w:lang w:val="fr-CA"/>
        </w:rPr>
        <w:tab/>
        <w:t>Le juge en chef Wagner et les juges Karakatsanis, Côté, Brown, Rowe, Martin, Kasirer, Jamal et O’Bonsawin</w:t>
      </w:r>
    </w:p>
    <w:p w:rsidR="006349BF" w:rsidRPr="00DD7C7F" w:rsidRDefault="006349BF" w:rsidP="006349BF">
      <w:pPr>
        <w:ind w:left="1109" w:hanging="1109"/>
        <w:rPr>
          <w:color w:val="000000"/>
          <w:sz w:val="20"/>
          <w:szCs w:val="20"/>
          <w:lang w:val="fr-CA"/>
        </w:rPr>
      </w:pPr>
    </w:p>
    <w:p w:rsidR="006349BF" w:rsidRPr="00DD7C7F" w:rsidRDefault="006349BF" w:rsidP="006349BF">
      <w:pPr>
        <w:ind w:left="1109" w:hanging="1109"/>
        <w:rPr>
          <w:b/>
          <w:bCs/>
          <w:color w:val="000000"/>
          <w:sz w:val="20"/>
          <w:szCs w:val="20"/>
        </w:rPr>
      </w:pPr>
      <w:r w:rsidRPr="00DD7C7F">
        <w:rPr>
          <w:b/>
          <w:bCs/>
          <w:color w:val="000000"/>
          <w:sz w:val="20"/>
          <w:szCs w:val="20"/>
        </w:rPr>
        <w:t>RESERVED / EN DÉLIBÉRÉ</w:t>
      </w:r>
    </w:p>
    <w:p w:rsidR="006349BF" w:rsidRPr="00DD7C7F" w:rsidRDefault="006349BF" w:rsidP="006349BF">
      <w:pPr>
        <w:ind w:left="1109" w:hanging="1109"/>
        <w:rPr>
          <w:bCs/>
          <w:color w:val="000000"/>
          <w:sz w:val="20"/>
          <w:szCs w:val="27"/>
        </w:rPr>
      </w:pPr>
    </w:p>
    <w:p w:rsidR="00172473" w:rsidRPr="00DD7C7F" w:rsidRDefault="00512056" w:rsidP="006349BF">
      <w:pPr>
        <w:widowControl w:val="0"/>
        <w:rPr>
          <w:sz w:val="20"/>
          <w:szCs w:val="20"/>
          <w:lang w:val="fr-CA"/>
        </w:rPr>
      </w:pPr>
      <w:r>
        <w:rPr>
          <w:sz w:val="20"/>
          <w:szCs w:val="20"/>
        </w:rPr>
        <w:pict>
          <v:rect id="_x0000_i1077" style="width:2in;height:1pt" o:hrpct="0" o:hralign="center" o:hrstd="t" o:hrnoshade="t" o:hr="t" fillcolor="black [3213]" stroked="f"/>
        </w:pict>
      </w:r>
    </w:p>
    <w:p w:rsidR="00732DB7" w:rsidRPr="00DD7C7F" w:rsidRDefault="00732DB7" w:rsidP="00732DB7">
      <w:pPr>
        <w:widowControl w:val="0"/>
        <w:rPr>
          <w:sz w:val="20"/>
          <w:szCs w:val="20"/>
          <w:lang w:val="fr-CA"/>
        </w:rPr>
      </w:pPr>
    </w:p>
    <w:p w:rsidR="006349BF" w:rsidRPr="00DD7C7F" w:rsidRDefault="006349BF" w:rsidP="00732DB7">
      <w:pPr>
        <w:widowControl w:val="0"/>
        <w:rPr>
          <w:sz w:val="20"/>
          <w:szCs w:val="20"/>
          <w:lang w:val="fr-CA"/>
        </w:rPr>
      </w:pPr>
    </w:p>
    <w:p w:rsidR="00732DB7" w:rsidRPr="00DD7C7F" w:rsidRDefault="00732DB7" w:rsidP="00732DB7">
      <w:pPr>
        <w:widowControl w:val="0"/>
        <w:rPr>
          <w:sz w:val="20"/>
          <w:szCs w:val="20"/>
          <w:lang w:val="fr-CA"/>
        </w:rPr>
        <w:sectPr w:rsidR="00732DB7" w:rsidRPr="00DD7C7F" w:rsidSect="00732DB7">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0" w:gutter="0"/>
          <w:cols w:space="720"/>
          <w:titlePg/>
          <w:docGrid w:linePitch="326"/>
        </w:sectPr>
      </w:pPr>
    </w:p>
    <w:p w:rsidR="00567602" w:rsidRPr="00DD7C7F" w:rsidRDefault="001434B9" w:rsidP="00567602">
      <w:pPr>
        <w:pStyle w:val="Header1StyleE"/>
        <w:pBdr>
          <w:bottom w:val="single" w:sz="12" w:space="1" w:color="auto"/>
        </w:pBdr>
        <w:rPr>
          <w:lang w:val="fr-CA"/>
        </w:rPr>
      </w:pPr>
      <w:bookmarkStart w:id="6" w:name="_Toc121404092"/>
      <w:r w:rsidRPr="00DD7C7F">
        <w:rPr>
          <w:lang w:val="fr-CA"/>
        </w:rPr>
        <w:t>Pronouncements of reserved</w:t>
      </w:r>
      <w:r w:rsidR="00271E1E" w:rsidRPr="00DD7C7F">
        <w:rPr>
          <w:lang w:val="fr-CA"/>
        </w:rPr>
        <w:t xml:space="preserve"> appeals / </w:t>
      </w:r>
      <w:r w:rsidR="00567602" w:rsidRPr="00DD7C7F">
        <w:rPr>
          <w:lang w:val="fr-CA"/>
        </w:rPr>
        <w:br/>
      </w:r>
      <w:r w:rsidRPr="00DD7C7F">
        <w:rPr>
          <w:lang w:val="fr-CA"/>
        </w:rPr>
        <w:t>Jugements rendus sur les appels en délibéré</w:t>
      </w:r>
      <w:bookmarkEnd w:id="6"/>
    </w:p>
    <w:p w:rsidR="00FF6EEC" w:rsidRPr="00DD7C7F" w:rsidRDefault="00FF6EEC" w:rsidP="00FF6EEC">
      <w:pPr>
        <w:rPr>
          <w:sz w:val="20"/>
          <w:szCs w:val="20"/>
          <w:lang w:val="fr-CA"/>
        </w:rPr>
      </w:pPr>
    </w:p>
    <w:p w:rsidR="00102792" w:rsidRPr="00DD7C7F" w:rsidRDefault="006349BF" w:rsidP="00102792">
      <w:pPr>
        <w:rPr>
          <w:b/>
          <w:sz w:val="20"/>
          <w:szCs w:val="20"/>
          <w:lang w:val="fr-CA"/>
        </w:rPr>
      </w:pPr>
      <w:r w:rsidRPr="00DD7C7F">
        <w:rPr>
          <w:b/>
          <w:sz w:val="20"/>
          <w:szCs w:val="20"/>
          <w:lang w:val="fr-CA"/>
        </w:rPr>
        <w:t>DECEMBER</w:t>
      </w:r>
      <w:r w:rsidR="00102792" w:rsidRPr="00DD7C7F">
        <w:rPr>
          <w:b/>
          <w:sz w:val="20"/>
          <w:szCs w:val="20"/>
          <w:lang w:val="fr-CA"/>
        </w:rPr>
        <w:t xml:space="preserve"> </w:t>
      </w:r>
      <w:r w:rsidR="002C13E1" w:rsidRPr="00DD7C7F">
        <w:rPr>
          <w:b/>
          <w:sz w:val="20"/>
          <w:szCs w:val="20"/>
          <w:lang w:val="fr-CA"/>
        </w:rPr>
        <w:t>9</w:t>
      </w:r>
      <w:r w:rsidR="00102792" w:rsidRPr="00DD7C7F">
        <w:rPr>
          <w:b/>
          <w:sz w:val="20"/>
          <w:szCs w:val="20"/>
          <w:lang w:val="fr-CA"/>
        </w:rPr>
        <w:t xml:space="preserve">, </w:t>
      </w:r>
      <w:r w:rsidR="0034657E" w:rsidRPr="00DD7C7F">
        <w:rPr>
          <w:b/>
          <w:sz w:val="20"/>
          <w:szCs w:val="20"/>
          <w:lang w:val="fr-CA"/>
        </w:rPr>
        <w:t>20</w:t>
      </w:r>
      <w:r w:rsidR="00172473" w:rsidRPr="00DD7C7F">
        <w:rPr>
          <w:b/>
          <w:sz w:val="20"/>
          <w:szCs w:val="20"/>
          <w:lang w:val="fr-CA"/>
        </w:rPr>
        <w:t>2</w:t>
      </w:r>
      <w:r w:rsidR="00E8642A" w:rsidRPr="00DD7C7F">
        <w:rPr>
          <w:b/>
          <w:sz w:val="20"/>
          <w:szCs w:val="20"/>
          <w:lang w:val="fr-CA"/>
        </w:rPr>
        <w:t>2</w:t>
      </w:r>
      <w:r w:rsidR="00102792" w:rsidRPr="00DD7C7F">
        <w:rPr>
          <w:b/>
          <w:sz w:val="20"/>
          <w:szCs w:val="20"/>
          <w:lang w:val="fr-CA"/>
        </w:rPr>
        <w:t xml:space="preserve"> / LE </w:t>
      </w:r>
      <w:r w:rsidR="002C13E1" w:rsidRPr="00DD7C7F">
        <w:rPr>
          <w:b/>
          <w:sz w:val="20"/>
          <w:szCs w:val="20"/>
          <w:lang w:val="fr-CA"/>
        </w:rPr>
        <w:t xml:space="preserve">9 </w:t>
      </w:r>
      <w:r w:rsidRPr="00DD7C7F">
        <w:rPr>
          <w:b/>
          <w:sz w:val="20"/>
          <w:szCs w:val="20"/>
          <w:lang w:val="fr-CA"/>
        </w:rPr>
        <w:t>DÉC</w:t>
      </w:r>
      <w:r w:rsidR="002C13E1" w:rsidRPr="00DD7C7F">
        <w:rPr>
          <w:b/>
          <w:sz w:val="20"/>
          <w:szCs w:val="20"/>
          <w:lang w:val="fr-CA"/>
        </w:rPr>
        <w:t>EMBRE</w:t>
      </w:r>
      <w:r w:rsidR="00102792" w:rsidRPr="00DD7C7F">
        <w:rPr>
          <w:b/>
          <w:sz w:val="20"/>
          <w:szCs w:val="20"/>
          <w:lang w:val="fr-CA"/>
        </w:rPr>
        <w:t xml:space="preserve"> </w:t>
      </w:r>
      <w:r w:rsidR="0034657E" w:rsidRPr="00DD7C7F">
        <w:rPr>
          <w:b/>
          <w:sz w:val="20"/>
          <w:szCs w:val="20"/>
          <w:lang w:val="fr-CA"/>
        </w:rPr>
        <w:t>20</w:t>
      </w:r>
      <w:r w:rsidR="00172473" w:rsidRPr="00DD7C7F">
        <w:rPr>
          <w:b/>
          <w:sz w:val="20"/>
          <w:szCs w:val="20"/>
          <w:lang w:val="fr-CA"/>
        </w:rPr>
        <w:t>2</w:t>
      </w:r>
      <w:r w:rsidR="00E8642A" w:rsidRPr="00DD7C7F">
        <w:rPr>
          <w:b/>
          <w:sz w:val="20"/>
          <w:szCs w:val="20"/>
          <w:lang w:val="fr-CA"/>
        </w:rPr>
        <w:t>2</w:t>
      </w:r>
    </w:p>
    <w:p w:rsidR="00102792" w:rsidRPr="00DD7C7F" w:rsidRDefault="00102792" w:rsidP="00102792">
      <w:pPr>
        <w:rPr>
          <w:sz w:val="20"/>
          <w:szCs w:val="20"/>
          <w:lang w:val="fr-CA"/>
        </w:rPr>
      </w:pPr>
    </w:p>
    <w:p w:rsidR="00102792" w:rsidRPr="00DD7C7F" w:rsidRDefault="00102792" w:rsidP="00102792">
      <w:pPr>
        <w:ind w:left="1440" w:hanging="1440"/>
        <w:jc w:val="both"/>
        <w:rPr>
          <w:rFonts w:eastAsia="Times New Roman" w:cs="Times New Roman"/>
          <w:color w:val="000000"/>
          <w:sz w:val="20"/>
          <w:szCs w:val="20"/>
          <w:lang w:val="en-US"/>
        </w:rPr>
      </w:pPr>
      <w:r w:rsidRPr="00DD7C7F">
        <w:rPr>
          <w:rFonts w:eastAsia="Times New Roman" w:cs="Times New Roman"/>
          <w:b/>
          <w:bCs/>
          <w:color w:val="000000"/>
          <w:sz w:val="20"/>
          <w:szCs w:val="20"/>
          <w:lang w:val="en-US"/>
        </w:rPr>
        <w:t>3</w:t>
      </w:r>
      <w:r w:rsidR="006349BF" w:rsidRPr="00DD7C7F">
        <w:rPr>
          <w:rFonts w:eastAsia="Times New Roman" w:cs="Times New Roman"/>
          <w:b/>
          <w:bCs/>
          <w:color w:val="000000"/>
          <w:sz w:val="20"/>
          <w:szCs w:val="20"/>
          <w:lang w:val="en-US"/>
        </w:rPr>
        <w:t>9480</w:t>
      </w:r>
      <w:r w:rsidR="00172473" w:rsidRPr="00DD7C7F">
        <w:rPr>
          <w:rFonts w:eastAsia="Times New Roman" w:cs="Times New Roman"/>
          <w:b/>
          <w:bCs/>
          <w:color w:val="000000"/>
          <w:sz w:val="20"/>
          <w:szCs w:val="20"/>
          <w:lang w:val="en-US"/>
        </w:rPr>
        <w:tab/>
      </w:r>
      <w:r w:rsidR="006349BF" w:rsidRPr="00DD7C7F">
        <w:rPr>
          <w:b/>
          <w:sz w:val="20"/>
        </w:rPr>
        <w:t xml:space="preserve">James Andrew Beaver v. His Majesty </w:t>
      </w:r>
      <w:proofErr w:type="gramStart"/>
      <w:r w:rsidR="006349BF" w:rsidRPr="00DD7C7F">
        <w:rPr>
          <w:b/>
          <w:sz w:val="20"/>
        </w:rPr>
        <w:t>The</w:t>
      </w:r>
      <w:proofErr w:type="gramEnd"/>
      <w:r w:rsidR="006349BF" w:rsidRPr="00DD7C7F">
        <w:rPr>
          <w:b/>
          <w:sz w:val="20"/>
        </w:rPr>
        <w:t xml:space="preserve"> King - and - Attorney General of Ontario and Canadian Civil Liberties Association </w:t>
      </w:r>
      <w:r w:rsidR="006349BF" w:rsidRPr="00DD7C7F">
        <w:rPr>
          <w:iCs/>
          <w:sz w:val="20"/>
        </w:rPr>
        <w:t>(Alta.)</w:t>
      </w:r>
    </w:p>
    <w:p w:rsidR="00102792" w:rsidRPr="00DD7C7F" w:rsidRDefault="00102792" w:rsidP="00102792">
      <w:pPr>
        <w:ind w:left="1440"/>
        <w:jc w:val="both"/>
        <w:rPr>
          <w:rFonts w:eastAsia="Times New Roman" w:cs="Times New Roman"/>
          <w:color w:val="000000"/>
          <w:sz w:val="20"/>
          <w:szCs w:val="20"/>
          <w:lang w:val="en-US"/>
        </w:rPr>
      </w:pPr>
      <w:r w:rsidRPr="00DD7C7F">
        <w:rPr>
          <w:rFonts w:eastAsia="Times New Roman" w:cs="Times New Roman"/>
          <w:b/>
          <w:bCs/>
          <w:color w:val="000000"/>
          <w:sz w:val="20"/>
          <w:szCs w:val="20"/>
          <w:lang w:val="en-US"/>
        </w:rPr>
        <w:t>20</w:t>
      </w:r>
      <w:r w:rsidR="00172473" w:rsidRPr="00DD7C7F">
        <w:rPr>
          <w:rFonts w:eastAsia="Times New Roman" w:cs="Times New Roman"/>
          <w:b/>
          <w:bCs/>
          <w:color w:val="000000"/>
          <w:sz w:val="20"/>
          <w:szCs w:val="20"/>
          <w:lang w:val="en-US"/>
        </w:rPr>
        <w:t>2</w:t>
      </w:r>
      <w:r w:rsidR="00E8642A" w:rsidRPr="00DD7C7F">
        <w:rPr>
          <w:rFonts w:eastAsia="Times New Roman" w:cs="Times New Roman"/>
          <w:b/>
          <w:bCs/>
          <w:color w:val="000000"/>
          <w:sz w:val="20"/>
          <w:szCs w:val="20"/>
          <w:lang w:val="en-US"/>
        </w:rPr>
        <w:t>2</w:t>
      </w:r>
      <w:r w:rsidRPr="00DD7C7F">
        <w:rPr>
          <w:rFonts w:eastAsia="Times New Roman" w:cs="Times New Roman"/>
          <w:b/>
          <w:bCs/>
          <w:color w:val="000000"/>
          <w:sz w:val="20"/>
          <w:szCs w:val="20"/>
          <w:lang w:val="en-US"/>
        </w:rPr>
        <w:t xml:space="preserve"> SCC </w:t>
      </w:r>
      <w:r w:rsidR="005B1E60" w:rsidRPr="00DD7C7F">
        <w:rPr>
          <w:rFonts w:eastAsia="Times New Roman" w:cs="Times New Roman"/>
          <w:b/>
          <w:bCs/>
          <w:color w:val="000000"/>
          <w:sz w:val="20"/>
          <w:szCs w:val="20"/>
          <w:lang w:val="en-US"/>
        </w:rPr>
        <w:t>54</w:t>
      </w:r>
      <w:r w:rsidRPr="00DD7C7F">
        <w:rPr>
          <w:rFonts w:eastAsia="Times New Roman" w:cs="Times New Roman"/>
          <w:b/>
          <w:bCs/>
          <w:color w:val="000000"/>
          <w:sz w:val="20"/>
          <w:szCs w:val="20"/>
          <w:lang w:val="en-US"/>
        </w:rPr>
        <w:t xml:space="preserve"> / 20</w:t>
      </w:r>
      <w:r w:rsidR="00172473" w:rsidRPr="00DD7C7F">
        <w:rPr>
          <w:rFonts w:eastAsia="Times New Roman" w:cs="Times New Roman"/>
          <w:b/>
          <w:bCs/>
          <w:color w:val="000000"/>
          <w:sz w:val="20"/>
          <w:szCs w:val="20"/>
          <w:lang w:val="en-US"/>
        </w:rPr>
        <w:t>2</w:t>
      </w:r>
      <w:r w:rsidR="00E8642A" w:rsidRPr="00DD7C7F">
        <w:rPr>
          <w:rFonts w:eastAsia="Times New Roman" w:cs="Times New Roman"/>
          <w:b/>
          <w:bCs/>
          <w:color w:val="000000"/>
          <w:sz w:val="20"/>
          <w:szCs w:val="20"/>
          <w:lang w:val="en-US"/>
        </w:rPr>
        <w:t>2</w:t>
      </w:r>
      <w:r w:rsidRPr="00DD7C7F">
        <w:rPr>
          <w:rFonts w:eastAsia="Times New Roman" w:cs="Times New Roman"/>
          <w:b/>
          <w:bCs/>
          <w:color w:val="000000"/>
          <w:sz w:val="20"/>
          <w:szCs w:val="20"/>
          <w:lang w:val="en-US"/>
        </w:rPr>
        <w:t xml:space="preserve"> CSC </w:t>
      </w:r>
      <w:r w:rsidR="005B1E60" w:rsidRPr="00DD7C7F">
        <w:rPr>
          <w:rFonts w:eastAsia="Times New Roman" w:cs="Times New Roman"/>
          <w:b/>
          <w:bCs/>
          <w:color w:val="000000"/>
          <w:sz w:val="20"/>
          <w:szCs w:val="20"/>
          <w:lang w:val="en-US"/>
        </w:rPr>
        <w:t>54</w:t>
      </w:r>
    </w:p>
    <w:p w:rsidR="00102792" w:rsidRPr="00DD7C7F" w:rsidRDefault="00102792" w:rsidP="00102792">
      <w:pPr>
        <w:jc w:val="both"/>
        <w:rPr>
          <w:rFonts w:eastAsia="Times New Roman" w:cs="Times New Roman"/>
          <w:color w:val="000000"/>
          <w:sz w:val="20"/>
          <w:szCs w:val="20"/>
          <w:lang w:val="en-US"/>
        </w:rPr>
      </w:pPr>
    </w:p>
    <w:p w:rsidR="00102792" w:rsidRPr="00DD7C7F" w:rsidRDefault="00172473" w:rsidP="00102792">
      <w:pPr>
        <w:ind w:left="1440" w:hanging="1440"/>
        <w:rPr>
          <w:rFonts w:eastAsia="Times New Roman" w:cs="Times New Roman"/>
          <w:color w:val="000000"/>
          <w:sz w:val="20"/>
          <w:szCs w:val="20"/>
          <w:lang w:val="en-US"/>
        </w:rPr>
      </w:pPr>
      <w:r w:rsidRPr="00DD7C7F">
        <w:rPr>
          <w:rFonts w:eastAsia="Times New Roman" w:cs="Times New Roman"/>
          <w:color w:val="000000"/>
          <w:sz w:val="20"/>
          <w:szCs w:val="20"/>
          <w:lang w:val="en-US"/>
        </w:rPr>
        <w:t>Coram:</w:t>
      </w:r>
      <w:r w:rsidRPr="00DD7C7F">
        <w:rPr>
          <w:rFonts w:eastAsia="Times New Roman" w:cs="Times New Roman"/>
          <w:color w:val="000000"/>
          <w:sz w:val="20"/>
          <w:szCs w:val="20"/>
          <w:lang w:val="en-US"/>
        </w:rPr>
        <w:tab/>
      </w:r>
      <w:r w:rsidR="00102792" w:rsidRPr="00DD7C7F">
        <w:rPr>
          <w:rFonts w:eastAsia="Times New Roman" w:cs="Times New Roman"/>
          <w:color w:val="000000"/>
          <w:sz w:val="20"/>
          <w:szCs w:val="20"/>
          <w:lang w:val="en-US"/>
        </w:rPr>
        <w:t>Wagner C.J. and Moldaver, Karakatsanis, Côté, Brown, Rowe</w:t>
      </w:r>
      <w:r w:rsidRPr="00DD7C7F">
        <w:rPr>
          <w:rFonts w:eastAsia="Times New Roman" w:cs="Times New Roman"/>
          <w:color w:val="000000"/>
          <w:sz w:val="20"/>
          <w:szCs w:val="20"/>
          <w:lang w:val="en-US"/>
        </w:rPr>
        <w:t xml:space="preserve">, </w:t>
      </w:r>
      <w:r w:rsidR="00102792" w:rsidRPr="00DD7C7F">
        <w:rPr>
          <w:rFonts w:eastAsia="Times New Roman" w:cs="Times New Roman"/>
          <w:color w:val="000000"/>
          <w:sz w:val="20"/>
          <w:szCs w:val="20"/>
          <w:lang w:val="en-US"/>
        </w:rPr>
        <w:t>Martin</w:t>
      </w:r>
      <w:r w:rsidR="00FA7B17" w:rsidRPr="00DD7C7F">
        <w:rPr>
          <w:rFonts w:eastAsia="Times New Roman" w:cs="Times New Roman"/>
          <w:color w:val="000000"/>
          <w:sz w:val="20"/>
          <w:szCs w:val="20"/>
          <w:lang w:val="en-US"/>
        </w:rPr>
        <w:t>,</w:t>
      </w:r>
      <w:r w:rsidRPr="00DD7C7F">
        <w:rPr>
          <w:rFonts w:eastAsia="Times New Roman" w:cs="Times New Roman"/>
          <w:color w:val="000000"/>
          <w:sz w:val="20"/>
          <w:szCs w:val="20"/>
          <w:lang w:val="en-US"/>
        </w:rPr>
        <w:t xml:space="preserve"> Kasirer</w:t>
      </w:r>
      <w:r w:rsidR="00102792" w:rsidRPr="00DD7C7F">
        <w:rPr>
          <w:rFonts w:eastAsia="Times New Roman" w:cs="Times New Roman"/>
          <w:color w:val="000000"/>
          <w:sz w:val="20"/>
          <w:szCs w:val="20"/>
          <w:lang w:val="en-US"/>
        </w:rPr>
        <w:t xml:space="preserve"> </w:t>
      </w:r>
      <w:r w:rsidR="00FA7B17" w:rsidRPr="00DD7C7F">
        <w:rPr>
          <w:rFonts w:eastAsia="Times New Roman" w:cs="Times New Roman"/>
          <w:color w:val="000000"/>
          <w:sz w:val="20"/>
          <w:szCs w:val="20"/>
          <w:lang w:val="en-US"/>
        </w:rPr>
        <w:t xml:space="preserve">and Jamal </w:t>
      </w:r>
      <w:r w:rsidR="00102792" w:rsidRPr="00DD7C7F">
        <w:rPr>
          <w:rFonts w:eastAsia="Times New Roman" w:cs="Times New Roman"/>
          <w:color w:val="000000"/>
          <w:sz w:val="20"/>
          <w:szCs w:val="20"/>
          <w:lang w:val="en-US"/>
        </w:rPr>
        <w:t>JJ.</w:t>
      </w:r>
    </w:p>
    <w:p w:rsidR="00102792" w:rsidRPr="00DD7C7F" w:rsidRDefault="00102792" w:rsidP="00102792">
      <w:pPr>
        <w:ind w:left="1440" w:hanging="1440"/>
        <w:rPr>
          <w:rFonts w:eastAsia="Times New Roman" w:cs="Times New Roman"/>
          <w:color w:val="000000"/>
          <w:sz w:val="20"/>
          <w:szCs w:val="20"/>
          <w:lang w:val="en-US"/>
        </w:rPr>
      </w:pPr>
    </w:p>
    <w:p w:rsidR="00DD7C7F" w:rsidRPr="00512056" w:rsidRDefault="00DD7C7F" w:rsidP="00DD7C7F">
      <w:pPr>
        <w:jc w:val="both"/>
        <w:rPr>
          <w:sz w:val="20"/>
          <w:szCs w:val="20"/>
          <w:lang w:val="fr-CA"/>
        </w:rPr>
      </w:pPr>
      <w:r w:rsidRPr="00DD7C7F">
        <w:rPr>
          <w:sz w:val="20"/>
          <w:szCs w:val="20"/>
        </w:rPr>
        <w:t xml:space="preserve">The appeal from the judgment of the Court of Appeal of Alberta (Calgary), Number 1901-0114A, 2020 ABCA 203, dated May 14, 2020, heard on February 14, 2022, is dismissed. </w:t>
      </w:r>
      <w:r w:rsidRPr="00512056">
        <w:rPr>
          <w:sz w:val="20"/>
          <w:szCs w:val="20"/>
          <w:lang w:val="fr-CA"/>
        </w:rPr>
        <w:t>Karakatsanis, C</w:t>
      </w:r>
      <w:r w:rsidRPr="00512056">
        <w:rPr>
          <w:rFonts w:cs="Times New Roman"/>
          <w:sz w:val="20"/>
          <w:szCs w:val="20"/>
          <w:lang w:val="fr-CA"/>
        </w:rPr>
        <w:t>ô</w:t>
      </w:r>
      <w:r w:rsidRPr="00512056">
        <w:rPr>
          <w:sz w:val="20"/>
          <w:szCs w:val="20"/>
          <w:lang w:val="fr-CA"/>
        </w:rPr>
        <w:t>t</w:t>
      </w:r>
      <w:r w:rsidRPr="00512056">
        <w:rPr>
          <w:rFonts w:cs="Times New Roman"/>
          <w:sz w:val="20"/>
          <w:szCs w:val="20"/>
          <w:lang w:val="fr-CA"/>
        </w:rPr>
        <w:t>é</w:t>
      </w:r>
      <w:r w:rsidRPr="00512056">
        <w:rPr>
          <w:sz w:val="20"/>
          <w:szCs w:val="20"/>
          <w:lang w:val="fr-CA"/>
        </w:rPr>
        <w:t xml:space="preserve">, Brown and Martin JJ. </w:t>
      </w:r>
      <w:proofErr w:type="gramStart"/>
      <w:r w:rsidRPr="00512056">
        <w:rPr>
          <w:sz w:val="20"/>
          <w:szCs w:val="20"/>
          <w:lang w:val="fr-CA"/>
        </w:rPr>
        <w:t>dissent</w:t>
      </w:r>
      <w:proofErr w:type="gramEnd"/>
      <w:r w:rsidRPr="00512056">
        <w:rPr>
          <w:sz w:val="20"/>
          <w:szCs w:val="20"/>
          <w:lang w:val="fr-CA"/>
        </w:rPr>
        <w:t>.</w:t>
      </w:r>
    </w:p>
    <w:p w:rsidR="00102792" w:rsidRPr="00512056" w:rsidRDefault="00102792" w:rsidP="00102792">
      <w:pPr>
        <w:tabs>
          <w:tab w:val="left" w:pos="1440"/>
        </w:tabs>
        <w:jc w:val="both"/>
        <w:rPr>
          <w:rFonts w:eastAsia="Times New Roman" w:cs="Times New Roman"/>
          <w:color w:val="000000"/>
          <w:sz w:val="20"/>
          <w:szCs w:val="20"/>
          <w:lang w:val="fr-CA"/>
        </w:rPr>
      </w:pPr>
    </w:p>
    <w:p w:rsidR="00102792" w:rsidRPr="00DD7C7F" w:rsidRDefault="00DD7C7F" w:rsidP="00102792">
      <w:pPr>
        <w:jc w:val="both"/>
        <w:rPr>
          <w:rFonts w:eastAsia="Times New Roman" w:cs="Times New Roman"/>
          <w:color w:val="000000"/>
          <w:sz w:val="20"/>
          <w:szCs w:val="20"/>
          <w:lang w:val="fr-CA"/>
        </w:rPr>
      </w:pPr>
      <w:r w:rsidRPr="00DD7C7F">
        <w:rPr>
          <w:sz w:val="20"/>
          <w:szCs w:val="20"/>
          <w:lang w:val="fr-CA"/>
        </w:rPr>
        <w:t>L’appel interjeté contre l’arrêt de la Cour d’appel de l’Alberta (Calgary), numéro 1901-0114A, 2020 ABCA 203, daté du 14 mai 2020, entendu le 14 février 2022, est rejeté. Les juges Karakatsanis, Côté, Brown et Martin sont dissidents.</w:t>
      </w:r>
    </w:p>
    <w:p w:rsidR="00102792" w:rsidRPr="00DD7C7F" w:rsidRDefault="00102792" w:rsidP="00102792">
      <w:pPr>
        <w:rPr>
          <w:sz w:val="20"/>
          <w:szCs w:val="20"/>
          <w:lang w:val="fr-CA"/>
        </w:rPr>
      </w:pPr>
    </w:p>
    <w:p w:rsidR="00102792" w:rsidRPr="00DD7C7F" w:rsidRDefault="00512056" w:rsidP="00102792">
      <w:pPr>
        <w:rPr>
          <w:sz w:val="20"/>
          <w:szCs w:val="20"/>
          <w:lang w:val="fr-CA"/>
        </w:rPr>
      </w:pPr>
      <w:hyperlink r:id="rId96" w:history="1">
        <w:r w:rsidR="00506BE1" w:rsidRPr="00DD7C7F">
          <w:rPr>
            <w:rStyle w:val="Hyperlink"/>
            <w:sz w:val="20"/>
            <w:szCs w:val="20"/>
            <w:lang w:val="fr-CA"/>
          </w:rPr>
          <w:t xml:space="preserve">LINK TO </w:t>
        </w:r>
        <w:r w:rsidR="00D82BFF" w:rsidRPr="00DD7C7F">
          <w:rPr>
            <w:rStyle w:val="Hyperlink"/>
            <w:sz w:val="20"/>
            <w:szCs w:val="20"/>
            <w:lang w:val="fr-CA"/>
          </w:rPr>
          <w:t>REASONS</w:t>
        </w:r>
      </w:hyperlink>
      <w:r w:rsidR="00102792" w:rsidRPr="00DD7C7F">
        <w:rPr>
          <w:sz w:val="20"/>
          <w:szCs w:val="20"/>
          <w:lang w:val="fr-CA"/>
        </w:rPr>
        <w:t xml:space="preserve"> / </w:t>
      </w:r>
      <w:hyperlink r:id="rId97" w:history="1">
        <w:r w:rsidR="00D82BFF" w:rsidRPr="00DD7C7F">
          <w:rPr>
            <w:rStyle w:val="Hyperlink"/>
            <w:sz w:val="20"/>
            <w:szCs w:val="20"/>
            <w:lang w:val="fr-CA"/>
          </w:rPr>
          <w:t>LIEN VERS LES MOTIFS</w:t>
        </w:r>
      </w:hyperlink>
    </w:p>
    <w:p w:rsidR="00102792" w:rsidRPr="00DD7C7F" w:rsidRDefault="00102792" w:rsidP="00102792">
      <w:pPr>
        <w:rPr>
          <w:sz w:val="20"/>
          <w:szCs w:val="20"/>
          <w:lang w:val="fr-CA"/>
        </w:rPr>
      </w:pPr>
    </w:p>
    <w:p w:rsidR="00D004FC" w:rsidRPr="00DD7C7F" w:rsidRDefault="00512056" w:rsidP="00102792">
      <w:pPr>
        <w:jc w:val="both"/>
        <w:rPr>
          <w:rFonts w:cs="Times New Roman"/>
          <w:b/>
          <w:sz w:val="20"/>
          <w:szCs w:val="20"/>
        </w:rPr>
      </w:pPr>
      <w:r>
        <w:rPr>
          <w:b/>
          <w:sz w:val="20"/>
          <w:szCs w:val="20"/>
        </w:rPr>
        <w:pict>
          <v:rect id="_x0000_i1080" style="width:144.3pt;height:1pt" o:hrpct="300" o:hralign="center" o:hrstd="t" o:hrnoshade="t" o:hr="t" fillcolor="black [3213]" stroked="f"/>
        </w:pict>
      </w:r>
    </w:p>
    <w:p w:rsidR="006349BF" w:rsidRPr="00DD7C7F" w:rsidRDefault="006349BF" w:rsidP="006349BF">
      <w:pPr>
        <w:rPr>
          <w:sz w:val="20"/>
          <w:szCs w:val="20"/>
          <w:lang w:val="fr-CA"/>
        </w:rPr>
      </w:pPr>
    </w:p>
    <w:p w:rsidR="006349BF" w:rsidRPr="00DD7C7F" w:rsidRDefault="006349BF" w:rsidP="006349BF">
      <w:pPr>
        <w:ind w:left="1440" w:hanging="1440"/>
        <w:jc w:val="both"/>
        <w:rPr>
          <w:rFonts w:eastAsia="Times New Roman" w:cs="Times New Roman"/>
          <w:color w:val="000000"/>
          <w:sz w:val="20"/>
          <w:szCs w:val="20"/>
        </w:rPr>
      </w:pPr>
      <w:r w:rsidRPr="00DD7C7F">
        <w:rPr>
          <w:rFonts w:eastAsia="Times New Roman" w:cs="Times New Roman"/>
          <w:b/>
          <w:bCs/>
          <w:color w:val="000000"/>
          <w:sz w:val="20"/>
          <w:szCs w:val="20"/>
          <w:lang w:val="en-US"/>
        </w:rPr>
        <w:t>39481</w:t>
      </w:r>
      <w:r w:rsidRPr="00DD7C7F">
        <w:rPr>
          <w:rFonts w:eastAsia="Times New Roman" w:cs="Times New Roman"/>
          <w:b/>
          <w:bCs/>
          <w:color w:val="000000"/>
          <w:sz w:val="20"/>
          <w:szCs w:val="20"/>
          <w:lang w:val="en-US"/>
        </w:rPr>
        <w:tab/>
      </w:r>
      <w:r w:rsidRPr="00DD7C7F">
        <w:rPr>
          <w:b/>
          <w:sz w:val="20"/>
        </w:rPr>
        <w:t xml:space="preserve">Brian John Lambert v. His Majesty </w:t>
      </w:r>
      <w:proofErr w:type="gramStart"/>
      <w:r w:rsidRPr="00DD7C7F">
        <w:rPr>
          <w:b/>
          <w:sz w:val="20"/>
        </w:rPr>
        <w:t>The</w:t>
      </w:r>
      <w:proofErr w:type="gramEnd"/>
      <w:r w:rsidRPr="00DD7C7F">
        <w:rPr>
          <w:b/>
          <w:sz w:val="20"/>
        </w:rPr>
        <w:t xml:space="preserve"> King - and - Attorney General of Ontario </w:t>
      </w:r>
      <w:r w:rsidRPr="00DD7C7F">
        <w:rPr>
          <w:iCs/>
          <w:sz w:val="20"/>
        </w:rPr>
        <w:t>(Alta.)</w:t>
      </w:r>
    </w:p>
    <w:p w:rsidR="006349BF" w:rsidRPr="00DD7C7F" w:rsidRDefault="006349BF" w:rsidP="006349BF">
      <w:pPr>
        <w:ind w:left="1440"/>
        <w:jc w:val="both"/>
        <w:rPr>
          <w:rFonts w:eastAsia="Times New Roman" w:cs="Times New Roman"/>
          <w:color w:val="000000"/>
          <w:sz w:val="20"/>
          <w:szCs w:val="20"/>
          <w:lang w:val="en-US"/>
        </w:rPr>
      </w:pPr>
      <w:r w:rsidRPr="00DD7C7F">
        <w:rPr>
          <w:rFonts w:eastAsia="Times New Roman" w:cs="Times New Roman"/>
          <w:b/>
          <w:bCs/>
          <w:color w:val="000000"/>
          <w:sz w:val="20"/>
          <w:szCs w:val="20"/>
          <w:lang w:val="en-US"/>
        </w:rPr>
        <w:t xml:space="preserve">2022 SCC </w:t>
      </w:r>
      <w:r w:rsidR="005B1E60" w:rsidRPr="00DD7C7F">
        <w:rPr>
          <w:rFonts w:eastAsia="Times New Roman" w:cs="Times New Roman"/>
          <w:b/>
          <w:bCs/>
          <w:color w:val="000000"/>
          <w:sz w:val="20"/>
          <w:szCs w:val="20"/>
          <w:lang w:val="en-US"/>
        </w:rPr>
        <w:t>54</w:t>
      </w:r>
      <w:r w:rsidRPr="00DD7C7F">
        <w:rPr>
          <w:rFonts w:eastAsia="Times New Roman" w:cs="Times New Roman"/>
          <w:b/>
          <w:bCs/>
          <w:color w:val="000000"/>
          <w:sz w:val="20"/>
          <w:szCs w:val="20"/>
          <w:lang w:val="en-US"/>
        </w:rPr>
        <w:t xml:space="preserve"> / 2022 CSC </w:t>
      </w:r>
      <w:r w:rsidR="005B1E60" w:rsidRPr="00DD7C7F">
        <w:rPr>
          <w:rFonts w:eastAsia="Times New Roman" w:cs="Times New Roman"/>
          <w:b/>
          <w:bCs/>
          <w:color w:val="000000"/>
          <w:sz w:val="20"/>
          <w:szCs w:val="20"/>
          <w:lang w:val="en-US"/>
        </w:rPr>
        <w:t>54</w:t>
      </w:r>
    </w:p>
    <w:p w:rsidR="006349BF" w:rsidRPr="00DD7C7F" w:rsidRDefault="006349BF" w:rsidP="006349BF">
      <w:pPr>
        <w:jc w:val="both"/>
        <w:rPr>
          <w:rFonts w:eastAsia="Times New Roman" w:cs="Times New Roman"/>
          <w:color w:val="000000"/>
          <w:sz w:val="20"/>
          <w:szCs w:val="20"/>
          <w:lang w:val="en-US"/>
        </w:rPr>
      </w:pPr>
    </w:p>
    <w:p w:rsidR="006349BF" w:rsidRPr="00DD7C7F" w:rsidRDefault="006349BF" w:rsidP="006349BF">
      <w:pPr>
        <w:ind w:left="1440" w:hanging="1440"/>
        <w:rPr>
          <w:rFonts w:eastAsia="Times New Roman" w:cs="Times New Roman"/>
          <w:color w:val="000000"/>
          <w:sz w:val="20"/>
          <w:szCs w:val="20"/>
          <w:lang w:val="en-US"/>
        </w:rPr>
      </w:pPr>
      <w:r w:rsidRPr="00DD7C7F">
        <w:rPr>
          <w:rFonts w:eastAsia="Times New Roman" w:cs="Times New Roman"/>
          <w:color w:val="000000"/>
          <w:sz w:val="20"/>
          <w:szCs w:val="20"/>
          <w:lang w:val="en-US"/>
        </w:rPr>
        <w:t>Coram:</w:t>
      </w:r>
      <w:r w:rsidRPr="00DD7C7F">
        <w:rPr>
          <w:rFonts w:eastAsia="Times New Roman" w:cs="Times New Roman"/>
          <w:color w:val="000000"/>
          <w:sz w:val="20"/>
          <w:szCs w:val="20"/>
          <w:lang w:val="en-US"/>
        </w:rPr>
        <w:tab/>
        <w:t>Wagner C.J. and Moldaver, Karakatsanis, Côté, Brown, Rowe, Martin, Kasirer and Jamal JJ.</w:t>
      </w:r>
    </w:p>
    <w:p w:rsidR="006349BF" w:rsidRPr="00DD7C7F" w:rsidRDefault="006349BF" w:rsidP="006349BF">
      <w:pPr>
        <w:ind w:left="1440" w:hanging="1440"/>
        <w:rPr>
          <w:rFonts w:eastAsia="Times New Roman" w:cs="Times New Roman"/>
          <w:color w:val="000000"/>
          <w:sz w:val="20"/>
          <w:szCs w:val="20"/>
          <w:lang w:val="en-US"/>
        </w:rPr>
      </w:pPr>
    </w:p>
    <w:p w:rsidR="00DD7C7F" w:rsidRPr="00512056" w:rsidRDefault="00DD7C7F" w:rsidP="00DD7C7F">
      <w:pPr>
        <w:jc w:val="both"/>
        <w:rPr>
          <w:sz w:val="20"/>
          <w:szCs w:val="20"/>
          <w:lang w:val="fr-CA"/>
        </w:rPr>
      </w:pPr>
      <w:r w:rsidRPr="00DD7C7F">
        <w:rPr>
          <w:sz w:val="20"/>
          <w:szCs w:val="20"/>
        </w:rPr>
        <w:t xml:space="preserve">The appeal from the judgment of the Court of Appeal of Alberta (Calgary), Number 1901-0134A, 2020 ABCA 203, dated May 14, 2020, heard on February 14, 2022, is dismissed. </w:t>
      </w:r>
      <w:r w:rsidRPr="00512056">
        <w:rPr>
          <w:sz w:val="20"/>
          <w:szCs w:val="20"/>
          <w:lang w:val="fr-CA"/>
        </w:rPr>
        <w:t xml:space="preserve">Karakatsanis, Côté, Brown and Martin JJ. </w:t>
      </w:r>
      <w:proofErr w:type="gramStart"/>
      <w:r w:rsidRPr="00512056">
        <w:rPr>
          <w:sz w:val="20"/>
          <w:szCs w:val="20"/>
          <w:lang w:val="fr-CA"/>
        </w:rPr>
        <w:t>dissent</w:t>
      </w:r>
      <w:proofErr w:type="gramEnd"/>
      <w:r w:rsidRPr="00512056">
        <w:rPr>
          <w:sz w:val="20"/>
          <w:szCs w:val="20"/>
          <w:lang w:val="fr-CA"/>
        </w:rPr>
        <w:t>.</w:t>
      </w:r>
    </w:p>
    <w:p w:rsidR="006349BF" w:rsidRPr="00512056" w:rsidRDefault="006349BF" w:rsidP="006349BF">
      <w:pPr>
        <w:tabs>
          <w:tab w:val="left" w:pos="1440"/>
        </w:tabs>
        <w:jc w:val="both"/>
        <w:rPr>
          <w:rFonts w:eastAsia="Times New Roman" w:cs="Times New Roman"/>
          <w:color w:val="000000"/>
          <w:sz w:val="20"/>
          <w:szCs w:val="20"/>
          <w:lang w:val="fr-CA"/>
        </w:rPr>
      </w:pPr>
    </w:p>
    <w:p w:rsidR="00DD7C7F" w:rsidRPr="00DD7C7F" w:rsidRDefault="00DD7C7F" w:rsidP="00DD7C7F">
      <w:pPr>
        <w:jc w:val="both"/>
        <w:rPr>
          <w:sz w:val="20"/>
          <w:szCs w:val="20"/>
          <w:lang w:val="fr-CA"/>
        </w:rPr>
      </w:pPr>
      <w:r w:rsidRPr="00DD7C7F">
        <w:rPr>
          <w:sz w:val="20"/>
          <w:szCs w:val="20"/>
          <w:lang w:val="fr-CA"/>
        </w:rPr>
        <w:t>L’appel interjeté contre l’arrêt de la Cour d’appel de l’Alberta (Calgary), numéro 1901-0134A, 2020 ABCA 203, daté du 14 mai 2020, entendu le 14 février 2022, est rejeté. Les juges Karakatsanis, Côté, Brown et Martin sont dissidents.</w:t>
      </w:r>
    </w:p>
    <w:p w:rsidR="006349BF" w:rsidRPr="00DD7C7F" w:rsidRDefault="006349BF" w:rsidP="006349BF">
      <w:pPr>
        <w:rPr>
          <w:sz w:val="20"/>
          <w:szCs w:val="20"/>
          <w:lang w:val="fr-CA"/>
        </w:rPr>
      </w:pPr>
    </w:p>
    <w:p w:rsidR="005B1E60" w:rsidRPr="00DD7C7F" w:rsidRDefault="00512056" w:rsidP="005B1E60">
      <w:pPr>
        <w:rPr>
          <w:sz w:val="20"/>
          <w:szCs w:val="20"/>
          <w:lang w:val="fr-CA"/>
        </w:rPr>
      </w:pPr>
      <w:hyperlink r:id="rId98" w:history="1">
        <w:r w:rsidR="005B1E60" w:rsidRPr="00DD7C7F">
          <w:rPr>
            <w:rStyle w:val="Hyperlink"/>
            <w:sz w:val="20"/>
            <w:szCs w:val="20"/>
            <w:lang w:val="fr-CA"/>
          </w:rPr>
          <w:t>LINK TO REASONS</w:t>
        </w:r>
      </w:hyperlink>
      <w:r w:rsidR="005B1E60" w:rsidRPr="00DD7C7F">
        <w:rPr>
          <w:sz w:val="20"/>
          <w:szCs w:val="20"/>
          <w:lang w:val="fr-CA"/>
        </w:rPr>
        <w:t xml:space="preserve"> / </w:t>
      </w:r>
      <w:hyperlink r:id="rId99" w:history="1">
        <w:r w:rsidR="005B1E60" w:rsidRPr="00DD7C7F">
          <w:rPr>
            <w:rStyle w:val="Hyperlink"/>
            <w:sz w:val="20"/>
            <w:szCs w:val="20"/>
            <w:lang w:val="fr-CA"/>
          </w:rPr>
          <w:t>LIEN VERS LES MOTIFS</w:t>
        </w:r>
      </w:hyperlink>
    </w:p>
    <w:p w:rsidR="006349BF" w:rsidRPr="00DD7C7F" w:rsidRDefault="006349BF" w:rsidP="006349BF">
      <w:pPr>
        <w:rPr>
          <w:sz w:val="20"/>
          <w:szCs w:val="20"/>
          <w:lang w:val="fr-CA"/>
        </w:rPr>
      </w:pPr>
    </w:p>
    <w:p w:rsidR="006349BF" w:rsidRPr="00DD7C7F" w:rsidRDefault="00512056" w:rsidP="006349BF">
      <w:pPr>
        <w:jc w:val="both"/>
        <w:rPr>
          <w:rFonts w:cs="Times New Roman"/>
          <w:sz w:val="20"/>
          <w:szCs w:val="20"/>
        </w:rPr>
      </w:pPr>
      <w:r>
        <w:rPr>
          <w:b/>
          <w:sz w:val="20"/>
          <w:szCs w:val="20"/>
        </w:rPr>
        <w:pict>
          <v:rect id="_x0000_i1081" style="width:144.3pt;height:1pt" o:hrpct="300" o:hralign="center" o:hrstd="t" o:hrnoshade="t" o:hr="t" fillcolor="black [3213]" stroked="f"/>
        </w:pict>
      </w:r>
    </w:p>
    <w:p w:rsidR="006349BF" w:rsidRPr="00DD7C7F" w:rsidRDefault="006349BF" w:rsidP="00D004FC">
      <w:pPr>
        <w:jc w:val="both"/>
        <w:rPr>
          <w:rFonts w:cs="Times New Roman"/>
          <w:sz w:val="20"/>
          <w:szCs w:val="20"/>
        </w:rPr>
      </w:pPr>
    </w:p>
    <w:p w:rsidR="00281DA2" w:rsidRPr="00DD7C7F" w:rsidRDefault="00281DA2" w:rsidP="00D004FC">
      <w:pPr>
        <w:jc w:val="both"/>
        <w:rPr>
          <w:rFonts w:cs="Times New Roman"/>
          <w:sz w:val="20"/>
          <w:szCs w:val="20"/>
        </w:rPr>
      </w:pPr>
    </w:p>
    <w:p w:rsidR="0056248C" w:rsidRPr="00DD7C7F" w:rsidRDefault="0056248C" w:rsidP="00091BA6">
      <w:pPr>
        <w:rPr>
          <w:sz w:val="20"/>
          <w:szCs w:val="20"/>
          <w:lang w:val="fr-CA"/>
        </w:rPr>
      </w:pPr>
    </w:p>
    <w:p w:rsidR="00102926" w:rsidRPr="00DD7C7F" w:rsidRDefault="00102926" w:rsidP="00782AE4">
      <w:pPr>
        <w:jc w:val="both"/>
        <w:rPr>
          <w:sz w:val="20"/>
          <w:szCs w:val="20"/>
        </w:rPr>
        <w:sectPr w:rsidR="00102926" w:rsidRPr="00DD7C7F" w:rsidSect="00782AE4">
          <w:headerReference w:type="even" r:id="rId100"/>
          <w:headerReference w:type="default" r:id="rId101"/>
          <w:footerReference w:type="even" r:id="rId102"/>
          <w:footerReference w:type="default" r:id="rId103"/>
          <w:headerReference w:type="first" r:id="rId104"/>
          <w:footerReference w:type="first" r:id="rId105"/>
          <w:pgSz w:w="12240" w:h="15840"/>
          <w:pgMar w:top="720" w:right="965" w:bottom="1080" w:left="1656" w:header="576" w:footer="960" w:gutter="0"/>
          <w:cols w:space="720"/>
          <w:titlePg/>
          <w:docGrid w:linePitch="272"/>
        </w:sectPr>
      </w:pPr>
    </w:p>
    <w:p w:rsidR="003C291C" w:rsidRPr="00DD7C7F" w:rsidRDefault="003C291C" w:rsidP="003C291C">
      <w:pPr>
        <w:tabs>
          <w:tab w:val="center" w:pos="5220"/>
          <w:tab w:val="right" w:pos="10800"/>
        </w:tabs>
        <w:jc w:val="center"/>
        <w:rPr>
          <w:rFonts w:ascii="Arial" w:hAnsi="Arial" w:cs="Arial"/>
          <w:szCs w:val="24"/>
          <w:lang w:val="fr-CA"/>
        </w:rPr>
      </w:pPr>
      <w:bookmarkStart w:id="7" w:name="1"/>
      <w:bookmarkStart w:id="8" w:name="QuickMark"/>
      <w:bookmarkEnd w:id="7"/>
      <w:bookmarkEnd w:id="8"/>
      <w:r w:rsidRPr="00DD7C7F">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DD7C7F" w:rsidTr="00DC2914">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lang w:val="fr-FR"/>
              </w:rPr>
            </w:pPr>
            <w:r w:rsidRPr="00DD7C7F">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lang w:val="fr-FR"/>
              </w:rPr>
            </w:pPr>
            <w:r w:rsidRPr="00DD7C7F">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lang w:val="fr-FR"/>
              </w:rPr>
            </w:pPr>
            <w:r w:rsidRPr="00DD7C7F">
              <w:rPr>
                <w:rFonts w:ascii="Arial" w:eastAsia="Arial" w:hAnsi="Arial"/>
                <w:b/>
                <w:color w:val="000000"/>
                <w:sz w:val="13"/>
              </w:rPr>
              <w:t>DECEMBER – DÉCEMBRE</w:t>
            </w:r>
          </w:p>
        </w:tc>
      </w:tr>
      <w:tr w:rsidR="003C291C" w:rsidRPr="00DD7C7F" w:rsidTr="00DC2914">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S</w:t>
            </w:r>
          </w:p>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M</w:t>
            </w:r>
          </w:p>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T</w:t>
            </w:r>
          </w:p>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W</w:t>
            </w:r>
          </w:p>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T</w:t>
            </w:r>
          </w:p>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F</w:t>
            </w:r>
          </w:p>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S</w:t>
            </w:r>
          </w:p>
          <w:p w:rsidR="003C291C" w:rsidRPr="00DD7C7F" w:rsidRDefault="003C291C" w:rsidP="00DC2914">
            <w:pPr>
              <w:jc w:val="center"/>
              <w:textAlignment w:val="baseline"/>
              <w:rPr>
                <w:rFonts w:ascii="Arial" w:eastAsia="Arial" w:hAnsi="Arial"/>
                <w:b/>
                <w:color w:val="000000"/>
                <w:sz w:val="13"/>
                <w:szCs w:val="13"/>
              </w:rPr>
            </w:pPr>
            <w:r w:rsidRPr="00DD7C7F">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S</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M</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T</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W</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T</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F</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S</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S</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M</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T</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W</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T</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F</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S</w:t>
            </w:r>
          </w:p>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S</w:t>
            </w:r>
          </w:p>
        </w:tc>
      </w:tr>
      <w:tr w:rsidR="003C291C" w:rsidRPr="00DD7C7F" w:rsidTr="00DC2914">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DD7C7F" w:rsidRDefault="003C291C" w:rsidP="00DC2914">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3</w:t>
            </w:r>
          </w:p>
        </w:tc>
      </w:tr>
      <w:tr w:rsidR="003C291C" w:rsidRPr="00DD7C7F" w:rsidTr="00DC2914">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CC</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YK</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H</w:t>
            </w:r>
          </w:p>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10</w:t>
            </w:r>
          </w:p>
        </w:tc>
      </w:tr>
      <w:tr w:rsidR="003C291C" w:rsidRPr="00DD7C7F" w:rsidTr="00DC2914">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H</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17</w:t>
            </w:r>
          </w:p>
        </w:tc>
      </w:tr>
      <w:tr w:rsidR="003C291C" w:rsidRPr="00DD7C7F" w:rsidTr="00DC2914">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24</w:t>
            </w:r>
          </w:p>
        </w:tc>
      </w:tr>
      <w:tr w:rsidR="003C291C" w:rsidRPr="00DD7C7F" w:rsidTr="00DC2914">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 xml:space="preserve">  23 /</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 xml:space="preserve">  24 /</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b/>
                <w:color w:val="000000"/>
                <w:sz w:val="13"/>
                <w:szCs w:val="13"/>
              </w:rPr>
              <w:t>CC</w:t>
            </w:r>
            <w:r w:rsidRPr="00DD7C7F">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rPr>
            </w:pPr>
            <w:r w:rsidRPr="00DD7C7F">
              <w:rPr>
                <w:rFonts w:ascii="Arial" w:eastAsia="Arial" w:hAnsi="Arial" w:cs="Arial"/>
                <w:b/>
                <w:color w:val="000000"/>
                <w:sz w:val="13"/>
              </w:rPr>
              <w:t>CC</w:t>
            </w:r>
          </w:p>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rPr>
            </w:pPr>
            <w:r w:rsidRPr="00DD7C7F">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b/>
                <w:sz w:val="13"/>
                <w:szCs w:val="13"/>
              </w:rPr>
            </w:pPr>
            <w:r w:rsidRPr="00DD7C7F">
              <w:rPr>
                <w:rFonts w:ascii="Arial" w:hAnsi="Arial" w:cs="Arial"/>
                <w:b/>
                <w:sz w:val="13"/>
                <w:szCs w:val="13"/>
              </w:rPr>
              <w:t>H</w:t>
            </w:r>
          </w:p>
          <w:p w:rsidR="003C291C" w:rsidRPr="00DD7C7F" w:rsidRDefault="003C291C" w:rsidP="00DC2914">
            <w:pPr>
              <w:jc w:val="center"/>
              <w:rPr>
                <w:rFonts w:ascii="Arial" w:hAnsi="Arial" w:cs="Arial"/>
                <w:sz w:val="13"/>
                <w:szCs w:val="13"/>
              </w:rPr>
            </w:pPr>
            <w:r w:rsidRPr="00DD7C7F">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b/>
                <w:sz w:val="13"/>
                <w:szCs w:val="13"/>
              </w:rPr>
            </w:pPr>
            <w:r w:rsidRPr="00DD7C7F">
              <w:rPr>
                <w:rFonts w:ascii="Arial" w:hAnsi="Arial" w:cs="Arial"/>
                <w:b/>
                <w:sz w:val="13"/>
                <w:szCs w:val="13"/>
              </w:rPr>
              <w:t>H</w:t>
            </w:r>
          </w:p>
          <w:p w:rsidR="003C291C" w:rsidRPr="00DD7C7F" w:rsidRDefault="003C291C" w:rsidP="00DC2914">
            <w:pPr>
              <w:jc w:val="center"/>
              <w:rPr>
                <w:rFonts w:ascii="Arial" w:hAnsi="Arial" w:cs="Arial"/>
                <w:sz w:val="13"/>
                <w:szCs w:val="13"/>
              </w:rPr>
            </w:pPr>
            <w:r w:rsidRPr="00DD7C7F">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rPr>
                <w:rFonts w:ascii="Arial" w:hAnsi="Arial" w:cs="Arial"/>
                <w:sz w:val="13"/>
                <w:szCs w:val="13"/>
              </w:rPr>
            </w:pPr>
            <w:r w:rsidRPr="00DD7C7F">
              <w:rPr>
                <w:rFonts w:ascii="Arial" w:hAnsi="Arial" w:cs="Arial"/>
                <w:sz w:val="13"/>
                <w:szCs w:val="13"/>
              </w:rPr>
              <w:t>31</w:t>
            </w:r>
          </w:p>
        </w:tc>
      </w:tr>
    </w:tbl>
    <w:p w:rsidR="003C291C" w:rsidRPr="00DD7C7F" w:rsidRDefault="003C291C" w:rsidP="003C291C">
      <w:pPr>
        <w:tabs>
          <w:tab w:val="center" w:pos="5220"/>
          <w:tab w:val="right" w:pos="10440"/>
        </w:tabs>
        <w:spacing w:before="120"/>
        <w:jc w:val="center"/>
        <w:rPr>
          <w:rFonts w:ascii="Arial" w:hAnsi="Arial" w:cs="Arial"/>
          <w:szCs w:val="24"/>
        </w:rPr>
      </w:pPr>
      <w:r w:rsidRPr="00DD7C7F">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DD7C7F" w:rsidTr="00DC2914">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MARCH – MARS</w:t>
            </w:r>
          </w:p>
        </w:tc>
      </w:tr>
      <w:tr w:rsidR="003C291C" w:rsidRPr="00DD7C7F" w:rsidTr="00DC2914">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W</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F</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W</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F</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W</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F</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tc>
      </w:tr>
      <w:tr w:rsidR="003C291C" w:rsidRPr="00DD7C7F" w:rsidTr="00DC2914">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spacing w:before="91" w:line="148" w:lineRule="exact"/>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H</w:t>
            </w:r>
          </w:p>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4</w:t>
            </w:r>
          </w:p>
        </w:tc>
      </w:tr>
      <w:tr w:rsidR="003C291C" w:rsidRPr="00DD7C7F" w:rsidTr="00DC291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spacing w:before="241" w:after="34" w:line="147" w:lineRule="exact"/>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spacing w:before="91" w:line="148" w:lineRule="exact"/>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CC</w:t>
            </w:r>
          </w:p>
          <w:p w:rsidR="003C291C" w:rsidRPr="00DD7C7F" w:rsidRDefault="003C291C" w:rsidP="00DC2914">
            <w:pPr>
              <w:spacing w:before="2" w:after="34" w:line="147" w:lineRule="exact"/>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CC</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11</w:t>
            </w:r>
          </w:p>
        </w:tc>
      </w:tr>
      <w:tr w:rsidR="003C291C" w:rsidRPr="00DD7C7F" w:rsidTr="00DC291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spacing w:before="240" w:after="30" w:line="147" w:lineRule="exact"/>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spacing w:before="1" w:after="30" w:line="147" w:lineRule="exact"/>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CC</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18</w:t>
            </w:r>
          </w:p>
        </w:tc>
      </w:tr>
      <w:tr w:rsidR="003C291C" w:rsidRPr="00DD7C7F" w:rsidTr="00DC291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spacing w:before="212" w:after="30" w:line="147" w:lineRule="exact"/>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spacing w:before="212" w:after="30" w:line="147" w:lineRule="exact"/>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25</w:t>
            </w:r>
          </w:p>
        </w:tc>
      </w:tr>
      <w:tr w:rsidR="003C291C" w:rsidRPr="00DD7C7F" w:rsidTr="00DC2914">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spacing w:before="39" w:after="30" w:line="147" w:lineRule="exact"/>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spacing w:before="39" w:after="30" w:line="147" w:lineRule="exact"/>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r>
      <w:tr w:rsidR="003C291C" w:rsidRPr="00DD7C7F" w:rsidTr="00DC2914">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JUNE – JUIN</w:t>
            </w:r>
          </w:p>
        </w:tc>
      </w:tr>
      <w:tr w:rsidR="003C291C" w:rsidRPr="00DD7C7F" w:rsidTr="00DC2914">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W</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F</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W</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F</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W</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F</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tc>
      </w:tr>
      <w:tr w:rsidR="003C291C" w:rsidRPr="00DD7C7F" w:rsidTr="00DC291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3</w:t>
            </w:r>
          </w:p>
        </w:tc>
      </w:tr>
      <w:tr w:rsidR="003C291C" w:rsidRPr="00DD7C7F" w:rsidTr="00DC291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DD7C7F" w:rsidRDefault="003C291C" w:rsidP="00DC2914">
            <w:pPr>
              <w:spacing w:before="91" w:line="148" w:lineRule="exact"/>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H</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CC</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b/>
                <w:color w:val="000000"/>
                <w:sz w:val="13"/>
              </w:rPr>
            </w:pPr>
            <w:r w:rsidRPr="00DD7C7F">
              <w:rPr>
                <w:rFonts w:ascii="Arial" w:eastAsia="Arial" w:hAnsi="Arial"/>
                <w:b/>
                <w:color w:val="000000"/>
                <w:sz w:val="13"/>
              </w:rPr>
              <w:t>CC</w:t>
            </w:r>
          </w:p>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10</w:t>
            </w:r>
          </w:p>
        </w:tc>
      </w:tr>
      <w:tr w:rsidR="003C291C" w:rsidRPr="00DD7C7F" w:rsidTr="00DC291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H</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CC</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OR</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OR</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17</w:t>
            </w:r>
          </w:p>
        </w:tc>
      </w:tr>
      <w:tr w:rsidR="003C291C" w:rsidRPr="00DD7C7F" w:rsidTr="00DC291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OR</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OR</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H</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24</w:t>
            </w:r>
          </w:p>
        </w:tc>
      </w:tr>
      <w:tr w:rsidR="003C291C" w:rsidRPr="00DD7C7F" w:rsidTr="00DC2914">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 xml:space="preserve">  23 /</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olor w:val="000000"/>
                <w:sz w:val="13"/>
              </w:rPr>
            </w:pPr>
            <w:r w:rsidRPr="00DD7C7F">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eastAsia="Times New Roman"/>
                <w:color w:val="000000"/>
              </w:rPr>
            </w:pPr>
          </w:p>
        </w:tc>
      </w:tr>
      <w:tr w:rsidR="003C291C" w:rsidRPr="00DD7C7F" w:rsidTr="00DC2914">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SEPTEMBER – SEPTEMBRE</w:t>
            </w:r>
          </w:p>
        </w:tc>
      </w:tr>
      <w:tr w:rsidR="003C291C" w:rsidRPr="00DD7C7F" w:rsidTr="00DC2914">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6"/>
                <w:szCs w:val="16"/>
              </w:rPr>
            </w:pPr>
            <w:r w:rsidRPr="00DD7C7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W</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F</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W</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F</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DD7C7F" w:rsidRDefault="003C291C" w:rsidP="00DC2914">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W</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T</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F</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p w:rsidR="003C291C" w:rsidRPr="00DD7C7F" w:rsidRDefault="003C291C" w:rsidP="00DC2914">
            <w:pPr>
              <w:tabs>
                <w:tab w:val="center" w:pos="5220"/>
                <w:tab w:val="right" w:pos="10440"/>
              </w:tabs>
              <w:jc w:val="center"/>
              <w:rPr>
                <w:rFonts w:ascii="Arial" w:hAnsi="Arial" w:cs="Arial"/>
                <w:b/>
                <w:sz w:val="13"/>
                <w:szCs w:val="13"/>
              </w:rPr>
            </w:pPr>
            <w:r w:rsidRPr="00DD7C7F">
              <w:rPr>
                <w:rFonts w:ascii="Arial" w:hAnsi="Arial" w:cs="Arial"/>
                <w:b/>
                <w:sz w:val="13"/>
                <w:szCs w:val="13"/>
              </w:rPr>
              <w:t>S</w:t>
            </w:r>
          </w:p>
        </w:tc>
      </w:tr>
      <w:tr w:rsidR="003C291C" w:rsidRPr="00DD7C7F" w:rsidTr="00DC291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DD7C7F" w:rsidRDefault="003C291C" w:rsidP="00DC2914">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w:t>
            </w:r>
          </w:p>
        </w:tc>
      </w:tr>
      <w:tr w:rsidR="003C291C" w:rsidRPr="00DD7C7F" w:rsidTr="00DC2914">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H</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H</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H</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9</w:t>
            </w:r>
          </w:p>
        </w:tc>
      </w:tr>
      <w:tr w:rsidR="003C291C" w:rsidRPr="00DD7C7F" w:rsidTr="00DC291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RH</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16</w:t>
            </w:r>
          </w:p>
        </w:tc>
      </w:tr>
      <w:tr w:rsidR="003C291C" w:rsidRPr="00DD7C7F" w:rsidTr="00DC2914">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RH</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23</w:t>
            </w:r>
          </w:p>
        </w:tc>
      </w:tr>
      <w:tr w:rsidR="003C291C" w:rsidRPr="00DD7C7F" w:rsidTr="00DC2914">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 xml:space="preserve">  23 /</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 xml:space="preserve">  24 /</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DD7C7F" w:rsidRDefault="003C291C" w:rsidP="00DC2914">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DD7C7F" w:rsidRDefault="003C291C" w:rsidP="00DC2914">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b/>
                <w:color w:val="000000"/>
                <w:sz w:val="13"/>
                <w:szCs w:val="13"/>
              </w:rPr>
            </w:pPr>
            <w:r w:rsidRPr="00DD7C7F">
              <w:rPr>
                <w:rFonts w:ascii="Arial" w:eastAsia="Arial" w:hAnsi="Arial" w:cs="Arial"/>
                <w:b/>
                <w:color w:val="000000"/>
                <w:sz w:val="13"/>
                <w:szCs w:val="13"/>
              </w:rPr>
              <w:t>YK</w:t>
            </w:r>
          </w:p>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Arial" w:hAnsi="Arial" w:cs="Arial"/>
                <w:color w:val="000000"/>
                <w:sz w:val="13"/>
                <w:szCs w:val="13"/>
              </w:rPr>
            </w:pPr>
            <w:r w:rsidRPr="00DD7C7F">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DD7C7F" w:rsidRDefault="003C291C" w:rsidP="00DC2914">
            <w:pPr>
              <w:jc w:val="center"/>
              <w:textAlignment w:val="baseline"/>
              <w:rPr>
                <w:rFonts w:ascii="Arial" w:eastAsia="Times New Roman" w:hAnsi="Arial" w:cs="Arial"/>
                <w:color w:val="000000"/>
                <w:sz w:val="13"/>
                <w:szCs w:val="13"/>
              </w:rPr>
            </w:pPr>
            <w:r w:rsidRPr="00DD7C7F">
              <w:rPr>
                <w:rFonts w:ascii="Arial" w:eastAsia="Times New Roman" w:hAnsi="Arial" w:cs="Arial"/>
                <w:color w:val="000000"/>
                <w:sz w:val="13"/>
                <w:szCs w:val="13"/>
              </w:rPr>
              <w:t>30</w:t>
            </w:r>
          </w:p>
        </w:tc>
      </w:tr>
      <w:tr w:rsidR="003C291C" w:rsidRPr="00DD7C7F" w:rsidTr="00DC2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DD7C7F" w:rsidRDefault="003C291C" w:rsidP="00DC2914">
            <w:pPr>
              <w:spacing w:before="40"/>
              <w:jc w:val="right"/>
              <w:rPr>
                <w:rFonts w:ascii="Arial" w:hAnsi="Arial" w:cs="Arial"/>
                <w:b/>
                <w:sz w:val="13"/>
                <w:szCs w:val="13"/>
              </w:rPr>
            </w:pPr>
            <w:r w:rsidRPr="00DD7C7F">
              <w:rPr>
                <w:rFonts w:ascii="Arial" w:hAnsi="Arial" w:cs="Arial"/>
                <w:b/>
                <w:sz w:val="13"/>
                <w:szCs w:val="13"/>
              </w:rPr>
              <w:t>Sitting of the Court /</w:t>
            </w:r>
          </w:p>
          <w:p w:rsidR="003C291C" w:rsidRPr="00DD7C7F" w:rsidRDefault="003C291C" w:rsidP="00DC2914">
            <w:pPr>
              <w:jc w:val="right"/>
              <w:rPr>
                <w:rFonts w:ascii="Arial" w:hAnsi="Arial" w:cs="Arial"/>
                <w:b/>
                <w:sz w:val="13"/>
                <w:szCs w:val="13"/>
              </w:rPr>
            </w:pPr>
            <w:r w:rsidRPr="00DD7C7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DD7C7F" w:rsidRDefault="003C291C" w:rsidP="00DC2914">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DD7C7F" w:rsidRDefault="003C291C" w:rsidP="00DC2914">
            <w:pPr>
              <w:tabs>
                <w:tab w:val="left" w:pos="203"/>
              </w:tabs>
              <w:spacing w:before="40" w:after="120"/>
              <w:rPr>
                <w:rFonts w:ascii="Arial" w:hAnsi="Arial" w:cs="Arial"/>
                <w:b/>
                <w:sz w:val="13"/>
                <w:szCs w:val="13"/>
                <w:lang w:val="fr-CA"/>
              </w:rPr>
            </w:pPr>
            <w:r w:rsidRPr="00DD7C7F">
              <w:rPr>
                <w:rFonts w:ascii="Arial" w:hAnsi="Arial" w:cs="Arial"/>
                <w:b/>
                <w:sz w:val="13"/>
                <w:szCs w:val="13"/>
                <w:lang w:val="fr-CA"/>
              </w:rPr>
              <w:t>18</w:t>
            </w:r>
            <w:r w:rsidRPr="00DD7C7F">
              <w:rPr>
                <w:rFonts w:ascii="Arial" w:hAnsi="Arial" w:cs="Arial"/>
                <w:b/>
                <w:sz w:val="13"/>
                <w:szCs w:val="13"/>
                <w:lang w:val="fr-CA"/>
              </w:rPr>
              <w:tab/>
              <w:t xml:space="preserve"> sitting weeks / semaines séances de la Cour</w:t>
            </w:r>
          </w:p>
          <w:p w:rsidR="003C291C" w:rsidRPr="00DD7C7F" w:rsidRDefault="003C291C" w:rsidP="00DC2914">
            <w:pPr>
              <w:tabs>
                <w:tab w:val="left" w:pos="203"/>
              </w:tabs>
              <w:rPr>
                <w:rFonts w:ascii="Arial" w:hAnsi="Arial" w:cs="Arial"/>
                <w:b/>
                <w:sz w:val="13"/>
                <w:szCs w:val="13"/>
                <w:lang w:val="fr-CA"/>
              </w:rPr>
            </w:pPr>
            <w:r w:rsidRPr="00DD7C7F">
              <w:rPr>
                <w:rFonts w:ascii="Arial" w:hAnsi="Arial" w:cs="Arial"/>
                <w:b/>
                <w:sz w:val="13"/>
                <w:szCs w:val="13"/>
                <w:lang w:val="fr-CA"/>
              </w:rPr>
              <w:t>87</w:t>
            </w:r>
            <w:r w:rsidRPr="00DD7C7F">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DD7C7F" w:rsidRDefault="003C291C" w:rsidP="00DC2914">
            <w:pPr>
              <w:spacing w:before="40" w:after="120"/>
              <w:jc w:val="right"/>
              <w:rPr>
                <w:rFonts w:ascii="Arial" w:hAnsi="Arial" w:cs="Arial"/>
                <w:b/>
                <w:sz w:val="13"/>
                <w:szCs w:val="13"/>
                <w:lang w:val="fr-FR"/>
              </w:rPr>
            </w:pPr>
            <w:r w:rsidRPr="00DD7C7F">
              <w:rPr>
                <w:rFonts w:ascii="Arial" w:hAnsi="Arial" w:cs="Arial"/>
                <w:b/>
                <w:sz w:val="13"/>
                <w:szCs w:val="13"/>
                <w:lang w:val="fr-FR"/>
              </w:rPr>
              <w:t>Rosh Hashanah / Nouvel An juif</w:t>
            </w:r>
          </w:p>
          <w:p w:rsidR="003C291C" w:rsidRPr="00DD7C7F" w:rsidRDefault="003C291C" w:rsidP="00DC2914">
            <w:pPr>
              <w:jc w:val="right"/>
              <w:rPr>
                <w:rFonts w:ascii="Arial" w:hAnsi="Arial" w:cs="Arial"/>
                <w:b/>
                <w:sz w:val="13"/>
                <w:szCs w:val="13"/>
                <w:lang w:val="fr-CA"/>
              </w:rPr>
            </w:pPr>
            <w:r w:rsidRPr="00DD7C7F">
              <w:rPr>
                <w:rFonts w:ascii="Arial" w:hAnsi="Arial" w:cs="Arial"/>
                <w:b/>
                <w:sz w:val="13"/>
                <w:szCs w:val="13"/>
                <w:lang w:val="fr-FR"/>
              </w:rPr>
              <w:t>Yom Kippur / Yom Kippour</w:t>
            </w:r>
          </w:p>
        </w:tc>
        <w:tc>
          <w:tcPr>
            <w:tcW w:w="271" w:type="pct"/>
            <w:gridSpan w:val="2"/>
            <w:hideMark/>
          </w:tcPr>
          <w:p w:rsidR="003C291C" w:rsidRPr="00DD7C7F" w:rsidRDefault="003C291C" w:rsidP="00DC2914">
            <w:pPr>
              <w:spacing w:before="40" w:after="120"/>
              <w:jc w:val="center"/>
              <w:rPr>
                <w:rFonts w:ascii="Arial" w:hAnsi="Arial" w:cs="Arial"/>
                <w:b/>
                <w:sz w:val="13"/>
                <w:szCs w:val="13"/>
                <w:lang w:val="fr-CA"/>
              </w:rPr>
            </w:pPr>
            <w:r w:rsidRPr="00DD7C7F">
              <w:rPr>
                <w:rFonts w:ascii="Arial" w:hAnsi="Arial" w:cs="Arial"/>
                <w:b/>
                <w:sz w:val="13"/>
                <w:szCs w:val="13"/>
                <w:lang w:val="fr-CA"/>
              </w:rPr>
              <w:t>RH</w:t>
            </w:r>
          </w:p>
          <w:p w:rsidR="003C291C" w:rsidRPr="00DD7C7F" w:rsidRDefault="003C291C" w:rsidP="00DC2914">
            <w:pPr>
              <w:jc w:val="center"/>
              <w:rPr>
                <w:rFonts w:ascii="Arial" w:hAnsi="Arial" w:cs="Arial"/>
                <w:b/>
                <w:sz w:val="13"/>
                <w:szCs w:val="13"/>
                <w:lang w:val="fr-CA"/>
              </w:rPr>
            </w:pPr>
            <w:r w:rsidRPr="00DD7C7F">
              <w:rPr>
                <w:rFonts w:ascii="Arial" w:hAnsi="Arial" w:cs="Arial"/>
                <w:b/>
                <w:sz w:val="13"/>
                <w:szCs w:val="13"/>
                <w:lang w:val="fr-CA"/>
              </w:rPr>
              <w:t>YK</w:t>
            </w:r>
          </w:p>
        </w:tc>
      </w:tr>
      <w:tr w:rsidR="003C291C" w:rsidRPr="00512056" w:rsidTr="00DC2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DD7C7F" w:rsidRDefault="003C291C" w:rsidP="00DC2914">
            <w:pPr>
              <w:jc w:val="right"/>
              <w:rPr>
                <w:rFonts w:ascii="Arial" w:hAnsi="Arial" w:cs="Arial"/>
                <w:b/>
                <w:sz w:val="13"/>
                <w:szCs w:val="13"/>
                <w:lang w:val="fr-CA"/>
              </w:rPr>
            </w:pPr>
            <w:r w:rsidRPr="00DD7C7F">
              <w:rPr>
                <w:rFonts w:ascii="Arial" w:hAnsi="Arial" w:cs="Arial"/>
                <w:b/>
                <w:sz w:val="13"/>
                <w:szCs w:val="13"/>
                <w:lang w:val="fr-CA"/>
              </w:rPr>
              <w:t>Court conference /</w:t>
            </w:r>
          </w:p>
          <w:p w:rsidR="003C291C" w:rsidRPr="00DD7C7F" w:rsidRDefault="003C291C" w:rsidP="00DC2914">
            <w:pPr>
              <w:jc w:val="right"/>
              <w:rPr>
                <w:rFonts w:ascii="Arial" w:hAnsi="Arial" w:cs="Arial"/>
                <w:b/>
                <w:sz w:val="13"/>
                <w:szCs w:val="13"/>
                <w:lang w:val="fr-CA"/>
              </w:rPr>
            </w:pPr>
            <w:r w:rsidRPr="00DD7C7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DD7C7F" w:rsidRDefault="003C291C" w:rsidP="00DC2914">
            <w:pPr>
              <w:jc w:val="center"/>
              <w:rPr>
                <w:rFonts w:ascii="Arial" w:hAnsi="Arial" w:cs="Arial"/>
                <w:b/>
                <w:sz w:val="13"/>
                <w:szCs w:val="13"/>
                <w:lang w:val="fr-FR"/>
              </w:rPr>
            </w:pPr>
            <w:r w:rsidRPr="00DD7C7F">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DD7C7F" w:rsidRDefault="003C291C" w:rsidP="00DC2914">
            <w:pPr>
              <w:tabs>
                <w:tab w:val="left" w:pos="203"/>
              </w:tabs>
              <w:rPr>
                <w:rFonts w:ascii="Arial" w:hAnsi="Arial" w:cs="Arial"/>
                <w:b/>
                <w:sz w:val="13"/>
                <w:szCs w:val="13"/>
                <w:lang w:val="fr-CA"/>
              </w:rPr>
            </w:pPr>
            <w:r w:rsidRPr="00DD7C7F">
              <w:rPr>
                <w:rFonts w:ascii="Arial" w:hAnsi="Arial" w:cs="Arial"/>
                <w:b/>
                <w:sz w:val="13"/>
                <w:szCs w:val="13"/>
                <w:lang w:val="fr-CA"/>
              </w:rPr>
              <w:t>9</w:t>
            </w:r>
            <w:r w:rsidRPr="00DD7C7F">
              <w:rPr>
                <w:rFonts w:ascii="Arial" w:hAnsi="Arial" w:cs="Arial"/>
                <w:b/>
                <w:sz w:val="13"/>
                <w:szCs w:val="13"/>
                <w:lang w:val="fr-CA"/>
              </w:rPr>
              <w:tab/>
              <w:t>Court conference days /</w:t>
            </w:r>
          </w:p>
          <w:p w:rsidR="003C291C" w:rsidRPr="00DD7C7F" w:rsidRDefault="003C291C" w:rsidP="00DC2914">
            <w:pPr>
              <w:tabs>
                <w:tab w:val="left" w:pos="203"/>
              </w:tabs>
              <w:rPr>
                <w:rFonts w:ascii="Arial" w:hAnsi="Arial" w:cs="Arial"/>
                <w:b/>
                <w:sz w:val="13"/>
                <w:szCs w:val="13"/>
                <w:lang w:val="fr-CA"/>
              </w:rPr>
            </w:pPr>
            <w:r w:rsidRPr="00DD7C7F">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DD7C7F" w:rsidRDefault="003C291C" w:rsidP="00DC2914">
            <w:pPr>
              <w:rPr>
                <w:rFonts w:ascii="Arial" w:hAnsi="Arial" w:cs="Arial"/>
                <w:b/>
                <w:sz w:val="13"/>
                <w:szCs w:val="13"/>
                <w:lang w:val="fr-CA"/>
              </w:rPr>
            </w:pPr>
          </w:p>
        </w:tc>
        <w:tc>
          <w:tcPr>
            <w:tcW w:w="271" w:type="pct"/>
            <w:gridSpan w:val="2"/>
          </w:tcPr>
          <w:p w:rsidR="003C291C" w:rsidRPr="00DD7C7F" w:rsidRDefault="003C291C" w:rsidP="00DC2914">
            <w:pPr>
              <w:jc w:val="center"/>
              <w:rPr>
                <w:rFonts w:ascii="Arial" w:hAnsi="Arial" w:cs="Arial"/>
                <w:b/>
                <w:sz w:val="13"/>
                <w:szCs w:val="13"/>
                <w:lang w:val="fr-CA"/>
              </w:rPr>
            </w:pPr>
          </w:p>
        </w:tc>
      </w:tr>
      <w:tr w:rsidR="003C291C" w:rsidTr="00DC29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DD7C7F" w:rsidRDefault="003C291C" w:rsidP="00DC2914">
            <w:pPr>
              <w:jc w:val="right"/>
              <w:rPr>
                <w:rFonts w:ascii="Arial" w:hAnsi="Arial" w:cs="Arial"/>
                <w:b/>
                <w:sz w:val="13"/>
                <w:szCs w:val="13"/>
              </w:rPr>
            </w:pPr>
            <w:r w:rsidRPr="00DD7C7F">
              <w:rPr>
                <w:rFonts w:ascii="Arial" w:hAnsi="Arial" w:cs="Arial"/>
                <w:b/>
                <w:sz w:val="13"/>
                <w:szCs w:val="13"/>
              </w:rPr>
              <w:t xml:space="preserve">Holiday / </w:t>
            </w:r>
            <w:r w:rsidRPr="00DD7C7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DD7C7F" w:rsidRDefault="003C291C" w:rsidP="00DC2914">
            <w:pPr>
              <w:jc w:val="center"/>
              <w:rPr>
                <w:rFonts w:ascii="Arial" w:hAnsi="Arial" w:cs="Arial"/>
                <w:b/>
                <w:sz w:val="13"/>
                <w:szCs w:val="13"/>
              </w:rPr>
            </w:pPr>
            <w:r w:rsidRPr="00DD7C7F">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DD7C7F" w:rsidRDefault="003C291C" w:rsidP="00DC2914">
            <w:pPr>
              <w:tabs>
                <w:tab w:val="left" w:pos="203"/>
              </w:tabs>
              <w:rPr>
                <w:rFonts w:ascii="Arial" w:hAnsi="Arial" w:cs="Arial"/>
                <w:b/>
                <w:sz w:val="13"/>
                <w:szCs w:val="13"/>
              </w:rPr>
            </w:pPr>
            <w:r w:rsidRPr="00DD7C7F">
              <w:rPr>
                <w:rFonts w:ascii="Arial" w:hAnsi="Arial" w:cs="Arial"/>
                <w:b/>
                <w:sz w:val="13"/>
                <w:szCs w:val="13"/>
              </w:rPr>
              <w:t>3</w:t>
            </w:r>
            <w:r w:rsidRPr="00DD7C7F">
              <w:rPr>
                <w:rFonts w:ascii="Arial" w:hAnsi="Arial" w:cs="Arial"/>
                <w:b/>
                <w:sz w:val="13"/>
                <w:szCs w:val="13"/>
              </w:rPr>
              <w:tab/>
              <w:t xml:space="preserve">holidays during sitting days / </w:t>
            </w:r>
          </w:p>
          <w:p w:rsidR="003C291C" w:rsidRPr="000778A3" w:rsidRDefault="003C291C" w:rsidP="00DC2914">
            <w:pPr>
              <w:tabs>
                <w:tab w:val="left" w:pos="203"/>
              </w:tabs>
              <w:rPr>
                <w:rFonts w:ascii="Arial" w:hAnsi="Arial" w:cs="Arial"/>
                <w:b/>
                <w:sz w:val="13"/>
                <w:szCs w:val="13"/>
                <w:lang w:val="fr-CA"/>
              </w:rPr>
            </w:pPr>
            <w:r w:rsidRPr="00DD7C7F">
              <w:rPr>
                <w:rFonts w:ascii="Arial" w:hAnsi="Arial" w:cs="Arial"/>
                <w:b/>
                <w:sz w:val="13"/>
                <w:szCs w:val="13"/>
              </w:rPr>
              <w:tab/>
            </w:r>
            <w:r w:rsidRPr="00DD7C7F">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DC2914">
            <w:pPr>
              <w:rPr>
                <w:rFonts w:ascii="Arial" w:hAnsi="Arial" w:cs="Arial"/>
                <w:b/>
                <w:sz w:val="13"/>
                <w:szCs w:val="13"/>
                <w:lang w:val="fr-FR"/>
              </w:rPr>
            </w:pPr>
          </w:p>
        </w:tc>
        <w:tc>
          <w:tcPr>
            <w:tcW w:w="271" w:type="pct"/>
            <w:gridSpan w:val="2"/>
          </w:tcPr>
          <w:p w:rsidR="003C291C" w:rsidRPr="000778A3" w:rsidRDefault="003C291C" w:rsidP="00DC2914">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106"/>
      <w:footerReference w:type="default" r:id="rId10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B4" w:rsidRDefault="00E54DB4" w:rsidP="00A87207">
      <w:r>
        <w:separator/>
      </w:r>
    </w:p>
  </w:endnote>
  <w:endnote w:type="continuationSeparator" w:id="0">
    <w:p w:rsidR="00E54DB4" w:rsidRDefault="00E54DB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512056" w:rsidP="00A87207">
    <w:pPr>
      <w:pStyle w:val="Footer"/>
    </w:pPr>
    <w:r>
      <w:pict>
        <v:rect id="_x0000_i1045" style="width:480.95pt;height:1pt" o:hralign="center" o:hrstd="t" o:hrnoshade="t" o:hr="t" fillcolor="black [3213]" stroked="f"/>
      </w:pict>
    </w:r>
  </w:p>
  <w:p w:rsidR="00E54DB4" w:rsidRPr="00B7374B" w:rsidRDefault="00E54DB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12056">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4DB4" w:rsidRDefault="00512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2" style="width:480.95pt;height:1pt" o:hralign="center" o:hrstd="t" o:hrnoshade="t" o:hr="t" fillcolor="black [3213]" stroked="f"/>
      </w:pict>
    </w:r>
  </w:p>
  <w:p w:rsidR="00E54DB4" w:rsidRDefault="00E54DB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512056" w:rsidP="00782AE4">
    <w:pPr>
      <w:tabs>
        <w:tab w:val="center" w:pos="4680"/>
      </w:tabs>
    </w:pPr>
    <w:r>
      <w:pict>
        <v:rect id="_x0000_i1083" style="width:480.95pt;height:1pt" o:hralign="center" o:hrstd="t" o:hrnoshade="t" o:hr="t" fillcolor="black [3213]" stroked="f"/>
      </w:pict>
    </w:r>
  </w:p>
  <w:p w:rsidR="00E54DB4" w:rsidRDefault="00E54DB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12056">
      <w:rPr>
        <w:noProof/>
        <w:szCs w:val="24"/>
      </w:rPr>
      <w:t>32</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Pr="00924065" w:rsidRDefault="00E54DB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512056" w:rsidP="00755F22">
    <w:pPr>
      <w:tabs>
        <w:tab w:val="left" w:pos="-1440"/>
        <w:tab w:val="left" w:pos="-720"/>
      </w:tabs>
    </w:pPr>
    <w:r>
      <w:pict>
        <v:rect id="_x0000_i1046" style="width:480.95pt;height:1pt" o:hralign="center" o:hrstd="t" o:hrnoshade="t" o:hr="t" fillcolor="black [3213]" stroked="f"/>
      </w:pict>
    </w:r>
  </w:p>
  <w:p w:rsidR="00E54DB4" w:rsidRPr="00954D22" w:rsidRDefault="00E54DB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12056">
      <w:rPr>
        <w:noProof/>
        <w:szCs w:val="24"/>
      </w:rPr>
      <w:t>1</w:t>
    </w:r>
    <w:r>
      <w:rPr>
        <w:szCs w:val="24"/>
      </w:rPr>
      <w:fldChar w:fldCharType="end"/>
    </w:r>
    <w:r w:rsidRPr="00954D22">
      <w:rPr>
        <w:szCs w:val="24"/>
      </w:rPr>
      <w:t xml:space="preserve"> -</w:t>
    </w:r>
  </w:p>
  <w:p w:rsidR="00E54DB4" w:rsidRDefault="00E54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54DB4"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4DB4" w:rsidRDefault="00E54DB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512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E54DB4" w:rsidRPr="0009648D" w:rsidRDefault="00E54DB4" w:rsidP="00ED7E83">
    <w:pPr>
      <w:tabs>
        <w:tab w:val="center" w:pos="4680"/>
      </w:tabs>
    </w:pPr>
    <w:r>
      <w:tab/>
    </w:r>
    <w:r w:rsidRPr="0009648D">
      <w:t xml:space="preserve">- </w:t>
    </w:r>
    <w:r>
      <w:fldChar w:fldCharType="begin"/>
    </w:r>
    <w:r>
      <w:instrText xml:space="preserve"> PAGE   \* MERGEFORMAT </w:instrText>
    </w:r>
    <w:r>
      <w:fldChar w:fldCharType="separate"/>
    </w:r>
    <w:r w:rsidR="00512056">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512056">
    <w:pPr>
      <w:pStyle w:val="Footer"/>
      <w:rPr>
        <w:lang w:val="fr-CA"/>
      </w:rPr>
    </w:pPr>
    <w:r>
      <w:rPr>
        <w:lang w:val="fr-CA"/>
      </w:rPr>
      <w:pict>
        <v:rect id="_x0000_i1074" style="width:480.95pt;height:1pt" o:hralign="center" o:hrstd="t" o:hrnoshade="t" o:hr="t" fillcolor="black [3213]" stroked="f"/>
      </w:pict>
    </w:r>
  </w:p>
  <w:p w:rsidR="00E54DB4" w:rsidRDefault="00E54DB4" w:rsidP="00245129">
    <w:pPr>
      <w:tabs>
        <w:tab w:val="center" w:pos="4680"/>
      </w:tabs>
    </w:pPr>
    <w:r>
      <w:tab/>
    </w:r>
    <w:r w:rsidRPr="0009648D">
      <w:t xml:space="preserve">- </w:t>
    </w:r>
    <w:r>
      <w:fldChar w:fldCharType="begin"/>
    </w:r>
    <w:r>
      <w:instrText xml:space="preserve"> PAGE   \* MERGEFORMAT </w:instrText>
    </w:r>
    <w:r>
      <w:fldChar w:fldCharType="separate"/>
    </w:r>
    <w:r w:rsidR="00512056">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4DB4"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4DB4" w:rsidRDefault="00E54DB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512056" w:rsidP="00732DB7">
    <w:r>
      <w:pict>
        <v:rect id="_x0000_i1078" style="width:480.95pt;height:1pt" o:hralign="center" o:hrstd="t" o:hrnoshade="t" o:hr="t" fillcolor="black" stroked="f"/>
      </w:pict>
    </w:r>
  </w:p>
  <w:p w:rsidR="00E54DB4" w:rsidRDefault="00E54DB4">
    <w:pPr>
      <w:tabs>
        <w:tab w:val="center" w:pos="4740"/>
      </w:tabs>
      <w:spacing w:line="0" w:lineRule="atLeast"/>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512056">
    <w:pPr>
      <w:pStyle w:val="Footer"/>
    </w:pPr>
    <w:r>
      <w:pict>
        <v:rect id="_x0000_i1079" style="width:480.95pt;height:1pt" o:hralign="center" o:hrstd="t" o:hrnoshade="t" o:hr="t" fillcolor="black" stroked="f"/>
      </w:pict>
    </w:r>
  </w:p>
  <w:p w:rsidR="00E54DB4" w:rsidRPr="00283C52" w:rsidRDefault="00E54DB4">
    <w:pPr>
      <w:pStyle w:val="Footer"/>
    </w:pPr>
    <w:r>
      <w:tab/>
    </w:r>
    <w:r w:rsidRPr="00283C52">
      <w:t xml:space="preserve">- </w:t>
    </w:r>
    <w:r w:rsidRPr="00283C52">
      <w:pgNum/>
    </w:r>
    <w:r w:rsidRPr="00283C52">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54DB4"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54DB4" w:rsidRDefault="00E54DB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B4" w:rsidRDefault="00E54DB4" w:rsidP="00A87207">
      <w:r>
        <w:separator/>
      </w:r>
    </w:p>
  </w:footnote>
  <w:footnote w:type="continuationSeparator" w:id="0">
    <w:p w:rsidR="00E54DB4" w:rsidRDefault="00E54DB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54DB4" w:rsidRPr="0044776A" w:rsidTr="00245129">
      <w:tc>
        <w:tcPr>
          <w:tcW w:w="4290" w:type="dxa"/>
          <w:tcMar>
            <w:left w:w="0" w:type="dxa"/>
            <w:right w:w="0" w:type="dxa"/>
          </w:tcMar>
        </w:tcPr>
        <w:p w:rsidR="00E54DB4" w:rsidRPr="00D31809" w:rsidRDefault="00E54DB4" w:rsidP="00D31809">
          <w:pPr>
            <w:keepNext/>
            <w:keepLines/>
            <w:rPr>
              <w:sz w:val="20"/>
              <w:szCs w:val="20"/>
              <w:lang w:val="en-US"/>
            </w:rPr>
          </w:pPr>
          <w:r w:rsidRPr="00D31809">
            <w:rPr>
              <w:sz w:val="20"/>
              <w:szCs w:val="20"/>
              <w:lang w:val="en-US"/>
            </w:rPr>
            <w:t>Applications for leave to appeal filed</w:t>
          </w:r>
        </w:p>
        <w:p w:rsidR="00E54DB4" w:rsidRPr="00D31809" w:rsidRDefault="00E54DB4" w:rsidP="00D31809">
          <w:pPr>
            <w:keepNext/>
            <w:keepLines/>
            <w:rPr>
              <w:sz w:val="20"/>
              <w:szCs w:val="20"/>
            </w:rPr>
          </w:pPr>
        </w:p>
      </w:tc>
      <w:tc>
        <w:tcPr>
          <w:tcW w:w="1200" w:type="dxa"/>
          <w:tcMar>
            <w:left w:w="0" w:type="dxa"/>
            <w:right w:w="0" w:type="dxa"/>
          </w:tcMar>
        </w:tcPr>
        <w:p w:rsidR="00E54DB4" w:rsidRPr="00D31809" w:rsidRDefault="00E54DB4" w:rsidP="002E2327">
          <w:pPr>
            <w:keepNext/>
            <w:keepLines/>
            <w:tabs>
              <w:tab w:val="left" w:pos="-1440"/>
              <w:tab w:val="left" w:pos="-720"/>
            </w:tabs>
            <w:jc w:val="center"/>
            <w:rPr>
              <w:sz w:val="20"/>
              <w:szCs w:val="20"/>
            </w:rPr>
          </w:pPr>
        </w:p>
      </w:tc>
      <w:tc>
        <w:tcPr>
          <w:tcW w:w="4320" w:type="dxa"/>
          <w:tcMar>
            <w:left w:w="0" w:type="dxa"/>
            <w:right w:w="0" w:type="dxa"/>
          </w:tcMar>
        </w:tcPr>
        <w:p w:rsidR="00E54DB4" w:rsidRPr="00D31809" w:rsidRDefault="00E54DB4" w:rsidP="002E2327">
          <w:pPr>
            <w:keepLines/>
            <w:rPr>
              <w:sz w:val="20"/>
              <w:szCs w:val="20"/>
              <w:lang w:val="fr-CA"/>
            </w:rPr>
          </w:pPr>
          <w:r w:rsidRPr="00D31809">
            <w:rPr>
              <w:sz w:val="20"/>
              <w:szCs w:val="20"/>
              <w:lang w:val="fr-CA"/>
            </w:rPr>
            <w:t>Demandes d’autorisation d’appel déposées</w:t>
          </w:r>
        </w:p>
      </w:tc>
    </w:tr>
  </w:tbl>
  <w:p w:rsidR="00E54DB4" w:rsidRDefault="00E54D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54DB4" w:rsidRPr="00782AE4" w:rsidTr="00245129">
      <w:tc>
        <w:tcPr>
          <w:tcW w:w="4230" w:type="dxa"/>
          <w:tcMar>
            <w:left w:w="0" w:type="dxa"/>
            <w:right w:w="0" w:type="dxa"/>
          </w:tcMar>
        </w:tcPr>
        <w:p w:rsidR="00E54DB4" w:rsidRPr="00782AE4" w:rsidRDefault="00E54DB4" w:rsidP="00102926">
          <w:pPr>
            <w:keepNext/>
            <w:keepLines/>
            <w:tabs>
              <w:tab w:val="left" w:pos="-1440"/>
              <w:tab w:val="left" w:pos="-720"/>
            </w:tabs>
            <w:rPr>
              <w:sz w:val="20"/>
              <w:szCs w:val="20"/>
            </w:rPr>
          </w:pPr>
          <w:r w:rsidRPr="00782AE4">
            <w:rPr>
              <w:sz w:val="20"/>
              <w:szCs w:val="20"/>
            </w:rPr>
            <w:t xml:space="preserve">HEADNOTES OF RECENT </w:t>
          </w:r>
        </w:p>
        <w:p w:rsidR="00E54DB4" w:rsidRPr="00782AE4"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54DB4" w:rsidRDefault="00E54DB4" w:rsidP="00102926">
          <w:pPr>
            <w:keepNext/>
            <w:keepLines/>
            <w:tabs>
              <w:tab w:val="left" w:pos="-1440"/>
              <w:tab w:val="left" w:pos="-720"/>
            </w:tabs>
            <w:jc w:val="center"/>
            <w:rPr>
              <w:sz w:val="20"/>
              <w:szCs w:val="20"/>
            </w:rPr>
          </w:pPr>
        </w:p>
        <w:p w:rsidR="00E54DB4" w:rsidRDefault="00E54DB4" w:rsidP="00102926">
          <w:pPr>
            <w:keepNext/>
            <w:keepLines/>
            <w:tabs>
              <w:tab w:val="left" w:pos="-1440"/>
              <w:tab w:val="left" w:pos="-720"/>
            </w:tabs>
            <w:jc w:val="center"/>
            <w:rPr>
              <w:sz w:val="20"/>
              <w:szCs w:val="20"/>
            </w:rPr>
          </w:pPr>
        </w:p>
        <w:p w:rsidR="00E54DB4" w:rsidRPr="00782AE4" w:rsidRDefault="00E54DB4" w:rsidP="00102926">
          <w:pPr>
            <w:keepNext/>
            <w:keepLines/>
            <w:tabs>
              <w:tab w:val="left" w:pos="-1440"/>
              <w:tab w:val="left" w:pos="-720"/>
            </w:tabs>
            <w:jc w:val="center"/>
            <w:rPr>
              <w:sz w:val="20"/>
              <w:szCs w:val="20"/>
            </w:rPr>
          </w:pPr>
        </w:p>
      </w:tc>
      <w:tc>
        <w:tcPr>
          <w:tcW w:w="4080" w:type="dxa"/>
          <w:tcMar>
            <w:left w:w="0" w:type="dxa"/>
            <w:right w:w="0" w:type="dxa"/>
          </w:tcMar>
        </w:tcPr>
        <w:p w:rsidR="00E54DB4" w:rsidRPr="00102926"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54DB4" w:rsidRPr="00782AE4" w:rsidRDefault="00E54DB4" w:rsidP="00102926">
          <w:pPr>
            <w:keepLines/>
            <w:tabs>
              <w:tab w:val="left" w:pos="-1440"/>
              <w:tab w:val="left" w:pos="-720"/>
            </w:tabs>
            <w:rPr>
              <w:sz w:val="20"/>
              <w:szCs w:val="20"/>
            </w:rPr>
          </w:pPr>
          <w:r w:rsidRPr="00102926">
            <w:rPr>
              <w:sz w:val="20"/>
              <w:szCs w:val="20"/>
              <w:lang w:val="fr-CA"/>
            </w:rPr>
            <w:t>RÉCENTS</w:t>
          </w:r>
        </w:p>
      </w:tc>
    </w:tr>
  </w:tbl>
  <w:p w:rsidR="00E54DB4" w:rsidRDefault="00E54DB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E54DB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E54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E54D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54DB4" w:rsidRPr="00512056">
      <w:tc>
        <w:tcPr>
          <w:tcW w:w="4200" w:type="dxa"/>
          <w:tcMar>
            <w:left w:w="0" w:type="dxa"/>
            <w:right w:w="0" w:type="dxa"/>
          </w:tcMar>
        </w:tcPr>
        <w:p w:rsidR="00E54DB4"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54DB4"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54DB4" w:rsidRDefault="00E54D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4DB4" w:rsidRPr="00FF6BA5" w:rsidRDefault="00E54D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54DB4" w:rsidRPr="00FF6BA5"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54DB4" w:rsidRPr="00FF6BA5"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54DB4" w:rsidRPr="00FF6BA5"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54DB4" w:rsidRPr="00512056" w:rsidTr="00245129">
      <w:tc>
        <w:tcPr>
          <w:tcW w:w="4200" w:type="dxa"/>
          <w:tcMar>
            <w:left w:w="0" w:type="dxa"/>
            <w:right w:w="0" w:type="dxa"/>
          </w:tcMar>
        </w:tcPr>
        <w:p w:rsidR="00E54DB4" w:rsidRPr="00634F42" w:rsidRDefault="00E54DB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54DB4" w:rsidRPr="00755F22" w:rsidRDefault="00E54DB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54DB4" w:rsidRPr="00755F22" w:rsidRDefault="00E54DB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54DB4" w:rsidRPr="00755F22" w:rsidRDefault="00E54D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54DB4" w:rsidRPr="00FF6BA5" w:rsidRDefault="00E54DB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E54D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54DB4" w:rsidRPr="00512056">
      <w:tc>
        <w:tcPr>
          <w:tcW w:w="4200" w:type="dxa"/>
          <w:tcMar>
            <w:left w:w="0" w:type="dxa"/>
            <w:right w:w="0" w:type="dxa"/>
          </w:tcMar>
        </w:tcPr>
        <w:p w:rsidR="00E54DB4"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54DB4"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4DB4" w:rsidRPr="00283C52" w:rsidRDefault="00E54D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54DB4" w:rsidRPr="00283C52"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54DB4" w:rsidRPr="00283C52"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54DB4" w:rsidRPr="00512056" w:rsidTr="00245129">
      <w:tc>
        <w:tcPr>
          <w:tcW w:w="4200" w:type="dxa"/>
          <w:tcMar>
            <w:left w:w="0" w:type="dxa"/>
            <w:right w:w="0" w:type="dxa"/>
          </w:tcMar>
        </w:tcPr>
        <w:p w:rsidR="00E54DB4" w:rsidRPr="00732DB7" w:rsidRDefault="00E54DB4"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E54DB4" w:rsidRPr="00732DB7" w:rsidRDefault="00E54DB4" w:rsidP="00732DB7">
          <w:pPr>
            <w:keepNext/>
            <w:keepLines/>
            <w:tabs>
              <w:tab w:val="left" w:pos="-1440"/>
              <w:tab w:val="left" w:pos="-720"/>
            </w:tabs>
            <w:jc w:val="center"/>
            <w:rPr>
              <w:sz w:val="20"/>
              <w:szCs w:val="20"/>
            </w:rPr>
          </w:pPr>
        </w:p>
        <w:p w:rsidR="00E54DB4" w:rsidRPr="00732DB7" w:rsidRDefault="00E54DB4" w:rsidP="00732DB7">
          <w:pPr>
            <w:keepNext/>
            <w:keepLines/>
            <w:tabs>
              <w:tab w:val="left" w:pos="-1440"/>
              <w:tab w:val="left" w:pos="-720"/>
            </w:tabs>
            <w:jc w:val="center"/>
            <w:rPr>
              <w:sz w:val="20"/>
              <w:szCs w:val="20"/>
            </w:rPr>
          </w:pPr>
        </w:p>
        <w:p w:rsidR="00E54DB4" w:rsidRPr="00732DB7" w:rsidRDefault="00E54DB4" w:rsidP="00732DB7">
          <w:pPr>
            <w:keepNext/>
            <w:keepLines/>
            <w:tabs>
              <w:tab w:val="left" w:pos="-1440"/>
              <w:tab w:val="left" w:pos="-720"/>
            </w:tabs>
            <w:jc w:val="center"/>
            <w:rPr>
              <w:sz w:val="20"/>
              <w:szCs w:val="20"/>
            </w:rPr>
          </w:pPr>
        </w:p>
      </w:tc>
      <w:tc>
        <w:tcPr>
          <w:tcW w:w="4080" w:type="dxa"/>
          <w:tcMar>
            <w:left w:w="0" w:type="dxa"/>
            <w:right w:w="0" w:type="dxa"/>
          </w:tcMar>
        </w:tcPr>
        <w:p w:rsidR="00E54DB4" w:rsidRPr="00732DB7" w:rsidRDefault="00E54DB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54DB4" w:rsidRPr="00283C52" w:rsidRDefault="00E54DB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B4" w:rsidRDefault="00E54D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54DB4">
      <w:tc>
        <w:tcPr>
          <w:tcW w:w="4230" w:type="dxa"/>
          <w:tcMar>
            <w:left w:w="0" w:type="dxa"/>
            <w:right w:w="0" w:type="dxa"/>
          </w:tcMar>
        </w:tcPr>
        <w:p w:rsidR="00E54DB4"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54DB4"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54DB4"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54DB4"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54DB4" w:rsidRDefault="00E54DB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54DB4" w:rsidRDefault="00E54DB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54DB4"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54DB4" w:rsidRDefault="00E54D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5"/>
  </w:num>
  <w:num w:numId="10">
    <w:abstractNumId w:val="22"/>
  </w:num>
  <w:num w:numId="11">
    <w:abstractNumId w:val="11"/>
  </w:num>
  <w:num w:numId="12">
    <w:abstractNumId w:val="7"/>
  </w:num>
  <w:num w:numId="13">
    <w:abstractNumId w:val="19"/>
  </w:num>
  <w:num w:numId="14">
    <w:abstractNumId w:val="17"/>
  </w:num>
  <w:num w:numId="15">
    <w:abstractNumId w:val="20"/>
  </w:num>
  <w:num w:numId="16">
    <w:abstractNumId w:val="2"/>
  </w:num>
  <w:num w:numId="17">
    <w:abstractNumId w:val="4"/>
  </w:num>
  <w:num w:numId="18">
    <w:abstractNumId w:val="0"/>
  </w:num>
  <w:num w:numId="19">
    <w:abstractNumId w:val="18"/>
  </w:num>
  <w:num w:numId="20">
    <w:abstractNumId w:val="1"/>
  </w:num>
  <w:num w:numId="21">
    <w:abstractNumId w:val="10"/>
  </w:num>
  <w:num w:numId="22">
    <w:abstractNumId w:val="3"/>
  </w:num>
  <w:num w:numId="23">
    <w:abstractNumId w:val="5"/>
  </w:num>
  <w:num w:numId="24">
    <w:abstractNumId w:val="21"/>
  </w:num>
  <w:num w:numId="25">
    <w:abstractNumId w:val="13"/>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3"/>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0C19"/>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836"/>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288C"/>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C3638"/>
    <w:rsid w:val="003D49B1"/>
    <w:rsid w:val="003E1D4C"/>
    <w:rsid w:val="003E5F3E"/>
    <w:rsid w:val="003F414B"/>
    <w:rsid w:val="003F5133"/>
    <w:rsid w:val="00407C5D"/>
    <w:rsid w:val="0041245B"/>
    <w:rsid w:val="004137A0"/>
    <w:rsid w:val="00422D9A"/>
    <w:rsid w:val="004268D2"/>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12056"/>
    <w:rsid w:val="00520F9E"/>
    <w:rsid w:val="0052229C"/>
    <w:rsid w:val="00527CC7"/>
    <w:rsid w:val="00560DF1"/>
    <w:rsid w:val="0056248C"/>
    <w:rsid w:val="00564B09"/>
    <w:rsid w:val="00567602"/>
    <w:rsid w:val="00567680"/>
    <w:rsid w:val="00571CA4"/>
    <w:rsid w:val="00573AF2"/>
    <w:rsid w:val="00582136"/>
    <w:rsid w:val="005967EF"/>
    <w:rsid w:val="005B1E60"/>
    <w:rsid w:val="005B2EA9"/>
    <w:rsid w:val="005B6826"/>
    <w:rsid w:val="005C6840"/>
    <w:rsid w:val="005F1ED8"/>
    <w:rsid w:val="005F263E"/>
    <w:rsid w:val="00600252"/>
    <w:rsid w:val="00612A40"/>
    <w:rsid w:val="0062714A"/>
    <w:rsid w:val="006349BF"/>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A6A"/>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1743"/>
    <w:rsid w:val="007D3E0F"/>
    <w:rsid w:val="007E4282"/>
    <w:rsid w:val="007F387B"/>
    <w:rsid w:val="00802863"/>
    <w:rsid w:val="008112A9"/>
    <w:rsid w:val="0081473A"/>
    <w:rsid w:val="00815B3C"/>
    <w:rsid w:val="0081610A"/>
    <w:rsid w:val="00821C06"/>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51C6"/>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0620"/>
    <w:rsid w:val="00AF1715"/>
    <w:rsid w:val="00AF3904"/>
    <w:rsid w:val="00B00A0B"/>
    <w:rsid w:val="00B010C0"/>
    <w:rsid w:val="00B15CBE"/>
    <w:rsid w:val="00B40FD9"/>
    <w:rsid w:val="00B4618C"/>
    <w:rsid w:val="00B4740D"/>
    <w:rsid w:val="00B61629"/>
    <w:rsid w:val="00B635E0"/>
    <w:rsid w:val="00B67395"/>
    <w:rsid w:val="00B7374B"/>
    <w:rsid w:val="00B82D23"/>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1F4"/>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2914"/>
    <w:rsid w:val="00DC6B2E"/>
    <w:rsid w:val="00DD0B49"/>
    <w:rsid w:val="00DD0BDC"/>
    <w:rsid w:val="00DD7C7F"/>
    <w:rsid w:val="00DE0502"/>
    <w:rsid w:val="00DE349D"/>
    <w:rsid w:val="00DF14AC"/>
    <w:rsid w:val="00E0270C"/>
    <w:rsid w:val="00E06DFA"/>
    <w:rsid w:val="00E06F20"/>
    <w:rsid w:val="00E20A0A"/>
    <w:rsid w:val="00E240C2"/>
    <w:rsid w:val="00E356C7"/>
    <w:rsid w:val="00E414CA"/>
    <w:rsid w:val="00E41A5A"/>
    <w:rsid w:val="00E45FE4"/>
    <w:rsid w:val="00E47F1E"/>
    <w:rsid w:val="00E547DF"/>
    <w:rsid w:val="00E54DB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267836"/>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267836"/>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267836"/>
    <w:pPr>
      <w:jc w:val="both"/>
    </w:pPr>
    <w:rPr>
      <w:rFonts w:eastAsia="Calibri" w:cs="Times New Roman"/>
      <w:smallCaps/>
    </w:rPr>
  </w:style>
  <w:style w:type="character" w:customStyle="1" w:styleId="SCCBanSummaryChar">
    <w:name w:val="SCC.BanSummary Char"/>
    <w:basedOn w:val="DefaultParagraphFont"/>
    <w:link w:val="SCCBanSummary0"/>
    <w:rsid w:val="00267836"/>
    <w:rPr>
      <w:rFonts w:eastAsia="Calibri" w:cs="Times New Roman"/>
      <w:smallCaps/>
      <w:lang w:val="en-CA"/>
    </w:rPr>
  </w:style>
  <w:style w:type="paragraph" w:styleId="NoSpacing">
    <w:name w:val="No Spacing"/>
    <w:uiPriority w:val="1"/>
    <w:qFormat/>
    <w:rsid w:val="00267836"/>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267836"/>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67836"/>
    <w:rPr>
      <w:rFonts w:ascii="Tahoma" w:eastAsia="Times New Roman" w:hAnsi="Tahoma" w:cs="Tahoma"/>
      <w:sz w:val="16"/>
      <w:szCs w:val="16"/>
    </w:rPr>
  </w:style>
  <w:style w:type="paragraph" w:customStyle="1" w:styleId="Style268435469">
    <w:name w:val="Style268435469"/>
    <w:rsid w:val="00267836"/>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267836"/>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267836"/>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267836"/>
    <w:rPr>
      <w:sz w:val="16"/>
      <w:szCs w:val="16"/>
    </w:rPr>
  </w:style>
  <w:style w:type="paragraph" w:styleId="CommentText">
    <w:name w:val="annotation text"/>
    <w:basedOn w:val="Normal"/>
    <w:link w:val="CommentTextChar"/>
    <w:uiPriority w:val="99"/>
    <w:semiHidden/>
    <w:unhideWhenUsed/>
    <w:rsid w:val="00267836"/>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678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836"/>
    <w:rPr>
      <w:b/>
      <w:bCs/>
    </w:rPr>
  </w:style>
  <w:style w:type="character" w:customStyle="1" w:styleId="CommentSubjectChar">
    <w:name w:val="Comment Subject Char"/>
    <w:basedOn w:val="CommentTextChar"/>
    <w:link w:val="CommentSubject"/>
    <w:uiPriority w:val="99"/>
    <w:semiHidden/>
    <w:rsid w:val="00267836"/>
    <w:rPr>
      <w:rFonts w:eastAsia="Times New Roman" w:cs="Times New Roman"/>
      <w:b/>
      <w:bCs/>
      <w:sz w:val="20"/>
      <w:szCs w:val="20"/>
    </w:rPr>
  </w:style>
  <w:style w:type="paragraph" w:customStyle="1" w:styleId="mainparagraph1">
    <w:name w:val="mainparagraph1"/>
    <w:basedOn w:val="Normal"/>
    <w:rsid w:val="00267836"/>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267836"/>
    <w:pPr>
      <w:spacing w:before="120" w:after="120"/>
      <w:jc w:val="both"/>
    </w:pPr>
    <w:rPr>
      <w:rFonts w:ascii="Arial" w:eastAsia="Times New Roman" w:hAnsi="Arial" w:cs="Arial"/>
      <w:sz w:val="26"/>
      <w:szCs w:val="26"/>
      <w:lang w:val="en-US"/>
    </w:rPr>
  </w:style>
  <w:style w:type="paragraph" w:customStyle="1" w:styleId="number1">
    <w:name w:val="number1"/>
    <w:basedOn w:val="Normal"/>
    <w:rsid w:val="00267836"/>
    <w:pPr>
      <w:jc w:val="both"/>
    </w:pPr>
    <w:rPr>
      <w:rFonts w:ascii="Tahoma" w:eastAsia="Times New Roman" w:hAnsi="Tahoma" w:cs="Tahoma"/>
      <w:szCs w:val="24"/>
      <w:lang w:val="en-US"/>
    </w:rPr>
  </w:style>
  <w:style w:type="character" w:customStyle="1" w:styleId="reflex3-block">
    <w:name w:val="reflex3-block"/>
    <w:basedOn w:val="DefaultParagraphFont"/>
    <w:rsid w:val="00267836"/>
  </w:style>
  <w:style w:type="character" w:customStyle="1" w:styleId="reflex3-alt">
    <w:name w:val="reflex3-alt"/>
    <w:basedOn w:val="DefaultParagraphFont"/>
    <w:rsid w:val="00267836"/>
  </w:style>
  <w:style w:type="paragraph" w:customStyle="1" w:styleId="scjnumber1">
    <w:name w:val="scjnumber1"/>
    <w:basedOn w:val="Normal"/>
    <w:rsid w:val="00267836"/>
    <w:pPr>
      <w:spacing w:after="240"/>
    </w:pPr>
    <w:rPr>
      <w:rFonts w:ascii="Arial" w:eastAsia="Times New Roman" w:hAnsi="Arial" w:cs="Arial"/>
      <w:szCs w:val="24"/>
      <w:lang w:val="en-US"/>
    </w:rPr>
  </w:style>
  <w:style w:type="character" w:customStyle="1" w:styleId="reflex">
    <w:name w:val="reflex"/>
    <w:basedOn w:val="DefaultParagraphFont"/>
    <w:rsid w:val="00267836"/>
  </w:style>
  <w:style w:type="paragraph" w:customStyle="1" w:styleId="paragraphe">
    <w:name w:val="paragraphe"/>
    <w:basedOn w:val="Normal"/>
    <w:rsid w:val="00267836"/>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267836"/>
  </w:style>
  <w:style w:type="paragraph" w:customStyle="1" w:styleId="SCCLsocSubfileSeparator0">
    <w:name w:val="SCC.Lsoc.SubfileSeparator"/>
    <w:basedOn w:val="Normal"/>
    <w:next w:val="Normal"/>
    <w:link w:val="SCCLsocSubfileSeparatorChar"/>
    <w:rsid w:val="00267836"/>
    <w:pPr>
      <w:jc w:val="both"/>
    </w:pPr>
    <w:rPr>
      <w:rFonts w:cs="Times New Roman"/>
      <w:b/>
      <w:szCs w:val="24"/>
    </w:rPr>
  </w:style>
  <w:style w:type="character" w:customStyle="1" w:styleId="SCCLsocSubfileSeparatorChar">
    <w:name w:val="SCC.Lsoc.SubfileSeparator Char"/>
    <w:basedOn w:val="DefaultParagraphFont"/>
    <w:link w:val="SCCLsocSubfileSeparator0"/>
    <w:rsid w:val="00267836"/>
    <w:rPr>
      <w:rFonts w:cs="Times New Roman"/>
      <w:b/>
      <w:szCs w:val="24"/>
      <w:lang w:val="en-CA"/>
    </w:rPr>
  </w:style>
  <w:style w:type="paragraph" w:customStyle="1" w:styleId="s3">
    <w:name w:val="s3"/>
    <w:basedOn w:val="Normal"/>
    <w:rsid w:val="00267836"/>
    <w:pPr>
      <w:spacing w:before="100" w:beforeAutospacing="1" w:after="100" w:afterAutospacing="1"/>
    </w:pPr>
    <w:rPr>
      <w:rFonts w:cs="Times New Roman"/>
      <w:szCs w:val="24"/>
      <w:lang w:val="en-US"/>
    </w:rPr>
  </w:style>
  <w:style w:type="character" w:customStyle="1" w:styleId="s4">
    <w:name w:val="s4"/>
    <w:basedOn w:val="DefaultParagraphFont"/>
    <w:rsid w:val="00267836"/>
  </w:style>
  <w:style w:type="character" w:customStyle="1" w:styleId="s5">
    <w:name w:val="s5"/>
    <w:basedOn w:val="DefaultParagraphFont"/>
    <w:rsid w:val="00267836"/>
  </w:style>
  <w:style w:type="paragraph" w:customStyle="1" w:styleId="paragraphenumrot">
    <w:name w:val="paragraphenumrot"/>
    <w:basedOn w:val="Normal"/>
    <w:rsid w:val="00267836"/>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267836"/>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267836"/>
  </w:style>
  <w:style w:type="paragraph" w:customStyle="1" w:styleId="aparanumbering">
    <w:name w:val="aparanumbering"/>
    <w:basedOn w:val="Normal"/>
    <w:rsid w:val="00267836"/>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267836"/>
  </w:style>
  <w:style w:type="paragraph" w:customStyle="1" w:styleId="scjnumber">
    <w:name w:val="scjnumber"/>
    <w:basedOn w:val="Normal"/>
    <w:rsid w:val="00267836"/>
    <w:pPr>
      <w:spacing w:before="100" w:beforeAutospacing="1" w:after="100" w:afterAutospacing="1"/>
    </w:pPr>
    <w:rPr>
      <w:rFonts w:eastAsia="Times New Roman" w:cs="Times New Roman"/>
      <w:szCs w:val="24"/>
      <w:lang w:val="en-US"/>
    </w:rPr>
  </w:style>
  <w:style w:type="paragraph" w:customStyle="1" w:styleId="body">
    <w:name w:val="body"/>
    <w:basedOn w:val="Normal"/>
    <w:rsid w:val="00267836"/>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267836"/>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267836"/>
  </w:style>
  <w:style w:type="paragraph" w:customStyle="1" w:styleId="mainparagraph">
    <w:name w:val="mainparagraph"/>
    <w:basedOn w:val="Normal"/>
    <w:rsid w:val="00267836"/>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267836"/>
    <w:rPr>
      <w:i/>
      <w:iCs/>
    </w:rPr>
  </w:style>
  <w:style w:type="paragraph" w:customStyle="1" w:styleId="stylecause-citation">
    <w:name w:val="stylecause-citation"/>
    <w:basedOn w:val="Normal"/>
    <w:rsid w:val="00267836"/>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267836"/>
    <w:rPr>
      <w:i/>
      <w:iCs/>
      <w:color w:val="4F81BD" w:themeColor="accent1"/>
    </w:rPr>
  </w:style>
  <w:style w:type="paragraph" w:customStyle="1" w:styleId="lib13summary">
    <w:name w:val="lib13summary"/>
    <w:basedOn w:val="Normal"/>
    <w:rsid w:val="00267836"/>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26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nlii.ca/t/jm23n" TargetMode="External"/><Relationship Id="rId21" Type="http://schemas.openxmlformats.org/officeDocument/2006/relationships/hyperlink" Target="https://www.canlii.org/en/on/onsc/doc/2018/2018onsc3480/2018onsc3480.html" TargetMode="External"/><Relationship Id="rId42" Type="http://schemas.openxmlformats.org/officeDocument/2006/relationships/hyperlink" Target="https://www.canlii.org/en/bc/laws/stat/sbc-2009-c-13/latest/sbc-2009-c-13.html" TargetMode="External"/><Relationship Id="rId47" Type="http://schemas.openxmlformats.org/officeDocument/2006/relationships/hyperlink" Target="https://crtc.gc.ca/eng/archive/2020/2020-268.htm" TargetMode="External"/><Relationship Id="rId63" Type="http://schemas.openxmlformats.org/officeDocument/2006/relationships/hyperlink" Target="https://www.canlii.org/en/ca/laws/stat/rsc-1985-c-e-15/latest/rsc-1985-c-e-15.html" TargetMode="External"/><Relationship Id="rId68" Type="http://schemas.openxmlformats.org/officeDocument/2006/relationships/hyperlink" Target="https://www.canlii.org/en/ca/laws/stat/rsc-1985-c-1-5th-supp/latest/rsc-1985-c-1-5th-supp.html" TargetMode="External"/><Relationship Id="rId84" Type="http://schemas.openxmlformats.org/officeDocument/2006/relationships/footer" Target="footer5.xml"/><Relationship Id="rId89" Type="http://schemas.openxmlformats.org/officeDocument/2006/relationships/hyperlink" Target="https://www.scc-csc.ca/case-dossier/info/sum-som-fra.aspx?cas=40061" TargetMode="External"/><Relationship Id="rId2" Type="http://schemas.openxmlformats.org/officeDocument/2006/relationships/numbering" Target="numbering.xml"/><Relationship Id="rId16" Type="http://schemas.openxmlformats.org/officeDocument/2006/relationships/hyperlink" Target="https://canlii.ca/t/jntbp" TargetMode="External"/><Relationship Id="rId29" Type="http://schemas.openxmlformats.org/officeDocument/2006/relationships/hyperlink" Target="https://www.canlii.org/en/ca/fca/doc/2022/2022fca12/2022fca12.html?autocompleteStr=2022%20FCA%2012&amp;autocompletePos=1" TargetMode="External"/><Relationship Id="rId107" Type="http://schemas.openxmlformats.org/officeDocument/2006/relationships/footer" Target="footer12.xml"/><Relationship Id="rId11" Type="http://schemas.openxmlformats.org/officeDocument/2006/relationships/header" Target="header1.xml"/><Relationship Id="rId24" Type="http://schemas.openxmlformats.org/officeDocument/2006/relationships/hyperlink" Target="https://canlii.ca/t/hrj8h" TargetMode="External"/><Relationship Id="rId32" Type="http://schemas.openxmlformats.org/officeDocument/2006/relationships/hyperlink" Target="https://www.canlii.org/en/on/onca/doc/2022/2022onca350/2022onca350.html?resultIndex=1" TargetMode="External"/><Relationship Id="rId37" Type="http://schemas.openxmlformats.org/officeDocument/2006/relationships/hyperlink" Target="https://www.canlii.org/en/bc/bcsc/doc/2020/2020bcsc489/2020bcsc489.html?autocompleteStr=2020%20BCSC%20489&amp;autocompletePos=1" TargetMode="External"/><Relationship Id="rId40" Type="http://schemas.openxmlformats.org/officeDocument/2006/relationships/hyperlink" Target="https://canlii.ca/t/jft4d" TargetMode="External"/><Relationship Id="rId45" Type="http://schemas.openxmlformats.org/officeDocument/2006/relationships/hyperlink" Target="https://canlii.ca/t/jnbz9" TargetMode="External"/><Relationship Id="rId53" Type="http://schemas.openxmlformats.org/officeDocument/2006/relationships/hyperlink" Target="https://www.canlii.org/en/on/onca/doc/2022/2022onca281/2022onca281.html" TargetMode="External"/><Relationship Id="rId58" Type="http://schemas.openxmlformats.org/officeDocument/2006/relationships/hyperlink" Target="https://www.canlii.org/en/on/laws/stat/rso-1990-c-b16/latest/rso-1990-c-b16.html" TargetMode="External"/><Relationship Id="rId66" Type="http://schemas.openxmlformats.org/officeDocument/2006/relationships/hyperlink" Target="https://www.canlii.org/en/ca/laws/stat/rsc-1985-c-1-5th-supp/latest/rsc-1985-c-1-5th-supp.html" TargetMode="External"/><Relationship Id="rId74" Type="http://schemas.openxmlformats.org/officeDocument/2006/relationships/hyperlink" Target="https://canlii.ca/t/jm424" TargetMode="External"/><Relationship Id="rId79" Type="http://schemas.openxmlformats.org/officeDocument/2006/relationships/header" Target="header3.xml"/><Relationship Id="rId87" Type="http://schemas.openxmlformats.org/officeDocument/2006/relationships/hyperlink" Target="http://t.soquij.ca/y6Z4T" TargetMode="External"/><Relationship Id="rId102"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https://www.canlii.org/en/ca/laws/stat/rsc-1985-c-e-15/latest/rsc-1985-c-e-15.html" TargetMode="External"/><Relationship Id="rId82" Type="http://schemas.openxmlformats.org/officeDocument/2006/relationships/footer" Target="footer4.xml"/><Relationship Id="rId90" Type="http://schemas.openxmlformats.org/officeDocument/2006/relationships/header" Target="header6.xml"/><Relationship Id="rId95" Type="http://schemas.openxmlformats.org/officeDocument/2006/relationships/footer" Target="footer8.xml"/><Relationship Id="rId19" Type="http://schemas.openxmlformats.org/officeDocument/2006/relationships/hyperlink" Target="https://www.canlii.org/en/on/onsc/doc/2018/2018onsc3480/2018onsc3480.html" TargetMode="External"/><Relationship Id="rId14" Type="http://schemas.openxmlformats.org/officeDocument/2006/relationships/footer" Target="footer2.xml"/><Relationship Id="rId22" Type="http://schemas.openxmlformats.org/officeDocument/2006/relationships/hyperlink" Target="https://www.canlii.org/en/on/onca/doc/2022/2022onca195/2022onca195.html" TargetMode="External"/><Relationship Id="rId27" Type="http://schemas.openxmlformats.org/officeDocument/2006/relationships/hyperlink" Target="https://canlii.ca/t/j7qt1" TargetMode="External"/><Relationship Id="rId30" Type="http://schemas.openxmlformats.org/officeDocument/2006/relationships/hyperlink" Target="https://www.canlii.org/en/ca/fca/doc/2022/2022fca12/2022fca12.html?autocompleteStr=2022%20FCA%2012&amp;autocompletePos=1" TargetMode="External"/><Relationship Id="rId35" Type="http://schemas.openxmlformats.org/officeDocument/2006/relationships/hyperlink" Target="https://www.canlii.org/en/bc/bcsc/doc/2020/2020bcsc489/2020bcsc489.html?autocompleteStr=2020%20BCSC%20489&amp;autocompletePos=1" TargetMode="External"/><Relationship Id="rId43" Type="http://schemas.openxmlformats.org/officeDocument/2006/relationships/hyperlink" Target="https://canlii.ca/t/jft4d" TargetMode="External"/><Relationship Id="rId48" Type="http://schemas.openxmlformats.org/officeDocument/2006/relationships/hyperlink" Target="https://crtc.gc.ca/eng/archive/2020/2020-269.htm" TargetMode="External"/><Relationship Id="rId56" Type="http://schemas.openxmlformats.org/officeDocument/2006/relationships/hyperlink" Target="https://www.canlii.org/en/on/laws/stat/rso-1990-c-b16/latest/rso-1990-c-b16.html" TargetMode="External"/><Relationship Id="rId64" Type="http://schemas.openxmlformats.org/officeDocument/2006/relationships/hyperlink" Target="https://www.canlii.org/en/ca/laws/stat/rsc-1985-c-e-15/latest/rsc-1985-c-e-15.html" TargetMode="External"/><Relationship Id="rId69" Type="http://schemas.openxmlformats.org/officeDocument/2006/relationships/hyperlink" Target="https://www.canlii.org/en/on/laws/stat/rso-1990-c-b16/latest/rso-1990-c-b16.html" TargetMode="External"/><Relationship Id="rId77" Type="http://schemas.openxmlformats.org/officeDocument/2006/relationships/hyperlink" Target="https://www.canlii.org/en/on/onsc/doc/2018/2018onsc5379/2018onsc5379.html" TargetMode="External"/><Relationship Id="rId100" Type="http://schemas.openxmlformats.org/officeDocument/2006/relationships/header" Target="header9.xml"/><Relationship Id="rId105"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yperlink" Target="https://crtc.gc.ca/fra/archive/2021/2021-397.pdf" TargetMode="External"/><Relationship Id="rId72" Type="http://schemas.openxmlformats.org/officeDocument/2006/relationships/hyperlink" Target="https://www.canlii.org/en/on/laws/stat/rso-1990-c-b16/latest/rso-1990-c-b16.html" TargetMode="External"/><Relationship Id="rId80" Type="http://schemas.openxmlformats.org/officeDocument/2006/relationships/header" Target="header4.xml"/><Relationship Id="rId85" Type="http://schemas.openxmlformats.org/officeDocument/2006/relationships/hyperlink" Target="https://www.scc-csc.ca/case-dossier/info/sum-som-eng.aspx?cas=39884" TargetMode="External"/><Relationship Id="rId93" Type="http://schemas.openxmlformats.org/officeDocument/2006/relationships/footer" Target="footer7.xml"/><Relationship Id="rId98" Type="http://schemas.openxmlformats.org/officeDocument/2006/relationships/hyperlink" Target="https://decisions.scc-csc.ca/scc-csc/scc-csc/en/item/19588/index.d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hqj4n" TargetMode="External"/><Relationship Id="rId25" Type="http://schemas.openxmlformats.org/officeDocument/2006/relationships/hyperlink" Target="https://canlii.ca/t/j7qt1" TargetMode="External"/><Relationship Id="rId33" Type="http://schemas.openxmlformats.org/officeDocument/2006/relationships/hyperlink" Target="https://www.canlii.org/en/on/onsc/doc/2021/2021onsc1633/2021onsc1633.html?resultIndex=1" TargetMode="External"/><Relationship Id="rId38" Type="http://schemas.openxmlformats.org/officeDocument/2006/relationships/hyperlink" Target="https://www.canlii.org/en/bc/bcca/doc/2022/2022bcca46/2022bcca46.html?autocompleteStr=2022%20BCCA%2046&amp;autocompletePos=1" TargetMode="External"/><Relationship Id="rId46" Type="http://schemas.openxmlformats.org/officeDocument/2006/relationships/hyperlink" Target="https://canlii.ca/t/jnbz9" TargetMode="External"/><Relationship Id="rId59" Type="http://schemas.openxmlformats.org/officeDocument/2006/relationships/hyperlink" Target="https://www.canlii.org/en/on/laws/stat/rso-1990-c-b16/latest/rso-1990-c-b16.html" TargetMode="External"/><Relationship Id="rId67" Type="http://schemas.openxmlformats.org/officeDocument/2006/relationships/hyperlink" Target="https://www.canlii.org/en/ca/laws/stat/rsc-1985-c-e-15/latest/rsc-1985-c-e-15.html" TargetMode="External"/><Relationship Id="rId103" Type="http://schemas.openxmlformats.org/officeDocument/2006/relationships/footer" Target="footer10.xml"/><Relationship Id="rId108" Type="http://schemas.openxmlformats.org/officeDocument/2006/relationships/fontTable" Target="fontTable.xml"/><Relationship Id="rId20" Type="http://schemas.openxmlformats.org/officeDocument/2006/relationships/hyperlink" Target="https://www.canlii.org/en/on/onca/doc/2022/2022onca195/2022onca195.html" TargetMode="External"/><Relationship Id="rId41" Type="http://schemas.openxmlformats.org/officeDocument/2006/relationships/hyperlink" Target="https://canlii.ca/t/jmn7b" TargetMode="External"/><Relationship Id="rId54" Type="http://schemas.openxmlformats.org/officeDocument/2006/relationships/hyperlink" Target="https://www.canlii.org/en/on/onsc/doc/2021/2021onsc4458/2021onsc4458.html" TargetMode="External"/><Relationship Id="rId62" Type="http://schemas.openxmlformats.org/officeDocument/2006/relationships/hyperlink" Target="https://www.canlii.org/en/ca/laws/stat/rsc-1985-c-e-15/latest/rsc-1985-c-e-15.html" TargetMode="External"/><Relationship Id="rId70" Type="http://schemas.openxmlformats.org/officeDocument/2006/relationships/hyperlink" Target="https://www.canlii.org/en/on/laws/stat/rso-1990-c-b16/latest/rso-1990-c-b16.html" TargetMode="External"/><Relationship Id="rId75" Type="http://schemas.openxmlformats.org/officeDocument/2006/relationships/hyperlink" Target="https://www.canlii.org/en/on/onsc/doc/2018/2018onsc5379/2018onsc5379.html" TargetMode="External"/><Relationship Id="rId83" Type="http://schemas.openxmlformats.org/officeDocument/2006/relationships/header" Target="header5.xml"/><Relationship Id="rId88" Type="http://schemas.openxmlformats.org/officeDocument/2006/relationships/hyperlink" Target="http://t.soquij.ca/y6Z4T" TargetMode="External"/><Relationship Id="rId91" Type="http://schemas.openxmlformats.org/officeDocument/2006/relationships/header" Target="header7.xml"/><Relationship Id="rId96" Type="http://schemas.openxmlformats.org/officeDocument/2006/relationships/hyperlink" Target="https://decisions.scc-csc.ca/scc-csc/scc-csc/en/item/19588/index.d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hqj4n" TargetMode="External"/><Relationship Id="rId23" Type="http://schemas.openxmlformats.org/officeDocument/2006/relationships/hyperlink" Target="https://canlii.ca/t/hrj8h" TargetMode="External"/><Relationship Id="rId28" Type="http://schemas.openxmlformats.org/officeDocument/2006/relationships/hyperlink" Target="https://canlii.ca/t/jm23n" TargetMode="External"/><Relationship Id="rId36" Type="http://schemas.openxmlformats.org/officeDocument/2006/relationships/hyperlink" Target="https://www.canlii.org/en/bc/bcca/doc/2022/2022bcca46/2022bcca46.html?autocompleteStr=2022%20BCCA%2046&amp;autocompletePos=1" TargetMode="External"/><Relationship Id="rId49" Type="http://schemas.openxmlformats.org/officeDocument/2006/relationships/hyperlink" Target="https://crtc.gc.ca/eng/archive/2021/2021-397.htm" TargetMode="External"/><Relationship Id="rId57" Type="http://schemas.openxmlformats.org/officeDocument/2006/relationships/hyperlink" Target="https://www.canlii.org/en/on/laws/stat/rso-1990-c-b16/latest/rso-1990-c-b16.html" TargetMode="External"/><Relationship Id="rId106" Type="http://schemas.openxmlformats.org/officeDocument/2006/relationships/header" Target="header12.xml"/><Relationship Id="rId10" Type="http://schemas.openxmlformats.org/officeDocument/2006/relationships/hyperlink" Target="https://www.scc-csc.ca" TargetMode="External"/><Relationship Id="rId31" Type="http://schemas.openxmlformats.org/officeDocument/2006/relationships/hyperlink" Target="https://www.canlii.org/en/on/onsc/doc/2021/2021onsc1633/2021onsc1633.html?resultIndex=1" TargetMode="External"/><Relationship Id="rId44" Type="http://schemas.openxmlformats.org/officeDocument/2006/relationships/hyperlink" Target="https://canlii.ca/t/jmn7b" TargetMode="External"/><Relationship Id="rId52" Type="http://schemas.openxmlformats.org/officeDocument/2006/relationships/hyperlink" Target="https://www.canlii.org/en/on/onsc/doc/2021/2021onsc4458/2021onsc4458.html" TargetMode="External"/><Relationship Id="rId60" Type="http://schemas.openxmlformats.org/officeDocument/2006/relationships/hyperlink" Target="https://www.canlii.org/en/on/laws/stat/rso-1990-c-b16/latest/rso-1990-c-b16.html" TargetMode="External"/><Relationship Id="rId65" Type="http://schemas.openxmlformats.org/officeDocument/2006/relationships/hyperlink" Target="https://www.canlii.org/en/ca/laws/stat/rsc-1985-c-1-5th-supp/latest/rsc-1985-c-1-5th-supp.html" TargetMode="External"/><Relationship Id="rId73" Type="http://schemas.openxmlformats.org/officeDocument/2006/relationships/hyperlink" Target="https://www.canlii.org/en/on/laws/stat/rso-1990-c-b16/latest/rso-1990-c-b16.html" TargetMode="External"/><Relationship Id="rId78" Type="http://schemas.openxmlformats.org/officeDocument/2006/relationships/hyperlink" Target="https://www.canlii.org/en/on/onca/doc/2020/2020onca124/2020onca124.html" TargetMode="External"/><Relationship Id="rId81" Type="http://schemas.openxmlformats.org/officeDocument/2006/relationships/footer" Target="footer3.xml"/><Relationship Id="rId86" Type="http://schemas.openxmlformats.org/officeDocument/2006/relationships/hyperlink" Target="https://www.scc-csc.ca/case-dossier/info/sum-som-fra.aspx?cas=40072" TargetMode="External"/><Relationship Id="rId94" Type="http://schemas.openxmlformats.org/officeDocument/2006/relationships/header" Target="header8.xml"/><Relationship Id="rId99" Type="http://schemas.openxmlformats.org/officeDocument/2006/relationships/hyperlink" Target="https://decisions.scc-csc.ca/scc-csc/scc-csc/fr/item/19588/index.do" TargetMode="External"/><Relationship Id="rId10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canlii.ca/t/jntbp" TargetMode="External"/><Relationship Id="rId39" Type="http://schemas.openxmlformats.org/officeDocument/2006/relationships/hyperlink" Target="https://www.canlii.org/en/bc/laws/stat/sbc-2009-c-13/latest/sbc-2009-c-13.html" TargetMode="External"/><Relationship Id="rId109" Type="http://schemas.openxmlformats.org/officeDocument/2006/relationships/theme" Target="theme/theme1.xml"/><Relationship Id="rId34" Type="http://schemas.openxmlformats.org/officeDocument/2006/relationships/hyperlink" Target="https://www.canlii.org/en/on/onca/doc/2022/2022onca350/2022onca350.html?resultIndex=1" TargetMode="External"/><Relationship Id="rId50" Type="http://schemas.openxmlformats.org/officeDocument/2006/relationships/hyperlink" Target="https://crtc.gc.ca/fra/archive/2020/2020-269.htm" TargetMode="External"/><Relationship Id="rId55" Type="http://schemas.openxmlformats.org/officeDocument/2006/relationships/hyperlink" Target="https://www.canlii.org/en/on/onca/doc/2022/2022onca281/2022onca281.html" TargetMode="External"/><Relationship Id="rId76" Type="http://schemas.openxmlformats.org/officeDocument/2006/relationships/hyperlink" Target="https://www.canlii.org/en/on/onca/doc/2020/2020onca124/2020onca124.html" TargetMode="External"/><Relationship Id="rId97" Type="http://schemas.openxmlformats.org/officeDocument/2006/relationships/hyperlink" Target="https://decisions.scc-csc.ca/scc-csc/scc-csc/fr/item/19588/index.do" TargetMode="External"/><Relationship Id="rId104"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yperlink" Target="https://canlii.ca/t/jm424" TargetMode="External"/><Relationship Id="rId9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36F4-9655-44AF-B6AD-457EEB54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35</Pages>
  <Words>14731</Words>
  <Characters>83970</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2022-10-24T17:51:00Z</dcterms:created>
  <dcterms:modified xsi:type="dcterms:W3CDTF">2022-12-12T12:59:00Z</dcterms:modified>
</cp:coreProperties>
</file>