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E0DCD" w:rsidTr="00F138C1">
        <w:tc>
          <w:tcPr>
            <w:tcW w:w="9648" w:type="dxa"/>
            <w:gridSpan w:val="3"/>
          </w:tcPr>
          <w:p w:rsidR="008C2D9E" w:rsidRPr="00EE0DCD" w:rsidRDefault="008C2D9E" w:rsidP="00F138C1">
            <w:pPr>
              <w:tabs>
                <w:tab w:val="left" w:pos="6075"/>
              </w:tabs>
              <w:jc w:val="center"/>
              <w:rPr>
                <w:b/>
                <w:sz w:val="32"/>
                <w:szCs w:val="32"/>
                <w:lang w:val="fr-CA"/>
              </w:rPr>
            </w:pPr>
            <w:r w:rsidRPr="00EE0DCD">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EE0DCD" w:rsidRDefault="008C2D9E" w:rsidP="00F138C1">
            <w:pPr>
              <w:tabs>
                <w:tab w:val="left" w:pos="6075"/>
              </w:tabs>
              <w:jc w:val="center"/>
              <w:rPr>
                <w:b/>
                <w:sz w:val="32"/>
                <w:szCs w:val="32"/>
                <w:lang w:val="fr-CA"/>
              </w:rPr>
            </w:pPr>
          </w:p>
        </w:tc>
      </w:tr>
      <w:tr w:rsidR="00F138C1" w:rsidRPr="00EE0DCD" w:rsidTr="00F138C1">
        <w:tc>
          <w:tcPr>
            <w:tcW w:w="4599" w:type="dxa"/>
            <w:tcMar>
              <w:top w:w="284" w:type="dxa"/>
            </w:tcMar>
          </w:tcPr>
          <w:p w:rsidR="00F138C1" w:rsidRPr="00EE0DCD" w:rsidRDefault="00F138C1" w:rsidP="00F138C1">
            <w:pPr>
              <w:tabs>
                <w:tab w:val="left" w:pos="6075"/>
              </w:tabs>
              <w:jc w:val="center"/>
              <w:rPr>
                <w:b/>
                <w:sz w:val="32"/>
                <w:szCs w:val="32"/>
              </w:rPr>
            </w:pPr>
            <w:r w:rsidRPr="00EE0DCD">
              <w:rPr>
                <w:b/>
                <w:sz w:val="32"/>
                <w:szCs w:val="32"/>
              </w:rPr>
              <w:t>SUPREME COURT OF CANADA</w:t>
            </w:r>
          </w:p>
        </w:tc>
        <w:tc>
          <w:tcPr>
            <w:tcW w:w="483" w:type="dxa"/>
          </w:tcPr>
          <w:p w:rsidR="00F138C1" w:rsidRPr="00EE0DCD" w:rsidRDefault="00F138C1" w:rsidP="00F138C1">
            <w:pPr>
              <w:tabs>
                <w:tab w:val="left" w:pos="6075"/>
              </w:tabs>
              <w:jc w:val="center"/>
              <w:rPr>
                <w:sz w:val="32"/>
                <w:szCs w:val="32"/>
              </w:rPr>
            </w:pPr>
          </w:p>
        </w:tc>
        <w:tc>
          <w:tcPr>
            <w:tcW w:w="4566" w:type="dxa"/>
            <w:tcMar>
              <w:top w:w="284" w:type="dxa"/>
            </w:tcMar>
          </w:tcPr>
          <w:p w:rsidR="00F138C1" w:rsidRPr="00EE0DCD" w:rsidRDefault="00F138C1" w:rsidP="00F138C1">
            <w:pPr>
              <w:tabs>
                <w:tab w:val="left" w:pos="6075"/>
              </w:tabs>
              <w:jc w:val="center"/>
              <w:rPr>
                <w:b/>
                <w:sz w:val="32"/>
                <w:szCs w:val="32"/>
                <w:lang w:val="fr-CA"/>
              </w:rPr>
            </w:pPr>
            <w:r w:rsidRPr="00EE0DCD">
              <w:rPr>
                <w:b/>
                <w:sz w:val="32"/>
                <w:szCs w:val="32"/>
                <w:lang w:val="fr-CA"/>
              </w:rPr>
              <w:t>COUR SUPRÊME DU CANADA</w:t>
            </w:r>
          </w:p>
        </w:tc>
      </w:tr>
      <w:tr w:rsidR="00F138C1" w:rsidRPr="00EE0DCD" w:rsidTr="00F138C1">
        <w:tc>
          <w:tcPr>
            <w:tcW w:w="4599" w:type="dxa"/>
            <w:tcMar>
              <w:top w:w="567" w:type="dxa"/>
            </w:tcMar>
          </w:tcPr>
          <w:p w:rsidR="00F138C1" w:rsidRPr="00EE0DCD" w:rsidRDefault="00F138C1" w:rsidP="00F138C1">
            <w:pPr>
              <w:tabs>
                <w:tab w:val="left" w:pos="6075"/>
              </w:tabs>
              <w:jc w:val="center"/>
              <w:rPr>
                <w:sz w:val="28"/>
                <w:szCs w:val="28"/>
              </w:rPr>
            </w:pPr>
            <w:r w:rsidRPr="00EE0DCD">
              <w:rPr>
                <w:sz w:val="28"/>
                <w:szCs w:val="28"/>
              </w:rPr>
              <w:t>BULLETIN OF</w:t>
            </w:r>
            <w:r w:rsidRPr="00EE0DCD">
              <w:rPr>
                <w:sz w:val="28"/>
                <w:szCs w:val="28"/>
              </w:rPr>
              <w:br/>
              <w:t xml:space="preserve"> PROCEEDINGS</w:t>
            </w:r>
          </w:p>
        </w:tc>
        <w:tc>
          <w:tcPr>
            <w:tcW w:w="483" w:type="dxa"/>
          </w:tcPr>
          <w:p w:rsidR="00F138C1" w:rsidRPr="00EE0DCD" w:rsidRDefault="00F138C1" w:rsidP="00F138C1">
            <w:pPr>
              <w:tabs>
                <w:tab w:val="left" w:pos="6075"/>
              </w:tabs>
            </w:pPr>
          </w:p>
        </w:tc>
        <w:tc>
          <w:tcPr>
            <w:tcW w:w="4566" w:type="dxa"/>
            <w:tcMar>
              <w:top w:w="567" w:type="dxa"/>
            </w:tcMar>
          </w:tcPr>
          <w:p w:rsidR="00F138C1" w:rsidRPr="00EE0DCD" w:rsidRDefault="00F138C1" w:rsidP="00F138C1">
            <w:pPr>
              <w:tabs>
                <w:tab w:val="left" w:pos="6075"/>
              </w:tabs>
              <w:jc w:val="center"/>
              <w:rPr>
                <w:sz w:val="28"/>
                <w:szCs w:val="28"/>
                <w:lang w:val="fr-CA"/>
              </w:rPr>
            </w:pPr>
            <w:r w:rsidRPr="00EE0DCD">
              <w:rPr>
                <w:sz w:val="28"/>
                <w:szCs w:val="28"/>
                <w:lang w:val="fr-CA"/>
              </w:rPr>
              <w:t>BULLETIN DES</w:t>
            </w:r>
            <w:r w:rsidRPr="00EE0DCD">
              <w:rPr>
                <w:sz w:val="28"/>
                <w:szCs w:val="28"/>
                <w:lang w:val="fr-CA"/>
              </w:rPr>
              <w:br/>
              <w:t xml:space="preserve"> PROCÉDURES</w:t>
            </w:r>
          </w:p>
        </w:tc>
      </w:tr>
      <w:tr w:rsidR="00F138C1" w:rsidRPr="00EE0DCD" w:rsidTr="00F138C1">
        <w:tc>
          <w:tcPr>
            <w:tcW w:w="4599" w:type="dxa"/>
            <w:tcMar>
              <w:top w:w="567" w:type="dxa"/>
            </w:tcMar>
          </w:tcPr>
          <w:p w:rsidR="00F138C1" w:rsidRPr="00EE0DCD" w:rsidRDefault="00F138C1" w:rsidP="00F138C1">
            <w:pPr>
              <w:tabs>
                <w:tab w:val="left" w:pos="6075"/>
              </w:tabs>
              <w:jc w:val="both"/>
              <w:rPr>
                <w:rFonts w:ascii="Arial" w:hAnsi="Arial" w:cs="Arial"/>
                <w:i/>
                <w:sz w:val="20"/>
                <w:szCs w:val="20"/>
              </w:rPr>
            </w:pPr>
            <w:r w:rsidRPr="00EE0DC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E0DC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E0DCD" w:rsidRDefault="00F138C1" w:rsidP="00F138C1">
            <w:pPr>
              <w:tabs>
                <w:tab w:val="left" w:pos="6075"/>
              </w:tabs>
              <w:jc w:val="both"/>
              <w:rPr>
                <w:rFonts w:ascii="Arial" w:hAnsi="Arial" w:cs="Arial"/>
                <w:i/>
                <w:sz w:val="20"/>
                <w:szCs w:val="20"/>
                <w:lang w:val="fr-CA"/>
              </w:rPr>
            </w:pPr>
            <w:r w:rsidRPr="00EE0DC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E0DCD" w:rsidTr="00F138C1">
        <w:tc>
          <w:tcPr>
            <w:tcW w:w="4599" w:type="dxa"/>
            <w:tcMar>
              <w:top w:w="567" w:type="dxa"/>
            </w:tcMar>
          </w:tcPr>
          <w:p w:rsidR="00F138C1" w:rsidRPr="00EE0DCD" w:rsidRDefault="00F138C1" w:rsidP="00F138C1">
            <w:pPr>
              <w:tabs>
                <w:tab w:val="left" w:pos="6075"/>
              </w:tabs>
              <w:jc w:val="both"/>
              <w:rPr>
                <w:rFonts w:ascii="Arial" w:hAnsi="Arial" w:cs="Arial"/>
                <w:i/>
                <w:sz w:val="20"/>
                <w:szCs w:val="20"/>
              </w:rPr>
            </w:pPr>
            <w:r w:rsidRPr="00EE0DCD">
              <w:rPr>
                <w:rFonts w:ascii="Arial" w:hAnsi="Arial" w:cs="Arial"/>
                <w:i/>
                <w:sz w:val="20"/>
                <w:szCs w:val="20"/>
              </w:rPr>
              <w:t>During Court sessions, the Bulletin is usually issued weekly.</w:t>
            </w:r>
          </w:p>
        </w:tc>
        <w:tc>
          <w:tcPr>
            <w:tcW w:w="483" w:type="dxa"/>
          </w:tcPr>
          <w:p w:rsidR="00F138C1" w:rsidRPr="00EE0DC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E0DCD" w:rsidRDefault="00F138C1" w:rsidP="00F138C1">
            <w:pPr>
              <w:tabs>
                <w:tab w:val="left" w:pos="6075"/>
              </w:tabs>
              <w:jc w:val="both"/>
              <w:rPr>
                <w:rFonts w:ascii="Arial" w:hAnsi="Arial" w:cs="Arial"/>
                <w:i/>
                <w:sz w:val="20"/>
                <w:szCs w:val="20"/>
                <w:lang w:val="fr-CA"/>
              </w:rPr>
            </w:pPr>
            <w:r w:rsidRPr="00EE0DCD">
              <w:rPr>
                <w:rFonts w:ascii="Arial" w:hAnsi="Arial" w:cs="Arial"/>
                <w:i/>
                <w:sz w:val="20"/>
                <w:szCs w:val="20"/>
                <w:lang w:val="fr-CA"/>
              </w:rPr>
              <w:t>Le Bulletin paraît en principe toutes les semaines pendant les sessions de la Cour.</w:t>
            </w:r>
          </w:p>
        </w:tc>
      </w:tr>
      <w:tr w:rsidR="00F138C1" w:rsidRPr="00EE0DCD" w:rsidTr="00F138C1">
        <w:tc>
          <w:tcPr>
            <w:tcW w:w="4599" w:type="dxa"/>
            <w:tcMar>
              <w:top w:w="567" w:type="dxa"/>
            </w:tcMar>
          </w:tcPr>
          <w:p w:rsidR="00F138C1" w:rsidRPr="00EE0DCD" w:rsidRDefault="00F138C1" w:rsidP="00F138C1">
            <w:pPr>
              <w:tabs>
                <w:tab w:val="left" w:pos="6075"/>
              </w:tabs>
              <w:jc w:val="both"/>
              <w:rPr>
                <w:rFonts w:ascii="Arial" w:hAnsi="Arial" w:cs="Arial"/>
                <w:i/>
                <w:sz w:val="20"/>
                <w:szCs w:val="20"/>
              </w:rPr>
            </w:pPr>
            <w:r w:rsidRPr="00EE0DCD">
              <w:rPr>
                <w:rFonts w:ascii="Arial" w:hAnsi="Arial" w:cs="Arial"/>
                <w:i/>
                <w:sz w:val="20"/>
                <w:szCs w:val="20"/>
              </w:rPr>
              <w:fldChar w:fldCharType="begin"/>
            </w:r>
            <w:r w:rsidRPr="00EE0DCD">
              <w:rPr>
                <w:rFonts w:ascii="Arial" w:hAnsi="Arial" w:cs="Arial"/>
                <w:i/>
                <w:sz w:val="20"/>
                <w:szCs w:val="20"/>
              </w:rPr>
              <w:instrText xml:space="preserve"> SEQ CHAPTER \h \r 1</w:instrText>
            </w:r>
            <w:r w:rsidRPr="00EE0DCD">
              <w:rPr>
                <w:rFonts w:ascii="Arial" w:hAnsi="Arial" w:cs="Arial"/>
                <w:i/>
                <w:sz w:val="20"/>
                <w:szCs w:val="20"/>
              </w:rPr>
              <w:fldChar w:fldCharType="end"/>
            </w:r>
            <w:r w:rsidRPr="00EE0DC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E0DC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E0DCD" w:rsidRDefault="00F138C1" w:rsidP="00F138C1">
            <w:pPr>
              <w:tabs>
                <w:tab w:val="left" w:pos="6075"/>
              </w:tabs>
              <w:jc w:val="both"/>
              <w:rPr>
                <w:rFonts w:ascii="Arial" w:hAnsi="Arial" w:cs="Arial"/>
                <w:i/>
                <w:sz w:val="20"/>
                <w:szCs w:val="20"/>
                <w:lang w:val="fr-CA"/>
              </w:rPr>
            </w:pPr>
            <w:r w:rsidRPr="00EE0DCD">
              <w:rPr>
                <w:rFonts w:ascii="Arial" w:hAnsi="Arial" w:cs="Arial"/>
                <w:i/>
                <w:sz w:val="20"/>
                <w:szCs w:val="20"/>
                <w:lang w:val="fr-CA"/>
              </w:rPr>
              <w:fldChar w:fldCharType="begin"/>
            </w:r>
            <w:r w:rsidRPr="00EE0DCD">
              <w:rPr>
                <w:rFonts w:ascii="Arial" w:hAnsi="Arial" w:cs="Arial"/>
                <w:i/>
                <w:sz w:val="20"/>
                <w:szCs w:val="20"/>
                <w:lang w:val="fr-CA"/>
              </w:rPr>
              <w:instrText xml:space="preserve"> SEQ CHAPTER \h \r 1</w:instrText>
            </w:r>
            <w:r w:rsidRPr="00EE0DCD">
              <w:rPr>
                <w:rFonts w:ascii="Arial" w:hAnsi="Arial" w:cs="Arial"/>
                <w:i/>
                <w:sz w:val="20"/>
                <w:szCs w:val="20"/>
                <w:lang w:val="fr-CA"/>
              </w:rPr>
              <w:fldChar w:fldCharType="end"/>
            </w:r>
            <w:r w:rsidRPr="00EE0DC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E0DCD" w:rsidTr="00F138C1">
        <w:tc>
          <w:tcPr>
            <w:tcW w:w="4599" w:type="dxa"/>
            <w:tcMar>
              <w:top w:w="567" w:type="dxa"/>
            </w:tcMar>
          </w:tcPr>
          <w:p w:rsidR="00F138C1" w:rsidRPr="00EE0DCD" w:rsidRDefault="00F138C1" w:rsidP="00F138C1">
            <w:pPr>
              <w:tabs>
                <w:tab w:val="left" w:pos="6075"/>
              </w:tabs>
              <w:jc w:val="both"/>
              <w:rPr>
                <w:rFonts w:ascii="Arial" w:hAnsi="Arial" w:cs="Arial"/>
                <w:i/>
                <w:sz w:val="20"/>
                <w:szCs w:val="20"/>
              </w:rPr>
            </w:pPr>
            <w:r w:rsidRPr="00EE0DCD">
              <w:rPr>
                <w:rFonts w:ascii="Arial" w:hAnsi="Arial" w:cs="Arial"/>
                <w:i/>
                <w:sz w:val="20"/>
                <w:szCs w:val="20"/>
                <w:lang w:val="en-US"/>
              </w:rPr>
              <w:t>Please c</w:t>
            </w:r>
            <w:r w:rsidRPr="00EE0DCD">
              <w:rPr>
                <w:rFonts w:ascii="Arial" w:hAnsi="Arial" w:cs="Arial"/>
                <w:i/>
                <w:sz w:val="20"/>
                <w:szCs w:val="20"/>
              </w:rPr>
              <w:t xml:space="preserve">onsult the Supreme Court of Canada website at </w:t>
            </w:r>
            <w:hyperlink r:id="rId9" w:history="1">
              <w:r w:rsidRPr="00EE0DCD">
                <w:rPr>
                  <w:rStyle w:val="Hyperlink"/>
                  <w:rFonts w:ascii="Arial" w:hAnsi="Arial" w:cs="Arial"/>
                  <w:i/>
                  <w:sz w:val="20"/>
                  <w:szCs w:val="20"/>
                </w:rPr>
                <w:t>www.scc-csc.ca</w:t>
              </w:r>
            </w:hyperlink>
            <w:r w:rsidRPr="00EE0DCD">
              <w:rPr>
                <w:rFonts w:ascii="Arial" w:hAnsi="Arial" w:cs="Arial"/>
                <w:i/>
                <w:sz w:val="20"/>
                <w:szCs w:val="20"/>
              </w:rPr>
              <w:t xml:space="preserve"> for more information.</w:t>
            </w:r>
          </w:p>
        </w:tc>
        <w:tc>
          <w:tcPr>
            <w:tcW w:w="483" w:type="dxa"/>
          </w:tcPr>
          <w:p w:rsidR="00F138C1" w:rsidRPr="00EE0DC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E0DCD" w:rsidRDefault="00F138C1" w:rsidP="00F138C1">
            <w:pPr>
              <w:tabs>
                <w:tab w:val="left" w:pos="6075"/>
              </w:tabs>
              <w:jc w:val="both"/>
              <w:rPr>
                <w:rFonts w:ascii="Arial" w:hAnsi="Arial" w:cs="Arial"/>
                <w:i/>
                <w:sz w:val="20"/>
                <w:szCs w:val="20"/>
                <w:lang w:val="fr-CA"/>
              </w:rPr>
            </w:pPr>
            <w:r w:rsidRPr="00EE0DCD">
              <w:rPr>
                <w:rFonts w:ascii="Arial" w:hAnsi="Arial" w:cs="Arial"/>
                <w:i/>
                <w:sz w:val="20"/>
                <w:szCs w:val="20"/>
                <w:lang w:val="fr-CA"/>
              </w:rPr>
              <w:t xml:space="preserve">Pour de plus amples informations, veuillez consulter le site Web de la Cour suprême du Canada à l’adresse suivante : </w:t>
            </w:r>
            <w:hyperlink r:id="rId10" w:history="1">
              <w:r w:rsidRPr="00EE0DCD">
                <w:rPr>
                  <w:rStyle w:val="Hyperlink"/>
                  <w:rFonts w:ascii="Arial" w:hAnsi="Arial" w:cs="Arial"/>
                  <w:i/>
                  <w:sz w:val="20"/>
                  <w:szCs w:val="20"/>
                  <w:lang w:val="fr-CA"/>
                </w:rPr>
                <w:t>www.scc-csc.ca</w:t>
              </w:r>
            </w:hyperlink>
            <w:r w:rsidRPr="00EE0DCD">
              <w:rPr>
                <w:rFonts w:ascii="Arial" w:hAnsi="Arial" w:cs="Arial"/>
                <w:i/>
                <w:sz w:val="20"/>
                <w:szCs w:val="20"/>
                <w:lang w:val="fr-CA"/>
              </w:rPr>
              <w:t xml:space="preserve"> </w:t>
            </w:r>
          </w:p>
        </w:tc>
      </w:tr>
    </w:tbl>
    <w:p w:rsidR="00F138C1" w:rsidRPr="00EE0DC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E0DCD" w:rsidTr="00F138C1">
        <w:tc>
          <w:tcPr>
            <w:tcW w:w="2250" w:type="pct"/>
            <w:tcBorders>
              <w:top w:val="single" w:sz="4" w:space="0" w:color="auto"/>
            </w:tcBorders>
            <w:tcMar>
              <w:top w:w="284" w:type="dxa"/>
              <w:bottom w:w="284" w:type="dxa"/>
            </w:tcMar>
          </w:tcPr>
          <w:p w:rsidR="00F138C1" w:rsidRPr="00EE0DCD" w:rsidRDefault="00AB3440" w:rsidP="00B028A0">
            <w:pPr>
              <w:tabs>
                <w:tab w:val="left" w:pos="6075"/>
              </w:tabs>
              <w:rPr>
                <w:rFonts w:ascii="Arial" w:hAnsi="Arial" w:cs="Arial"/>
                <w:i/>
                <w:sz w:val="20"/>
                <w:szCs w:val="20"/>
              </w:rPr>
            </w:pPr>
            <w:r w:rsidRPr="00EE0DCD">
              <w:rPr>
                <w:lang w:val="fr-CA"/>
              </w:rPr>
              <w:t>April</w:t>
            </w:r>
            <w:r w:rsidR="00F138C1" w:rsidRPr="00EE0DCD">
              <w:rPr>
                <w:lang w:val="fr-CA"/>
              </w:rPr>
              <w:t xml:space="preserve"> </w:t>
            </w:r>
            <w:r w:rsidR="00B028A0" w:rsidRPr="00EE0DCD">
              <w:rPr>
                <w:lang w:val="fr-CA"/>
              </w:rPr>
              <w:t>28</w:t>
            </w:r>
            <w:r w:rsidR="00F138C1" w:rsidRPr="00EE0DCD">
              <w:rPr>
                <w:lang w:val="fr-CA"/>
              </w:rPr>
              <w:t>, 20</w:t>
            </w:r>
            <w:r w:rsidR="009B36BA" w:rsidRPr="00EE0DCD">
              <w:rPr>
                <w:lang w:val="fr-CA"/>
              </w:rPr>
              <w:t>2</w:t>
            </w:r>
            <w:r w:rsidR="00FC7090" w:rsidRPr="00EE0DCD">
              <w:rPr>
                <w:lang w:val="fr-CA"/>
              </w:rPr>
              <w:t>3</w:t>
            </w:r>
          </w:p>
        </w:tc>
        <w:tc>
          <w:tcPr>
            <w:tcW w:w="500" w:type="pct"/>
            <w:tcBorders>
              <w:top w:val="single" w:sz="4" w:space="0" w:color="auto"/>
            </w:tcBorders>
            <w:tcMar>
              <w:top w:w="284" w:type="dxa"/>
              <w:bottom w:w="284" w:type="dxa"/>
            </w:tcMar>
          </w:tcPr>
          <w:p w:rsidR="00F138C1" w:rsidRPr="00EE0DCD" w:rsidRDefault="00F138C1" w:rsidP="00EE0DCD">
            <w:pPr>
              <w:tabs>
                <w:tab w:val="left" w:pos="6075"/>
              </w:tabs>
              <w:jc w:val="center"/>
              <w:rPr>
                <w:rFonts w:ascii="Arial" w:hAnsi="Arial" w:cs="Arial"/>
                <w:i/>
                <w:sz w:val="20"/>
                <w:szCs w:val="20"/>
              </w:rPr>
            </w:pPr>
            <w:r w:rsidRPr="00EE0DCD">
              <w:rPr>
                <w:lang w:val="fr-CA"/>
              </w:rPr>
              <w:t xml:space="preserve">1 - </w:t>
            </w:r>
            <w:r w:rsidR="009E5C22" w:rsidRPr="00EE0DCD">
              <w:rPr>
                <w:lang w:val="fr-CA"/>
              </w:rPr>
              <w:t>1</w:t>
            </w:r>
            <w:r w:rsidR="00EE0DCD" w:rsidRPr="00EE0DCD">
              <w:rPr>
                <w:lang w:val="fr-CA"/>
              </w:rPr>
              <w:t>7</w:t>
            </w:r>
          </w:p>
        </w:tc>
        <w:tc>
          <w:tcPr>
            <w:tcW w:w="2250" w:type="pct"/>
            <w:tcBorders>
              <w:top w:val="single" w:sz="4" w:space="0" w:color="auto"/>
            </w:tcBorders>
            <w:tcMar>
              <w:top w:w="284" w:type="dxa"/>
              <w:bottom w:w="284" w:type="dxa"/>
            </w:tcMar>
          </w:tcPr>
          <w:p w:rsidR="00F138C1" w:rsidRPr="00EE0DCD" w:rsidRDefault="00F138C1" w:rsidP="00B028A0">
            <w:pPr>
              <w:tabs>
                <w:tab w:val="left" w:pos="6075"/>
              </w:tabs>
              <w:jc w:val="right"/>
              <w:rPr>
                <w:rFonts w:ascii="Arial" w:hAnsi="Arial" w:cs="Arial"/>
                <w:i/>
                <w:sz w:val="20"/>
                <w:szCs w:val="20"/>
                <w:lang w:val="fr-CA"/>
              </w:rPr>
            </w:pPr>
            <w:r w:rsidRPr="00EE0DCD">
              <w:rPr>
                <w:lang w:val="fr-CA"/>
              </w:rPr>
              <w:t xml:space="preserve">Le </w:t>
            </w:r>
            <w:r w:rsidR="00B028A0" w:rsidRPr="00EE0DCD">
              <w:rPr>
                <w:lang w:val="fr-CA"/>
              </w:rPr>
              <w:t>28</w:t>
            </w:r>
            <w:r w:rsidRPr="00EE0DCD">
              <w:rPr>
                <w:lang w:val="fr-CA"/>
              </w:rPr>
              <w:t xml:space="preserve"> </w:t>
            </w:r>
            <w:r w:rsidR="00FC7090" w:rsidRPr="00EE0DCD">
              <w:rPr>
                <w:lang w:val="fr-CA"/>
              </w:rPr>
              <w:t>avr</w:t>
            </w:r>
            <w:r w:rsidR="00AB3440" w:rsidRPr="00EE0DCD">
              <w:rPr>
                <w:lang w:val="fr-CA"/>
              </w:rPr>
              <w:t>il</w:t>
            </w:r>
            <w:r w:rsidR="00BE5B3E" w:rsidRPr="00EE0DCD">
              <w:rPr>
                <w:lang w:val="fr-CA"/>
              </w:rPr>
              <w:t xml:space="preserve"> </w:t>
            </w:r>
            <w:r w:rsidRPr="00EE0DCD">
              <w:rPr>
                <w:lang w:val="fr-CA"/>
              </w:rPr>
              <w:t>202</w:t>
            </w:r>
            <w:r w:rsidR="00FC7090" w:rsidRPr="00EE0DCD">
              <w:rPr>
                <w:lang w:val="fr-CA"/>
              </w:rPr>
              <w:t>3</w:t>
            </w:r>
          </w:p>
        </w:tc>
      </w:tr>
      <w:tr w:rsidR="00F138C1" w:rsidRPr="00EE0DCD" w:rsidTr="00F138C1">
        <w:tc>
          <w:tcPr>
            <w:tcW w:w="2250" w:type="pct"/>
            <w:tcBorders>
              <w:bottom w:val="single" w:sz="4" w:space="0" w:color="auto"/>
            </w:tcBorders>
            <w:tcMar>
              <w:top w:w="284" w:type="dxa"/>
              <w:bottom w:w="284" w:type="dxa"/>
            </w:tcMar>
          </w:tcPr>
          <w:p w:rsidR="00F138C1" w:rsidRPr="00EE0DCD" w:rsidRDefault="00F138C1" w:rsidP="00FC7090">
            <w:pPr>
              <w:tabs>
                <w:tab w:val="left" w:pos="6075"/>
              </w:tabs>
              <w:rPr>
                <w:rFonts w:ascii="Arial" w:hAnsi="Arial" w:cs="Arial"/>
                <w:i/>
                <w:sz w:val="20"/>
                <w:szCs w:val="20"/>
              </w:rPr>
            </w:pPr>
            <w:r w:rsidRPr="00EE0DCD">
              <w:rPr>
                <w:sz w:val="18"/>
                <w:szCs w:val="18"/>
                <w:lang w:val="en-US"/>
              </w:rPr>
              <w:t>© Supreme Court of Canada (202</w:t>
            </w:r>
            <w:r w:rsidR="00FC7090" w:rsidRPr="00EE0DCD">
              <w:rPr>
                <w:sz w:val="18"/>
                <w:szCs w:val="18"/>
                <w:lang w:val="en-US"/>
              </w:rPr>
              <w:t>3</w:t>
            </w:r>
            <w:r w:rsidRPr="00EE0DCD">
              <w:rPr>
                <w:sz w:val="18"/>
                <w:szCs w:val="18"/>
                <w:lang w:val="en-US"/>
              </w:rPr>
              <w:t>)</w:t>
            </w:r>
            <w:r w:rsidRPr="00EE0DCD">
              <w:rPr>
                <w:sz w:val="18"/>
                <w:szCs w:val="18"/>
                <w:lang w:val="en-US"/>
              </w:rPr>
              <w:br/>
              <w:t>ISSN 1918-8358 (Online)</w:t>
            </w:r>
          </w:p>
        </w:tc>
        <w:tc>
          <w:tcPr>
            <w:tcW w:w="500" w:type="pct"/>
            <w:tcBorders>
              <w:bottom w:val="single" w:sz="4" w:space="0" w:color="auto"/>
            </w:tcBorders>
            <w:tcMar>
              <w:top w:w="284" w:type="dxa"/>
              <w:bottom w:w="284" w:type="dxa"/>
            </w:tcMar>
          </w:tcPr>
          <w:p w:rsidR="00F138C1" w:rsidRPr="00EE0DC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E0DCD" w:rsidRDefault="00F138C1" w:rsidP="00FC7090">
            <w:pPr>
              <w:tabs>
                <w:tab w:val="left" w:pos="6075"/>
              </w:tabs>
              <w:jc w:val="right"/>
              <w:rPr>
                <w:rFonts w:ascii="Arial" w:hAnsi="Arial" w:cs="Arial"/>
                <w:i/>
                <w:sz w:val="20"/>
                <w:szCs w:val="20"/>
                <w:lang w:val="fr-CA"/>
              </w:rPr>
            </w:pPr>
            <w:r w:rsidRPr="00EE0DCD">
              <w:rPr>
                <w:sz w:val="18"/>
                <w:szCs w:val="18"/>
                <w:lang w:val="fr-CA"/>
              </w:rPr>
              <w:t>© Cour suprême du Canada (202</w:t>
            </w:r>
            <w:r w:rsidR="00FC7090" w:rsidRPr="00EE0DCD">
              <w:rPr>
                <w:sz w:val="18"/>
                <w:szCs w:val="18"/>
                <w:lang w:val="fr-CA"/>
              </w:rPr>
              <w:t>3</w:t>
            </w:r>
            <w:proofErr w:type="gramStart"/>
            <w:r w:rsidRPr="00EE0DCD">
              <w:rPr>
                <w:sz w:val="18"/>
                <w:szCs w:val="18"/>
                <w:lang w:val="fr-CA"/>
              </w:rPr>
              <w:t>)</w:t>
            </w:r>
            <w:proofErr w:type="gramEnd"/>
            <w:r w:rsidRPr="00EE0DCD">
              <w:rPr>
                <w:sz w:val="18"/>
                <w:szCs w:val="18"/>
                <w:lang w:val="fr-CA"/>
              </w:rPr>
              <w:br/>
              <w:t>ISSN 1918-8358 (En ligne)</w:t>
            </w:r>
          </w:p>
        </w:tc>
      </w:tr>
    </w:tbl>
    <w:p w:rsidR="0030050B" w:rsidRPr="00EE0DCD" w:rsidRDefault="0030050B" w:rsidP="00F138C1">
      <w:pPr>
        <w:tabs>
          <w:tab w:val="left" w:pos="6075"/>
        </w:tabs>
        <w:rPr>
          <w:lang w:val="fr-CA"/>
        </w:rPr>
      </w:pPr>
    </w:p>
    <w:p w:rsidR="00560DF1" w:rsidRPr="00EE0DCD" w:rsidRDefault="00560DF1" w:rsidP="0095096B">
      <w:pPr>
        <w:tabs>
          <w:tab w:val="right" w:pos="9360"/>
        </w:tabs>
        <w:rPr>
          <w:lang w:val="fr-CA"/>
        </w:rPr>
      </w:pPr>
    </w:p>
    <w:p w:rsidR="00F138C1" w:rsidRPr="00EE0DC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E0DCD" w:rsidRDefault="00DC6B2E" w:rsidP="00693C38">
          <w:pPr>
            <w:pStyle w:val="Title"/>
            <w:jc w:val="center"/>
            <w:rPr>
              <w:rFonts w:ascii="Times New Roman" w:hAnsi="Times New Roman" w:cs="Times New Roman"/>
              <w:b/>
              <w:sz w:val="24"/>
              <w:szCs w:val="28"/>
              <w:lang w:val="fr-CA"/>
            </w:rPr>
          </w:pPr>
          <w:r w:rsidRPr="00EE0DCD">
            <w:rPr>
              <w:rFonts w:ascii="Times New Roman" w:hAnsi="Times New Roman" w:cs="Times New Roman"/>
              <w:b/>
              <w:sz w:val="24"/>
              <w:szCs w:val="28"/>
              <w:lang w:val="fr-CA"/>
            </w:rPr>
            <w:t>Contents</w:t>
          </w:r>
        </w:p>
        <w:p w:rsidR="00693C38" w:rsidRPr="00EE0DCD" w:rsidRDefault="00DC6B2E" w:rsidP="00693C38">
          <w:pPr>
            <w:jc w:val="center"/>
            <w:rPr>
              <w:b/>
              <w:szCs w:val="28"/>
              <w:lang w:val="fr-CA"/>
            </w:rPr>
          </w:pPr>
          <w:r w:rsidRPr="00EE0DCD">
            <w:rPr>
              <w:b/>
              <w:szCs w:val="28"/>
              <w:lang w:val="fr-CA"/>
            </w:rPr>
            <w:t>Table des matières</w:t>
          </w:r>
        </w:p>
        <w:p w:rsidR="00693C38" w:rsidRPr="00EE0DCD" w:rsidRDefault="00693C38" w:rsidP="00693C38">
          <w:pPr>
            <w:rPr>
              <w:lang w:val="fr-CA"/>
            </w:rPr>
          </w:pPr>
        </w:p>
        <w:p w:rsidR="00EE0DCD" w:rsidRPr="00EE0DCD" w:rsidRDefault="00DC6B2E">
          <w:pPr>
            <w:pStyle w:val="TOC1"/>
            <w:tabs>
              <w:tab w:val="right" w:leader="dot" w:pos="9638"/>
            </w:tabs>
            <w:rPr>
              <w:rFonts w:asciiTheme="minorHAnsi" w:eastAsiaTheme="minorEastAsia" w:hAnsiTheme="minorHAnsi"/>
              <w:noProof/>
              <w:sz w:val="22"/>
              <w:lang w:val="en-US"/>
            </w:rPr>
          </w:pPr>
          <w:r w:rsidRPr="00EE0DCD">
            <w:rPr>
              <w:b/>
              <w:bCs/>
              <w:noProof/>
            </w:rPr>
            <w:fldChar w:fldCharType="begin"/>
          </w:r>
          <w:r w:rsidRPr="00EE0DCD">
            <w:rPr>
              <w:b/>
              <w:bCs/>
              <w:noProof/>
            </w:rPr>
            <w:instrText xml:space="preserve"> TOC \o "1-3" \h \z \u </w:instrText>
          </w:r>
          <w:r w:rsidRPr="00EE0DCD">
            <w:rPr>
              <w:b/>
              <w:bCs/>
              <w:noProof/>
            </w:rPr>
            <w:fldChar w:fldCharType="separate"/>
          </w:r>
          <w:hyperlink w:anchor="_Toc133498281" w:history="1">
            <w:r w:rsidR="00EE0DCD" w:rsidRPr="00EE0DCD">
              <w:rPr>
                <w:rStyle w:val="Hyperlink"/>
                <w:noProof/>
                <w:lang w:val="fr-CA"/>
              </w:rPr>
              <w:t>Applications for leave to appeal filed /  Demandes d’autorisation d’appel déposées</w:t>
            </w:r>
            <w:r w:rsidR="00EE0DCD" w:rsidRPr="00EE0DCD">
              <w:rPr>
                <w:noProof/>
                <w:webHidden/>
              </w:rPr>
              <w:tab/>
            </w:r>
            <w:r w:rsidR="00EE0DCD" w:rsidRPr="00EE0DCD">
              <w:rPr>
                <w:noProof/>
                <w:webHidden/>
              </w:rPr>
              <w:fldChar w:fldCharType="begin"/>
            </w:r>
            <w:r w:rsidR="00EE0DCD" w:rsidRPr="00EE0DCD">
              <w:rPr>
                <w:noProof/>
                <w:webHidden/>
              </w:rPr>
              <w:instrText xml:space="preserve"> PAGEREF _Toc133498281 \h </w:instrText>
            </w:r>
            <w:r w:rsidR="00EE0DCD" w:rsidRPr="00EE0DCD">
              <w:rPr>
                <w:noProof/>
                <w:webHidden/>
              </w:rPr>
            </w:r>
            <w:r w:rsidR="00EE0DCD" w:rsidRPr="00EE0DCD">
              <w:rPr>
                <w:noProof/>
                <w:webHidden/>
              </w:rPr>
              <w:fldChar w:fldCharType="separate"/>
            </w:r>
            <w:r w:rsidR="00EE0DCD" w:rsidRPr="00EE0DCD">
              <w:rPr>
                <w:noProof/>
                <w:webHidden/>
              </w:rPr>
              <w:t>1</w:t>
            </w:r>
            <w:r w:rsidR="00EE0DCD" w:rsidRPr="00EE0DCD">
              <w:rPr>
                <w:noProof/>
                <w:webHidden/>
              </w:rPr>
              <w:fldChar w:fldCharType="end"/>
            </w:r>
          </w:hyperlink>
        </w:p>
        <w:p w:rsidR="00EE0DCD" w:rsidRPr="00EE0DCD" w:rsidRDefault="00EE0DCD">
          <w:pPr>
            <w:pStyle w:val="TOC1"/>
            <w:tabs>
              <w:tab w:val="right" w:leader="dot" w:pos="9638"/>
            </w:tabs>
            <w:rPr>
              <w:rFonts w:asciiTheme="minorHAnsi" w:eastAsiaTheme="minorEastAsia" w:hAnsiTheme="minorHAnsi"/>
              <w:noProof/>
              <w:sz w:val="22"/>
              <w:lang w:val="en-US"/>
            </w:rPr>
          </w:pPr>
          <w:hyperlink w:anchor="_Toc133498282" w:history="1">
            <w:r w:rsidRPr="00EE0DCD">
              <w:rPr>
                <w:rStyle w:val="Hyperlink"/>
                <w:noProof/>
                <w:lang w:val="fr-CA"/>
              </w:rPr>
              <w:t>Judgments on applications for leave /  Jugements rendus sur les demandes d’autorisation</w:t>
            </w:r>
            <w:r w:rsidRPr="00EE0DCD">
              <w:rPr>
                <w:noProof/>
                <w:webHidden/>
              </w:rPr>
              <w:tab/>
            </w:r>
            <w:r w:rsidRPr="00EE0DCD">
              <w:rPr>
                <w:noProof/>
                <w:webHidden/>
              </w:rPr>
              <w:fldChar w:fldCharType="begin"/>
            </w:r>
            <w:r w:rsidRPr="00EE0DCD">
              <w:rPr>
                <w:noProof/>
                <w:webHidden/>
              </w:rPr>
              <w:instrText xml:space="preserve"> PAGEREF _Toc133498282 \h </w:instrText>
            </w:r>
            <w:r w:rsidRPr="00EE0DCD">
              <w:rPr>
                <w:noProof/>
                <w:webHidden/>
              </w:rPr>
            </w:r>
            <w:r w:rsidRPr="00EE0DCD">
              <w:rPr>
                <w:noProof/>
                <w:webHidden/>
              </w:rPr>
              <w:fldChar w:fldCharType="separate"/>
            </w:r>
            <w:r w:rsidRPr="00EE0DCD">
              <w:rPr>
                <w:noProof/>
                <w:webHidden/>
              </w:rPr>
              <w:t>3</w:t>
            </w:r>
            <w:r w:rsidRPr="00EE0DCD">
              <w:rPr>
                <w:noProof/>
                <w:webHidden/>
              </w:rPr>
              <w:fldChar w:fldCharType="end"/>
            </w:r>
          </w:hyperlink>
        </w:p>
        <w:p w:rsidR="00EE0DCD" w:rsidRPr="00EE0DCD" w:rsidRDefault="00EE0DCD">
          <w:pPr>
            <w:pStyle w:val="TOC1"/>
            <w:tabs>
              <w:tab w:val="right" w:leader="dot" w:pos="9638"/>
            </w:tabs>
            <w:rPr>
              <w:rFonts w:asciiTheme="minorHAnsi" w:eastAsiaTheme="minorEastAsia" w:hAnsiTheme="minorHAnsi"/>
              <w:noProof/>
              <w:sz w:val="22"/>
              <w:lang w:val="en-US"/>
            </w:rPr>
          </w:pPr>
          <w:hyperlink w:anchor="_Toc133498283" w:history="1">
            <w:r w:rsidRPr="00EE0DCD">
              <w:rPr>
                <w:rStyle w:val="Hyperlink"/>
                <w:noProof/>
              </w:rPr>
              <w:t xml:space="preserve">Notices of appeal filed since the last issue /  </w:t>
            </w:r>
            <w:r w:rsidRPr="00EE0DCD">
              <w:rPr>
                <w:rStyle w:val="Hyperlink"/>
                <w:noProof/>
                <w:lang w:val="fr-CA"/>
              </w:rPr>
              <w:t>Avis d’appel déposés depuis la dernière parution</w:t>
            </w:r>
            <w:r w:rsidRPr="00EE0DCD">
              <w:rPr>
                <w:noProof/>
                <w:webHidden/>
              </w:rPr>
              <w:tab/>
            </w:r>
            <w:r w:rsidRPr="00EE0DCD">
              <w:rPr>
                <w:noProof/>
                <w:webHidden/>
              </w:rPr>
              <w:fldChar w:fldCharType="begin"/>
            </w:r>
            <w:r w:rsidRPr="00EE0DCD">
              <w:rPr>
                <w:noProof/>
                <w:webHidden/>
              </w:rPr>
              <w:instrText xml:space="preserve"> PAGEREF _Toc133498283 \h </w:instrText>
            </w:r>
            <w:r w:rsidRPr="00EE0DCD">
              <w:rPr>
                <w:noProof/>
                <w:webHidden/>
              </w:rPr>
            </w:r>
            <w:r w:rsidRPr="00EE0DCD">
              <w:rPr>
                <w:noProof/>
                <w:webHidden/>
              </w:rPr>
              <w:fldChar w:fldCharType="separate"/>
            </w:r>
            <w:r w:rsidRPr="00EE0DCD">
              <w:rPr>
                <w:noProof/>
                <w:webHidden/>
              </w:rPr>
              <w:t>9</w:t>
            </w:r>
            <w:r w:rsidRPr="00EE0DCD">
              <w:rPr>
                <w:noProof/>
                <w:webHidden/>
              </w:rPr>
              <w:fldChar w:fldCharType="end"/>
            </w:r>
          </w:hyperlink>
        </w:p>
        <w:p w:rsidR="00EE0DCD" w:rsidRPr="00EE0DCD" w:rsidRDefault="00EE0DCD">
          <w:pPr>
            <w:pStyle w:val="TOC1"/>
            <w:tabs>
              <w:tab w:val="right" w:leader="dot" w:pos="9638"/>
            </w:tabs>
            <w:rPr>
              <w:rFonts w:asciiTheme="minorHAnsi" w:eastAsiaTheme="minorEastAsia" w:hAnsiTheme="minorHAnsi"/>
              <w:noProof/>
              <w:sz w:val="22"/>
              <w:lang w:val="en-US"/>
            </w:rPr>
          </w:pPr>
          <w:hyperlink w:anchor="_Toc133498284" w:history="1">
            <w:r w:rsidRPr="00EE0DCD">
              <w:rPr>
                <w:rStyle w:val="Hyperlink"/>
                <w:noProof/>
                <w:lang w:val="fr-CA"/>
              </w:rPr>
              <w:t>Pronouncements of reserved appeals /  Jugements rendus sur les appels en délibéré</w:t>
            </w:r>
            <w:r w:rsidRPr="00EE0DCD">
              <w:rPr>
                <w:noProof/>
                <w:webHidden/>
              </w:rPr>
              <w:tab/>
            </w:r>
            <w:r w:rsidRPr="00EE0DCD">
              <w:rPr>
                <w:noProof/>
                <w:webHidden/>
              </w:rPr>
              <w:fldChar w:fldCharType="begin"/>
            </w:r>
            <w:r w:rsidRPr="00EE0DCD">
              <w:rPr>
                <w:noProof/>
                <w:webHidden/>
              </w:rPr>
              <w:instrText xml:space="preserve"> PAGEREF _Toc133498284 \h </w:instrText>
            </w:r>
            <w:r w:rsidRPr="00EE0DCD">
              <w:rPr>
                <w:noProof/>
                <w:webHidden/>
              </w:rPr>
            </w:r>
            <w:r w:rsidRPr="00EE0DCD">
              <w:rPr>
                <w:noProof/>
                <w:webHidden/>
              </w:rPr>
              <w:fldChar w:fldCharType="separate"/>
            </w:r>
            <w:r w:rsidRPr="00EE0DCD">
              <w:rPr>
                <w:noProof/>
                <w:webHidden/>
              </w:rPr>
              <w:t>10</w:t>
            </w:r>
            <w:r w:rsidRPr="00EE0DCD">
              <w:rPr>
                <w:noProof/>
                <w:webHidden/>
              </w:rPr>
              <w:fldChar w:fldCharType="end"/>
            </w:r>
          </w:hyperlink>
        </w:p>
        <w:p w:rsidR="00EE0DCD" w:rsidRPr="00EE0DCD" w:rsidRDefault="00EE0DCD">
          <w:pPr>
            <w:pStyle w:val="TOC1"/>
            <w:tabs>
              <w:tab w:val="right" w:leader="dot" w:pos="9638"/>
            </w:tabs>
            <w:rPr>
              <w:rFonts w:asciiTheme="minorHAnsi" w:eastAsiaTheme="minorEastAsia" w:hAnsiTheme="minorHAnsi"/>
              <w:noProof/>
              <w:sz w:val="22"/>
              <w:lang w:val="en-US"/>
            </w:rPr>
          </w:pPr>
          <w:hyperlink w:anchor="_Toc133498285" w:history="1">
            <w:r w:rsidRPr="00EE0DCD">
              <w:rPr>
                <w:rStyle w:val="Hyperlink"/>
                <w:noProof/>
                <w:lang w:val="fr-CA"/>
              </w:rPr>
              <w:t>Agenda and case summaries for May 2023 /  Calendrier et sommaires des causes de mai 2023</w:t>
            </w:r>
            <w:r w:rsidRPr="00EE0DCD">
              <w:rPr>
                <w:noProof/>
                <w:webHidden/>
              </w:rPr>
              <w:tab/>
            </w:r>
            <w:r w:rsidRPr="00EE0DCD">
              <w:rPr>
                <w:noProof/>
                <w:webHidden/>
              </w:rPr>
              <w:fldChar w:fldCharType="begin"/>
            </w:r>
            <w:r w:rsidRPr="00EE0DCD">
              <w:rPr>
                <w:noProof/>
                <w:webHidden/>
              </w:rPr>
              <w:instrText xml:space="preserve"> PAGEREF _Toc133498285 \h </w:instrText>
            </w:r>
            <w:r w:rsidRPr="00EE0DCD">
              <w:rPr>
                <w:noProof/>
                <w:webHidden/>
              </w:rPr>
            </w:r>
            <w:r w:rsidRPr="00EE0DCD">
              <w:rPr>
                <w:noProof/>
                <w:webHidden/>
              </w:rPr>
              <w:fldChar w:fldCharType="separate"/>
            </w:r>
            <w:r w:rsidRPr="00EE0DCD">
              <w:rPr>
                <w:noProof/>
                <w:webHidden/>
              </w:rPr>
              <w:t>11</w:t>
            </w:r>
            <w:r w:rsidRPr="00EE0DCD">
              <w:rPr>
                <w:noProof/>
                <w:webHidden/>
              </w:rPr>
              <w:fldChar w:fldCharType="end"/>
            </w:r>
          </w:hyperlink>
        </w:p>
        <w:p w:rsidR="00560DF1" w:rsidRPr="00EE0DCD" w:rsidRDefault="00DC6B2E">
          <w:r w:rsidRPr="00EE0DCD">
            <w:rPr>
              <w:b/>
              <w:bCs/>
              <w:noProof/>
              <w:sz w:val="20"/>
            </w:rPr>
            <w:fldChar w:fldCharType="end"/>
          </w:r>
        </w:p>
      </w:sdtContent>
    </w:sdt>
    <w:p w:rsidR="00560DF1" w:rsidRPr="00EE0DC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E0DCD" w:rsidTr="00F138C1">
        <w:trPr>
          <w:jc w:val="center"/>
        </w:trPr>
        <w:tc>
          <w:tcPr>
            <w:tcW w:w="9638" w:type="dxa"/>
          </w:tcPr>
          <w:p w:rsidR="00F138C1" w:rsidRPr="00EE0DCD" w:rsidRDefault="00F138C1" w:rsidP="00F138C1">
            <w:pPr>
              <w:keepNext/>
              <w:tabs>
                <w:tab w:val="right" w:pos="9360"/>
              </w:tabs>
              <w:spacing w:after="120"/>
              <w:jc w:val="center"/>
              <w:rPr>
                <w:szCs w:val="24"/>
              </w:rPr>
            </w:pPr>
            <w:r w:rsidRPr="00EE0DCD">
              <w:rPr>
                <w:szCs w:val="24"/>
              </w:rPr>
              <w:t>NOTICE</w:t>
            </w:r>
          </w:p>
          <w:p w:rsidR="00F138C1" w:rsidRPr="00EE0DCD" w:rsidRDefault="00F138C1" w:rsidP="00F138C1">
            <w:pPr>
              <w:keepNext/>
              <w:tabs>
                <w:tab w:val="right" w:pos="9360"/>
              </w:tabs>
              <w:spacing w:after="120"/>
              <w:jc w:val="both"/>
              <w:rPr>
                <w:szCs w:val="24"/>
              </w:rPr>
            </w:pPr>
            <w:r w:rsidRPr="00EE0DCD">
              <w:rPr>
                <w:szCs w:val="24"/>
              </w:rPr>
              <w:t>Case summaries included in the Bulletin are prepared by the Office of the Registrar of the Supreme Court of Canada (Law Branch) for information purposes only.</w:t>
            </w:r>
          </w:p>
          <w:p w:rsidR="00F138C1" w:rsidRPr="00EE0DCD" w:rsidRDefault="00F138C1" w:rsidP="00F138C1">
            <w:pPr>
              <w:keepNext/>
              <w:tabs>
                <w:tab w:val="right" w:pos="9360"/>
              </w:tabs>
              <w:spacing w:after="120"/>
              <w:jc w:val="center"/>
              <w:rPr>
                <w:szCs w:val="24"/>
                <w:lang w:val="fr-CA"/>
              </w:rPr>
            </w:pPr>
            <w:r w:rsidRPr="00EE0DCD">
              <w:rPr>
                <w:szCs w:val="24"/>
                <w:lang w:val="fr-CA"/>
              </w:rPr>
              <w:t>AVIS</w:t>
            </w:r>
          </w:p>
          <w:p w:rsidR="00F138C1" w:rsidRPr="00EE0DCD" w:rsidRDefault="00F138C1" w:rsidP="00F138C1">
            <w:pPr>
              <w:keepNext/>
              <w:tabs>
                <w:tab w:val="right" w:pos="9360"/>
              </w:tabs>
              <w:spacing w:after="120"/>
              <w:jc w:val="both"/>
              <w:rPr>
                <w:sz w:val="20"/>
                <w:szCs w:val="20"/>
                <w:lang w:val="fr-CA"/>
              </w:rPr>
            </w:pPr>
            <w:r w:rsidRPr="00EE0DCD">
              <w:rPr>
                <w:szCs w:val="24"/>
                <w:lang w:val="fr-CA"/>
              </w:rPr>
              <w:t>Les résumés des causes publiés dans le bulletin sont préparés par le Bureau du registraire (Direction générale du droit) uniquement à titre d’information.</w:t>
            </w:r>
          </w:p>
        </w:tc>
      </w:tr>
    </w:tbl>
    <w:p w:rsidR="00F138C1" w:rsidRPr="00EE0DCD" w:rsidRDefault="00F138C1" w:rsidP="00F138C1">
      <w:pPr>
        <w:tabs>
          <w:tab w:val="right" w:pos="9360"/>
        </w:tabs>
        <w:rPr>
          <w:lang w:val="fr-CA"/>
        </w:rPr>
      </w:pPr>
    </w:p>
    <w:p w:rsidR="00F138C1" w:rsidRPr="00EE0DCD" w:rsidRDefault="00F138C1" w:rsidP="00F138C1">
      <w:pPr>
        <w:tabs>
          <w:tab w:val="right" w:pos="9360"/>
        </w:tabs>
        <w:rPr>
          <w:lang w:val="fr-CA"/>
        </w:rPr>
      </w:pPr>
    </w:p>
    <w:p w:rsidR="00C01FCB" w:rsidRPr="00EE0DCD" w:rsidRDefault="00C01FCB" w:rsidP="0095096B">
      <w:pPr>
        <w:tabs>
          <w:tab w:val="right" w:pos="9360"/>
        </w:tabs>
        <w:rPr>
          <w:lang w:val="fr-CA"/>
        </w:rPr>
      </w:pPr>
    </w:p>
    <w:p w:rsidR="00A87207" w:rsidRPr="00EE0DCD" w:rsidRDefault="00A87207" w:rsidP="0095096B">
      <w:pPr>
        <w:tabs>
          <w:tab w:val="right" w:pos="9360"/>
        </w:tabs>
        <w:rPr>
          <w:lang w:val="fr-CA"/>
        </w:rPr>
        <w:sectPr w:rsidR="00A87207" w:rsidRPr="00EE0DCD" w:rsidSect="0044776A">
          <w:pgSz w:w="12240" w:h="15840"/>
          <w:pgMar w:top="720" w:right="1152" w:bottom="1080" w:left="1440" w:header="706" w:footer="706" w:gutter="0"/>
          <w:cols w:space="708"/>
          <w:titlePg/>
          <w:docGrid w:linePitch="360"/>
        </w:sectPr>
      </w:pPr>
    </w:p>
    <w:p w:rsidR="00560DF1" w:rsidRPr="00EE0DCD" w:rsidRDefault="00DD0BDC" w:rsidP="00567602">
      <w:pPr>
        <w:pStyle w:val="Header1StyleE"/>
        <w:pBdr>
          <w:bottom w:val="single" w:sz="12" w:space="1" w:color="auto"/>
        </w:pBdr>
        <w:rPr>
          <w:lang w:val="fr-CA"/>
        </w:rPr>
      </w:pPr>
      <w:bookmarkStart w:id="0" w:name="_Toc133498281"/>
      <w:r w:rsidRPr="00EE0DCD">
        <w:rPr>
          <w:lang w:val="fr-CA"/>
        </w:rPr>
        <w:lastRenderedPageBreak/>
        <w:t>Applications for leave to appeal filed</w:t>
      </w:r>
      <w:r w:rsidR="00271E1E" w:rsidRPr="00EE0DCD">
        <w:rPr>
          <w:lang w:val="fr-CA"/>
        </w:rPr>
        <w:t xml:space="preserve"> / </w:t>
      </w:r>
      <w:r w:rsidR="00727571" w:rsidRPr="00EE0DCD">
        <w:rPr>
          <w:lang w:val="fr-CA"/>
        </w:rPr>
        <w:br/>
      </w:r>
      <w:r w:rsidRPr="00EE0DCD">
        <w:rPr>
          <w:lang w:val="fr-CA"/>
        </w:rPr>
        <w:t>Demandes d’autorisation d’appel déposées</w:t>
      </w:r>
      <w:bookmarkEnd w:id="0"/>
    </w:p>
    <w:p w:rsidR="00F138C1" w:rsidRPr="00EE0DC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E0DCD" w:rsidTr="00F138C1">
        <w:tc>
          <w:tcPr>
            <w:tcW w:w="4239" w:type="dxa"/>
            <w:shd w:val="clear" w:color="auto" w:fill="auto"/>
          </w:tcPr>
          <w:p w:rsidR="00F138C1" w:rsidRPr="00EE0DCD" w:rsidRDefault="00420A01" w:rsidP="00F138C1">
            <w:pPr>
              <w:rPr>
                <w:sz w:val="20"/>
                <w:szCs w:val="20"/>
                <w:lang w:val="fr-CA"/>
              </w:rPr>
            </w:pPr>
            <w:r w:rsidRPr="00EE0DCD">
              <w:rPr>
                <w:b/>
                <w:sz w:val="20"/>
                <w:szCs w:val="20"/>
                <w:lang w:val="fr-CA"/>
              </w:rPr>
              <w:t>Ramzi Daniel</w:t>
            </w:r>
          </w:p>
          <w:p w:rsidR="00F138C1" w:rsidRPr="00EE0DCD" w:rsidRDefault="00F138C1" w:rsidP="00F138C1">
            <w:pPr>
              <w:tabs>
                <w:tab w:val="left" w:pos="-1440"/>
                <w:tab w:val="left" w:pos="-720"/>
              </w:tabs>
              <w:rPr>
                <w:sz w:val="20"/>
                <w:szCs w:val="20"/>
                <w:lang w:val="fr-CA"/>
              </w:rPr>
            </w:pPr>
            <w:r w:rsidRPr="00EE0DCD">
              <w:rPr>
                <w:sz w:val="20"/>
                <w:szCs w:val="20"/>
                <w:lang w:val="fr-CA"/>
              </w:rPr>
              <w:tab/>
            </w:r>
            <w:r w:rsidR="00420A01" w:rsidRPr="00EE0DCD">
              <w:rPr>
                <w:sz w:val="20"/>
                <w:szCs w:val="20"/>
                <w:lang w:val="fr-CA"/>
              </w:rPr>
              <w:t>Ramzi Daniel</w:t>
            </w:r>
          </w:p>
          <w:p w:rsidR="00EC6816" w:rsidRPr="00EE0DCD" w:rsidRDefault="00EC6816" w:rsidP="00F138C1">
            <w:pPr>
              <w:tabs>
                <w:tab w:val="left" w:pos="-1440"/>
                <w:tab w:val="left" w:pos="-720"/>
              </w:tabs>
              <w:rPr>
                <w:sz w:val="20"/>
                <w:szCs w:val="20"/>
                <w:lang w:val="fr-CA"/>
              </w:rPr>
            </w:pPr>
          </w:p>
          <w:p w:rsidR="00F138C1" w:rsidRPr="00EE0DCD" w:rsidRDefault="00F138C1" w:rsidP="00F138C1">
            <w:pPr>
              <w:tabs>
                <w:tab w:val="left" w:pos="-1440"/>
                <w:tab w:val="left" w:pos="-720"/>
              </w:tabs>
              <w:rPr>
                <w:sz w:val="20"/>
                <w:szCs w:val="20"/>
                <w:lang w:val="fr-CA"/>
              </w:rPr>
            </w:pPr>
            <w:r w:rsidRPr="00EE0DCD">
              <w:rPr>
                <w:sz w:val="20"/>
                <w:szCs w:val="20"/>
                <w:lang w:val="fr-CA"/>
              </w:rPr>
              <w:tab/>
              <w:t>v. (</w:t>
            </w:r>
            <w:r w:rsidR="00420A01" w:rsidRPr="00EE0DCD">
              <w:rPr>
                <w:sz w:val="20"/>
                <w:szCs w:val="20"/>
                <w:lang w:val="fr-CA"/>
              </w:rPr>
              <w:t>40521</w:t>
            </w:r>
            <w:r w:rsidRPr="00EE0DCD">
              <w:rPr>
                <w:sz w:val="20"/>
                <w:szCs w:val="20"/>
                <w:lang w:val="fr-CA"/>
              </w:rPr>
              <w:t>)</w:t>
            </w:r>
          </w:p>
          <w:p w:rsidR="00F138C1" w:rsidRPr="00EE0DCD" w:rsidRDefault="00F138C1" w:rsidP="00F138C1">
            <w:pPr>
              <w:tabs>
                <w:tab w:val="left" w:pos="-1440"/>
                <w:tab w:val="left" w:pos="-720"/>
              </w:tabs>
              <w:rPr>
                <w:sz w:val="20"/>
                <w:szCs w:val="20"/>
                <w:lang w:val="fr-CA"/>
              </w:rPr>
            </w:pPr>
          </w:p>
          <w:p w:rsidR="00F138C1" w:rsidRPr="00EE0DCD" w:rsidRDefault="00420A01" w:rsidP="00F138C1">
            <w:pPr>
              <w:tabs>
                <w:tab w:val="left" w:pos="-1440"/>
                <w:tab w:val="left" w:pos="-720"/>
              </w:tabs>
              <w:rPr>
                <w:b/>
                <w:sz w:val="20"/>
                <w:szCs w:val="20"/>
                <w:lang w:val="fr-CA"/>
              </w:rPr>
            </w:pPr>
            <w:r w:rsidRPr="00EE0DCD">
              <w:rPr>
                <w:b/>
                <w:sz w:val="20"/>
                <w:szCs w:val="20"/>
                <w:lang w:val="fr-CA"/>
              </w:rPr>
              <w:t xml:space="preserve">Ville de Mont-Saint-Hilaire, et al. </w:t>
            </w:r>
            <w:r w:rsidR="00F138C1" w:rsidRPr="00EE0DCD">
              <w:rPr>
                <w:b/>
                <w:sz w:val="20"/>
                <w:szCs w:val="20"/>
                <w:lang w:val="fr-CA"/>
              </w:rPr>
              <w:t>(</w:t>
            </w:r>
            <w:r w:rsidRPr="00EE0DCD">
              <w:rPr>
                <w:b/>
                <w:sz w:val="20"/>
                <w:szCs w:val="20"/>
                <w:lang w:val="fr-CA"/>
              </w:rPr>
              <w:t>Que</w:t>
            </w:r>
            <w:r w:rsidR="00F138C1" w:rsidRPr="00EE0DCD">
              <w:rPr>
                <w:b/>
                <w:sz w:val="20"/>
                <w:szCs w:val="20"/>
                <w:lang w:val="fr-CA"/>
              </w:rPr>
              <w:t>.)</w:t>
            </w:r>
          </w:p>
          <w:p w:rsidR="00F138C1" w:rsidRPr="00EE0DCD" w:rsidRDefault="00F138C1" w:rsidP="00F138C1">
            <w:pPr>
              <w:tabs>
                <w:tab w:val="left" w:pos="-1440"/>
                <w:tab w:val="left" w:pos="-720"/>
              </w:tabs>
              <w:rPr>
                <w:sz w:val="20"/>
                <w:szCs w:val="20"/>
                <w:lang w:val="fr-CA"/>
              </w:rPr>
            </w:pPr>
            <w:r w:rsidRPr="00EE0DCD">
              <w:rPr>
                <w:sz w:val="20"/>
                <w:szCs w:val="20"/>
                <w:lang w:val="fr-CA"/>
              </w:rPr>
              <w:tab/>
            </w:r>
            <w:r w:rsidR="00420A01" w:rsidRPr="00EE0DCD">
              <w:rPr>
                <w:sz w:val="20"/>
                <w:szCs w:val="20"/>
                <w:lang w:val="fr-CA"/>
              </w:rPr>
              <w:t>Cadrin, Steve</w:t>
            </w:r>
          </w:p>
          <w:p w:rsidR="00F138C1" w:rsidRPr="00EE0DCD" w:rsidRDefault="00F138C1" w:rsidP="00F138C1">
            <w:pPr>
              <w:tabs>
                <w:tab w:val="left" w:pos="-1440"/>
                <w:tab w:val="left" w:pos="-720"/>
              </w:tabs>
              <w:rPr>
                <w:sz w:val="20"/>
                <w:szCs w:val="20"/>
                <w:lang w:val="fr-CA"/>
              </w:rPr>
            </w:pPr>
            <w:r w:rsidRPr="00EE0DCD">
              <w:rPr>
                <w:sz w:val="20"/>
                <w:szCs w:val="20"/>
                <w:lang w:val="fr-CA"/>
              </w:rPr>
              <w:tab/>
            </w:r>
            <w:r w:rsidR="00420A01" w:rsidRPr="00EE0DCD">
              <w:rPr>
                <w:sz w:val="20"/>
                <w:szCs w:val="20"/>
                <w:lang w:val="fr-CA"/>
              </w:rPr>
              <w:t>Dufresne Hébert Comeau</w:t>
            </w:r>
          </w:p>
          <w:p w:rsidR="00F138C1" w:rsidRPr="00EE0DCD" w:rsidRDefault="00F138C1" w:rsidP="00F138C1">
            <w:pPr>
              <w:tabs>
                <w:tab w:val="left" w:pos="-1440"/>
                <w:tab w:val="left" w:pos="-720"/>
              </w:tabs>
              <w:rPr>
                <w:sz w:val="20"/>
                <w:szCs w:val="20"/>
                <w:lang w:val="fr-CA"/>
              </w:rPr>
            </w:pPr>
          </w:p>
          <w:p w:rsidR="00F138C1" w:rsidRPr="00EE0DCD" w:rsidRDefault="00F138C1" w:rsidP="00F138C1">
            <w:pPr>
              <w:rPr>
                <w:sz w:val="20"/>
                <w:szCs w:val="20"/>
              </w:rPr>
            </w:pPr>
            <w:r w:rsidRPr="00EE0DCD">
              <w:rPr>
                <w:sz w:val="20"/>
                <w:szCs w:val="20"/>
              </w:rPr>
              <w:t xml:space="preserve">FILING DATE: </w:t>
            </w:r>
            <w:r w:rsidR="00420A01" w:rsidRPr="00EE0DCD">
              <w:rPr>
                <w:sz w:val="20"/>
                <w:szCs w:val="20"/>
              </w:rPr>
              <w:t>December</w:t>
            </w:r>
            <w:r w:rsidRPr="00EE0DCD">
              <w:rPr>
                <w:sz w:val="20"/>
                <w:szCs w:val="20"/>
              </w:rPr>
              <w:t xml:space="preserve"> </w:t>
            </w:r>
            <w:r w:rsidR="00420A01" w:rsidRPr="00EE0DCD">
              <w:rPr>
                <w:sz w:val="20"/>
                <w:szCs w:val="20"/>
              </w:rPr>
              <w:t>28</w:t>
            </w:r>
            <w:r w:rsidRPr="00EE0DCD">
              <w:rPr>
                <w:sz w:val="20"/>
                <w:szCs w:val="20"/>
              </w:rPr>
              <w:t>, 20</w:t>
            </w:r>
            <w:r w:rsidR="00DA1D48" w:rsidRPr="00EE0DCD">
              <w:rPr>
                <w:sz w:val="20"/>
                <w:szCs w:val="20"/>
              </w:rPr>
              <w:t>2</w:t>
            </w:r>
            <w:r w:rsidR="00420A01" w:rsidRPr="00EE0DCD">
              <w:rPr>
                <w:sz w:val="20"/>
                <w:szCs w:val="20"/>
              </w:rPr>
              <w:t>2</w:t>
            </w:r>
          </w:p>
          <w:p w:rsidR="004B2E86" w:rsidRPr="00EE0DCD" w:rsidRDefault="004B2E86" w:rsidP="00F138C1">
            <w:pPr>
              <w:rPr>
                <w:sz w:val="20"/>
                <w:szCs w:val="20"/>
              </w:rPr>
            </w:pPr>
          </w:p>
          <w:p w:rsidR="00F138C1" w:rsidRPr="00EE0DCD" w:rsidRDefault="00962BCB" w:rsidP="00F138C1">
            <w:pPr>
              <w:rPr>
                <w:sz w:val="20"/>
                <w:szCs w:val="20"/>
              </w:rPr>
            </w:pPr>
            <w:r w:rsidRPr="00EE0DCD">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E0DCD" w:rsidRDefault="00F138C1" w:rsidP="00F138C1">
            <w:pPr>
              <w:jc w:val="center"/>
              <w:rPr>
                <w:sz w:val="20"/>
                <w:szCs w:val="20"/>
              </w:rPr>
            </w:pPr>
          </w:p>
          <w:p w:rsidR="00F138C1" w:rsidRPr="00EE0DCD" w:rsidRDefault="00F138C1" w:rsidP="00F138C1">
            <w:pPr>
              <w:jc w:val="center"/>
              <w:rPr>
                <w:sz w:val="20"/>
                <w:szCs w:val="20"/>
              </w:rPr>
            </w:pPr>
          </w:p>
          <w:p w:rsidR="00F138C1" w:rsidRPr="00EE0DCD" w:rsidRDefault="00F138C1" w:rsidP="00F138C1">
            <w:pPr>
              <w:jc w:val="center"/>
              <w:rPr>
                <w:sz w:val="20"/>
                <w:szCs w:val="20"/>
              </w:rPr>
            </w:pPr>
          </w:p>
          <w:p w:rsidR="00F138C1" w:rsidRPr="00EE0DCD" w:rsidRDefault="00F138C1" w:rsidP="00F138C1">
            <w:pPr>
              <w:jc w:val="center"/>
              <w:rPr>
                <w:sz w:val="20"/>
                <w:szCs w:val="20"/>
              </w:rPr>
            </w:pPr>
          </w:p>
          <w:p w:rsidR="00F138C1" w:rsidRPr="00EE0DCD" w:rsidRDefault="00F138C1" w:rsidP="00F138C1">
            <w:pPr>
              <w:jc w:val="center"/>
              <w:rPr>
                <w:sz w:val="20"/>
                <w:szCs w:val="20"/>
              </w:rPr>
            </w:pPr>
          </w:p>
          <w:p w:rsidR="00F138C1" w:rsidRPr="00EE0DCD" w:rsidRDefault="00F138C1" w:rsidP="00F138C1">
            <w:pPr>
              <w:jc w:val="center"/>
              <w:rPr>
                <w:sz w:val="20"/>
                <w:szCs w:val="20"/>
              </w:rPr>
            </w:pPr>
          </w:p>
          <w:p w:rsidR="00F138C1" w:rsidRPr="00EE0DCD" w:rsidRDefault="00F138C1" w:rsidP="00F138C1">
            <w:pPr>
              <w:jc w:val="center"/>
              <w:rPr>
                <w:sz w:val="20"/>
                <w:szCs w:val="20"/>
              </w:rPr>
            </w:pPr>
          </w:p>
          <w:p w:rsidR="00F138C1" w:rsidRPr="00EE0DCD" w:rsidRDefault="00F138C1" w:rsidP="00F138C1">
            <w:pPr>
              <w:jc w:val="center"/>
              <w:rPr>
                <w:sz w:val="20"/>
                <w:szCs w:val="20"/>
              </w:rPr>
            </w:pPr>
          </w:p>
          <w:p w:rsidR="00F138C1" w:rsidRPr="00EE0DCD" w:rsidRDefault="00F138C1" w:rsidP="00F138C1">
            <w:pPr>
              <w:jc w:val="center"/>
              <w:rPr>
                <w:sz w:val="20"/>
                <w:szCs w:val="20"/>
              </w:rPr>
            </w:pPr>
          </w:p>
          <w:p w:rsidR="00F138C1" w:rsidRPr="00EE0DCD" w:rsidRDefault="00F138C1" w:rsidP="00F138C1">
            <w:pPr>
              <w:jc w:val="center"/>
              <w:rPr>
                <w:sz w:val="20"/>
                <w:szCs w:val="20"/>
              </w:rPr>
            </w:pPr>
          </w:p>
          <w:p w:rsidR="00F138C1" w:rsidRPr="00EE0DCD" w:rsidRDefault="00F138C1" w:rsidP="00F138C1">
            <w:pPr>
              <w:jc w:val="center"/>
              <w:rPr>
                <w:sz w:val="20"/>
                <w:szCs w:val="20"/>
              </w:rPr>
            </w:pPr>
          </w:p>
          <w:p w:rsidR="004B2E86" w:rsidRPr="00EE0DCD" w:rsidRDefault="004B2E86" w:rsidP="00F138C1">
            <w:pPr>
              <w:jc w:val="center"/>
              <w:rPr>
                <w:sz w:val="20"/>
                <w:szCs w:val="20"/>
              </w:rPr>
            </w:pPr>
          </w:p>
          <w:p w:rsidR="001B39D1" w:rsidRPr="00EE0DCD" w:rsidRDefault="001B39D1" w:rsidP="00F138C1">
            <w:pPr>
              <w:jc w:val="center"/>
              <w:rPr>
                <w:sz w:val="20"/>
                <w:szCs w:val="20"/>
              </w:rPr>
            </w:pPr>
          </w:p>
          <w:p w:rsidR="00F138C1" w:rsidRPr="00EE0DCD" w:rsidRDefault="00F138C1" w:rsidP="00F138C1">
            <w:pPr>
              <w:jc w:val="center"/>
              <w:rPr>
                <w:sz w:val="20"/>
                <w:szCs w:val="20"/>
              </w:rPr>
            </w:pPr>
          </w:p>
        </w:tc>
        <w:tc>
          <w:tcPr>
            <w:tcW w:w="4239" w:type="dxa"/>
            <w:shd w:val="clear" w:color="auto" w:fill="auto"/>
          </w:tcPr>
          <w:p w:rsidR="00962BCB" w:rsidRPr="00EE0DCD" w:rsidRDefault="001B39D1" w:rsidP="00962BCB">
            <w:pPr>
              <w:rPr>
                <w:sz w:val="20"/>
                <w:szCs w:val="20"/>
                <w:lang w:val="en-US"/>
              </w:rPr>
            </w:pPr>
            <w:r w:rsidRPr="00EE0DCD">
              <w:rPr>
                <w:b/>
                <w:sz w:val="20"/>
                <w:szCs w:val="20"/>
                <w:lang w:val="en-US"/>
              </w:rPr>
              <w:t>Nevio Cimolai</w:t>
            </w:r>
          </w:p>
          <w:p w:rsidR="00962BCB" w:rsidRPr="00EE0DCD" w:rsidRDefault="00962BCB" w:rsidP="00962BCB">
            <w:pPr>
              <w:tabs>
                <w:tab w:val="left" w:pos="-1440"/>
                <w:tab w:val="left" w:pos="-720"/>
              </w:tabs>
              <w:rPr>
                <w:sz w:val="20"/>
                <w:szCs w:val="20"/>
                <w:lang w:val="en-US"/>
              </w:rPr>
            </w:pPr>
            <w:r w:rsidRPr="00EE0DCD">
              <w:rPr>
                <w:sz w:val="20"/>
                <w:szCs w:val="20"/>
                <w:lang w:val="en-US"/>
              </w:rPr>
              <w:tab/>
            </w:r>
            <w:r w:rsidR="001B39D1" w:rsidRPr="00EE0DCD">
              <w:rPr>
                <w:sz w:val="20"/>
                <w:szCs w:val="20"/>
                <w:lang w:val="en-US"/>
              </w:rPr>
              <w:t>Nevio Cimolai</w:t>
            </w:r>
          </w:p>
          <w:p w:rsidR="00962BCB" w:rsidRPr="00EE0DCD" w:rsidRDefault="00962BCB" w:rsidP="00962BCB">
            <w:pPr>
              <w:tabs>
                <w:tab w:val="left" w:pos="-1440"/>
                <w:tab w:val="left" w:pos="-720"/>
              </w:tabs>
              <w:rPr>
                <w:sz w:val="20"/>
                <w:szCs w:val="20"/>
                <w:lang w:val="en-US"/>
              </w:rPr>
            </w:pPr>
          </w:p>
          <w:p w:rsidR="00962BCB" w:rsidRPr="00EE0DCD" w:rsidRDefault="00962BCB" w:rsidP="00962BCB">
            <w:pPr>
              <w:tabs>
                <w:tab w:val="left" w:pos="-1440"/>
                <w:tab w:val="left" w:pos="-720"/>
              </w:tabs>
              <w:rPr>
                <w:sz w:val="20"/>
                <w:szCs w:val="20"/>
                <w:lang w:val="en-US"/>
              </w:rPr>
            </w:pPr>
            <w:r w:rsidRPr="00EE0DCD">
              <w:rPr>
                <w:sz w:val="20"/>
                <w:szCs w:val="20"/>
                <w:lang w:val="en-US"/>
              </w:rPr>
              <w:tab/>
              <w:t>v. (40</w:t>
            </w:r>
            <w:r w:rsidR="001D6F72" w:rsidRPr="00EE0DCD">
              <w:rPr>
                <w:sz w:val="20"/>
                <w:szCs w:val="20"/>
                <w:lang w:val="en-US"/>
              </w:rPr>
              <w:t>604</w:t>
            </w:r>
            <w:r w:rsidRPr="00EE0DCD">
              <w:rPr>
                <w:sz w:val="20"/>
                <w:szCs w:val="20"/>
                <w:lang w:val="en-US"/>
              </w:rPr>
              <w:t>)</w:t>
            </w:r>
          </w:p>
          <w:p w:rsidR="00962BCB" w:rsidRPr="00EE0DCD" w:rsidRDefault="00962BCB" w:rsidP="00962BCB">
            <w:pPr>
              <w:tabs>
                <w:tab w:val="left" w:pos="-1440"/>
                <w:tab w:val="left" w:pos="-720"/>
              </w:tabs>
              <w:rPr>
                <w:sz w:val="20"/>
                <w:szCs w:val="20"/>
                <w:lang w:val="en-US"/>
              </w:rPr>
            </w:pPr>
          </w:p>
          <w:p w:rsidR="00962BCB" w:rsidRPr="00EE0DCD" w:rsidRDefault="001B39D1" w:rsidP="00962BCB">
            <w:pPr>
              <w:tabs>
                <w:tab w:val="left" w:pos="-1440"/>
                <w:tab w:val="left" w:pos="-720"/>
              </w:tabs>
              <w:rPr>
                <w:b/>
                <w:sz w:val="20"/>
                <w:szCs w:val="20"/>
                <w:lang w:val="en-US"/>
              </w:rPr>
            </w:pPr>
            <w:r w:rsidRPr="00EE0DCD">
              <w:rPr>
                <w:b/>
                <w:sz w:val="20"/>
                <w:szCs w:val="20"/>
                <w:lang w:val="en-US"/>
              </w:rPr>
              <w:t>British Columbia (Medical Services Commission)</w:t>
            </w:r>
            <w:r w:rsidR="00962BCB" w:rsidRPr="00EE0DCD">
              <w:rPr>
                <w:b/>
                <w:sz w:val="20"/>
                <w:szCs w:val="20"/>
                <w:lang w:val="en-US"/>
              </w:rPr>
              <w:t xml:space="preserve"> (</w:t>
            </w:r>
            <w:r w:rsidRPr="00EE0DCD">
              <w:rPr>
                <w:b/>
                <w:sz w:val="20"/>
                <w:szCs w:val="20"/>
                <w:lang w:val="en-US"/>
              </w:rPr>
              <w:t>B.C</w:t>
            </w:r>
            <w:r w:rsidR="00962BCB" w:rsidRPr="00EE0DCD">
              <w:rPr>
                <w:b/>
                <w:sz w:val="20"/>
                <w:szCs w:val="20"/>
                <w:lang w:val="en-US"/>
              </w:rPr>
              <w:t>.)</w:t>
            </w:r>
          </w:p>
          <w:p w:rsidR="00962BCB" w:rsidRPr="00EE0DCD" w:rsidRDefault="00962BCB" w:rsidP="00962BCB">
            <w:pPr>
              <w:tabs>
                <w:tab w:val="left" w:pos="-1440"/>
                <w:tab w:val="left" w:pos="-720"/>
              </w:tabs>
              <w:rPr>
                <w:sz w:val="20"/>
                <w:szCs w:val="20"/>
                <w:lang w:val="en-US"/>
              </w:rPr>
            </w:pPr>
            <w:r w:rsidRPr="00EE0DCD">
              <w:rPr>
                <w:sz w:val="20"/>
                <w:szCs w:val="20"/>
                <w:lang w:val="en-US"/>
              </w:rPr>
              <w:tab/>
            </w:r>
            <w:r w:rsidR="001B39D1" w:rsidRPr="00EE0DCD">
              <w:rPr>
                <w:sz w:val="20"/>
                <w:szCs w:val="20"/>
                <w:lang w:val="en-US"/>
              </w:rPr>
              <w:t>Hogg, Keith</w:t>
            </w:r>
          </w:p>
          <w:p w:rsidR="00962BCB" w:rsidRPr="00EE0DCD" w:rsidRDefault="00962BCB" w:rsidP="00962BCB">
            <w:pPr>
              <w:tabs>
                <w:tab w:val="left" w:pos="-1440"/>
                <w:tab w:val="left" w:pos="-720"/>
              </w:tabs>
              <w:rPr>
                <w:sz w:val="20"/>
                <w:szCs w:val="20"/>
                <w:lang w:val="en-US"/>
              </w:rPr>
            </w:pPr>
            <w:r w:rsidRPr="00EE0DCD">
              <w:rPr>
                <w:sz w:val="20"/>
                <w:szCs w:val="20"/>
                <w:lang w:val="en-US"/>
              </w:rPr>
              <w:tab/>
            </w:r>
            <w:r w:rsidR="001B39D1" w:rsidRPr="00EE0DCD">
              <w:rPr>
                <w:sz w:val="20"/>
                <w:szCs w:val="20"/>
                <w:lang w:val="en-US"/>
              </w:rPr>
              <w:t>Ministry of Attorney General (BC)</w:t>
            </w:r>
          </w:p>
          <w:p w:rsidR="00962BCB" w:rsidRPr="00EE0DCD" w:rsidRDefault="00962BCB" w:rsidP="00962BCB">
            <w:pPr>
              <w:tabs>
                <w:tab w:val="left" w:pos="-1440"/>
                <w:tab w:val="left" w:pos="-720"/>
              </w:tabs>
              <w:rPr>
                <w:sz w:val="20"/>
                <w:szCs w:val="20"/>
                <w:lang w:val="en-US"/>
              </w:rPr>
            </w:pPr>
          </w:p>
          <w:p w:rsidR="00962BCB" w:rsidRPr="00EE0DCD" w:rsidRDefault="00962BCB" w:rsidP="00962BCB">
            <w:pPr>
              <w:rPr>
                <w:sz w:val="20"/>
                <w:szCs w:val="20"/>
              </w:rPr>
            </w:pPr>
            <w:r w:rsidRPr="00EE0DCD">
              <w:rPr>
                <w:sz w:val="20"/>
                <w:szCs w:val="20"/>
              </w:rPr>
              <w:t xml:space="preserve">FILING DATE: </w:t>
            </w:r>
            <w:r w:rsidR="001B39D1" w:rsidRPr="00EE0DCD">
              <w:rPr>
                <w:sz w:val="20"/>
                <w:szCs w:val="20"/>
              </w:rPr>
              <w:t>February</w:t>
            </w:r>
            <w:r w:rsidRPr="00EE0DCD">
              <w:rPr>
                <w:sz w:val="20"/>
                <w:szCs w:val="20"/>
              </w:rPr>
              <w:t xml:space="preserve"> </w:t>
            </w:r>
            <w:r w:rsidR="001B39D1" w:rsidRPr="00EE0DCD">
              <w:rPr>
                <w:sz w:val="20"/>
                <w:szCs w:val="20"/>
              </w:rPr>
              <w:t>10</w:t>
            </w:r>
            <w:r w:rsidRPr="00EE0DCD">
              <w:rPr>
                <w:sz w:val="20"/>
                <w:szCs w:val="20"/>
              </w:rPr>
              <w:t>, 202</w:t>
            </w:r>
            <w:r w:rsidR="001B39D1" w:rsidRPr="00EE0DCD">
              <w:rPr>
                <w:sz w:val="20"/>
                <w:szCs w:val="20"/>
              </w:rPr>
              <w:t>3</w:t>
            </w:r>
          </w:p>
          <w:p w:rsidR="00962BCB" w:rsidRPr="00EE0DCD" w:rsidRDefault="00962BCB" w:rsidP="00962BCB">
            <w:pPr>
              <w:rPr>
                <w:sz w:val="20"/>
                <w:szCs w:val="20"/>
              </w:rPr>
            </w:pPr>
          </w:p>
          <w:p w:rsidR="00F138C1" w:rsidRPr="00EE0DCD" w:rsidRDefault="00962BCB" w:rsidP="00962BCB">
            <w:pPr>
              <w:rPr>
                <w:sz w:val="20"/>
                <w:szCs w:val="20"/>
                <w:lang w:val="fr-CA"/>
              </w:rPr>
            </w:pPr>
            <w:r w:rsidRPr="00EE0DCD">
              <w:rPr>
                <w:sz w:val="20"/>
                <w:szCs w:val="20"/>
                <w:lang w:val="fr-CA"/>
              </w:rPr>
              <w:pict>
                <v:rect id="_x0000_i1062" style="width:108pt;height:1pt" o:hrpct="0" o:hrstd="t" o:hrnoshade="t" o:hr="t" fillcolor="black [3213]" stroked="f"/>
              </w:pict>
            </w:r>
          </w:p>
        </w:tc>
      </w:tr>
      <w:tr w:rsidR="00962BCB" w:rsidRPr="00EE0DCD" w:rsidTr="00F138C1">
        <w:tc>
          <w:tcPr>
            <w:tcW w:w="4239" w:type="dxa"/>
            <w:shd w:val="clear" w:color="auto" w:fill="auto"/>
          </w:tcPr>
          <w:p w:rsidR="00962BCB" w:rsidRPr="00EE0DCD" w:rsidRDefault="00E40E25" w:rsidP="00962BCB">
            <w:pPr>
              <w:rPr>
                <w:sz w:val="20"/>
                <w:szCs w:val="20"/>
                <w:lang w:val="fr-CA"/>
              </w:rPr>
            </w:pPr>
            <w:r w:rsidRPr="00EE0DCD">
              <w:rPr>
                <w:b/>
                <w:sz w:val="20"/>
                <w:szCs w:val="20"/>
                <w:lang w:val="fr-CA"/>
              </w:rPr>
              <w:t>A.B.</w:t>
            </w:r>
          </w:p>
          <w:p w:rsidR="00962BCB" w:rsidRPr="00EE0DCD" w:rsidRDefault="00962BCB" w:rsidP="00962BCB">
            <w:pPr>
              <w:tabs>
                <w:tab w:val="left" w:pos="-1440"/>
                <w:tab w:val="left" w:pos="-720"/>
              </w:tabs>
              <w:rPr>
                <w:sz w:val="20"/>
                <w:szCs w:val="20"/>
                <w:lang w:val="fr-CA"/>
              </w:rPr>
            </w:pPr>
            <w:r w:rsidRPr="00EE0DCD">
              <w:rPr>
                <w:sz w:val="20"/>
                <w:szCs w:val="20"/>
                <w:lang w:val="fr-CA"/>
              </w:rPr>
              <w:tab/>
            </w:r>
            <w:r w:rsidR="00E40E25" w:rsidRPr="00EE0DCD">
              <w:rPr>
                <w:sz w:val="20"/>
                <w:szCs w:val="20"/>
                <w:lang w:val="fr-CA"/>
              </w:rPr>
              <w:t>A.B.</w:t>
            </w:r>
          </w:p>
          <w:p w:rsidR="00962BCB" w:rsidRPr="00EE0DCD" w:rsidRDefault="00962BCB" w:rsidP="00962BCB">
            <w:pPr>
              <w:tabs>
                <w:tab w:val="left" w:pos="-1440"/>
                <w:tab w:val="left" w:pos="-720"/>
              </w:tabs>
              <w:rPr>
                <w:sz w:val="20"/>
                <w:szCs w:val="20"/>
                <w:lang w:val="fr-CA"/>
              </w:rPr>
            </w:pPr>
          </w:p>
          <w:p w:rsidR="00962BCB" w:rsidRPr="00EE0DCD" w:rsidRDefault="00962BCB" w:rsidP="00962BCB">
            <w:pPr>
              <w:tabs>
                <w:tab w:val="left" w:pos="-1440"/>
                <w:tab w:val="left" w:pos="-720"/>
              </w:tabs>
              <w:rPr>
                <w:sz w:val="20"/>
                <w:szCs w:val="20"/>
                <w:lang w:val="fr-CA"/>
              </w:rPr>
            </w:pPr>
            <w:r w:rsidRPr="00EE0DCD">
              <w:rPr>
                <w:sz w:val="20"/>
                <w:szCs w:val="20"/>
                <w:lang w:val="fr-CA"/>
              </w:rPr>
              <w:tab/>
            </w:r>
            <w:r w:rsidR="00E40E25" w:rsidRPr="00EE0DCD">
              <w:rPr>
                <w:sz w:val="20"/>
                <w:szCs w:val="20"/>
                <w:lang w:val="fr-CA"/>
              </w:rPr>
              <w:t>c</w:t>
            </w:r>
            <w:r w:rsidRPr="00EE0DCD">
              <w:rPr>
                <w:sz w:val="20"/>
                <w:szCs w:val="20"/>
                <w:lang w:val="fr-CA"/>
              </w:rPr>
              <w:t>. (40</w:t>
            </w:r>
            <w:r w:rsidR="001D6F72" w:rsidRPr="00EE0DCD">
              <w:rPr>
                <w:sz w:val="20"/>
                <w:szCs w:val="20"/>
                <w:lang w:val="fr-CA"/>
              </w:rPr>
              <w:t>6</w:t>
            </w:r>
            <w:r w:rsidRPr="00EE0DCD">
              <w:rPr>
                <w:sz w:val="20"/>
                <w:szCs w:val="20"/>
                <w:lang w:val="fr-CA"/>
              </w:rPr>
              <w:t>2</w:t>
            </w:r>
            <w:r w:rsidR="001D6F72" w:rsidRPr="00EE0DCD">
              <w:rPr>
                <w:sz w:val="20"/>
                <w:szCs w:val="20"/>
                <w:lang w:val="fr-CA"/>
              </w:rPr>
              <w:t>3</w:t>
            </w:r>
            <w:r w:rsidRPr="00EE0DCD">
              <w:rPr>
                <w:sz w:val="20"/>
                <w:szCs w:val="20"/>
                <w:lang w:val="fr-CA"/>
              </w:rPr>
              <w:t>)</w:t>
            </w:r>
          </w:p>
          <w:p w:rsidR="00962BCB" w:rsidRPr="00EE0DCD" w:rsidRDefault="00962BCB" w:rsidP="00962BCB">
            <w:pPr>
              <w:tabs>
                <w:tab w:val="left" w:pos="-1440"/>
                <w:tab w:val="left" w:pos="-720"/>
              </w:tabs>
              <w:rPr>
                <w:sz w:val="20"/>
                <w:szCs w:val="20"/>
                <w:lang w:val="fr-CA"/>
              </w:rPr>
            </w:pPr>
          </w:p>
          <w:p w:rsidR="00962BCB" w:rsidRPr="00EE0DCD" w:rsidRDefault="00E40E25" w:rsidP="00962BCB">
            <w:pPr>
              <w:tabs>
                <w:tab w:val="left" w:pos="-1440"/>
                <w:tab w:val="left" w:pos="-720"/>
              </w:tabs>
              <w:rPr>
                <w:b/>
                <w:sz w:val="20"/>
                <w:szCs w:val="20"/>
                <w:lang w:val="fr-CA"/>
              </w:rPr>
            </w:pPr>
            <w:r w:rsidRPr="00EE0DCD">
              <w:rPr>
                <w:b/>
                <w:sz w:val="20"/>
                <w:szCs w:val="20"/>
                <w:lang w:val="fr-CA"/>
              </w:rPr>
              <w:t>S.S.</w:t>
            </w:r>
            <w:r w:rsidR="00962BCB" w:rsidRPr="00EE0DCD">
              <w:rPr>
                <w:b/>
                <w:sz w:val="20"/>
                <w:szCs w:val="20"/>
                <w:lang w:val="fr-CA"/>
              </w:rPr>
              <w:t xml:space="preserve"> (Q</w:t>
            </w:r>
            <w:r w:rsidRPr="00EE0DCD">
              <w:rPr>
                <w:b/>
                <w:sz w:val="20"/>
                <w:szCs w:val="20"/>
                <w:lang w:val="fr-CA"/>
              </w:rPr>
              <w:t>c</w:t>
            </w:r>
            <w:r w:rsidR="00962BCB" w:rsidRPr="00EE0DCD">
              <w:rPr>
                <w:b/>
                <w:sz w:val="20"/>
                <w:szCs w:val="20"/>
                <w:lang w:val="fr-CA"/>
              </w:rPr>
              <w:t>)</w:t>
            </w:r>
          </w:p>
          <w:p w:rsidR="00962BCB" w:rsidRPr="00EE0DCD" w:rsidRDefault="00962BCB" w:rsidP="00962BCB">
            <w:pPr>
              <w:tabs>
                <w:tab w:val="left" w:pos="-1440"/>
                <w:tab w:val="left" w:pos="-720"/>
              </w:tabs>
              <w:rPr>
                <w:sz w:val="20"/>
                <w:szCs w:val="20"/>
                <w:lang w:val="fr-CA"/>
              </w:rPr>
            </w:pPr>
            <w:r w:rsidRPr="00EE0DCD">
              <w:rPr>
                <w:sz w:val="20"/>
                <w:szCs w:val="20"/>
                <w:lang w:val="fr-CA"/>
              </w:rPr>
              <w:tab/>
            </w:r>
            <w:r w:rsidR="00E40E25" w:rsidRPr="00EE0DCD">
              <w:rPr>
                <w:sz w:val="20"/>
                <w:szCs w:val="20"/>
                <w:lang w:val="fr-CA"/>
              </w:rPr>
              <w:t>Larin-Larouche, Athéna</w:t>
            </w:r>
          </w:p>
          <w:p w:rsidR="00962BCB" w:rsidRPr="00EE0DCD" w:rsidRDefault="00962BCB" w:rsidP="00962BCB">
            <w:pPr>
              <w:tabs>
                <w:tab w:val="left" w:pos="-1440"/>
                <w:tab w:val="left" w:pos="-720"/>
              </w:tabs>
              <w:rPr>
                <w:sz w:val="20"/>
                <w:szCs w:val="20"/>
                <w:lang w:val="fr-CA"/>
              </w:rPr>
            </w:pPr>
            <w:r w:rsidRPr="00EE0DCD">
              <w:rPr>
                <w:sz w:val="20"/>
                <w:szCs w:val="20"/>
                <w:lang w:val="fr-CA"/>
              </w:rPr>
              <w:tab/>
            </w:r>
            <w:r w:rsidR="00E40E25" w:rsidRPr="00EE0DCD">
              <w:rPr>
                <w:sz w:val="20"/>
                <w:szCs w:val="20"/>
                <w:lang w:val="fr-CA"/>
              </w:rPr>
              <w:t>Beaudry, Bertrand s.e.n.c.r.l.</w:t>
            </w:r>
          </w:p>
          <w:p w:rsidR="00962BCB" w:rsidRPr="00EE0DCD" w:rsidRDefault="00962BCB" w:rsidP="00962BCB">
            <w:pPr>
              <w:tabs>
                <w:tab w:val="left" w:pos="-1440"/>
                <w:tab w:val="left" w:pos="-720"/>
              </w:tabs>
              <w:rPr>
                <w:sz w:val="20"/>
                <w:szCs w:val="20"/>
                <w:lang w:val="fr-CA"/>
              </w:rPr>
            </w:pPr>
          </w:p>
          <w:p w:rsidR="00962BCB" w:rsidRPr="00EE0DCD" w:rsidRDefault="00962BCB" w:rsidP="00962BCB">
            <w:pPr>
              <w:rPr>
                <w:sz w:val="20"/>
                <w:szCs w:val="20"/>
                <w:lang w:val="fr-CA"/>
              </w:rPr>
            </w:pPr>
            <w:r w:rsidRPr="00EE0DCD">
              <w:rPr>
                <w:sz w:val="20"/>
                <w:szCs w:val="20"/>
                <w:lang w:val="fr-CA"/>
              </w:rPr>
              <w:t>DATE</w:t>
            </w:r>
            <w:r w:rsidR="00E40E25" w:rsidRPr="00EE0DCD">
              <w:rPr>
                <w:sz w:val="20"/>
                <w:szCs w:val="20"/>
                <w:lang w:val="fr-CA"/>
              </w:rPr>
              <w:t xml:space="preserve"> DE PRODUCTION</w:t>
            </w:r>
            <w:r w:rsidRPr="00EE0DCD">
              <w:rPr>
                <w:sz w:val="20"/>
                <w:szCs w:val="20"/>
                <w:lang w:val="fr-CA"/>
              </w:rPr>
              <w:t xml:space="preserve">: </w:t>
            </w:r>
            <w:r w:rsidR="00E40E25" w:rsidRPr="00EE0DCD">
              <w:rPr>
                <w:sz w:val="20"/>
                <w:szCs w:val="20"/>
                <w:lang w:val="fr-CA"/>
              </w:rPr>
              <w:t>le</w:t>
            </w:r>
            <w:r w:rsidRPr="00EE0DCD">
              <w:rPr>
                <w:sz w:val="20"/>
                <w:szCs w:val="20"/>
                <w:lang w:val="fr-CA"/>
              </w:rPr>
              <w:t xml:space="preserve"> 2</w:t>
            </w:r>
            <w:r w:rsidR="00E40E25" w:rsidRPr="00EE0DCD">
              <w:rPr>
                <w:sz w:val="20"/>
                <w:szCs w:val="20"/>
                <w:lang w:val="fr-CA"/>
              </w:rPr>
              <w:t>3 f</w:t>
            </w:r>
            <w:r w:rsidR="00E40E25" w:rsidRPr="00EE0DCD">
              <w:rPr>
                <w:sz w:val="20"/>
                <w:szCs w:val="20"/>
                <w:lang w:val="fr-CA"/>
              </w:rPr>
              <w:t>é</w:t>
            </w:r>
            <w:r w:rsidR="00E40E25" w:rsidRPr="00EE0DCD">
              <w:rPr>
                <w:sz w:val="20"/>
                <w:szCs w:val="20"/>
                <w:lang w:val="fr-CA"/>
              </w:rPr>
              <w:t>vrier</w:t>
            </w:r>
            <w:r w:rsidRPr="00EE0DCD">
              <w:rPr>
                <w:sz w:val="20"/>
                <w:szCs w:val="20"/>
                <w:lang w:val="fr-CA"/>
              </w:rPr>
              <w:t xml:space="preserve"> 202</w:t>
            </w:r>
            <w:r w:rsidR="00E40E25" w:rsidRPr="00EE0DCD">
              <w:rPr>
                <w:sz w:val="20"/>
                <w:szCs w:val="20"/>
                <w:lang w:val="fr-CA"/>
              </w:rPr>
              <w:t>3</w:t>
            </w:r>
          </w:p>
          <w:p w:rsidR="00962BCB" w:rsidRPr="00EE0DCD" w:rsidRDefault="00962BCB" w:rsidP="00962BCB">
            <w:pPr>
              <w:rPr>
                <w:sz w:val="20"/>
                <w:szCs w:val="20"/>
                <w:lang w:val="fr-CA"/>
              </w:rPr>
            </w:pPr>
          </w:p>
          <w:p w:rsidR="00962BCB" w:rsidRPr="00EE0DCD" w:rsidRDefault="00962BCB" w:rsidP="00962BCB">
            <w:pPr>
              <w:rPr>
                <w:b/>
                <w:sz w:val="20"/>
                <w:szCs w:val="20"/>
                <w:lang w:val="fr-CA"/>
              </w:rPr>
            </w:pPr>
            <w:r w:rsidRPr="00EE0DCD">
              <w:rPr>
                <w:sz w:val="20"/>
                <w:szCs w:val="20"/>
                <w:lang w:val="fr-CA"/>
              </w:rPr>
              <w:pict>
                <v:rect id="_x0000_i1063" style="width:108pt;height:1pt" o:hrpct="0" o:hrstd="t" o:hrnoshade="t" o:hr="t" fillcolor="black [3213]" stroked="f"/>
              </w:pict>
            </w:r>
          </w:p>
        </w:tc>
        <w:tc>
          <w:tcPr>
            <w:tcW w:w="1141" w:type="dxa"/>
            <w:shd w:val="clear" w:color="auto" w:fill="auto"/>
          </w:tcPr>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p w:rsidR="001B39D1" w:rsidRPr="00EE0DCD" w:rsidRDefault="001B39D1" w:rsidP="00F138C1">
            <w:pPr>
              <w:jc w:val="center"/>
              <w:rPr>
                <w:sz w:val="20"/>
                <w:szCs w:val="20"/>
                <w:lang w:val="fr-CA"/>
              </w:rPr>
            </w:pPr>
          </w:p>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p w:rsidR="00962BCB" w:rsidRPr="00EE0DCD" w:rsidRDefault="00962BCB" w:rsidP="00F138C1">
            <w:pPr>
              <w:jc w:val="center"/>
              <w:rPr>
                <w:sz w:val="20"/>
                <w:szCs w:val="20"/>
                <w:lang w:val="fr-CA"/>
              </w:rPr>
            </w:pPr>
          </w:p>
        </w:tc>
        <w:tc>
          <w:tcPr>
            <w:tcW w:w="4239" w:type="dxa"/>
            <w:shd w:val="clear" w:color="auto" w:fill="auto"/>
          </w:tcPr>
          <w:p w:rsidR="00962BCB" w:rsidRPr="00EE0DCD" w:rsidRDefault="00F163E8" w:rsidP="00962BCB">
            <w:pPr>
              <w:rPr>
                <w:sz w:val="20"/>
                <w:szCs w:val="20"/>
                <w:lang w:val="fr-CA"/>
              </w:rPr>
            </w:pPr>
            <w:r w:rsidRPr="00EE0DCD">
              <w:rPr>
                <w:b/>
                <w:sz w:val="20"/>
                <w:szCs w:val="20"/>
                <w:lang w:val="fr-CA"/>
              </w:rPr>
              <w:t>Agence du revenu du Québec</w:t>
            </w:r>
          </w:p>
          <w:p w:rsidR="001B39D1" w:rsidRPr="00EE0DCD" w:rsidRDefault="001B39D1" w:rsidP="001B39D1">
            <w:pPr>
              <w:tabs>
                <w:tab w:val="left" w:pos="-1440"/>
                <w:tab w:val="left" w:pos="-720"/>
              </w:tabs>
              <w:rPr>
                <w:sz w:val="20"/>
                <w:szCs w:val="20"/>
                <w:lang w:val="fr-CA"/>
              </w:rPr>
            </w:pPr>
            <w:r w:rsidRPr="00EE0DCD">
              <w:rPr>
                <w:sz w:val="20"/>
                <w:szCs w:val="20"/>
                <w:lang w:val="fr-CA"/>
              </w:rPr>
              <w:tab/>
            </w:r>
            <w:r w:rsidR="00F163E8" w:rsidRPr="00EE0DCD">
              <w:rPr>
                <w:sz w:val="20"/>
                <w:szCs w:val="20"/>
                <w:lang w:val="fr-CA"/>
              </w:rPr>
              <w:t>Cantin, Daniel</w:t>
            </w:r>
          </w:p>
          <w:p w:rsidR="001B39D1" w:rsidRPr="00EE0DCD" w:rsidRDefault="001B39D1" w:rsidP="001B39D1">
            <w:pPr>
              <w:tabs>
                <w:tab w:val="left" w:pos="-1440"/>
                <w:tab w:val="left" w:pos="-720"/>
              </w:tabs>
              <w:rPr>
                <w:sz w:val="20"/>
                <w:szCs w:val="20"/>
                <w:lang w:val="fr-CA"/>
              </w:rPr>
            </w:pPr>
            <w:r w:rsidRPr="00EE0DCD">
              <w:rPr>
                <w:sz w:val="20"/>
                <w:szCs w:val="20"/>
                <w:lang w:val="fr-CA"/>
              </w:rPr>
              <w:tab/>
            </w:r>
            <w:r w:rsidR="00F163E8" w:rsidRPr="00EE0DCD">
              <w:rPr>
                <w:sz w:val="20"/>
                <w:szCs w:val="20"/>
                <w:lang w:val="fr-CA"/>
              </w:rPr>
              <w:t>Larivière Meunier</w:t>
            </w:r>
          </w:p>
          <w:p w:rsidR="00962BCB" w:rsidRPr="00EE0DCD" w:rsidRDefault="00962BCB" w:rsidP="00962BCB">
            <w:pPr>
              <w:tabs>
                <w:tab w:val="left" w:pos="-1440"/>
                <w:tab w:val="left" w:pos="-720"/>
              </w:tabs>
              <w:rPr>
                <w:sz w:val="20"/>
                <w:szCs w:val="20"/>
                <w:lang w:val="fr-CA"/>
              </w:rPr>
            </w:pPr>
          </w:p>
          <w:p w:rsidR="00962BCB" w:rsidRPr="00EE0DCD" w:rsidRDefault="00962BCB" w:rsidP="00962BCB">
            <w:pPr>
              <w:tabs>
                <w:tab w:val="left" w:pos="-1440"/>
                <w:tab w:val="left" w:pos="-720"/>
              </w:tabs>
              <w:rPr>
                <w:sz w:val="20"/>
                <w:szCs w:val="20"/>
                <w:lang w:val="fr-CA"/>
              </w:rPr>
            </w:pPr>
            <w:r w:rsidRPr="00EE0DCD">
              <w:rPr>
                <w:sz w:val="20"/>
                <w:szCs w:val="20"/>
                <w:lang w:val="fr-CA"/>
              </w:rPr>
              <w:tab/>
            </w:r>
            <w:r w:rsidR="00F163E8" w:rsidRPr="00EE0DCD">
              <w:rPr>
                <w:sz w:val="20"/>
                <w:szCs w:val="20"/>
                <w:lang w:val="fr-CA"/>
              </w:rPr>
              <w:t>c</w:t>
            </w:r>
            <w:r w:rsidRPr="00EE0DCD">
              <w:rPr>
                <w:sz w:val="20"/>
                <w:szCs w:val="20"/>
                <w:lang w:val="fr-CA"/>
              </w:rPr>
              <w:t>. (40</w:t>
            </w:r>
            <w:r w:rsidR="001D6F72" w:rsidRPr="00EE0DCD">
              <w:rPr>
                <w:sz w:val="20"/>
                <w:szCs w:val="20"/>
                <w:lang w:val="fr-CA"/>
              </w:rPr>
              <w:t>62</w:t>
            </w:r>
            <w:r w:rsidRPr="00EE0DCD">
              <w:rPr>
                <w:sz w:val="20"/>
                <w:szCs w:val="20"/>
                <w:lang w:val="fr-CA"/>
              </w:rPr>
              <w:t>5)</w:t>
            </w:r>
          </w:p>
          <w:p w:rsidR="00962BCB" w:rsidRPr="00EE0DCD" w:rsidRDefault="00962BCB" w:rsidP="00962BCB">
            <w:pPr>
              <w:tabs>
                <w:tab w:val="left" w:pos="-1440"/>
                <w:tab w:val="left" w:pos="-720"/>
              </w:tabs>
              <w:rPr>
                <w:sz w:val="20"/>
                <w:szCs w:val="20"/>
                <w:lang w:val="fr-CA"/>
              </w:rPr>
            </w:pPr>
          </w:p>
          <w:p w:rsidR="00962BCB" w:rsidRPr="00EE0DCD" w:rsidRDefault="00F163E8" w:rsidP="00962BCB">
            <w:pPr>
              <w:tabs>
                <w:tab w:val="left" w:pos="-1440"/>
                <w:tab w:val="left" w:pos="-720"/>
              </w:tabs>
              <w:rPr>
                <w:b/>
                <w:sz w:val="20"/>
                <w:szCs w:val="20"/>
                <w:lang w:val="fr-CA"/>
              </w:rPr>
            </w:pPr>
            <w:r w:rsidRPr="00EE0DCD">
              <w:rPr>
                <w:b/>
                <w:sz w:val="20"/>
                <w:szCs w:val="20"/>
                <w:lang w:val="fr-CA"/>
              </w:rPr>
              <w:t>FTI Conseil Canada, et al.</w:t>
            </w:r>
            <w:r w:rsidR="00962BCB" w:rsidRPr="00EE0DCD">
              <w:rPr>
                <w:b/>
                <w:sz w:val="20"/>
                <w:szCs w:val="20"/>
                <w:lang w:val="fr-CA"/>
              </w:rPr>
              <w:t xml:space="preserve"> (Q</w:t>
            </w:r>
            <w:r w:rsidRPr="00EE0DCD">
              <w:rPr>
                <w:b/>
                <w:sz w:val="20"/>
                <w:szCs w:val="20"/>
                <w:lang w:val="fr-CA"/>
              </w:rPr>
              <w:t>c</w:t>
            </w:r>
            <w:r w:rsidR="00962BCB" w:rsidRPr="00EE0DCD">
              <w:rPr>
                <w:b/>
                <w:sz w:val="20"/>
                <w:szCs w:val="20"/>
                <w:lang w:val="fr-CA"/>
              </w:rPr>
              <w:t>)</w:t>
            </w:r>
          </w:p>
          <w:p w:rsidR="00962BCB" w:rsidRPr="00EE0DCD" w:rsidRDefault="00962BCB" w:rsidP="00962BCB">
            <w:pPr>
              <w:tabs>
                <w:tab w:val="left" w:pos="-1440"/>
                <w:tab w:val="left" w:pos="-720"/>
              </w:tabs>
              <w:rPr>
                <w:sz w:val="20"/>
                <w:szCs w:val="20"/>
                <w:lang w:val="en-US"/>
              </w:rPr>
            </w:pPr>
            <w:r w:rsidRPr="00EE0DCD">
              <w:rPr>
                <w:sz w:val="20"/>
                <w:szCs w:val="20"/>
                <w:lang w:val="fr-CA"/>
              </w:rPr>
              <w:tab/>
            </w:r>
            <w:r w:rsidR="00F163E8" w:rsidRPr="00EE0DCD">
              <w:rPr>
                <w:sz w:val="20"/>
                <w:szCs w:val="20"/>
                <w:lang w:val="en-US"/>
              </w:rPr>
              <w:t>Rigaud, Sylvain</w:t>
            </w:r>
          </w:p>
          <w:p w:rsidR="00962BCB" w:rsidRPr="00EE0DCD" w:rsidRDefault="00962BCB" w:rsidP="00962BCB">
            <w:pPr>
              <w:tabs>
                <w:tab w:val="left" w:pos="-1440"/>
                <w:tab w:val="left" w:pos="-720"/>
              </w:tabs>
              <w:rPr>
                <w:sz w:val="20"/>
                <w:szCs w:val="20"/>
                <w:lang w:val="en-US"/>
              </w:rPr>
            </w:pPr>
            <w:r w:rsidRPr="00EE0DCD">
              <w:rPr>
                <w:sz w:val="20"/>
                <w:szCs w:val="20"/>
                <w:lang w:val="en-US"/>
              </w:rPr>
              <w:tab/>
            </w:r>
            <w:r w:rsidR="00F163E8" w:rsidRPr="00EE0DCD">
              <w:rPr>
                <w:sz w:val="20"/>
                <w:szCs w:val="20"/>
                <w:lang w:val="en-US"/>
              </w:rPr>
              <w:t>Woods s.e.n.c.r.l.</w:t>
            </w:r>
          </w:p>
          <w:p w:rsidR="00962BCB" w:rsidRPr="00EE0DCD" w:rsidRDefault="00962BCB" w:rsidP="00962BCB">
            <w:pPr>
              <w:tabs>
                <w:tab w:val="left" w:pos="-1440"/>
                <w:tab w:val="left" w:pos="-720"/>
              </w:tabs>
              <w:rPr>
                <w:sz w:val="20"/>
                <w:szCs w:val="20"/>
                <w:lang w:val="en-US"/>
              </w:rPr>
            </w:pPr>
          </w:p>
          <w:p w:rsidR="00F163E8" w:rsidRPr="00EE0DCD" w:rsidRDefault="00F163E8" w:rsidP="00F163E8">
            <w:pPr>
              <w:rPr>
                <w:sz w:val="20"/>
                <w:szCs w:val="20"/>
                <w:lang w:val="fr-CA"/>
              </w:rPr>
            </w:pPr>
            <w:r w:rsidRPr="00EE0DCD">
              <w:rPr>
                <w:sz w:val="20"/>
                <w:szCs w:val="20"/>
                <w:lang w:val="fr-CA"/>
              </w:rPr>
              <w:t>DATE DE PRODUCTION: le 23 février 2023</w:t>
            </w:r>
          </w:p>
          <w:p w:rsidR="00962BCB" w:rsidRPr="00EE0DCD" w:rsidRDefault="00962BCB" w:rsidP="00962BCB">
            <w:pPr>
              <w:rPr>
                <w:sz w:val="20"/>
                <w:szCs w:val="20"/>
                <w:lang w:val="fr-CA"/>
              </w:rPr>
            </w:pPr>
          </w:p>
          <w:p w:rsidR="00962BCB" w:rsidRPr="00EE0DCD" w:rsidRDefault="00962BCB" w:rsidP="00962BCB">
            <w:pPr>
              <w:rPr>
                <w:b/>
                <w:sz w:val="20"/>
                <w:szCs w:val="20"/>
                <w:lang w:val="fr-CA"/>
              </w:rPr>
            </w:pPr>
            <w:r w:rsidRPr="00EE0DCD">
              <w:rPr>
                <w:sz w:val="20"/>
                <w:szCs w:val="20"/>
                <w:lang w:val="fr-CA"/>
              </w:rPr>
              <w:pict>
                <v:rect id="_x0000_i1064" style="width:108pt;height:1pt" o:hrpct="0" o:hrstd="t" o:hrnoshade="t" o:hr="t" fillcolor="black [3213]" stroked="f"/>
              </w:pict>
            </w:r>
          </w:p>
        </w:tc>
      </w:tr>
      <w:tr w:rsidR="00F462AA" w:rsidRPr="00EE0DCD" w:rsidTr="00F138C1">
        <w:tc>
          <w:tcPr>
            <w:tcW w:w="4239" w:type="dxa"/>
            <w:shd w:val="clear" w:color="auto" w:fill="auto"/>
          </w:tcPr>
          <w:p w:rsidR="00F462AA" w:rsidRPr="00EE0DCD" w:rsidRDefault="00B6297F" w:rsidP="00F462AA">
            <w:pPr>
              <w:rPr>
                <w:sz w:val="20"/>
                <w:szCs w:val="20"/>
                <w:lang w:val="fr-CA"/>
              </w:rPr>
            </w:pPr>
            <w:r w:rsidRPr="00EE0DCD">
              <w:rPr>
                <w:b/>
                <w:sz w:val="20"/>
                <w:szCs w:val="20"/>
                <w:lang w:val="fr-CA"/>
              </w:rPr>
              <w:t>Hydro-Québec</w:t>
            </w:r>
          </w:p>
          <w:p w:rsidR="001B39D1" w:rsidRPr="00EE0DCD" w:rsidRDefault="001B39D1" w:rsidP="001B39D1">
            <w:pPr>
              <w:tabs>
                <w:tab w:val="left" w:pos="-1440"/>
                <w:tab w:val="left" w:pos="-720"/>
              </w:tabs>
              <w:rPr>
                <w:sz w:val="20"/>
                <w:szCs w:val="20"/>
                <w:lang w:val="fr-CA"/>
              </w:rPr>
            </w:pPr>
            <w:r w:rsidRPr="00EE0DCD">
              <w:rPr>
                <w:sz w:val="20"/>
                <w:szCs w:val="20"/>
                <w:lang w:val="fr-CA"/>
              </w:rPr>
              <w:tab/>
            </w:r>
            <w:r w:rsidR="00B6297F" w:rsidRPr="00EE0DCD">
              <w:rPr>
                <w:sz w:val="20"/>
                <w:szCs w:val="20"/>
                <w:lang w:val="fr-CA"/>
              </w:rPr>
              <w:t>Boyle, Nancy</w:t>
            </w:r>
          </w:p>
          <w:p w:rsidR="001B39D1" w:rsidRPr="00EE0DCD" w:rsidRDefault="001B39D1" w:rsidP="001B39D1">
            <w:pPr>
              <w:tabs>
                <w:tab w:val="left" w:pos="-1440"/>
                <w:tab w:val="left" w:pos="-720"/>
              </w:tabs>
              <w:rPr>
                <w:sz w:val="20"/>
                <w:szCs w:val="20"/>
                <w:lang w:val="fr-CA"/>
              </w:rPr>
            </w:pPr>
            <w:r w:rsidRPr="00EE0DCD">
              <w:rPr>
                <w:sz w:val="20"/>
                <w:szCs w:val="20"/>
                <w:lang w:val="fr-CA"/>
              </w:rPr>
              <w:tab/>
            </w:r>
            <w:r w:rsidR="00B6297F" w:rsidRPr="00EE0DCD">
              <w:rPr>
                <w:sz w:val="20"/>
                <w:szCs w:val="20"/>
                <w:lang w:val="fr-CA"/>
              </w:rPr>
              <w:t>BCF s.e.n.c.r.l.</w:t>
            </w:r>
          </w:p>
          <w:p w:rsidR="00F462AA" w:rsidRPr="00EE0DCD" w:rsidRDefault="00F462AA" w:rsidP="00F462AA">
            <w:pPr>
              <w:tabs>
                <w:tab w:val="left" w:pos="-1440"/>
                <w:tab w:val="left" w:pos="-720"/>
              </w:tabs>
              <w:rPr>
                <w:sz w:val="20"/>
                <w:szCs w:val="20"/>
                <w:lang w:val="fr-CA"/>
              </w:rPr>
            </w:pPr>
          </w:p>
          <w:p w:rsidR="001D6F72" w:rsidRPr="00EE0DCD" w:rsidRDefault="001D6F72" w:rsidP="001D6F72">
            <w:pPr>
              <w:tabs>
                <w:tab w:val="left" w:pos="-1440"/>
                <w:tab w:val="left" w:pos="-720"/>
              </w:tabs>
              <w:rPr>
                <w:sz w:val="20"/>
                <w:szCs w:val="20"/>
                <w:lang w:val="fr-CA"/>
              </w:rPr>
            </w:pPr>
            <w:r w:rsidRPr="00EE0DCD">
              <w:rPr>
                <w:sz w:val="20"/>
                <w:szCs w:val="20"/>
                <w:lang w:val="fr-CA"/>
              </w:rPr>
              <w:tab/>
            </w:r>
            <w:r w:rsidR="00B6297F" w:rsidRPr="00EE0DCD">
              <w:rPr>
                <w:sz w:val="20"/>
                <w:szCs w:val="20"/>
                <w:lang w:val="fr-CA"/>
              </w:rPr>
              <w:t>v</w:t>
            </w:r>
            <w:r w:rsidRPr="00EE0DCD">
              <w:rPr>
                <w:sz w:val="20"/>
                <w:szCs w:val="20"/>
                <w:lang w:val="fr-CA"/>
              </w:rPr>
              <w:t>. (4062</w:t>
            </w:r>
            <w:r w:rsidRPr="00EE0DCD">
              <w:rPr>
                <w:sz w:val="20"/>
                <w:szCs w:val="20"/>
                <w:lang w:val="fr-CA"/>
              </w:rPr>
              <w:t>6</w:t>
            </w:r>
            <w:r w:rsidRPr="00EE0DCD">
              <w:rPr>
                <w:sz w:val="20"/>
                <w:szCs w:val="20"/>
                <w:lang w:val="fr-CA"/>
              </w:rPr>
              <w:t>)</w:t>
            </w:r>
          </w:p>
          <w:p w:rsidR="00F462AA" w:rsidRPr="00EE0DCD" w:rsidRDefault="00F462AA" w:rsidP="00F462AA">
            <w:pPr>
              <w:tabs>
                <w:tab w:val="left" w:pos="-1440"/>
                <w:tab w:val="left" w:pos="-720"/>
              </w:tabs>
              <w:rPr>
                <w:sz w:val="20"/>
                <w:szCs w:val="20"/>
                <w:lang w:val="fr-CA"/>
              </w:rPr>
            </w:pPr>
          </w:p>
          <w:p w:rsidR="00F462AA" w:rsidRPr="00EE0DCD" w:rsidRDefault="00B6297F" w:rsidP="00F462AA">
            <w:pPr>
              <w:tabs>
                <w:tab w:val="left" w:pos="-1440"/>
                <w:tab w:val="left" w:pos="-720"/>
              </w:tabs>
              <w:rPr>
                <w:b/>
                <w:sz w:val="20"/>
                <w:szCs w:val="20"/>
                <w:lang w:val="fr-CA"/>
              </w:rPr>
            </w:pPr>
            <w:r w:rsidRPr="00EE0DCD">
              <w:rPr>
                <w:b/>
                <w:sz w:val="20"/>
                <w:szCs w:val="20"/>
                <w:lang w:val="fr-CA"/>
              </w:rPr>
              <w:t xml:space="preserve">Syndicat des </w:t>
            </w:r>
            <w:proofErr w:type="gramStart"/>
            <w:r w:rsidRPr="00EE0DCD">
              <w:rPr>
                <w:b/>
                <w:sz w:val="20"/>
                <w:szCs w:val="20"/>
                <w:lang w:val="fr-CA"/>
              </w:rPr>
              <w:t>employé-</w:t>
            </w:r>
            <w:proofErr w:type="gramEnd"/>
            <w:r w:rsidRPr="00EE0DCD">
              <w:rPr>
                <w:b/>
                <w:sz w:val="20"/>
                <w:szCs w:val="20"/>
                <w:lang w:val="fr-CA"/>
              </w:rPr>
              <w:t>es de métiers d'Hydro-Québec, section locale 1500 (SCFP-FTQ)</w:t>
            </w:r>
            <w:r w:rsidR="00F462AA" w:rsidRPr="00EE0DCD">
              <w:rPr>
                <w:b/>
                <w:sz w:val="20"/>
                <w:szCs w:val="20"/>
                <w:lang w:val="fr-CA"/>
              </w:rPr>
              <w:t xml:space="preserve"> (Que.)</w:t>
            </w:r>
          </w:p>
          <w:p w:rsidR="00F462AA" w:rsidRPr="00EE0DCD" w:rsidRDefault="00F462AA" w:rsidP="00F462AA">
            <w:pPr>
              <w:tabs>
                <w:tab w:val="left" w:pos="-1440"/>
                <w:tab w:val="left" w:pos="-720"/>
              </w:tabs>
              <w:rPr>
                <w:sz w:val="20"/>
                <w:szCs w:val="20"/>
                <w:lang w:val="fr-CA"/>
              </w:rPr>
            </w:pPr>
            <w:r w:rsidRPr="00EE0DCD">
              <w:rPr>
                <w:sz w:val="20"/>
                <w:szCs w:val="20"/>
                <w:lang w:val="fr-CA"/>
              </w:rPr>
              <w:tab/>
            </w:r>
            <w:r w:rsidR="00B6297F" w:rsidRPr="00EE0DCD">
              <w:rPr>
                <w:sz w:val="20"/>
                <w:szCs w:val="20"/>
                <w:lang w:val="fr-CA"/>
              </w:rPr>
              <w:t>Grenier, Alexandre</w:t>
            </w:r>
          </w:p>
          <w:p w:rsidR="00F462AA" w:rsidRPr="00EE0DCD" w:rsidRDefault="00F462AA" w:rsidP="00F462AA">
            <w:pPr>
              <w:tabs>
                <w:tab w:val="left" w:pos="-1440"/>
                <w:tab w:val="left" w:pos="-720"/>
              </w:tabs>
              <w:rPr>
                <w:sz w:val="20"/>
                <w:szCs w:val="20"/>
                <w:lang w:val="fr-CA"/>
              </w:rPr>
            </w:pPr>
            <w:r w:rsidRPr="00EE0DCD">
              <w:rPr>
                <w:sz w:val="20"/>
                <w:szCs w:val="20"/>
                <w:lang w:val="fr-CA"/>
              </w:rPr>
              <w:tab/>
            </w:r>
            <w:r w:rsidR="00B6297F" w:rsidRPr="00EE0DCD">
              <w:rPr>
                <w:sz w:val="20"/>
                <w:szCs w:val="20"/>
                <w:lang w:val="fr-CA"/>
              </w:rPr>
              <w:t>Roy Bélanger S.E.N.C.R.L.</w:t>
            </w:r>
          </w:p>
          <w:p w:rsidR="00F462AA" w:rsidRPr="00EE0DCD" w:rsidRDefault="00F462AA" w:rsidP="00F462AA">
            <w:pPr>
              <w:tabs>
                <w:tab w:val="left" w:pos="-1440"/>
                <w:tab w:val="left" w:pos="-720"/>
              </w:tabs>
              <w:rPr>
                <w:sz w:val="20"/>
                <w:szCs w:val="20"/>
                <w:lang w:val="fr-CA"/>
              </w:rPr>
            </w:pPr>
          </w:p>
          <w:p w:rsidR="00B6297F" w:rsidRPr="00EE0DCD" w:rsidRDefault="00B6297F" w:rsidP="00B6297F">
            <w:pPr>
              <w:rPr>
                <w:sz w:val="20"/>
                <w:szCs w:val="20"/>
              </w:rPr>
            </w:pPr>
            <w:r w:rsidRPr="00EE0DCD">
              <w:rPr>
                <w:sz w:val="20"/>
                <w:szCs w:val="20"/>
              </w:rPr>
              <w:t xml:space="preserve">FILING DATE: February </w:t>
            </w:r>
            <w:r w:rsidRPr="00EE0DCD">
              <w:rPr>
                <w:sz w:val="20"/>
                <w:szCs w:val="20"/>
              </w:rPr>
              <w:t>23</w:t>
            </w:r>
            <w:r w:rsidRPr="00EE0DCD">
              <w:rPr>
                <w:sz w:val="20"/>
                <w:szCs w:val="20"/>
              </w:rPr>
              <w:t>, 2023</w:t>
            </w:r>
          </w:p>
          <w:p w:rsidR="00F462AA" w:rsidRPr="00EE0DCD" w:rsidRDefault="00F462AA" w:rsidP="00F462AA">
            <w:pPr>
              <w:rPr>
                <w:sz w:val="20"/>
                <w:szCs w:val="20"/>
                <w:lang w:val="fr-CA"/>
              </w:rPr>
            </w:pPr>
          </w:p>
          <w:p w:rsidR="00F462AA" w:rsidRPr="00EE0DCD" w:rsidRDefault="00F462AA" w:rsidP="00F462AA">
            <w:pPr>
              <w:rPr>
                <w:b/>
                <w:sz w:val="20"/>
                <w:szCs w:val="20"/>
                <w:lang w:val="fr-CA"/>
              </w:rPr>
            </w:pPr>
            <w:r w:rsidRPr="00EE0DCD">
              <w:rPr>
                <w:sz w:val="20"/>
                <w:szCs w:val="20"/>
                <w:lang w:val="fr-CA"/>
              </w:rPr>
              <w:pict>
                <v:rect id="_x0000_i1065" style="width:108pt;height:1pt" o:hrpct="0" o:hrstd="t" o:hrnoshade="t" o:hr="t" fillcolor="black [3213]" stroked="f"/>
              </w:pict>
            </w:r>
          </w:p>
        </w:tc>
        <w:tc>
          <w:tcPr>
            <w:tcW w:w="1141" w:type="dxa"/>
            <w:shd w:val="clear" w:color="auto" w:fill="auto"/>
          </w:tcPr>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1B39D1" w:rsidRPr="00EE0DCD" w:rsidRDefault="001B39D1" w:rsidP="00F138C1">
            <w:pPr>
              <w:jc w:val="center"/>
              <w:rPr>
                <w:sz w:val="20"/>
                <w:szCs w:val="20"/>
              </w:rPr>
            </w:pPr>
          </w:p>
          <w:p w:rsidR="00B6297F" w:rsidRPr="00EE0DCD" w:rsidRDefault="00B6297F" w:rsidP="00F138C1">
            <w:pPr>
              <w:jc w:val="center"/>
              <w:rPr>
                <w:sz w:val="20"/>
                <w:szCs w:val="20"/>
              </w:rPr>
            </w:pPr>
          </w:p>
          <w:p w:rsidR="00B6297F" w:rsidRPr="00EE0DCD" w:rsidRDefault="00B6297F"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tc>
        <w:tc>
          <w:tcPr>
            <w:tcW w:w="4239" w:type="dxa"/>
            <w:shd w:val="clear" w:color="auto" w:fill="auto"/>
          </w:tcPr>
          <w:p w:rsidR="00F462AA" w:rsidRPr="00EE0DCD" w:rsidRDefault="0091450E" w:rsidP="00F462AA">
            <w:pPr>
              <w:rPr>
                <w:sz w:val="20"/>
                <w:szCs w:val="20"/>
                <w:lang w:val="fr-CA"/>
              </w:rPr>
            </w:pPr>
            <w:r w:rsidRPr="00EE0DCD">
              <w:rPr>
                <w:b/>
                <w:sz w:val="20"/>
                <w:szCs w:val="20"/>
                <w:lang w:val="fr-CA"/>
              </w:rPr>
              <w:t>Samson Aristor</w:t>
            </w:r>
          </w:p>
          <w:p w:rsidR="001B39D1" w:rsidRPr="00EE0DCD" w:rsidRDefault="001B39D1" w:rsidP="001B39D1">
            <w:pPr>
              <w:tabs>
                <w:tab w:val="left" w:pos="-1440"/>
                <w:tab w:val="left" w:pos="-720"/>
              </w:tabs>
              <w:rPr>
                <w:sz w:val="20"/>
                <w:szCs w:val="20"/>
                <w:lang w:val="en-US"/>
              </w:rPr>
            </w:pPr>
            <w:r w:rsidRPr="00EE0DCD">
              <w:rPr>
                <w:sz w:val="20"/>
                <w:szCs w:val="20"/>
                <w:lang w:val="fr-CA"/>
              </w:rPr>
              <w:tab/>
            </w:r>
            <w:r w:rsidR="0091450E" w:rsidRPr="00EE0DCD">
              <w:rPr>
                <w:sz w:val="20"/>
                <w:szCs w:val="20"/>
                <w:lang w:val="en-US"/>
              </w:rPr>
              <w:t>Doucette, Delmar</w:t>
            </w:r>
          </w:p>
          <w:p w:rsidR="001B39D1" w:rsidRPr="00EE0DCD" w:rsidRDefault="001B39D1" w:rsidP="001B39D1">
            <w:pPr>
              <w:tabs>
                <w:tab w:val="left" w:pos="-1440"/>
                <w:tab w:val="left" w:pos="-720"/>
              </w:tabs>
              <w:rPr>
                <w:sz w:val="20"/>
                <w:szCs w:val="20"/>
                <w:lang w:val="en-US"/>
              </w:rPr>
            </w:pPr>
            <w:r w:rsidRPr="00EE0DCD">
              <w:rPr>
                <w:sz w:val="20"/>
                <w:szCs w:val="20"/>
                <w:lang w:val="en-US"/>
              </w:rPr>
              <w:tab/>
            </w:r>
            <w:r w:rsidR="0091450E" w:rsidRPr="00EE0DCD">
              <w:rPr>
                <w:sz w:val="20"/>
                <w:szCs w:val="20"/>
                <w:lang w:val="en-US"/>
              </w:rPr>
              <w:t>Doucette Furgiuele Ruffo</w:t>
            </w:r>
          </w:p>
          <w:p w:rsidR="00F462AA" w:rsidRPr="00EE0DCD" w:rsidRDefault="00F462AA" w:rsidP="00F462AA">
            <w:pPr>
              <w:tabs>
                <w:tab w:val="left" w:pos="-1440"/>
                <w:tab w:val="left" w:pos="-720"/>
              </w:tabs>
              <w:rPr>
                <w:sz w:val="20"/>
                <w:szCs w:val="20"/>
                <w:lang w:val="en-US"/>
              </w:rPr>
            </w:pPr>
          </w:p>
          <w:p w:rsidR="001D6F72" w:rsidRPr="00EE0DCD" w:rsidRDefault="001D6F72" w:rsidP="001D6F72">
            <w:pPr>
              <w:tabs>
                <w:tab w:val="left" w:pos="-1440"/>
                <w:tab w:val="left" w:pos="-720"/>
              </w:tabs>
              <w:rPr>
                <w:sz w:val="20"/>
                <w:szCs w:val="20"/>
                <w:lang w:val="en-US"/>
              </w:rPr>
            </w:pPr>
            <w:r w:rsidRPr="00EE0DCD">
              <w:rPr>
                <w:sz w:val="20"/>
                <w:szCs w:val="20"/>
                <w:lang w:val="en-US"/>
              </w:rPr>
              <w:tab/>
              <w:t>v. (4062</w:t>
            </w:r>
            <w:r w:rsidRPr="00EE0DCD">
              <w:rPr>
                <w:sz w:val="20"/>
                <w:szCs w:val="20"/>
                <w:lang w:val="en-US"/>
              </w:rPr>
              <w:t>8</w:t>
            </w:r>
            <w:r w:rsidRPr="00EE0DCD">
              <w:rPr>
                <w:sz w:val="20"/>
                <w:szCs w:val="20"/>
                <w:lang w:val="en-US"/>
              </w:rPr>
              <w:t>)</w:t>
            </w:r>
          </w:p>
          <w:p w:rsidR="00F462AA" w:rsidRPr="00EE0DCD" w:rsidRDefault="00F462AA" w:rsidP="00F462AA">
            <w:pPr>
              <w:tabs>
                <w:tab w:val="left" w:pos="-1440"/>
                <w:tab w:val="left" w:pos="-720"/>
              </w:tabs>
              <w:rPr>
                <w:sz w:val="20"/>
                <w:szCs w:val="20"/>
                <w:lang w:val="en-US"/>
              </w:rPr>
            </w:pPr>
          </w:p>
          <w:p w:rsidR="00F462AA" w:rsidRPr="00EE0DCD" w:rsidRDefault="0091450E" w:rsidP="00F462AA">
            <w:pPr>
              <w:tabs>
                <w:tab w:val="left" w:pos="-1440"/>
                <w:tab w:val="left" w:pos="-720"/>
              </w:tabs>
              <w:rPr>
                <w:b/>
                <w:sz w:val="20"/>
                <w:szCs w:val="20"/>
                <w:lang w:val="en-US"/>
              </w:rPr>
            </w:pPr>
            <w:r w:rsidRPr="00EE0DCD">
              <w:rPr>
                <w:b/>
                <w:sz w:val="20"/>
                <w:szCs w:val="20"/>
                <w:lang w:val="en-US"/>
              </w:rPr>
              <w:t>His Majesty the King</w:t>
            </w:r>
            <w:r w:rsidR="00F462AA" w:rsidRPr="00EE0DCD">
              <w:rPr>
                <w:b/>
                <w:sz w:val="20"/>
                <w:szCs w:val="20"/>
                <w:lang w:val="en-US"/>
              </w:rPr>
              <w:t xml:space="preserve"> (</w:t>
            </w:r>
            <w:r w:rsidRPr="00EE0DCD">
              <w:rPr>
                <w:b/>
                <w:sz w:val="20"/>
                <w:szCs w:val="20"/>
                <w:lang w:val="en-US"/>
              </w:rPr>
              <w:t>Ont</w:t>
            </w:r>
            <w:r w:rsidR="00F462AA" w:rsidRPr="00EE0DCD">
              <w:rPr>
                <w:b/>
                <w:sz w:val="20"/>
                <w:szCs w:val="20"/>
                <w:lang w:val="en-US"/>
              </w:rPr>
              <w:t>.)</w:t>
            </w:r>
          </w:p>
          <w:p w:rsidR="00F462AA" w:rsidRPr="00EE0DCD" w:rsidRDefault="00F462AA" w:rsidP="00F462AA">
            <w:pPr>
              <w:tabs>
                <w:tab w:val="left" w:pos="-1440"/>
                <w:tab w:val="left" w:pos="-720"/>
              </w:tabs>
              <w:rPr>
                <w:sz w:val="20"/>
                <w:szCs w:val="20"/>
                <w:lang w:val="en-US"/>
              </w:rPr>
            </w:pPr>
            <w:r w:rsidRPr="00EE0DCD">
              <w:rPr>
                <w:sz w:val="20"/>
                <w:szCs w:val="20"/>
                <w:lang w:val="en-US"/>
              </w:rPr>
              <w:tab/>
            </w:r>
            <w:r w:rsidR="0091450E" w:rsidRPr="00EE0DCD">
              <w:rPr>
                <w:sz w:val="20"/>
                <w:szCs w:val="20"/>
                <w:lang w:val="en-US"/>
              </w:rPr>
              <w:t>Shin, Linda</w:t>
            </w:r>
          </w:p>
          <w:p w:rsidR="00F462AA" w:rsidRPr="00EE0DCD" w:rsidRDefault="00F462AA" w:rsidP="00F462AA">
            <w:pPr>
              <w:tabs>
                <w:tab w:val="left" w:pos="-1440"/>
                <w:tab w:val="left" w:pos="-720"/>
              </w:tabs>
              <w:rPr>
                <w:sz w:val="20"/>
                <w:szCs w:val="20"/>
                <w:lang w:val="en-US"/>
              </w:rPr>
            </w:pPr>
            <w:r w:rsidRPr="00EE0DCD">
              <w:rPr>
                <w:sz w:val="20"/>
                <w:szCs w:val="20"/>
                <w:lang w:val="en-US"/>
              </w:rPr>
              <w:tab/>
            </w:r>
            <w:r w:rsidR="0091450E" w:rsidRPr="00EE0DCD">
              <w:rPr>
                <w:sz w:val="20"/>
                <w:szCs w:val="20"/>
                <w:lang w:val="fr-CA"/>
              </w:rPr>
              <w:t>Crown Law Office - Criminal</w:t>
            </w:r>
          </w:p>
          <w:p w:rsidR="00F462AA" w:rsidRPr="00EE0DCD" w:rsidRDefault="00F462AA" w:rsidP="00F462AA">
            <w:pPr>
              <w:tabs>
                <w:tab w:val="left" w:pos="-1440"/>
                <w:tab w:val="left" w:pos="-720"/>
              </w:tabs>
              <w:rPr>
                <w:sz w:val="20"/>
                <w:szCs w:val="20"/>
                <w:lang w:val="en-US"/>
              </w:rPr>
            </w:pPr>
          </w:p>
          <w:p w:rsidR="00F462AA" w:rsidRPr="00EE0DCD" w:rsidRDefault="00F462AA" w:rsidP="00F462AA">
            <w:pPr>
              <w:rPr>
                <w:sz w:val="20"/>
                <w:szCs w:val="20"/>
              </w:rPr>
            </w:pPr>
            <w:r w:rsidRPr="00EE0DCD">
              <w:rPr>
                <w:sz w:val="20"/>
                <w:szCs w:val="20"/>
              </w:rPr>
              <w:t xml:space="preserve">FILING DATE: </w:t>
            </w:r>
            <w:r w:rsidR="0091450E" w:rsidRPr="00EE0DCD">
              <w:rPr>
                <w:sz w:val="20"/>
                <w:szCs w:val="20"/>
              </w:rPr>
              <w:t>February</w:t>
            </w:r>
            <w:r w:rsidRPr="00EE0DCD">
              <w:rPr>
                <w:sz w:val="20"/>
                <w:szCs w:val="20"/>
              </w:rPr>
              <w:t xml:space="preserve"> 2</w:t>
            </w:r>
            <w:r w:rsidR="0091450E" w:rsidRPr="00EE0DCD">
              <w:rPr>
                <w:sz w:val="20"/>
                <w:szCs w:val="20"/>
              </w:rPr>
              <w:t>7</w:t>
            </w:r>
            <w:r w:rsidRPr="00EE0DCD">
              <w:rPr>
                <w:sz w:val="20"/>
                <w:szCs w:val="20"/>
              </w:rPr>
              <w:t>, 202</w:t>
            </w:r>
            <w:r w:rsidR="0091450E" w:rsidRPr="00EE0DCD">
              <w:rPr>
                <w:sz w:val="20"/>
                <w:szCs w:val="20"/>
              </w:rPr>
              <w:t>3</w:t>
            </w:r>
          </w:p>
          <w:p w:rsidR="00F462AA" w:rsidRPr="00EE0DCD" w:rsidRDefault="00F462AA" w:rsidP="00F462AA">
            <w:pPr>
              <w:rPr>
                <w:sz w:val="20"/>
                <w:szCs w:val="20"/>
              </w:rPr>
            </w:pPr>
          </w:p>
          <w:p w:rsidR="00F462AA" w:rsidRPr="00EE0DCD" w:rsidRDefault="00F462AA" w:rsidP="00F462AA">
            <w:pPr>
              <w:rPr>
                <w:b/>
                <w:sz w:val="20"/>
                <w:szCs w:val="20"/>
                <w:lang w:val="fr-CA"/>
              </w:rPr>
            </w:pPr>
            <w:r w:rsidRPr="00EE0DCD">
              <w:rPr>
                <w:sz w:val="20"/>
                <w:szCs w:val="20"/>
                <w:lang w:val="fr-CA"/>
              </w:rPr>
              <w:pict>
                <v:rect id="_x0000_i1066" style="width:108pt;height:1pt" o:hrpct="0" o:hrstd="t" o:hrnoshade="t" o:hr="t" fillcolor="black [3213]" stroked="f"/>
              </w:pict>
            </w:r>
          </w:p>
        </w:tc>
      </w:tr>
    </w:tbl>
    <w:p w:rsidR="001B39D1" w:rsidRPr="00EE0DCD" w:rsidRDefault="001B39D1">
      <w:r w:rsidRPr="00EE0DC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462AA" w:rsidRPr="00EE0DCD" w:rsidTr="00F138C1">
        <w:tc>
          <w:tcPr>
            <w:tcW w:w="4239" w:type="dxa"/>
            <w:shd w:val="clear" w:color="auto" w:fill="auto"/>
          </w:tcPr>
          <w:p w:rsidR="00F462AA" w:rsidRPr="00EE0DCD" w:rsidRDefault="009B6B5A" w:rsidP="00F462AA">
            <w:pPr>
              <w:rPr>
                <w:sz w:val="20"/>
                <w:szCs w:val="20"/>
                <w:lang w:val="fr-CA"/>
              </w:rPr>
            </w:pPr>
            <w:r w:rsidRPr="00EE0DCD">
              <w:rPr>
                <w:b/>
                <w:sz w:val="20"/>
                <w:szCs w:val="20"/>
                <w:lang w:val="fr-CA"/>
              </w:rPr>
              <w:t>Groupe I. Quint inc., et al.</w:t>
            </w:r>
          </w:p>
          <w:p w:rsidR="001B39D1" w:rsidRPr="00EE0DCD" w:rsidRDefault="001B39D1" w:rsidP="001B39D1">
            <w:pPr>
              <w:tabs>
                <w:tab w:val="left" w:pos="-1440"/>
                <w:tab w:val="left" w:pos="-720"/>
              </w:tabs>
              <w:rPr>
                <w:sz w:val="20"/>
                <w:szCs w:val="20"/>
                <w:lang w:val="en-US"/>
              </w:rPr>
            </w:pPr>
            <w:r w:rsidRPr="00EE0DCD">
              <w:rPr>
                <w:sz w:val="20"/>
                <w:szCs w:val="20"/>
                <w:lang w:val="fr-CA"/>
              </w:rPr>
              <w:tab/>
            </w:r>
            <w:r w:rsidR="009B6B5A" w:rsidRPr="00EE0DCD">
              <w:rPr>
                <w:sz w:val="20"/>
                <w:szCs w:val="20"/>
                <w:lang w:val="en-US"/>
              </w:rPr>
              <w:t>Lefebvre, Éric</w:t>
            </w:r>
          </w:p>
          <w:p w:rsidR="001B39D1" w:rsidRPr="00EE0DCD" w:rsidRDefault="001B39D1" w:rsidP="001B39D1">
            <w:pPr>
              <w:tabs>
                <w:tab w:val="left" w:pos="-1440"/>
                <w:tab w:val="left" w:pos="-720"/>
              </w:tabs>
              <w:rPr>
                <w:sz w:val="20"/>
                <w:szCs w:val="20"/>
                <w:lang w:val="en-US"/>
              </w:rPr>
            </w:pPr>
            <w:r w:rsidRPr="00EE0DCD">
              <w:rPr>
                <w:sz w:val="20"/>
                <w:szCs w:val="20"/>
                <w:lang w:val="en-US"/>
              </w:rPr>
              <w:tab/>
            </w:r>
            <w:r w:rsidR="009B6B5A" w:rsidRPr="00EE0DCD">
              <w:rPr>
                <w:sz w:val="20"/>
                <w:szCs w:val="20"/>
                <w:lang w:val="en-US"/>
              </w:rPr>
              <w:t>Norton Rose Fulbright Canada LLP</w:t>
            </w:r>
          </w:p>
          <w:p w:rsidR="00F462AA" w:rsidRPr="00EE0DCD" w:rsidRDefault="00F462AA" w:rsidP="00F462AA">
            <w:pPr>
              <w:tabs>
                <w:tab w:val="left" w:pos="-1440"/>
                <w:tab w:val="left" w:pos="-720"/>
              </w:tabs>
              <w:rPr>
                <w:sz w:val="20"/>
                <w:szCs w:val="20"/>
                <w:lang w:val="en-US"/>
              </w:rPr>
            </w:pPr>
          </w:p>
          <w:p w:rsidR="001D6F72" w:rsidRPr="00EE0DCD" w:rsidRDefault="001D6F72" w:rsidP="001D6F72">
            <w:pPr>
              <w:tabs>
                <w:tab w:val="left" w:pos="-1440"/>
                <w:tab w:val="left" w:pos="-720"/>
              </w:tabs>
              <w:rPr>
                <w:sz w:val="20"/>
                <w:szCs w:val="20"/>
                <w:lang w:val="fr-CA"/>
              </w:rPr>
            </w:pPr>
            <w:r w:rsidRPr="00EE0DCD">
              <w:rPr>
                <w:sz w:val="20"/>
                <w:szCs w:val="20"/>
                <w:lang w:val="en-US"/>
              </w:rPr>
              <w:tab/>
            </w:r>
            <w:r w:rsidR="009B6B5A" w:rsidRPr="00EE0DCD">
              <w:rPr>
                <w:sz w:val="20"/>
                <w:szCs w:val="20"/>
                <w:lang w:val="fr-CA"/>
              </w:rPr>
              <w:t>c</w:t>
            </w:r>
            <w:r w:rsidRPr="00EE0DCD">
              <w:rPr>
                <w:sz w:val="20"/>
                <w:szCs w:val="20"/>
                <w:lang w:val="fr-CA"/>
              </w:rPr>
              <w:t>. (4062</w:t>
            </w:r>
            <w:r w:rsidRPr="00EE0DCD">
              <w:rPr>
                <w:sz w:val="20"/>
                <w:szCs w:val="20"/>
                <w:lang w:val="fr-CA"/>
              </w:rPr>
              <w:t>9</w:t>
            </w:r>
            <w:r w:rsidRPr="00EE0DCD">
              <w:rPr>
                <w:sz w:val="20"/>
                <w:szCs w:val="20"/>
                <w:lang w:val="fr-CA"/>
              </w:rPr>
              <w:t>)</w:t>
            </w:r>
          </w:p>
          <w:p w:rsidR="00F462AA" w:rsidRPr="00EE0DCD" w:rsidRDefault="00F462AA" w:rsidP="00F462AA">
            <w:pPr>
              <w:tabs>
                <w:tab w:val="left" w:pos="-1440"/>
                <w:tab w:val="left" w:pos="-720"/>
              </w:tabs>
              <w:rPr>
                <w:sz w:val="20"/>
                <w:szCs w:val="20"/>
                <w:lang w:val="fr-CA"/>
              </w:rPr>
            </w:pPr>
          </w:p>
          <w:p w:rsidR="00F462AA" w:rsidRPr="00EE0DCD" w:rsidRDefault="009B6B5A" w:rsidP="00F462AA">
            <w:pPr>
              <w:tabs>
                <w:tab w:val="left" w:pos="-1440"/>
                <w:tab w:val="left" w:pos="-720"/>
              </w:tabs>
              <w:rPr>
                <w:b/>
                <w:sz w:val="20"/>
                <w:szCs w:val="20"/>
                <w:lang w:val="fr-CA"/>
              </w:rPr>
            </w:pPr>
            <w:r w:rsidRPr="00EE0DCD">
              <w:rPr>
                <w:b/>
                <w:sz w:val="20"/>
                <w:szCs w:val="20"/>
                <w:lang w:val="fr-CA"/>
              </w:rPr>
              <w:t>Quintcap inc., et al.</w:t>
            </w:r>
            <w:r w:rsidR="00F462AA" w:rsidRPr="00EE0DCD">
              <w:rPr>
                <w:b/>
                <w:sz w:val="20"/>
                <w:szCs w:val="20"/>
                <w:lang w:val="fr-CA"/>
              </w:rPr>
              <w:t xml:space="preserve"> (Q</w:t>
            </w:r>
            <w:r w:rsidRPr="00EE0DCD">
              <w:rPr>
                <w:b/>
                <w:sz w:val="20"/>
                <w:szCs w:val="20"/>
                <w:lang w:val="fr-CA"/>
              </w:rPr>
              <w:t>c</w:t>
            </w:r>
            <w:r w:rsidR="00F462AA" w:rsidRPr="00EE0DCD">
              <w:rPr>
                <w:b/>
                <w:sz w:val="20"/>
                <w:szCs w:val="20"/>
                <w:lang w:val="fr-CA"/>
              </w:rPr>
              <w:t>)</w:t>
            </w:r>
          </w:p>
          <w:p w:rsidR="00F462AA" w:rsidRPr="00EE0DCD" w:rsidRDefault="00F462AA" w:rsidP="00F462AA">
            <w:pPr>
              <w:tabs>
                <w:tab w:val="left" w:pos="-1440"/>
                <w:tab w:val="left" w:pos="-720"/>
              </w:tabs>
              <w:rPr>
                <w:sz w:val="20"/>
                <w:szCs w:val="20"/>
                <w:lang w:val="en-US"/>
              </w:rPr>
            </w:pPr>
            <w:r w:rsidRPr="00EE0DCD">
              <w:rPr>
                <w:sz w:val="20"/>
                <w:szCs w:val="20"/>
                <w:lang w:val="fr-CA"/>
              </w:rPr>
              <w:tab/>
            </w:r>
            <w:r w:rsidR="009B6B5A" w:rsidRPr="00EE0DCD">
              <w:rPr>
                <w:sz w:val="20"/>
                <w:szCs w:val="20"/>
                <w:lang w:val="en-US"/>
              </w:rPr>
              <w:t>Dussault, Alain Y.</w:t>
            </w:r>
          </w:p>
          <w:p w:rsidR="00F462AA" w:rsidRPr="00EE0DCD" w:rsidRDefault="00F462AA" w:rsidP="00F462AA">
            <w:pPr>
              <w:tabs>
                <w:tab w:val="left" w:pos="-1440"/>
                <w:tab w:val="left" w:pos="-720"/>
              </w:tabs>
              <w:rPr>
                <w:sz w:val="20"/>
                <w:szCs w:val="20"/>
                <w:lang w:val="en-US"/>
              </w:rPr>
            </w:pPr>
            <w:r w:rsidRPr="00EE0DCD">
              <w:rPr>
                <w:sz w:val="20"/>
                <w:szCs w:val="20"/>
                <w:lang w:val="en-US"/>
              </w:rPr>
              <w:tab/>
            </w:r>
            <w:r w:rsidR="009B6B5A" w:rsidRPr="00EE0DCD">
              <w:rPr>
                <w:sz w:val="20"/>
                <w:szCs w:val="20"/>
                <w:lang w:val="en-US"/>
              </w:rPr>
              <w:t>Lavery de Billy, S.E.N.C.R.L.</w:t>
            </w:r>
          </w:p>
          <w:p w:rsidR="00F462AA" w:rsidRPr="00EE0DCD" w:rsidRDefault="00F462AA" w:rsidP="00F462AA">
            <w:pPr>
              <w:tabs>
                <w:tab w:val="left" w:pos="-1440"/>
                <w:tab w:val="left" w:pos="-720"/>
              </w:tabs>
              <w:rPr>
                <w:sz w:val="20"/>
                <w:szCs w:val="20"/>
                <w:lang w:val="en-US"/>
              </w:rPr>
            </w:pPr>
          </w:p>
          <w:p w:rsidR="009B6B5A" w:rsidRPr="00EE0DCD" w:rsidRDefault="009B6B5A" w:rsidP="009B6B5A">
            <w:pPr>
              <w:rPr>
                <w:sz w:val="20"/>
                <w:szCs w:val="20"/>
                <w:lang w:val="fr-CA"/>
              </w:rPr>
            </w:pPr>
            <w:r w:rsidRPr="00EE0DCD">
              <w:rPr>
                <w:sz w:val="20"/>
                <w:szCs w:val="20"/>
                <w:lang w:val="fr-CA"/>
              </w:rPr>
              <w:t>DATE DE PRODUCTION: le 2</w:t>
            </w:r>
            <w:r w:rsidRPr="00EE0DCD">
              <w:rPr>
                <w:sz w:val="20"/>
                <w:szCs w:val="20"/>
                <w:lang w:val="fr-CA"/>
              </w:rPr>
              <w:t>7</w:t>
            </w:r>
            <w:r w:rsidRPr="00EE0DCD">
              <w:rPr>
                <w:sz w:val="20"/>
                <w:szCs w:val="20"/>
                <w:lang w:val="fr-CA"/>
              </w:rPr>
              <w:t xml:space="preserve"> février 2023</w:t>
            </w:r>
          </w:p>
          <w:p w:rsidR="00F462AA" w:rsidRPr="00EE0DCD" w:rsidRDefault="00F462AA" w:rsidP="00F462AA">
            <w:pPr>
              <w:rPr>
                <w:sz w:val="20"/>
                <w:szCs w:val="20"/>
                <w:lang w:val="fr-CA"/>
              </w:rPr>
            </w:pPr>
          </w:p>
          <w:p w:rsidR="00F462AA" w:rsidRPr="00EE0DCD" w:rsidRDefault="00F462AA" w:rsidP="00F462AA">
            <w:pPr>
              <w:rPr>
                <w:b/>
                <w:sz w:val="20"/>
                <w:szCs w:val="20"/>
                <w:lang w:val="fr-CA"/>
              </w:rPr>
            </w:pPr>
            <w:r w:rsidRPr="00EE0DCD">
              <w:rPr>
                <w:sz w:val="20"/>
                <w:szCs w:val="20"/>
                <w:lang w:val="fr-CA"/>
              </w:rPr>
              <w:pict>
                <v:rect id="_x0000_i1067" style="width:108pt;height:1pt" o:hrpct="0" o:hrstd="t" o:hrnoshade="t" o:hr="t" fillcolor="black [3213]" stroked="f"/>
              </w:pict>
            </w:r>
          </w:p>
        </w:tc>
        <w:tc>
          <w:tcPr>
            <w:tcW w:w="1141" w:type="dxa"/>
            <w:shd w:val="clear" w:color="auto" w:fill="auto"/>
          </w:tcPr>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1B39D1" w:rsidRPr="00EE0DCD" w:rsidRDefault="001B39D1"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tc>
        <w:tc>
          <w:tcPr>
            <w:tcW w:w="4239" w:type="dxa"/>
            <w:shd w:val="clear" w:color="auto" w:fill="auto"/>
          </w:tcPr>
          <w:p w:rsidR="00F462AA" w:rsidRPr="00EE0DCD" w:rsidRDefault="00883FA9" w:rsidP="00F462AA">
            <w:pPr>
              <w:rPr>
                <w:sz w:val="20"/>
                <w:szCs w:val="20"/>
                <w:lang w:val="en-US"/>
              </w:rPr>
            </w:pPr>
            <w:r w:rsidRPr="00EE0DCD">
              <w:rPr>
                <w:b/>
                <w:sz w:val="20"/>
                <w:szCs w:val="20"/>
                <w:lang w:val="en-US"/>
              </w:rPr>
              <w:t>Jason Sutton</w:t>
            </w:r>
          </w:p>
          <w:p w:rsidR="001B39D1" w:rsidRPr="00EE0DCD" w:rsidRDefault="001B39D1" w:rsidP="001B39D1">
            <w:pPr>
              <w:tabs>
                <w:tab w:val="left" w:pos="-1440"/>
                <w:tab w:val="left" w:pos="-720"/>
              </w:tabs>
              <w:rPr>
                <w:sz w:val="20"/>
                <w:szCs w:val="20"/>
                <w:lang w:val="en-US"/>
              </w:rPr>
            </w:pPr>
            <w:r w:rsidRPr="00EE0DCD">
              <w:rPr>
                <w:sz w:val="20"/>
                <w:szCs w:val="20"/>
                <w:lang w:val="en-US"/>
              </w:rPr>
              <w:tab/>
            </w:r>
            <w:r w:rsidR="00883FA9" w:rsidRPr="00EE0DCD">
              <w:rPr>
                <w:sz w:val="20"/>
                <w:szCs w:val="20"/>
                <w:lang w:val="en-US"/>
              </w:rPr>
              <w:t>Jason Sutton</w:t>
            </w:r>
          </w:p>
          <w:p w:rsidR="00F462AA" w:rsidRPr="00EE0DCD" w:rsidRDefault="00F462AA" w:rsidP="00F462AA">
            <w:pPr>
              <w:tabs>
                <w:tab w:val="left" w:pos="-1440"/>
                <w:tab w:val="left" w:pos="-720"/>
              </w:tabs>
              <w:rPr>
                <w:sz w:val="20"/>
                <w:szCs w:val="20"/>
                <w:lang w:val="en-US"/>
              </w:rPr>
            </w:pPr>
          </w:p>
          <w:p w:rsidR="001D6F72" w:rsidRPr="00EE0DCD" w:rsidRDefault="001D6F72" w:rsidP="001D6F72">
            <w:pPr>
              <w:tabs>
                <w:tab w:val="left" w:pos="-1440"/>
                <w:tab w:val="left" w:pos="-720"/>
              </w:tabs>
              <w:rPr>
                <w:sz w:val="20"/>
                <w:szCs w:val="20"/>
                <w:lang w:val="en-US"/>
              </w:rPr>
            </w:pPr>
            <w:r w:rsidRPr="00EE0DCD">
              <w:rPr>
                <w:sz w:val="20"/>
                <w:szCs w:val="20"/>
                <w:lang w:val="en-US"/>
              </w:rPr>
              <w:tab/>
              <w:t>v. (406</w:t>
            </w:r>
            <w:r w:rsidRPr="00EE0DCD">
              <w:rPr>
                <w:sz w:val="20"/>
                <w:szCs w:val="20"/>
                <w:lang w:val="en-US"/>
              </w:rPr>
              <w:t>30</w:t>
            </w:r>
            <w:r w:rsidRPr="00EE0DCD">
              <w:rPr>
                <w:sz w:val="20"/>
                <w:szCs w:val="20"/>
                <w:lang w:val="en-US"/>
              </w:rPr>
              <w:t>)</w:t>
            </w:r>
          </w:p>
          <w:p w:rsidR="00F462AA" w:rsidRPr="00EE0DCD" w:rsidRDefault="00F462AA" w:rsidP="00F462AA">
            <w:pPr>
              <w:tabs>
                <w:tab w:val="left" w:pos="-1440"/>
                <w:tab w:val="left" w:pos="-720"/>
              </w:tabs>
              <w:rPr>
                <w:sz w:val="20"/>
                <w:szCs w:val="20"/>
                <w:lang w:val="en-US"/>
              </w:rPr>
            </w:pPr>
          </w:p>
          <w:p w:rsidR="00F462AA" w:rsidRPr="00EE0DCD" w:rsidRDefault="00883FA9" w:rsidP="00F462AA">
            <w:pPr>
              <w:tabs>
                <w:tab w:val="left" w:pos="-1440"/>
                <w:tab w:val="left" w:pos="-720"/>
              </w:tabs>
              <w:rPr>
                <w:b/>
                <w:sz w:val="20"/>
                <w:szCs w:val="20"/>
                <w:lang w:val="en-US"/>
              </w:rPr>
            </w:pPr>
            <w:r w:rsidRPr="00EE0DCD">
              <w:rPr>
                <w:b/>
                <w:sz w:val="20"/>
                <w:szCs w:val="20"/>
                <w:lang w:val="en-US"/>
              </w:rPr>
              <w:t>Alison Sutton</w:t>
            </w:r>
            <w:r w:rsidR="00F462AA" w:rsidRPr="00EE0DCD">
              <w:rPr>
                <w:b/>
                <w:sz w:val="20"/>
                <w:szCs w:val="20"/>
                <w:lang w:val="en-US"/>
              </w:rPr>
              <w:t xml:space="preserve"> (</w:t>
            </w:r>
            <w:r w:rsidRPr="00EE0DCD">
              <w:rPr>
                <w:b/>
                <w:sz w:val="20"/>
                <w:szCs w:val="20"/>
                <w:lang w:val="en-US"/>
              </w:rPr>
              <w:t>Ont</w:t>
            </w:r>
            <w:r w:rsidR="00F462AA" w:rsidRPr="00EE0DCD">
              <w:rPr>
                <w:b/>
                <w:sz w:val="20"/>
                <w:szCs w:val="20"/>
                <w:lang w:val="en-US"/>
              </w:rPr>
              <w:t>.)</w:t>
            </w:r>
          </w:p>
          <w:p w:rsidR="00F462AA" w:rsidRPr="00EE0DCD" w:rsidRDefault="00F462AA" w:rsidP="00F462AA">
            <w:pPr>
              <w:tabs>
                <w:tab w:val="left" w:pos="-1440"/>
                <w:tab w:val="left" w:pos="-720"/>
              </w:tabs>
              <w:rPr>
                <w:sz w:val="20"/>
                <w:szCs w:val="20"/>
                <w:lang w:val="en-US"/>
              </w:rPr>
            </w:pPr>
            <w:r w:rsidRPr="00EE0DCD">
              <w:rPr>
                <w:sz w:val="20"/>
                <w:szCs w:val="20"/>
                <w:lang w:val="en-US"/>
              </w:rPr>
              <w:tab/>
            </w:r>
            <w:r w:rsidR="00883FA9" w:rsidRPr="00EE0DCD">
              <w:rPr>
                <w:sz w:val="20"/>
                <w:szCs w:val="20"/>
                <w:lang w:val="en-US"/>
              </w:rPr>
              <w:t>Ibghi, Mercedes</w:t>
            </w:r>
          </w:p>
          <w:p w:rsidR="00F462AA" w:rsidRPr="00EE0DCD" w:rsidRDefault="00F462AA" w:rsidP="00F462AA">
            <w:pPr>
              <w:tabs>
                <w:tab w:val="left" w:pos="-1440"/>
                <w:tab w:val="left" w:pos="-720"/>
              </w:tabs>
              <w:rPr>
                <w:sz w:val="20"/>
                <w:szCs w:val="20"/>
                <w:lang w:val="en-US"/>
              </w:rPr>
            </w:pPr>
            <w:r w:rsidRPr="00EE0DCD">
              <w:rPr>
                <w:sz w:val="20"/>
                <w:szCs w:val="20"/>
                <w:lang w:val="en-US"/>
              </w:rPr>
              <w:tab/>
            </w:r>
            <w:r w:rsidR="00883FA9" w:rsidRPr="00EE0DCD">
              <w:rPr>
                <w:sz w:val="20"/>
                <w:szCs w:val="20"/>
                <w:lang w:val="fr-CA"/>
              </w:rPr>
              <w:t>Legal Aid Ontario</w:t>
            </w:r>
          </w:p>
          <w:p w:rsidR="00F462AA" w:rsidRPr="00EE0DCD" w:rsidRDefault="00F462AA" w:rsidP="00F462AA">
            <w:pPr>
              <w:tabs>
                <w:tab w:val="left" w:pos="-1440"/>
                <w:tab w:val="left" w:pos="-720"/>
              </w:tabs>
              <w:rPr>
                <w:sz w:val="20"/>
                <w:szCs w:val="20"/>
                <w:lang w:val="en-US"/>
              </w:rPr>
            </w:pPr>
          </w:p>
          <w:p w:rsidR="00F462AA" w:rsidRPr="00EE0DCD" w:rsidRDefault="00F462AA" w:rsidP="00F462AA">
            <w:pPr>
              <w:rPr>
                <w:sz w:val="20"/>
                <w:szCs w:val="20"/>
              </w:rPr>
            </w:pPr>
            <w:r w:rsidRPr="00EE0DCD">
              <w:rPr>
                <w:sz w:val="20"/>
                <w:szCs w:val="20"/>
              </w:rPr>
              <w:t xml:space="preserve">FILING DATE: </w:t>
            </w:r>
            <w:r w:rsidR="00883FA9" w:rsidRPr="00EE0DCD">
              <w:rPr>
                <w:sz w:val="20"/>
                <w:szCs w:val="20"/>
              </w:rPr>
              <w:t>March</w:t>
            </w:r>
            <w:r w:rsidRPr="00EE0DCD">
              <w:rPr>
                <w:sz w:val="20"/>
                <w:szCs w:val="20"/>
              </w:rPr>
              <w:t xml:space="preserve"> </w:t>
            </w:r>
            <w:r w:rsidR="00883FA9" w:rsidRPr="00EE0DCD">
              <w:rPr>
                <w:sz w:val="20"/>
                <w:szCs w:val="20"/>
              </w:rPr>
              <w:t>3</w:t>
            </w:r>
            <w:r w:rsidRPr="00EE0DCD">
              <w:rPr>
                <w:sz w:val="20"/>
                <w:szCs w:val="20"/>
              </w:rPr>
              <w:t>, 202</w:t>
            </w:r>
            <w:r w:rsidR="00883FA9" w:rsidRPr="00EE0DCD">
              <w:rPr>
                <w:sz w:val="20"/>
                <w:szCs w:val="20"/>
              </w:rPr>
              <w:t>3</w:t>
            </w:r>
          </w:p>
          <w:p w:rsidR="00F462AA" w:rsidRPr="00EE0DCD" w:rsidRDefault="00F462AA" w:rsidP="00F462AA">
            <w:pPr>
              <w:rPr>
                <w:sz w:val="20"/>
                <w:szCs w:val="20"/>
              </w:rPr>
            </w:pPr>
          </w:p>
          <w:p w:rsidR="00F462AA" w:rsidRPr="00EE0DCD" w:rsidRDefault="00F462AA" w:rsidP="00F462AA">
            <w:pPr>
              <w:rPr>
                <w:b/>
                <w:sz w:val="20"/>
                <w:szCs w:val="20"/>
                <w:lang w:val="fr-CA"/>
              </w:rPr>
            </w:pPr>
            <w:r w:rsidRPr="00EE0DCD">
              <w:rPr>
                <w:sz w:val="20"/>
                <w:szCs w:val="20"/>
                <w:lang w:val="fr-CA"/>
              </w:rPr>
              <w:pict>
                <v:rect id="_x0000_i1068" style="width:108pt;height:1pt" o:hrpct="0" o:hrstd="t" o:hrnoshade="t" o:hr="t" fillcolor="black [3213]" stroked="f"/>
              </w:pict>
            </w:r>
          </w:p>
        </w:tc>
      </w:tr>
      <w:tr w:rsidR="00F462AA" w:rsidRPr="00EE0DCD" w:rsidTr="00F138C1">
        <w:tc>
          <w:tcPr>
            <w:tcW w:w="4239" w:type="dxa"/>
            <w:shd w:val="clear" w:color="auto" w:fill="auto"/>
          </w:tcPr>
          <w:p w:rsidR="00F462AA" w:rsidRPr="00EE0DCD" w:rsidRDefault="00EE0DCD" w:rsidP="00F462AA">
            <w:pPr>
              <w:rPr>
                <w:sz w:val="20"/>
                <w:szCs w:val="20"/>
                <w:lang w:val="fr-CA"/>
              </w:rPr>
            </w:pPr>
            <w:r w:rsidRPr="00EE0DCD">
              <w:rPr>
                <w:b/>
                <w:sz w:val="20"/>
                <w:szCs w:val="20"/>
                <w:lang w:val="fr-CA"/>
              </w:rPr>
              <w:t>Thi Phuc Nguyen</w:t>
            </w:r>
          </w:p>
          <w:p w:rsidR="001B39D1" w:rsidRPr="00EE0DCD" w:rsidRDefault="001B39D1" w:rsidP="001B39D1">
            <w:pPr>
              <w:tabs>
                <w:tab w:val="left" w:pos="-1440"/>
                <w:tab w:val="left" w:pos="-720"/>
              </w:tabs>
              <w:rPr>
                <w:sz w:val="20"/>
                <w:szCs w:val="20"/>
                <w:lang w:val="fr-CA"/>
              </w:rPr>
            </w:pPr>
            <w:r w:rsidRPr="00EE0DCD">
              <w:rPr>
                <w:sz w:val="20"/>
                <w:szCs w:val="20"/>
                <w:lang w:val="fr-CA"/>
              </w:rPr>
              <w:tab/>
            </w:r>
            <w:r w:rsidR="00EE0DCD" w:rsidRPr="00EE0DCD">
              <w:rPr>
                <w:sz w:val="20"/>
                <w:szCs w:val="20"/>
                <w:lang w:val="fr-CA"/>
              </w:rPr>
              <w:t>Duggal, Ajay</w:t>
            </w:r>
          </w:p>
          <w:p w:rsidR="001B39D1" w:rsidRPr="00EE0DCD" w:rsidRDefault="001B39D1" w:rsidP="001B39D1">
            <w:pPr>
              <w:tabs>
                <w:tab w:val="left" w:pos="-1440"/>
                <w:tab w:val="left" w:pos="-720"/>
              </w:tabs>
              <w:rPr>
                <w:sz w:val="20"/>
                <w:szCs w:val="20"/>
                <w:lang w:val="fr-CA"/>
              </w:rPr>
            </w:pPr>
            <w:r w:rsidRPr="00EE0DCD">
              <w:rPr>
                <w:sz w:val="20"/>
                <w:szCs w:val="20"/>
                <w:lang w:val="fr-CA"/>
              </w:rPr>
              <w:tab/>
            </w:r>
            <w:r w:rsidR="00EE0DCD" w:rsidRPr="00EE0DCD">
              <w:rPr>
                <w:sz w:val="20"/>
                <w:szCs w:val="20"/>
                <w:lang w:val="fr-CA"/>
              </w:rPr>
              <w:t>AD Lawyers</w:t>
            </w:r>
          </w:p>
          <w:p w:rsidR="00F462AA" w:rsidRPr="00EE0DCD" w:rsidRDefault="00F462AA" w:rsidP="00F462AA">
            <w:pPr>
              <w:tabs>
                <w:tab w:val="left" w:pos="-1440"/>
                <w:tab w:val="left" w:pos="-720"/>
              </w:tabs>
              <w:rPr>
                <w:sz w:val="20"/>
                <w:szCs w:val="20"/>
                <w:lang w:val="fr-CA"/>
              </w:rPr>
            </w:pPr>
          </w:p>
          <w:p w:rsidR="001D6F72" w:rsidRPr="00EE0DCD" w:rsidRDefault="001D6F72" w:rsidP="001D6F72">
            <w:pPr>
              <w:tabs>
                <w:tab w:val="left" w:pos="-1440"/>
                <w:tab w:val="left" w:pos="-720"/>
              </w:tabs>
              <w:rPr>
                <w:sz w:val="20"/>
                <w:szCs w:val="20"/>
                <w:lang w:val="fr-CA"/>
              </w:rPr>
            </w:pPr>
            <w:r w:rsidRPr="00EE0DCD">
              <w:rPr>
                <w:sz w:val="20"/>
                <w:szCs w:val="20"/>
                <w:lang w:val="fr-CA"/>
              </w:rPr>
              <w:tab/>
              <w:t>v. (406</w:t>
            </w:r>
            <w:r w:rsidRPr="00EE0DCD">
              <w:rPr>
                <w:sz w:val="20"/>
                <w:szCs w:val="20"/>
                <w:lang w:val="fr-CA"/>
              </w:rPr>
              <w:t>33</w:t>
            </w:r>
            <w:r w:rsidRPr="00EE0DCD">
              <w:rPr>
                <w:sz w:val="20"/>
                <w:szCs w:val="20"/>
                <w:lang w:val="fr-CA"/>
              </w:rPr>
              <w:t>)</w:t>
            </w:r>
          </w:p>
          <w:p w:rsidR="00F462AA" w:rsidRPr="00EE0DCD" w:rsidRDefault="00F462AA" w:rsidP="00F462AA">
            <w:pPr>
              <w:tabs>
                <w:tab w:val="left" w:pos="-1440"/>
                <w:tab w:val="left" w:pos="-720"/>
              </w:tabs>
              <w:rPr>
                <w:sz w:val="20"/>
                <w:szCs w:val="20"/>
                <w:lang w:val="fr-CA"/>
              </w:rPr>
            </w:pPr>
          </w:p>
          <w:p w:rsidR="00F462AA" w:rsidRPr="00EE0DCD" w:rsidRDefault="00EE0DCD" w:rsidP="00F462AA">
            <w:pPr>
              <w:tabs>
                <w:tab w:val="left" w:pos="-1440"/>
                <w:tab w:val="left" w:pos="-720"/>
              </w:tabs>
              <w:rPr>
                <w:b/>
                <w:sz w:val="20"/>
                <w:szCs w:val="20"/>
                <w:lang w:val="fr-CA"/>
              </w:rPr>
            </w:pPr>
            <w:r w:rsidRPr="00EE0DCD">
              <w:rPr>
                <w:b/>
                <w:sz w:val="20"/>
                <w:szCs w:val="20"/>
                <w:lang w:val="fr-CA"/>
              </w:rPr>
              <w:t>James Zaza, et al.</w:t>
            </w:r>
            <w:r w:rsidR="00F462AA" w:rsidRPr="00EE0DCD">
              <w:rPr>
                <w:b/>
                <w:sz w:val="20"/>
                <w:szCs w:val="20"/>
                <w:lang w:val="fr-CA"/>
              </w:rPr>
              <w:t xml:space="preserve"> (</w:t>
            </w:r>
            <w:r w:rsidRPr="00EE0DCD">
              <w:rPr>
                <w:b/>
                <w:sz w:val="20"/>
                <w:szCs w:val="20"/>
                <w:lang w:val="fr-CA"/>
              </w:rPr>
              <w:t>Ont</w:t>
            </w:r>
            <w:r w:rsidR="00F462AA" w:rsidRPr="00EE0DCD">
              <w:rPr>
                <w:b/>
                <w:sz w:val="20"/>
                <w:szCs w:val="20"/>
                <w:lang w:val="fr-CA"/>
              </w:rPr>
              <w:t>.)</w:t>
            </w:r>
          </w:p>
          <w:p w:rsidR="00F462AA" w:rsidRPr="00EE0DCD" w:rsidRDefault="00F462AA" w:rsidP="00F462AA">
            <w:pPr>
              <w:tabs>
                <w:tab w:val="left" w:pos="-1440"/>
                <w:tab w:val="left" w:pos="-720"/>
              </w:tabs>
              <w:rPr>
                <w:sz w:val="20"/>
                <w:szCs w:val="20"/>
                <w:lang w:val="fr-CA"/>
              </w:rPr>
            </w:pPr>
            <w:r w:rsidRPr="00EE0DCD">
              <w:rPr>
                <w:sz w:val="20"/>
                <w:szCs w:val="20"/>
                <w:lang w:val="fr-CA"/>
              </w:rPr>
              <w:tab/>
            </w:r>
            <w:r w:rsidR="00EE0DCD" w:rsidRPr="00EE0DCD">
              <w:rPr>
                <w:sz w:val="20"/>
                <w:szCs w:val="20"/>
                <w:lang w:val="fr-CA"/>
              </w:rPr>
              <w:t>Scalisi, Vito S.</w:t>
            </w:r>
          </w:p>
          <w:p w:rsidR="00F462AA" w:rsidRPr="00EE0DCD" w:rsidRDefault="00F462AA" w:rsidP="00F462AA">
            <w:pPr>
              <w:tabs>
                <w:tab w:val="left" w:pos="-1440"/>
                <w:tab w:val="left" w:pos="-720"/>
              </w:tabs>
              <w:rPr>
                <w:sz w:val="20"/>
                <w:szCs w:val="20"/>
                <w:lang w:val="fr-CA"/>
              </w:rPr>
            </w:pPr>
            <w:r w:rsidRPr="00EE0DCD">
              <w:rPr>
                <w:sz w:val="20"/>
                <w:szCs w:val="20"/>
                <w:lang w:val="fr-CA"/>
              </w:rPr>
              <w:tab/>
            </w:r>
            <w:r w:rsidR="00EE0DCD" w:rsidRPr="00EE0DCD">
              <w:rPr>
                <w:sz w:val="20"/>
                <w:szCs w:val="20"/>
                <w:lang w:val="fr-CA"/>
              </w:rPr>
              <w:t>Scalisi Barristers</w:t>
            </w:r>
          </w:p>
          <w:p w:rsidR="00F462AA" w:rsidRPr="00EE0DCD" w:rsidRDefault="00F462AA" w:rsidP="00F462AA">
            <w:pPr>
              <w:tabs>
                <w:tab w:val="left" w:pos="-1440"/>
                <w:tab w:val="left" w:pos="-720"/>
              </w:tabs>
              <w:rPr>
                <w:sz w:val="20"/>
                <w:szCs w:val="20"/>
                <w:lang w:val="fr-CA"/>
              </w:rPr>
            </w:pPr>
          </w:p>
          <w:p w:rsidR="00F462AA" w:rsidRPr="00EE0DCD" w:rsidRDefault="00F462AA" w:rsidP="00F462AA">
            <w:pPr>
              <w:rPr>
                <w:sz w:val="20"/>
                <w:szCs w:val="20"/>
              </w:rPr>
            </w:pPr>
            <w:r w:rsidRPr="00EE0DCD">
              <w:rPr>
                <w:sz w:val="20"/>
                <w:szCs w:val="20"/>
              </w:rPr>
              <w:t xml:space="preserve">FILING DATE: </w:t>
            </w:r>
            <w:r w:rsidR="00EE0DCD" w:rsidRPr="00EE0DCD">
              <w:rPr>
                <w:sz w:val="20"/>
                <w:szCs w:val="20"/>
              </w:rPr>
              <w:t>March</w:t>
            </w:r>
            <w:r w:rsidRPr="00EE0DCD">
              <w:rPr>
                <w:sz w:val="20"/>
                <w:szCs w:val="20"/>
              </w:rPr>
              <w:t xml:space="preserve"> 2, 202</w:t>
            </w:r>
            <w:r w:rsidR="00EE0DCD" w:rsidRPr="00EE0DCD">
              <w:rPr>
                <w:sz w:val="20"/>
                <w:szCs w:val="20"/>
              </w:rPr>
              <w:t>3</w:t>
            </w:r>
          </w:p>
          <w:p w:rsidR="00F462AA" w:rsidRPr="00EE0DCD" w:rsidRDefault="00F462AA" w:rsidP="00F462AA">
            <w:pPr>
              <w:rPr>
                <w:sz w:val="20"/>
                <w:szCs w:val="20"/>
              </w:rPr>
            </w:pPr>
          </w:p>
          <w:p w:rsidR="00F462AA" w:rsidRPr="00EE0DCD" w:rsidRDefault="00F462AA" w:rsidP="00F462AA">
            <w:pPr>
              <w:rPr>
                <w:b/>
                <w:sz w:val="20"/>
                <w:szCs w:val="20"/>
                <w:lang w:val="fr-CA"/>
              </w:rPr>
            </w:pPr>
            <w:r w:rsidRPr="00EE0DCD">
              <w:rPr>
                <w:sz w:val="20"/>
                <w:szCs w:val="20"/>
                <w:lang w:val="fr-CA"/>
              </w:rPr>
              <w:pict>
                <v:rect id="_x0000_i1069" style="width:108pt;height:1pt" o:hrpct="0" o:hrstd="t" o:hrnoshade="t" o:hr="t" fillcolor="black [3213]" stroked="f"/>
              </w:pict>
            </w:r>
          </w:p>
        </w:tc>
        <w:tc>
          <w:tcPr>
            <w:tcW w:w="1141" w:type="dxa"/>
            <w:shd w:val="clear" w:color="auto" w:fill="auto"/>
          </w:tcPr>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1B39D1" w:rsidRPr="00EE0DCD" w:rsidRDefault="001B39D1"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p w:rsidR="00F462AA" w:rsidRPr="00EE0DCD" w:rsidRDefault="00F462AA" w:rsidP="00F138C1">
            <w:pPr>
              <w:jc w:val="center"/>
              <w:rPr>
                <w:sz w:val="20"/>
                <w:szCs w:val="20"/>
              </w:rPr>
            </w:pPr>
          </w:p>
        </w:tc>
        <w:tc>
          <w:tcPr>
            <w:tcW w:w="4239" w:type="dxa"/>
            <w:shd w:val="clear" w:color="auto" w:fill="auto"/>
          </w:tcPr>
          <w:p w:rsidR="00F462AA" w:rsidRPr="00EE0DCD" w:rsidRDefault="00F462AA" w:rsidP="00F462AA">
            <w:pPr>
              <w:rPr>
                <w:b/>
                <w:sz w:val="20"/>
                <w:szCs w:val="20"/>
                <w:lang w:val="fr-CA"/>
              </w:rPr>
            </w:pPr>
          </w:p>
        </w:tc>
      </w:tr>
    </w:tbl>
    <w:p w:rsidR="00F138C1" w:rsidRPr="00EE0DCD" w:rsidRDefault="00F138C1" w:rsidP="00F138C1">
      <w:pPr>
        <w:tabs>
          <w:tab w:val="right" w:pos="9360"/>
        </w:tabs>
        <w:rPr>
          <w:sz w:val="20"/>
          <w:szCs w:val="20"/>
          <w:lang w:val="fr-CA"/>
        </w:rPr>
      </w:pPr>
    </w:p>
    <w:p w:rsidR="00F138C1" w:rsidRPr="00EE0DCD" w:rsidRDefault="00F138C1" w:rsidP="00F138C1">
      <w:pPr>
        <w:tabs>
          <w:tab w:val="right" w:pos="9360"/>
        </w:tabs>
        <w:rPr>
          <w:sz w:val="20"/>
          <w:szCs w:val="20"/>
          <w:lang w:val="fr-CA"/>
        </w:rPr>
      </w:pPr>
    </w:p>
    <w:p w:rsidR="00C01FCB" w:rsidRPr="00EE0DCD" w:rsidRDefault="00C01FCB" w:rsidP="0095096B">
      <w:pPr>
        <w:tabs>
          <w:tab w:val="right" w:pos="9360"/>
        </w:tabs>
        <w:rPr>
          <w:sz w:val="20"/>
          <w:szCs w:val="20"/>
          <w:lang w:val="fr-CA"/>
        </w:rPr>
      </w:pPr>
    </w:p>
    <w:p w:rsidR="00242AEE" w:rsidRPr="00EE0DCD" w:rsidRDefault="00242AEE" w:rsidP="0095096B">
      <w:pPr>
        <w:tabs>
          <w:tab w:val="right" w:pos="9360"/>
        </w:tabs>
        <w:rPr>
          <w:sz w:val="20"/>
          <w:szCs w:val="20"/>
          <w:lang w:val="fr-CA"/>
        </w:rPr>
        <w:sectPr w:rsidR="00242AEE" w:rsidRPr="00EE0DCD"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E0DCD" w:rsidRDefault="00DD0BDC" w:rsidP="00567602">
      <w:pPr>
        <w:pStyle w:val="Header1StyleE"/>
        <w:pBdr>
          <w:bottom w:val="single" w:sz="12" w:space="1" w:color="auto"/>
        </w:pBdr>
        <w:rPr>
          <w:lang w:val="fr-CA"/>
        </w:rPr>
      </w:pPr>
      <w:bookmarkStart w:id="1" w:name="QuickMark_1"/>
      <w:bookmarkStart w:id="2" w:name="_Toc133498282"/>
      <w:bookmarkEnd w:id="1"/>
      <w:r w:rsidRPr="00EE0DCD">
        <w:rPr>
          <w:lang w:val="fr-CA"/>
        </w:rPr>
        <w:lastRenderedPageBreak/>
        <w:t>Judgments on applications</w:t>
      </w:r>
      <w:r w:rsidR="000C1D9D" w:rsidRPr="00EE0DCD">
        <w:rPr>
          <w:lang w:val="fr-CA"/>
        </w:rPr>
        <w:t xml:space="preserve"> </w:t>
      </w:r>
      <w:r w:rsidRPr="00EE0DCD">
        <w:rPr>
          <w:lang w:val="fr-CA"/>
        </w:rPr>
        <w:t>for leave</w:t>
      </w:r>
      <w:r w:rsidR="00693C38" w:rsidRPr="00EE0DCD">
        <w:rPr>
          <w:noProof/>
          <w:sz w:val="20"/>
          <w:lang w:val="fr-CA"/>
        </w:rPr>
        <w:t xml:space="preserve"> </w:t>
      </w:r>
      <w:r w:rsidR="00271E1E" w:rsidRPr="00EE0DCD">
        <w:rPr>
          <w:noProof/>
          <w:sz w:val="20"/>
          <w:lang w:val="fr-CA"/>
        </w:rPr>
        <w:t xml:space="preserve">/ </w:t>
      </w:r>
      <w:r w:rsidR="00693C38" w:rsidRPr="00EE0DCD">
        <w:rPr>
          <w:noProof/>
          <w:sz w:val="20"/>
          <w:lang w:val="fr-CA"/>
        </w:rPr>
        <w:br/>
      </w:r>
      <w:r w:rsidRPr="00EE0DCD">
        <w:rPr>
          <w:lang w:val="fr-CA"/>
        </w:rPr>
        <w:t>Jugements rendus sur les demandes d’autorisation</w:t>
      </w:r>
      <w:bookmarkEnd w:id="2"/>
    </w:p>
    <w:p w:rsidR="00FB1DB6" w:rsidRPr="00EE0DCD" w:rsidRDefault="00FB1DB6" w:rsidP="00693C38">
      <w:pPr>
        <w:rPr>
          <w:sz w:val="20"/>
          <w:szCs w:val="20"/>
          <w:lang w:val="fr-CA"/>
        </w:rPr>
      </w:pPr>
    </w:p>
    <w:p w:rsidR="00F16063" w:rsidRPr="00EE0DCD" w:rsidRDefault="00673569" w:rsidP="00F16063">
      <w:pPr>
        <w:rPr>
          <w:b/>
          <w:sz w:val="20"/>
          <w:szCs w:val="20"/>
        </w:rPr>
      </w:pPr>
      <w:r w:rsidRPr="00EE0DCD">
        <w:rPr>
          <w:b/>
          <w:sz w:val="20"/>
          <w:szCs w:val="20"/>
        </w:rPr>
        <w:t>APRIL</w:t>
      </w:r>
      <w:r w:rsidR="00F16063" w:rsidRPr="00EE0DCD">
        <w:rPr>
          <w:b/>
          <w:sz w:val="20"/>
          <w:szCs w:val="20"/>
        </w:rPr>
        <w:t xml:space="preserve"> </w:t>
      </w:r>
      <w:r w:rsidR="00FC7090" w:rsidRPr="00EE0DCD">
        <w:rPr>
          <w:b/>
          <w:sz w:val="20"/>
          <w:szCs w:val="20"/>
        </w:rPr>
        <w:t>2</w:t>
      </w:r>
      <w:r w:rsidRPr="00EE0DCD">
        <w:rPr>
          <w:b/>
          <w:sz w:val="20"/>
          <w:szCs w:val="20"/>
        </w:rPr>
        <w:t>7</w:t>
      </w:r>
      <w:r w:rsidR="00F16063" w:rsidRPr="00EE0DCD">
        <w:rPr>
          <w:b/>
          <w:sz w:val="20"/>
          <w:szCs w:val="20"/>
        </w:rPr>
        <w:t xml:space="preserve">, </w:t>
      </w:r>
      <w:r w:rsidR="0034657E" w:rsidRPr="00EE0DCD">
        <w:rPr>
          <w:b/>
          <w:sz w:val="20"/>
          <w:szCs w:val="20"/>
        </w:rPr>
        <w:t>20</w:t>
      </w:r>
      <w:r w:rsidR="005967EF" w:rsidRPr="00EE0DCD">
        <w:rPr>
          <w:b/>
          <w:sz w:val="20"/>
          <w:szCs w:val="20"/>
        </w:rPr>
        <w:t>2</w:t>
      </w:r>
      <w:r w:rsidR="00FC7090" w:rsidRPr="00EE0DCD">
        <w:rPr>
          <w:b/>
          <w:sz w:val="20"/>
          <w:szCs w:val="20"/>
        </w:rPr>
        <w:t>3</w:t>
      </w:r>
      <w:r w:rsidR="00F16063" w:rsidRPr="00EE0DCD">
        <w:rPr>
          <w:b/>
          <w:sz w:val="20"/>
          <w:szCs w:val="20"/>
        </w:rPr>
        <w:t xml:space="preserve"> / LE </w:t>
      </w:r>
      <w:r w:rsidR="00FC7090" w:rsidRPr="00EE0DCD">
        <w:rPr>
          <w:b/>
          <w:sz w:val="20"/>
          <w:szCs w:val="20"/>
        </w:rPr>
        <w:t>2</w:t>
      </w:r>
      <w:r w:rsidRPr="00EE0DCD">
        <w:rPr>
          <w:b/>
          <w:sz w:val="20"/>
          <w:szCs w:val="20"/>
        </w:rPr>
        <w:t>7</w:t>
      </w:r>
      <w:r w:rsidR="002C13E1" w:rsidRPr="00EE0DCD">
        <w:rPr>
          <w:b/>
          <w:sz w:val="20"/>
          <w:szCs w:val="20"/>
        </w:rPr>
        <w:t xml:space="preserve"> </w:t>
      </w:r>
      <w:r w:rsidR="00FC7090" w:rsidRPr="00EE0DCD">
        <w:rPr>
          <w:b/>
          <w:sz w:val="20"/>
          <w:szCs w:val="20"/>
        </w:rPr>
        <w:t>AVR</w:t>
      </w:r>
      <w:r w:rsidRPr="00EE0DCD">
        <w:rPr>
          <w:b/>
          <w:sz w:val="20"/>
          <w:szCs w:val="20"/>
        </w:rPr>
        <w:t>IL</w:t>
      </w:r>
      <w:r w:rsidR="00F16063" w:rsidRPr="00EE0DCD">
        <w:rPr>
          <w:b/>
          <w:sz w:val="20"/>
          <w:szCs w:val="20"/>
        </w:rPr>
        <w:t xml:space="preserve"> </w:t>
      </w:r>
      <w:r w:rsidR="0034657E" w:rsidRPr="00EE0DCD">
        <w:rPr>
          <w:b/>
          <w:sz w:val="20"/>
          <w:szCs w:val="20"/>
        </w:rPr>
        <w:t>20</w:t>
      </w:r>
      <w:r w:rsidR="005967EF" w:rsidRPr="00EE0DCD">
        <w:rPr>
          <w:b/>
          <w:sz w:val="20"/>
          <w:szCs w:val="20"/>
        </w:rPr>
        <w:t>2</w:t>
      </w:r>
      <w:r w:rsidR="00FC7090" w:rsidRPr="00EE0DCD">
        <w:rPr>
          <w:b/>
          <w:sz w:val="20"/>
          <w:szCs w:val="20"/>
        </w:rPr>
        <w:t>3</w:t>
      </w:r>
    </w:p>
    <w:p w:rsidR="003E5B23" w:rsidRPr="00EE0DCD" w:rsidRDefault="003E5B23" w:rsidP="003E5B2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5B23" w:rsidRPr="00EE0DCD" w:rsidTr="003E5B23">
        <w:tc>
          <w:tcPr>
            <w:tcW w:w="543" w:type="pct"/>
          </w:tcPr>
          <w:p w:rsidR="003E5B23" w:rsidRPr="00EE0DCD" w:rsidRDefault="003E5B23" w:rsidP="003E5B23">
            <w:pPr>
              <w:jc w:val="both"/>
              <w:rPr>
                <w:sz w:val="20"/>
              </w:rPr>
            </w:pPr>
            <w:r w:rsidRPr="00EE0DCD">
              <w:rPr>
                <w:rStyle w:val="SCCFileNumberChar"/>
                <w:sz w:val="20"/>
                <w:szCs w:val="20"/>
              </w:rPr>
              <w:t>40419</w:t>
            </w:r>
          </w:p>
        </w:tc>
        <w:tc>
          <w:tcPr>
            <w:tcW w:w="4457" w:type="pct"/>
            <w:gridSpan w:val="3"/>
          </w:tcPr>
          <w:p w:rsidR="003E5B23" w:rsidRPr="00EE0DCD" w:rsidRDefault="003E5B23" w:rsidP="003E5B23">
            <w:pPr>
              <w:pStyle w:val="SCCLsocParty"/>
              <w:jc w:val="both"/>
              <w:rPr>
                <w:b/>
                <w:sz w:val="20"/>
                <w:szCs w:val="20"/>
                <w:lang w:val="en-CA"/>
              </w:rPr>
            </w:pPr>
            <w:r w:rsidRPr="00EE0DCD">
              <w:rPr>
                <w:b/>
                <w:sz w:val="20"/>
                <w:szCs w:val="20"/>
                <w:lang w:val="en-CA"/>
              </w:rPr>
              <w:t>Ville de Trois-Rivières v. Royal &amp; Sun Alliance Insurance Company of Canada, 9081-1035 Québec inc., carrying on business as Déneigement F.L. inc. and Fernand Lamarre</w:t>
            </w:r>
          </w:p>
          <w:p w:rsidR="003E5B23" w:rsidRPr="00EE0DCD" w:rsidRDefault="003E5B23" w:rsidP="003E5B23">
            <w:pPr>
              <w:jc w:val="both"/>
              <w:rPr>
                <w:sz w:val="20"/>
              </w:rPr>
            </w:pPr>
            <w:r w:rsidRPr="00EE0DCD">
              <w:rPr>
                <w:sz w:val="20"/>
              </w:rPr>
              <w:t>(Que.) (Civil) (By Leave)</w:t>
            </w:r>
          </w:p>
        </w:tc>
      </w:tr>
      <w:tr w:rsidR="003E5B23" w:rsidRPr="00EE0DCD" w:rsidTr="003E5B23">
        <w:tc>
          <w:tcPr>
            <w:tcW w:w="5000" w:type="pct"/>
            <w:gridSpan w:val="4"/>
          </w:tcPr>
          <w:p w:rsidR="003E5B23" w:rsidRPr="00EE0DCD" w:rsidRDefault="003E5B23" w:rsidP="003E5B23">
            <w:pPr>
              <w:jc w:val="both"/>
              <w:rPr>
                <w:sz w:val="20"/>
                <w:szCs w:val="20"/>
              </w:rPr>
            </w:pPr>
            <w:r w:rsidRPr="00EE0DCD">
              <w:rPr>
                <w:sz w:val="20"/>
                <w:szCs w:val="20"/>
              </w:rPr>
              <w:t xml:space="preserve">The application for leave to appeal from the judgment of the </w:t>
            </w:r>
            <w:r w:rsidRPr="00EE0DCD">
              <w:rPr>
                <w:sz w:val="20"/>
                <w:szCs w:val="20"/>
                <w:lang w:val="en-US"/>
              </w:rPr>
              <w:t>Court of Appeal of Quebec (Québec)</w:t>
            </w:r>
            <w:r w:rsidRPr="00EE0DCD">
              <w:rPr>
                <w:sz w:val="20"/>
                <w:szCs w:val="20"/>
              </w:rPr>
              <w:t xml:space="preserve">, Number </w:t>
            </w:r>
            <w:r w:rsidRPr="00EE0DCD">
              <w:rPr>
                <w:sz w:val="20"/>
                <w:szCs w:val="20"/>
                <w:lang w:val="en-US"/>
              </w:rPr>
              <w:t>200-09-010083-191, 2022 QCCA 1105</w:t>
            </w:r>
            <w:r w:rsidRPr="00EE0DCD">
              <w:rPr>
                <w:sz w:val="20"/>
                <w:szCs w:val="20"/>
              </w:rPr>
              <w:t xml:space="preserve">, dated </w:t>
            </w:r>
            <w:r w:rsidRPr="00EE0DCD">
              <w:rPr>
                <w:sz w:val="20"/>
                <w:szCs w:val="20"/>
                <w:lang w:val="en-US"/>
              </w:rPr>
              <w:t>August 15, 2022,</w:t>
            </w:r>
            <w:r w:rsidRPr="00EE0DCD">
              <w:rPr>
                <w:sz w:val="20"/>
                <w:szCs w:val="20"/>
              </w:rPr>
              <w:t xml:space="preserve"> is dismissed. </w:t>
            </w:r>
          </w:p>
          <w:p w:rsidR="003E5B23" w:rsidRPr="00EE0DCD" w:rsidRDefault="003E5B23" w:rsidP="003E5B23">
            <w:pPr>
              <w:jc w:val="both"/>
              <w:rPr>
                <w:sz w:val="20"/>
              </w:rPr>
            </w:pPr>
          </w:p>
        </w:tc>
      </w:tr>
      <w:tr w:rsidR="003E5B23" w:rsidRPr="00EE0DCD" w:rsidTr="003E5B23">
        <w:tc>
          <w:tcPr>
            <w:tcW w:w="5000" w:type="pct"/>
            <w:gridSpan w:val="4"/>
          </w:tcPr>
          <w:p w:rsidR="003E5B23" w:rsidRPr="00EE0DCD" w:rsidRDefault="003E5B23" w:rsidP="003E5B23">
            <w:pPr>
              <w:jc w:val="both"/>
              <w:rPr>
                <w:sz w:val="20"/>
              </w:rPr>
            </w:pPr>
            <w:r w:rsidRPr="00EE0DCD">
              <w:rPr>
                <w:sz w:val="20"/>
              </w:rPr>
              <w:t xml:space="preserve">Municipal law — Civil liability — Damage resulting from intervention of fire safety service during fire — Immunity of municipality from civil liability for damage that may result from its intervention during fire or emergency — Conditions for application of immunity under s. 47 </w:t>
            </w:r>
            <w:r w:rsidRPr="00EE0DCD">
              <w:rPr>
                <w:i/>
                <w:sz w:val="20"/>
              </w:rPr>
              <w:t>F.S.A.</w:t>
            </w:r>
            <w:r w:rsidRPr="00EE0DCD">
              <w:rPr>
                <w:sz w:val="20"/>
              </w:rPr>
              <w:t xml:space="preserve"> in absence of intentional or gross fault — Whether immunity provided for in s. 47 </w:t>
            </w:r>
            <w:r w:rsidRPr="00EE0DCD">
              <w:rPr>
                <w:i/>
                <w:sz w:val="20"/>
              </w:rPr>
              <w:t>F.S.A.</w:t>
            </w:r>
            <w:r w:rsidRPr="00EE0DCD">
              <w:rPr>
                <w:sz w:val="20"/>
              </w:rPr>
              <w:t xml:space="preserve"> should be interpreted broadly as suggested by Justice Simon Ruel, dissenting, and as held by Doyon, Kasirer and Gascon JJ.A. in </w:t>
            </w:r>
            <w:r w:rsidRPr="00EE0DCD">
              <w:rPr>
                <w:i/>
                <w:sz w:val="20"/>
              </w:rPr>
              <w:t>Compagnie canadienne d’assurances générales Lombard v. St</w:t>
            </w:r>
            <w:r w:rsidRPr="00EE0DCD">
              <w:rPr>
                <w:i/>
                <w:sz w:val="20"/>
              </w:rPr>
              <w:noBreakHyphen/>
              <w:t>Jérôme (Ville de)</w:t>
            </w:r>
            <w:r w:rsidRPr="00EE0DCD">
              <w:rPr>
                <w:sz w:val="20"/>
              </w:rPr>
              <w:t xml:space="preserve">, 2013 QCCA 1107, or narrowly as held by Justice France Thibault, writing for majority of Court of Appeal — </w:t>
            </w:r>
            <w:r w:rsidRPr="00EE0DCD">
              <w:rPr>
                <w:i/>
                <w:sz w:val="20"/>
              </w:rPr>
              <w:t>Fire Safety Act</w:t>
            </w:r>
            <w:r w:rsidRPr="00EE0DCD">
              <w:rPr>
                <w:sz w:val="20"/>
              </w:rPr>
              <w:t>, CQLR, c. S-3.4, s. 47.</w:t>
            </w:r>
          </w:p>
        </w:tc>
      </w:tr>
      <w:tr w:rsidR="003E5B23" w:rsidRPr="00EE0DCD" w:rsidTr="003E5B23">
        <w:tc>
          <w:tcPr>
            <w:tcW w:w="5000" w:type="pct"/>
            <w:gridSpan w:val="4"/>
          </w:tcPr>
          <w:p w:rsidR="003E5B23" w:rsidRPr="00EE0DCD" w:rsidRDefault="003E5B23" w:rsidP="003E5B23">
            <w:pPr>
              <w:jc w:val="both"/>
              <w:rPr>
                <w:sz w:val="20"/>
              </w:rPr>
            </w:pPr>
          </w:p>
        </w:tc>
      </w:tr>
      <w:tr w:rsidR="003E5B23" w:rsidRPr="00EE0DCD" w:rsidTr="003E5B23">
        <w:tc>
          <w:tcPr>
            <w:tcW w:w="5000" w:type="pct"/>
            <w:gridSpan w:val="4"/>
          </w:tcPr>
          <w:p w:rsidR="003E5B23" w:rsidRPr="00EE0DCD" w:rsidRDefault="003E5B23" w:rsidP="003E5B23">
            <w:pPr>
              <w:jc w:val="both"/>
              <w:rPr>
                <w:sz w:val="20"/>
              </w:rPr>
            </w:pPr>
            <w:r w:rsidRPr="00EE0DCD">
              <w:rPr>
                <w:sz w:val="20"/>
              </w:rPr>
              <w:t xml:space="preserve">On June 22, 2012, a fire broke out in a commercial and industrial sector of Ville de Trois-Rivières. The intervention timeline showed that only 6 firefighters were at the scene of the fire 10 minutes after the alarm was transmitted to the safety service. The respondents sued the applicant for $1,174,045.19 as reimbursement for damage incurred as a result of the fire. They alleged mainly that the intervention of the applicant’s firefighters had been faulty. The applicant invoked its immunity under s. 47 of the </w:t>
            </w:r>
            <w:r w:rsidRPr="00EE0DCD">
              <w:rPr>
                <w:i/>
                <w:sz w:val="20"/>
              </w:rPr>
              <w:t>Fire Safety Act</w:t>
            </w:r>
            <w:r w:rsidRPr="00EE0DCD">
              <w:rPr>
                <w:sz w:val="20"/>
              </w:rPr>
              <w:t xml:space="preserve">, CQLR, </w:t>
            </w:r>
            <w:proofErr w:type="gramStart"/>
            <w:r w:rsidRPr="00EE0DCD">
              <w:rPr>
                <w:sz w:val="20"/>
              </w:rPr>
              <w:t>c</w:t>
            </w:r>
            <w:proofErr w:type="gramEnd"/>
            <w:r w:rsidRPr="00EE0DCD">
              <w:rPr>
                <w:sz w:val="20"/>
              </w:rPr>
              <w:t>. S-3.4 (“</w:t>
            </w:r>
            <w:r w:rsidRPr="00EE0DCD">
              <w:rPr>
                <w:i/>
                <w:sz w:val="20"/>
              </w:rPr>
              <w:t>F.S.A.</w:t>
            </w:r>
            <w:r w:rsidRPr="00EE0DCD">
              <w:rPr>
                <w:sz w:val="20"/>
              </w:rPr>
              <w:t xml:space="preserve">”). The Quebec Superior Court determined that the applicant’s fire safety cover plan had not been complied with and that the applicant had therefore breached its undertakings by not sending 10 firefighters to the scene within 10 minutes after the alarm was transmitted. The court held that the applicant was not immune under s. 47 </w:t>
            </w:r>
            <w:r w:rsidRPr="00EE0DCD">
              <w:rPr>
                <w:i/>
                <w:sz w:val="20"/>
              </w:rPr>
              <w:t>F.S.A.</w:t>
            </w:r>
            <w:r w:rsidRPr="00EE0DCD">
              <w:rPr>
                <w:sz w:val="20"/>
              </w:rPr>
              <w:t xml:space="preserve"> and that it was 25 percent liable for the damage incurred by the respondents. The majority of the Quebec Court of Appeal dismissed the applicant’s appeal, finding that it could not enjoy immunity because it had breached the undertakings made in its plan for the implementation of its fire safety cover plan. However, Ruel J.A., dissenting, would have allowed the appeal. In his view, the applicant was immune under s. 47 </w:t>
            </w:r>
            <w:r w:rsidRPr="00EE0DCD">
              <w:rPr>
                <w:i/>
                <w:sz w:val="20"/>
              </w:rPr>
              <w:t>F.S.A.</w:t>
            </w:r>
          </w:p>
          <w:p w:rsidR="003E5B23" w:rsidRPr="00EE0DCD" w:rsidRDefault="003E5B23" w:rsidP="003E5B23">
            <w:pPr>
              <w:jc w:val="both"/>
              <w:rPr>
                <w:sz w:val="20"/>
              </w:rPr>
            </w:pPr>
          </w:p>
        </w:tc>
      </w:tr>
      <w:tr w:rsidR="003E5B23" w:rsidRPr="00EE0DCD" w:rsidTr="003E5B23">
        <w:tc>
          <w:tcPr>
            <w:tcW w:w="2427" w:type="pct"/>
            <w:gridSpan w:val="2"/>
          </w:tcPr>
          <w:p w:rsidR="003E5B23" w:rsidRPr="00EE0DCD" w:rsidRDefault="003E5B23" w:rsidP="003E5B23">
            <w:pPr>
              <w:jc w:val="both"/>
              <w:rPr>
                <w:sz w:val="20"/>
              </w:rPr>
            </w:pPr>
            <w:r w:rsidRPr="00EE0DCD">
              <w:rPr>
                <w:sz w:val="20"/>
              </w:rPr>
              <w:t>July 22, 2019</w:t>
            </w:r>
          </w:p>
          <w:p w:rsidR="003E5B23" w:rsidRPr="00EE0DCD" w:rsidRDefault="003E5B23" w:rsidP="003E5B23">
            <w:pPr>
              <w:jc w:val="both"/>
              <w:rPr>
                <w:sz w:val="20"/>
              </w:rPr>
            </w:pPr>
            <w:r w:rsidRPr="00EE0DCD">
              <w:rPr>
                <w:sz w:val="20"/>
              </w:rPr>
              <w:t>Quebec Superior Court</w:t>
            </w:r>
          </w:p>
          <w:p w:rsidR="003E5B23" w:rsidRPr="00EE0DCD" w:rsidRDefault="003E5B23" w:rsidP="003E5B23">
            <w:pPr>
              <w:jc w:val="both"/>
              <w:rPr>
                <w:sz w:val="20"/>
              </w:rPr>
            </w:pPr>
            <w:r w:rsidRPr="00EE0DCD">
              <w:rPr>
                <w:sz w:val="20"/>
              </w:rPr>
              <w:t>(Geoffroy J.)</w:t>
            </w:r>
          </w:p>
          <w:p w:rsidR="003E5B23" w:rsidRPr="00EE0DCD" w:rsidRDefault="003E5B23" w:rsidP="003E5B23">
            <w:pPr>
              <w:jc w:val="both"/>
              <w:rPr>
                <w:sz w:val="20"/>
              </w:rPr>
            </w:pPr>
            <w:r w:rsidRPr="00EE0DCD">
              <w:rPr>
                <w:sz w:val="20"/>
              </w:rPr>
              <w:t>File: 400-17-002977-128</w:t>
            </w:r>
          </w:p>
          <w:p w:rsidR="003E5B23" w:rsidRPr="00EE0DCD" w:rsidRDefault="00962BCB" w:rsidP="003E5B23">
            <w:pPr>
              <w:jc w:val="both"/>
              <w:rPr>
                <w:sz w:val="20"/>
              </w:rPr>
            </w:pPr>
            <w:hyperlink r:id="rId15" w:history="1">
              <w:r w:rsidR="003E5B23" w:rsidRPr="00EE0DCD">
                <w:rPr>
                  <w:rStyle w:val="Hyperlink"/>
                  <w:sz w:val="20"/>
                </w:rPr>
                <w:t>2019 QCCS 3181</w:t>
              </w:r>
            </w:hyperlink>
          </w:p>
          <w:p w:rsidR="003E5B23" w:rsidRPr="00EE0DCD" w:rsidRDefault="003E5B23" w:rsidP="003E5B23">
            <w:pPr>
              <w:jc w:val="both"/>
              <w:rPr>
                <w:sz w:val="20"/>
              </w:rPr>
            </w:pPr>
          </w:p>
        </w:tc>
        <w:tc>
          <w:tcPr>
            <w:tcW w:w="243" w:type="pct"/>
          </w:tcPr>
          <w:p w:rsidR="003E5B23" w:rsidRPr="00EE0DCD" w:rsidRDefault="003E5B23" w:rsidP="003E5B23">
            <w:pPr>
              <w:jc w:val="both"/>
              <w:rPr>
                <w:sz w:val="20"/>
              </w:rPr>
            </w:pPr>
          </w:p>
        </w:tc>
        <w:tc>
          <w:tcPr>
            <w:tcW w:w="2330" w:type="pct"/>
          </w:tcPr>
          <w:p w:rsidR="003E5B23" w:rsidRPr="00EE0DCD" w:rsidRDefault="003E5B23" w:rsidP="003E5B23">
            <w:pPr>
              <w:jc w:val="both"/>
              <w:rPr>
                <w:sz w:val="20"/>
              </w:rPr>
            </w:pPr>
            <w:r w:rsidRPr="00EE0DCD">
              <w:rPr>
                <w:sz w:val="20"/>
              </w:rPr>
              <w:t>Applicant found to be liable for 25 percent of damage incurred by respondents</w:t>
            </w:r>
          </w:p>
          <w:p w:rsidR="003E5B23" w:rsidRPr="00EE0DCD" w:rsidRDefault="003E5B23" w:rsidP="003E5B23">
            <w:pPr>
              <w:jc w:val="both"/>
              <w:rPr>
                <w:sz w:val="20"/>
              </w:rPr>
            </w:pPr>
          </w:p>
        </w:tc>
      </w:tr>
      <w:tr w:rsidR="003E5B23" w:rsidRPr="00EE0DCD" w:rsidTr="003E5B23">
        <w:tc>
          <w:tcPr>
            <w:tcW w:w="2427" w:type="pct"/>
            <w:gridSpan w:val="2"/>
          </w:tcPr>
          <w:p w:rsidR="003E5B23" w:rsidRPr="00EE0DCD" w:rsidRDefault="003E5B23" w:rsidP="003E5B23">
            <w:pPr>
              <w:jc w:val="both"/>
              <w:rPr>
                <w:sz w:val="20"/>
              </w:rPr>
            </w:pPr>
            <w:r w:rsidRPr="00EE0DCD">
              <w:rPr>
                <w:sz w:val="20"/>
              </w:rPr>
              <w:t>August 15, 2022</w:t>
            </w:r>
          </w:p>
          <w:p w:rsidR="003E5B23" w:rsidRPr="00EE0DCD" w:rsidRDefault="003E5B23" w:rsidP="003E5B23">
            <w:pPr>
              <w:jc w:val="both"/>
              <w:rPr>
                <w:sz w:val="20"/>
              </w:rPr>
            </w:pPr>
            <w:r w:rsidRPr="00EE0DCD">
              <w:rPr>
                <w:sz w:val="20"/>
              </w:rPr>
              <w:t>Quebec Court of Appeal (Québec)</w:t>
            </w:r>
          </w:p>
          <w:p w:rsidR="003E5B23" w:rsidRPr="00EE0DCD" w:rsidRDefault="003E5B23" w:rsidP="003E5B23">
            <w:pPr>
              <w:jc w:val="both"/>
              <w:rPr>
                <w:sz w:val="20"/>
              </w:rPr>
            </w:pPr>
            <w:r w:rsidRPr="00EE0DCD">
              <w:rPr>
                <w:sz w:val="20"/>
              </w:rPr>
              <w:t>(Thibault, Bouchard and Ruel (dissenting) JJ.A.)</w:t>
            </w:r>
          </w:p>
          <w:p w:rsidR="003E5B23" w:rsidRPr="00EE0DCD" w:rsidRDefault="003E5B23" w:rsidP="003E5B23">
            <w:pPr>
              <w:jc w:val="both"/>
              <w:rPr>
                <w:sz w:val="20"/>
              </w:rPr>
            </w:pPr>
            <w:r w:rsidRPr="00EE0DCD">
              <w:rPr>
                <w:sz w:val="20"/>
              </w:rPr>
              <w:t>File: 200-09-010083-191</w:t>
            </w:r>
          </w:p>
          <w:p w:rsidR="003E5B23" w:rsidRPr="00EE0DCD" w:rsidRDefault="00962BCB" w:rsidP="003E5B23">
            <w:pPr>
              <w:jc w:val="both"/>
              <w:rPr>
                <w:sz w:val="20"/>
              </w:rPr>
            </w:pPr>
            <w:hyperlink r:id="rId16" w:history="1">
              <w:r w:rsidR="003E5B23" w:rsidRPr="00EE0DCD">
                <w:rPr>
                  <w:rStyle w:val="Hyperlink"/>
                  <w:sz w:val="20"/>
                </w:rPr>
                <w:t>2022 QCCA 1105</w:t>
              </w:r>
            </w:hyperlink>
          </w:p>
          <w:p w:rsidR="003E5B23" w:rsidRPr="00EE0DCD" w:rsidRDefault="003E5B23" w:rsidP="003E5B23">
            <w:pPr>
              <w:jc w:val="both"/>
              <w:rPr>
                <w:sz w:val="20"/>
              </w:rPr>
            </w:pPr>
          </w:p>
        </w:tc>
        <w:tc>
          <w:tcPr>
            <w:tcW w:w="243" w:type="pct"/>
          </w:tcPr>
          <w:p w:rsidR="003E5B23" w:rsidRPr="00EE0DCD" w:rsidRDefault="003E5B23" w:rsidP="003E5B23">
            <w:pPr>
              <w:jc w:val="both"/>
              <w:rPr>
                <w:sz w:val="20"/>
              </w:rPr>
            </w:pPr>
          </w:p>
        </w:tc>
        <w:tc>
          <w:tcPr>
            <w:tcW w:w="2330" w:type="pct"/>
          </w:tcPr>
          <w:p w:rsidR="003E5B23" w:rsidRPr="00EE0DCD" w:rsidRDefault="003E5B23" w:rsidP="003E5B23">
            <w:pPr>
              <w:jc w:val="both"/>
              <w:rPr>
                <w:sz w:val="20"/>
              </w:rPr>
            </w:pPr>
            <w:r w:rsidRPr="00EE0DCD">
              <w:rPr>
                <w:sz w:val="20"/>
              </w:rPr>
              <w:t>Appeal dismissed</w:t>
            </w:r>
          </w:p>
          <w:p w:rsidR="003E5B23" w:rsidRPr="00EE0DCD" w:rsidRDefault="003E5B23" w:rsidP="003E5B23">
            <w:pPr>
              <w:jc w:val="both"/>
              <w:rPr>
                <w:sz w:val="20"/>
              </w:rPr>
            </w:pPr>
          </w:p>
        </w:tc>
      </w:tr>
      <w:tr w:rsidR="003E5B23" w:rsidRPr="00EE0DCD" w:rsidTr="003E5B23">
        <w:tc>
          <w:tcPr>
            <w:tcW w:w="2427" w:type="pct"/>
            <w:gridSpan w:val="2"/>
          </w:tcPr>
          <w:p w:rsidR="003E5B23" w:rsidRPr="00EE0DCD" w:rsidRDefault="003E5B23" w:rsidP="003E5B23">
            <w:pPr>
              <w:jc w:val="both"/>
              <w:rPr>
                <w:sz w:val="20"/>
              </w:rPr>
            </w:pPr>
            <w:r w:rsidRPr="00EE0DCD">
              <w:rPr>
                <w:sz w:val="20"/>
              </w:rPr>
              <w:t>October 14, 2022</w:t>
            </w:r>
          </w:p>
          <w:p w:rsidR="003E5B23" w:rsidRPr="00EE0DCD" w:rsidRDefault="003E5B23" w:rsidP="003E5B23">
            <w:pPr>
              <w:jc w:val="both"/>
              <w:rPr>
                <w:sz w:val="20"/>
              </w:rPr>
            </w:pPr>
            <w:r w:rsidRPr="00EE0DCD">
              <w:rPr>
                <w:sz w:val="20"/>
              </w:rPr>
              <w:t>Supreme Court of Canada</w:t>
            </w:r>
          </w:p>
        </w:tc>
        <w:tc>
          <w:tcPr>
            <w:tcW w:w="243" w:type="pct"/>
          </w:tcPr>
          <w:p w:rsidR="003E5B23" w:rsidRPr="00EE0DCD" w:rsidRDefault="003E5B23" w:rsidP="003E5B23">
            <w:pPr>
              <w:jc w:val="both"/>
              <w:rPr>
                <w:sz w:val="20"/>
              </w:rPr>
            </w:pPr>
          </w:p>
        </w:tc>
        <w:tc>
          <w:tcPr>
            <w:tcW w:w="2330" w:type="pct"/>
          </w:tcPr>
          <w:p w:rsidR="003E5B23" w:rsidRPr="00EE0DCD" w:rsidRDefault="003E5B23" w:rsidP="003E5B23">
            <w:pPr>
              <w:jc w:val="both"/>
              <w:rPr>
                <w:sz w:val="20"/>
              </w:rPr>
            </w:pPr>
            <w:r w:rsidRPr="00EE0DCD">
              <w:rPr>
                <w:sz w:val="20"/>
              </w:rPr>
              <w:t>Application for leave to appeal filed</w:t>
            </w:r>
          </w:p>
          <w:p w:rsidR="003E5B23" w:rsidRPr="00EE0DCD" w:rsidRDefault="003E5B23" w:rsidP="003E5B23">
            <w:pPr>
              <w:jc w:val="both"/>
              <w:rPr>
                <w:sz w:val="20"/>
              </w:rPr>
            </w:pPr>
          </w:p>
        </w:tc>
      </w:tr>
    </w:tbl>
    <w:p w:rsidR="003E5B23" w:rsidRPr="00EE0DCD" w:rsidRDefault="003E5B23" w:rsidP="003E5B23">
      <w:pPr>
        <w:jc w:val="both"/>
        <w:rPr>
          <w:sz w:val="20"/>
        </w:rPr>
      </w:pPr>
    </w:p>
    <w:p w:rsidR="003E5B23" w:rsidRPr="00EE0DCD" w:rsidRDefault="00962BCB" w:rsidP="003E5B23">
      <w:pPr>
        <w:jc w:val="both"/>
        <w:rPr>
          <w:sz w:val="20"/>
        </w:rPr>
      </w:pPr>
      <w:r w:rsidRPr="00EE0DCD">
        <w:rPr>
          <w:sz w:val="20"/>
        </w:rPr>
        <w:pict>
          <v:rect id="_x0000_i1028" style="width:2in;height:1pt" o:hrpct="0" o:hralign="center" o:hrstd="t" o:hrnoshade="t" o:hr="t" fillcolor="black [3213]" stroked="f"/>
        </w:pict>
      </w:r>
    </w:p>
    <w:p w:rsidR="003E5B23" w:rsidRPr="00EE0DCD" w:rsidRDefault="003E5B23" w:rsidP="003E5B23">
      <w:pPr>
        <w:jc w:val="both"/>
        <w:rPr>
          <w:sz w:val="20"/>
        </w:rPr>
      </w:pPr>
    </w:p>
    <w:p w:rsidR="009E5C22" w:rsidRPr="00EE0DCD" w:rsidRDefault="009E5C22">
      <w:r w:rsidRPr="00EE0DC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5B23" w:rsidRPr="00EE0DCD" w:rsidTr="003E5B23">
        <w:tc>
          <w:tcPr>
            <w:tcW w:w="543" w:type="pct"/>
          </w:tcPr>
          <w:p w:rsidR="003E5B23" w:rsidRPr="00EE0DCD" w:rsidRDefault="003E5B23" w:rsidP="003E5B23">
            <w:pPr>
              <w:jc w:val="both"/>
              <w:rPr>
                <w:sz w:val="20"/>
              </w:rPr>
            </w:pPr>
            <w:r w:rsidRPr="00EE0DCD">
              <w:rPr>
                <w:rStyle w:val="SCCFileNumberChar"/>
                <w:sz w:val="20"/>
                <w:szCs w:val="20"/>
              </w:rPr>
              <w:t>40419</w:t>
            </w:r>
          </w:p>
        </w:tc>
        <w:tc>
          <w:tcPr>
            <w:tcW w:w="4457" w:type="pct"/>
            <w:gridSpan w:val="3"/>
          </w:tcPr>
          <w:p w:rsidR="003E5B23" w:rsidRPr="00EE0DCD" w:rsidRDefault="003E5B23" w:rsidP="003E5B23">
            <w:pPr>
              <w:pStyle w:val="SCCLsocParty"/>
              <w:jc w:val="both"/>
              <w:rPr>
                <w:b/>
                <w:sz w:val="20"/>
                <w:szCs w:val="20"/>
              </w:rPr>
            </w:pPr>
            <w:r w:rsidRPr="00EE0DCD">
              <w:rPr>
                <w:b/>
                <w:sz w:val="20"/>
                <w:szCs w:val="20"/>
              </w:rPr>
              <w:t xml:space="preserve">Ville de Trois-Rivières c. </w:t>
            </w:r>
            <w:r w:rsidR="00883BFC" w:rsidRPr="00EE0DCD">
              <w:rPr>
                <w:b/>
                <w:sz w:val="20"/>
                <w:szCs w:val="20"/>
              </w:rPr>
              <w:t>Royal &amp; Sun Alliance du Canada, société d’assurances, 9081-1035 Québec inc., faisant affaire sous la raison sociale de Déneigement F.L. inc. et Fernand Lamarre</w:t>
            </w:r>
          </w:p>
          <w:p w:rsidR="003E5B23" w:rsidRPr="00EE0DCD" w:rsidRDefault="003E5B23" w:rsidP="003E5B23">
            <w:pPr>
              <w:jc w:val="both"/>
              <w:rPr>
                <w:sz w:val="20"/>
              </w:rPr>
            </w:pPr>
            <w:r w:rsidRPr="00EE0DCD">
              <w:rPr>
                <w:sz w:val="20"/>
              </w:rPr>
              <w:t>(Qc) (Civile) (Autorisation)</w:t>
            </w:r>
          </w:p>
        </w:tc>
      </w:tr>
      <w:tr w:rsidR="003E5B23" w:rsidRPr="00EE0DCD" w:rsidTr="003E5B23">
        <w:tc>
          <w:tcPr>
            <w:tcW w:w="5000" w:type="pct"/>
            <w:gridSpan w:val="4"/>
          </w:tcPr>
          <w:p w:rsidR="00883BFC" w:rsidRPr="00EE0DCD" w:rsidRDefault="00883BFC" w:rsidP="00883BFC">
            <w:pPr>
              <w:jc w:val="both"/>
              <w:rPr>
                <w:sz w:val="20"/>
                <w:szCs w:val="20"/>
                <w:lang w:val="fr-CA"/>
              </w:rPr>
            </w:pPr>
            <w:r w:rsidRPr="00EE0DCD">
              <w:rPr>
                <w:sz w:val="20"/>
                <w:szCs w:val="20"/>
                <w:lang w:val="fr-CA"/>
              </w:rPr>
              <w:t>La demande d’autorisation d’appel de l’arrêt de la Cour d’appel du Québec (Québec), numéro 200-09-010083-191, 2022 QCCA 1105, daté du 15 août 2022, est rejetée.</w:t>
            </w:r>
          </w:p>
          <w:p w:rsidR="003E5B23" w:rsidRPr="00EE0DCD" w:rsidRDefault="003E5B23" w:rsidP="003E5B23">
            <w:pPr>
              <w:jc w:val="both"/>
              <w:rPr>
                <w:sz w:val="20"/>
                <w:lang w:val="fr-CA"/>
              </w:rPr>
            </w:pPr>
          </w:p>
        </w:tc>
      </w:tr>
      <w:tr w:rsidR="003E5B23" w:rsidRPr="00EE0DCD" w:rsidTr="003E5B23">
        <w:tc>
          <w:tcPr>
            <w:tcW w:w="5000" w:type="pct"/>
            <w:gridSpan w:val="4"/>
          </w:tcPr>
          <w:p w:rsidR="003E5B23" w:rsidRPr="00EE0DCD" w:rsidRDefault="003E5B23" w:rsidP="003E5B23">
            <w:pPr>
              <w:jc w:val="both"/>
              <w:rPr>
                <w:sz w:val="20"/>
                <w:lang w:val="fr-CA"/>
              </w:rPr>
            </w:pPr>
            <w:r w:rsidRPr="00EE0DCD">
              <w:rPr>
                <w:sz w:val="20"/>
                <w:lang w:val="fr-CA"/>
              </w:rPr>
              <w:t xml:space="preserve">Droit municipal — Responsabilité civile — Préjudice résultant de l’intervention d’un service de sécurité incendie lors d’un incendie — Immunité de la municipalité contre la responsabilité civile pour le préjudice qui peut résulter de son intervention lors d’un incendie ou d’une situation d’urgence — En l’absence d’une faute intentionnelle ou lourde, quelles sont les conditions d’application de l’immunité prévue à l’art. 47 </w:t>
            </w:r>
            <w:r w:rsidRPr="00EE0DCD">
              <w:rPr>
                <w:i/>
                <w:sz w:val="20"/>
                <w:lang w:val="fr-CA"/>
              </w:rPr>
              <w:t>L.s.i.</w:t>
            </w:r>
            <w:r w:rsidRPr="00EE0DCD">
              <w:rPr>
                <w:sz w:val="20"/>
                <w:lang w:val="fr-CA"/>
              </w:rPr>
              <w:t xml:space="preserve">? — L’immunité prévue à l’art. 47 </w:t>
            </w:r>
            <w:r w:rsidRPr="00EE0DCD">
              <w:rPr>
                <w:i/>
                <w:sz w:val="20"/>
                <w:lang w:val="fr-CA"/>
              </w:rPr>
              <w:t>L.s.i.</w:t>
            </w:r>
            <w:r w:rsidRPr="00EE0DCD">
              <w:rPr>
                <w:sz w:val="20"/>
                <w:lang w:val="fr-CA"/>
              </w:rPr>
              <w:t xml:space="preserve"> doit-elle être interprétée largement, comme le suggère le juge Simon Ruel, dissident, et comme l’ont décidé les juges Doyon, Kasirer et Gascon dans l’affaire </w:t>
            </w:r>
            <w:r w:rsidRPr="00EE0DCD">
              <w:rPr>
                <w:i/>
                <w:sz w:val="20"/>
                <w:lang w:val="fr-CA"/>
              </w:rPr>
              <w:t>Compagnie canadienne d’assurances générales Lombard c. St</w:t>
            </w:r>
            <w:r w:rsidRPr="00EE0DCD">
              <w:rPr>
                <w:i/>
                <w:sz w:val="20"/>
                <w:lang w:val="fr-CA"/>
              </w:rPr>
              <w:noBreakHyphen/>
              <w:t>Jérôme (Ville de)</w:t>
            </w:r>
            <w:r w:rsidRPr="00EE0DCD">
              <w:rPr>
                <w:sz w:val="20"/>
                <w:lang w:val="fr-CA"/>
              </w:rPr>
              <w:t xml:space="preserve">, 2013 QCCA 1107, ou de façon restrictive, comme l’a décidé la juge France Thibault, parlant au nom de la majorité de la Cour d’appel? — </w:t>
            </w:r>
            <w:r w:rsidRPr="00EE0DCD">
              <w:rPr>
                <w:i/>
                <w:sz w:val="20"/>
                <w:lang w:val="fr-CA"/>
              </w:rPr>
              <w:t>Loi sur la sécurité incendie</w:t>
            </w:r>
            <w:r w:rsidRPr="00EE0DCD">
              <w:rPr>
                <w:sz w:val="20"/>
                <w:lang w:val="fr-CA"/>
              </w:rPr>
              <w:t>, RLRQ, c. S-3.4, art. 47.</w:t>
            </w:r>
          </w:p>
        </w:tc>
      </w:tr>
      <w:tr w:rsidR="003E5B23" w:rsidRPr="00EE0DCD" w:rsidTr="003E5B23">
        <w:tc>
          <w:tcPr>
            <w:tcW w:w="5000" w:type="pct"/>
            <w:gridSpan w:val="4"/>
          </w:tcPr>
          <w:p w:rsidR="003E5B23" w:rsidRPr="00EE0DCD" w:rsidRDefault="003E5B23" w:rsidP="003E5B23">
            <w:pPr>
              <w:jc w:val="both"/>
              <w:rPr>
                <w:sz w:val="20"/>
                <w:lang w:val="fr-CA"/>
              </w:rPr>
            </w:pPr>
          </w:p>
        </w:tc>
      </w:tr>
      <w:tr w:rsidR="003E5B23" w:rsidRPr="00EE0DCD" w:rsidTr="003E5B23">
        <w:tc>
          <w:tcPr>
            <w:tcW w:w="5000" w:type="pct"/>
            <w:gridSpan w:val="4"/>
          </w:tcPr>
          <w:p w:rsidR="003E5B23" w:rsidRPr="00EE0DCD" w:rsidRDefault="003E5B23" w:rsidP="003E5B23">
            <w:pPr>
              <w:jc w:val="both"/>
              <w:rPr>
                <w:sz w:val="20"/>
                <w:lang w:val="fr-CA"/>
              </w:rPr>
            </w:pPr>
            <w:r w:rsidRPr="00EE0DCD">
              <w:rPr>
                <w:sz w:val="20"/>
                <w:lang w:val="fr-CA"/>
              </w:rPr>
              <w:t xml:space="preserve">Le 22 juin 2012, un incendie survient dans un secteur commercial et industriel de la Ville de Trois-Rivières. Il ressort de la chronologie de l’intervention qu’il n’y avait que 6 pompiers sur les lieux de l’incendie 10 minutes après la transmission de l’alerte au service d’incendie. Les intimés réclament de la demanderesse une somme de 1 174 045,19 $ en remboursement de dommages subis à la suite de l’incendie. Ils allèguent principalement une intervention fautive des pompiers de la demanderesse qui, pour sa part, invoque l’immunité dont elle bénéficie en vertu de l’art. 47 de la </w:t>
            </w:r>
            <w:r w:rsidRPr="00EE0DCD">
              <w:rPr>
                <w:i/>
                <w:sz w:val="20"/>
                <w:lang w:val="fr-CA"/>
              </w:rPr>
              <w:t>Loi sur la sécurité incendie</w:t>
            </w:r>
            <w:r w:rsidRPr="00EE0DCD">
              <w:rPr>
                <w:sz w:val="20"/>
                <w:lang w:val="fr-CA"/>
              </w:rPr>
              <w:t>, RLRQ, c. S-3.4 (« </w:t>
            </w:r>
            <w:r w:rsidRPr="00EE0DCD">
              <w:rPr>
                <w:i/>
                <w:sz w:val="20"/>
                <w:lang w:val="fr-CA"/>
              </w:rPr>
              <w:t>L.s.i.</w:t>
            </w:r>
            <w:r w:rsidRPr="00EE0DCD">
              <w:rPr>
                <w:sz w:val="20"/>
                <w:lang w:val="fr-CA"/>
              </w:rPr>
              <w:t xml:space="preserve"> »). La Cour supérieure du Québec détermine que le Schéma de couverture de risques de la demanderesse n’a pas été respecté et que la demanderesse a donc manqué à ses engagements en ne déployant pas 10 pompiers sur les lieux dans un délai de 10 minutes à compter du moment où l’alerte a été transmise. La cour conclut que la demanderesse ne bénéficie pas de l’immunité prévue à l’art. 47 </w:t>
            </w:r>
            <w:r w:rsidRPr="00EE0DCD">
              <w:rPr>
                <w:i/>
                <w:sz w:val="20"/>
                <w:lang w:val="fr-CA"/>
              </w:rPr>
              <w:t>L.s.i.</w:t>
            </w:r>
            <w:r w:rsidRPr="00EE0DCD">
              <w:rPr>
                <w:sz w:val="20"/>
                <w:lang w:val="fr-CA"/>
              </w:rPr>
              <w:t xml:space="preserve"> et elle établit à 25 p. 100 la responsabilité de la demanderesse dans les dommages subis par les intimés. Les juges majoritaires de la Cour d’appel du Québec rejettent l’appel de la demanderesse. Ils sont d’avis que la demanderesse ne pouvait bénéficier de l’immunité, car elle a manqué à ses engagements pris dans son P</w:t>
            </w:r>
            <w:r w:rsidRPr="00EE0DCD">
              <w:rPr>
                <w:iCs/>
                <w:sz w:val="20"/>
                <w:lang w:val="fr-CA"/>
              </w:rPr>
              <w:t xml:space="preserve">lan de mise en œuvre </w:t>
            </w:r>
            <w:r w:rsidRPr="00EE0DCD">
              <w:rPr>
                <w:sz w:val="20"/>
                <w:lang w:val="fr-CA"/>
              </w:rPr>
              <w:t xml:space="preserve">du Schéma de couverture de risques. Par contre, le juge Ruel, dissident, aurait accueilli l’appel. Selon lui, la demanderesse bénéficie de l’immunité prévue à l’art. 47 </w:t>
            </w:r>
            <w:r w:rsidRPr="00EE0DCD">
              <w:rPr>
                <w:i/>
                <w:sz w:val="20"/>
                <w:lang w:val="fr-CA"/>
              </w:rPr>
              <w:t>L.s.i.</w:t>
            </w:r>
          </w:p>
          <w:p w:rsidR="003E5B23" w:rsidRPr="00EE0DCD" w:rsidRDefault="003E5B23" w:rsidP="003E5B23">
            <w:pPr>
              <w:jc w:val="both"/>
              <w:rPr>
                <w:sz w:val="20"/>
                <w:lang w:val="fr-CA"/>
              </w:rPr>
            </w:pPr>
          </w:p>
        </w:tc>
      </w:tr>
      <w:tr w:rsidR="003E5B23" w:rsidRPr="00EE0DCD" w:rsidTr="003E5B23">
        <w:tc>
          <w:tcPr>
            <w:tcW w:w="2427" w:type="pct"/>
            <w:gridSpan w:val="2"/>
          </w:tcPr>
          <w:p w:rsidR="003E5B23" w:rsidRPr="00EE0DCD" w:rsidRDefault="003E5B23" w:rsidP="003E5B23">
            <w:pPr>
              <w:jc w:val="both"/>
              <w:rPr>
                <w:sz w:val="20"/>
                <w:lang w:val="fr-CA"/>
              </w:rPr>
            </w:pPr>
            <w:r w:rsidRPr="00EE0DCD">
              <w:rPr>
                <w:sz w:val="20"/>
                <w:lang w:val="fr-CA"/>
              </w:rPr>
              <w:t>Le 22 juillet 2019</w:t>
            </w:r>
          </w:p>
          <w:p w:rsidR="003E5B23" w:rsidRPr="00EE0DCD" w:rsidRDefault="003E5B23" w:rsidP="003E5B23">
            <w:pPr>
              <w:jc w:val="both"/>
              <w:rPr>
                <w:sz w:val="20"/>
                <w:lang w:val="fr-CA"/>
              </w:rPr>
            </w:pPr>
            <w:r w:rsidRPr="00EE0DCD">
              <w:rPr>
                <w:sz w:val="20"/>
                <w:lang w:val="fr-CA"/>
              </w:rPr>
              <w:t>Cour supérieure du Québec</w:t>
            </w:r>
          </w:p>
          <w:p w:rsidR="003E5B23" w:rsidRPr="00EE0DCD" w:rsidRDefault="003E5B23" w:rsidP="003E5B23">
            <w:pPr>
              <w:jc w:val="both"/>
              <w:rPr>
                <w:sz w:val="20"/>
                <w:lang w:val="fr-CA"/>
              </w:rPr>
            </w:pPr>
            <w:r w:rsidRPr="00EE0DCD">
              <w:rPr>
                <w:sz w:val="20"/>
                <w:lang w:val="fr-CA"/>
              </w:rPr>
              <w:t>(Le juge Geoffroy)</w:t>
            </w:r>
          </w:p>
          <w:p w:rsidR="003E5B23" w:rsidRPr="00EE0DCD" w:rsidRDefault="003E5B23" w:rsidP="003E5B23">
            <w:pPr>
              <w:jc w:val="both"/>
              <w:rPr>
                <w:sz w:val="20"/>
                <w:lang w:val="fr-CA"/>
              </w:rPr>
            </w:pPr>
            <w:r w:rsidRPr="00EE0DCD">
              <w:rPr>
                <w:sz w:val="20"/>
                <w:lang w:val="fr-CA"/>
              </w:rPr>
              <w:t>Dossier : 400-17-002977-128</w:t>
            </w:r>
          </w:p>
          <w:p w:rsidR="003E5B23" w:rsidRPr="00EE0DCD" w:rsidRDefault="00962BCB" w:rsidP="003E5B23">
            <w:pPr>
              <w:jc w:val="both"/>
              <w:rPr>
                <w:sz w:val="20"/>
                <w:lang w:val="fr-CA"/>
              </w:rPr>
            </w:pPr>
            <w:hyperlink r:id="rId17" w:history="1">
              <w:r w:rsidR="003E5B23" w:rsidRPr="00EE0DCD">
                <w:rPr>
                  <w:rStyle w:val="Hyperlink"/>
                  <w:sz w:val="20"/>
                  <w:lang w:val="fr-CA"/>
                </w:rPr>
                <w:t>2019 QCCS 3181</w:t>
              </w:r>
            </w:hyperlink>
          </w:p>
          <w:p w:rsidR="003E5B23" w:rsidRPr="00EE0DCD" w:rsidRDefault="003E5B23" w:rsidP="003E5B23">
            <w:pPr>
              <w:jc w:val="both"/>
              <w:rPr>
                <w:sz w:val="20"/>
                <w:lang w:val="fr-CA"/>
              </w:rPr>
            </w:pPr>
          </w:p>
        </w:tc>
        <w:tc>
          <w:tcPr>
            <w:tcW w:w="243" w:type="pct"/>
          </w:tcPr>
          <w:p w:rsidR="003E5B23" w:rsidRPr="00EE0DCD" w:rsidRDefault="003E5B23" w:rsidP="003E5B23">
            <w:pPr>
              <w:jc w:val="both"/>
              <w:rPr>
                <w:sz w:val="20"/>
                <w:lang w:val="fr-CA"/>
              </w:rPr>
            </w:pPr>
          </w:p>
        </w:tc>
        <w:tc>
          <w:tcPr>
            <w:tcW w:w="2330" w:type="pct"/>
          </w:tcPr>
          <w:p w:rsidR="003E5B23" w:rsidRPr="00EE0DCD" w:rsidRDefault="003E5B23" w:rsidP="003E5B23">
            <w:pPr>
              <w:jc w:val="both"/>
              <w:rPr>
                <w:sz w:val="20"/>
                <w:lang w:val="fr-CA"/>
              </w:rPr>
            </w:pPr>
            <w:r w:rsidRPr="00EE0DCD">
              <w:rPr>
                <w:sz w:val="20"/>
                <w:lang w:val="fr-CA"/>
              </w:rPr>
              <w:t>Déclaration selon laquelle la demanderesse est responsable de 25 p. 100 des dommages subis par les intimés.</w:t>
            </w:r>
          </w:p>
          <w:p w:rsidR="003E5B23" w:rsidRPr="00EE0DCD" w:rsidRDefault="003E5B23" w:rsidP="003E5B23">
            <w:pPr>
              <w:jc w:val="both"/>
              <w:rPr>
                <w:sz w:val="20"/>
                <w:lang w:val="fr-CA"/>
              </w:rPr>
            </w:pPr>
          </w:p>
        </w:tc>
      </w:tr>
      <w:tr w:rsidR="003E5B23" w:rsidRPr="00EE0DCD" w:rsidTr="003E5B23">
        <w:tc>
          <w:tcPr>
            <w:tcW w:w="2427" w:type="pct"/>
            <w:gridSpan w:val="2"/>
          </w:tcPr>
          <w:p w:rsidR="003E5B23" w:rsidRPr="00EE0DCD" w:rsidRDefault="003E5B23" w:rsidP="003E5B23">
            <w:pPr>
              <w:jc w:val="both"/>
              <w:rPr>
                <w:sz w:val="20"/>
                <w:lang w:val="fr-CA"/>
              </w:rPr>
            </w:pPr>
            <w:r w:rsidRPr="00EE0DCD">
              <w:rPr>
                <w:sz w:val="20"/>
                <w:lang w:val="fr-CA"/>
              </w:rPr>
              <w:t>Le 15 août 2022</w:t>
            </w:r>
          </w:p>
          <w:p w:rsidR="003E5B23" w:rsidRPr="00EE0DCD" w:rsidRDefault="003E5B23" w:rsidP="003E5B23">
            <w:pPr>
              <w:jc w:val="both"/>
              <w:rPr>
                <w:sz w:val="20"/>
                <w:lang w:val="fr-CA"/>
              </w:rPr>
            </w:pPr>
            <w:r w:rsidRPr="00EE0DCD">
              <w:rPr>
                <w:sz w:val="20"/>
                <w:lang w:val="fr-CA"/>
              </w:rPr>
              <w:t>Cour d’appel du Québec (Québec)</w:t>
            </w:r>
          </w:p>
          <w:p w:rsidR="003E5B23" w:rsidRPr="00EE0DCD" w:rsidRDefault="003E5B23" w:rsidP="003E5B23">
            <w:pPr>
              <w:jc w:val="both"/>
              <w:rPr>
                <w:sz w:val="20"/>
                <w:lang w:val="fr-CA"/>
              </w:rPr>
            </w:pPr>
            <w:r w:rsidRPr="00EE0DCD">
              <w:rPr>
                <w:sz w:val="20"/>
                <w:lang w:val="fr-CA"/>
              </w:rPr>
              <w:t>(Les juges Thibault, Bouchard et Ruel [dissident])</w:t>
            </w:r>
          </w:p>
          <w:p w:rsidR="003E5B23" w:rsidRPr="00EE0DCD" w:rsidRDefault="003E5B23" w:rsidP="003E5B23">
            <w:pPr>
              <w:jc w:val="both"/>
              <w:rPr>
                <w:sz w:val="20"/>
              </w:rPr>
            </w:pPr>
            <w:r w:rsidRPr="00EE0DCD">
              <w:rPr>
                <w:sz w:val="20"/>
              </w:rPr>
              <w:t>Dossier : 200-09-010083-191</w:t>
            </w:r>
          </w:p>
          <w:p w:rsidR="003E5B23" w:rsidRPr="00EE0DCD" w:rsidRDefault="00962BCB" w:rsidP="003E5B23">
            <w:pPr>
              <w:jc w:val="both"/>
              <w:rPr>
                <w:sz w:val="20"/>
              </w:rPr>
            </w:pPr>
            <w:hyperlink r:id="rId18" w:history="1">
              <w:r w:rsidR="003E5B23" w:rsidRPr="00EE0DCD">
                <w:rPr>
                  <w:rStyle w:val="Hyperlink"/>
                  <w:sz w:val="20"/>
                </w:rPr>
                <w:t>2022 QCCA 1105</w:t>
              </w:r>
            </w:hyperlink>
          </w:p>
          <w:p w:rsidR="003E5B23" w:rsidRPr="00EE0DCD" w:rsidRDefault="003E5B23" w:rsidP="003E5B23">
            <w:pPr>
              <w:jc w:val="both"/>
              <w:rPr>
                <w:sz w:val="20"/>
              </w:rPr>
            </w:pPr>
          </w:p>
        </w:tc>
        <w:tc>
          <w:tcPr>
            <w:tcW w:w="243" w:type="pct"/>
          </w:tcPr>
          <w:p w:rsidR="003E5B23" w:rsidRPr="00EE0DCD" w:rsidRDefault="003E5B23" w:rsidP="003E5B23">
            <w:pPr>
              <w:jc w:val="both"/>
              <w:rPr>
                <w:sz w:val="20"/>
              </w:rPr>
            </w:pPr>
          </w:p>
        </w:tc>
        <w:tc>
          <w:tcPr>
            <w:tcW w:w="2330" w:type="pct"/>
          </w:tcPr>
          <w:p w:rsidR="003E5B23" w:rsidRPr="00EE0DCD" w:rsidRDefault="003E5B23" w:rsidP="003E5B23">
            <w:pPr>
              <w:jc w:val="both"/>
              <w:rPr>
                <w:sz w:val="20"/>
              </w:rPr>
            </w:pPr>
            <w:r w:rsidRPr="00EE0DCD">
              <w:rPr>
                <w:sz w:val="20"/>
              </w:rPr>
              <w:t>Appel rejeté.</w:t>
            </w:r>
          </w:p>
          <w:p w:rsidR="003E5B23" w:rsidRPr="00EE0DCD" w:rsidRDefault="003E5B23" w:rsidP="003E5B23">
            <w:pPr>
              <w:jc w:val="both"/>
              <w:rPr>
                <w:sz w:val="20"/>
              </w:rPr>
            </w:pPr>
          </w:p>
        </w:tc>
      </w:tr>
      <w:tr w:rsidR="003E5B23" w:rsidRPr="00EE0DCD" w:rsidTr="003E5B23">
        <w:tc>
          <w:tcPr>
            <w:tcW w:w="2427" w:type="pct"/>
            <w:gridSpan w:val="2"/>
          </w:tcPr>
          <w:p w:rsidR="003E5B23" w:rsidRPr="00EE0DCD" w:rsidRDefault="003E5B23" w:rsidP="003E5B23">
            <w:pPr>
              <w:jc w:val="both"/>
              <w:rPr>
                <w:sz w:val="20"/>
                <w:lang w:val="fr-CA"/>
              </w:rPr>
            </w:pPr>
            <w:r w:rsidRPr="00EE0DCD">
              <w:rPr>
                <w:sz w:val="20"/>
                <w:lang w:val="fr-CA"/>
              </w:rPr>
              <w:t>Le 14 octobre 2022</w:t>
            </w:r>
          </w:p>
          <w:p w:rsidR="003E5B23" w:rsidRPr="00EE0DCD" w:rsidRDefault="003E5B23" w:rsidP="003E5B23">
            <w:pPr>
              <w:jc w:val="both"/>
              <w:rPr>
                <w:sz w:val="20"/>
                <w:lang w:val="fr-CA"/>
              </w:rPr>
            </w:pPr>
            <w:r w:rsidRPr="00EE0DCD">
              <w:rPr>
                <w:sz w:val="20"/>
                <w:lang w:val="fr-CA"/>
              </w:rPr>
              <w:t>Cour suprême du Canada</w:t>
            </w:r>
          </w:p>
        </w:tc>
        <w:tc>
          <w:tcPr>
            <w:tcW w:w="243" w:type="pct"/>
          </w:tcPr>
          <w:p w:rsidR="003E5B23" w:rsidRPr="00EE0DCD" w:rsidRDefault="003E5B23" w:rsidP="003E5B23">
            <w:pPr>
              <w:jc w:val="both"/>
              <w:rPr>
                <w:sz w:val="20"/>
                <w:lang w:val="fr-CA"/>
              </w:rPr>
            </w:pPr>
          </w:p>
        </w:tc>
        <w:tc>
          <w:tcPr>
            <w:tcW w:w="2330" w:type="pct"/>
          </w:tcPr>
          <w:p w:rsidR="003E5B23" w:rsidRPr="00EE0DCD" w:rsidRDefault="003E5B23" w:rsidP="003E5B23">
            <w:pPr>
              <w:jc w:val="both"/>
              <w:rPr>
                <w:sz w:val="20"/>
              </w:rPr>
            </w:pPr>
            <w:r w:rsidRPr="00EE0DCD">
              <w:rPr>
                <w:sz w:val="20"/>
              </w:rPr>
              <w:t>Demande d’autorisation d’appel déposée.</w:t>
            </w:r>
          </w:p>
          <w:p w:rsidR="003E5B23" w:rsidRPr="00EE0DCD" w:rsidRDefault="003E5B23" w:rsidP="003E5B23">
            <w:pPr>
              <w:jc w:val="both"/>
              <w:rPr>
                <w:sz w:val="20"/>
              </w:rPr>
            </w:pPr>
          </w:p>
        </w:tc>
      </w:tr>
    </w:tbl>
    <w:p w:rsidR="003E5B23" w:rsidRPr="00EE0DCD" w:rsidRDefault="003E5B23" w:rsidP="003E5B23">
      <w:pPr>
        <w:jc w:val="both"/>
        <w:rPr>
          <w:sz w:val="20"/>
        </w:rPr>
      </w:pPr>
    </w:p>
    <w:p w:rsidR="003E5B23" w:rsidRPr="00EE0DCD" w:rsidRDefault="00962BCB" w:rsidP="003E5B23">
      <w:pPr>
        <w:jc w:val="both"/>
        <w:rPr>
          <w:sz w:val="20"/>
        </w:rPr>
      </w:pPr>
      <w:r w:rsidRPr="00EE0DCD">
        <w:rPr>
          <w:sz w:val="20"/>
        </w:rPr>
        <w:pict>
          <v:rect id="_x0000_i1029" style="width:2in;height:1pt" o:hrpct="0" o:hralign="center" o:hrstd="t" o:hrnoshade="t" o:hr="t" fillcolor="black [3213]" stroked="f"/>
        </w:pict>
      </w:r>
    </w:p>
    <w:p w:rsidR="003E5B23" w:rsidRPr="00EE0DCD" w:rsidRDefault="003E5B23" w:rsidP="003E5B23">
      <w:pPr>
        <w:jc w:val="both"/>
        <w:rPr>
          <w:sz w:val="20"/>
        </w:rPr>
      </w:pPr>
    </w:p>
    <w:p w:rsidR="009E5C22" w:rsidRPr="00EE0DCD" w:rsidRDefault="009E5C22">
      <w:r w:rsidRPr="00EE0DC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5B23" w:rsidRPr="00EE0DCD" w:rsidTr="003E5B23">
        <w:tc>
          <w:tcPr>
            <w:tcW w:w="543" w:type="pct"/>
          </w:tcPr>
          <w:p w:rsidR="003E5B23" w:rsidRPr="00EE0DCD" w:rsidRDefault="003E5B23" w:rsidP="003E5B23">
            <w:pPr>
              <w:jc w:val="both"/>
              <w:rPr>
                <w:sz w:val="20"/>
              </w:rPr>
            </w:pPr>
            <w:r w:rsidRPr="00EE0DCD">
              <w:rPr>
                <w:rStyle w:val="SCCFileNumberChar"/>
                <w:sz w:val="20"/>
                <w:szCs w:val="20"/>
              </w:rPr>
              <w:t>40420</w:t>
            </w:r>
          </w:p>
        </w:tc>
        <w:tc>
          <w:tcPr>
            <w:tcW w:w="4457" w:type="pct"/>
            <w:gridSpan w:val="3"/>
          </w:tcPr>
          <w:p w:rsidR="003E5B23" w:rsidRPr="00EE0DCD" w:rsidRDefault="003E5B23" w:rsidP="003E5B23">
            <w:pPr>
              <w:pStyle w:val="SCCLsocParty"/>
              <w:jc w:val="both"/>
              <w:rPr>
                <w:b/>
                <w:sz w:val="20"/>
                <w:szCs w:val="20"/>
                <w:lang w:val="en-US"/>
              </w:rPr>
            </w:pPr>
            <w:r w:rsidRPr="00EE0DCD">
              <w:rPr>
                <w:b/>
                <w:sz w:val="20"/>
                <w:szCs w:val="20"/>
                <w:lang w:val="en-US"/>
              </w:rPr>
              <w:t>Apotex Inc.</w:t>
            </w:r>
            <w:r w:rsidR="00883BFC" w:rsidRPr="00EE0DCD">
              <w:rPr>
                <w:b/>
                <w:sz w:val="20"/>
                <w:szCs w:val="20"/>
                <w:lang w:val="en-US"/>
              </w:rPr>
              <w:t xml:space="preserve"> and</w:t>
            </w:r>
            <w:r w:rsidRPr="00EE0DCD">
              <w:rPr>
                <w:b/>
                <w:sz w:val="20"/>
                <w:szCs w:val="20"/>
                <w:lang w:val="en-US"/>
              </w:rPr>
              <w:t xml:space="preserve"> Apotex Pharmachem Inc. v. </w:t>
            </w:r>
            <w:r w:rsidR="00883BFC" w:rsidRPr="00EE0DCD">
              <w:rPr>
                <w:b/>
                <w:sz w:val="20"/>
                <w:szCs w:val="20"/>
                <w:lang w:val="en-US"/>
              </w:rPr>
              <w:t>Eli Lilly Canada Inc., Eli Lilly and Company, Eli Lilly and Company Limited and Eli Lilly SA</w:t>
            </w:r>
          </w:p>
          <w:p w:rsidR="003E5B23" w:rsidRPr="00EE0DCD" w:rsidRDefault="003E5B23" w:rsidP="003E5B23">
            <w:pPr>
              <w:jc w:val="both"/>
              <w:rPr>
                <w:sz w:val="20"/>
              </w:rPr>
            </w:pPr>
            <w:r w:rsidRPr="00EE0DCD">
              <w:rPr>
                <w:sz w:val="20"/>
              </w:rPr>
              <w:t>(Ont.) (Civil) (By Leave)</w:t>
            </w:r>
          </w:p>
        </w:tc>
      </w:tr>
      <w:tr w:rsidR="003E5B23" w:rsidRPr="00EE0DCD" w:rsidTr="003E5B23">
        <w:tc>
          <w:tcPr>
            <w:tcW w:w="5000" w:type="pct"/>
            <w:gridSpan w:val="4"/>
          </w:tcPr>
          <w:p w:rsidR="00883BFC" w:rsidRPr="00EE0DCD" w:rsidRDefault="00883BFC" w:rsidP="00883BFC">
            <w:pPr>
              <w:jc w:val="both"/>
              <w:rPr>
                <w:sz w:val="20"/>
                <w:szCs w:val="20"/>
              </w:rPr>
            </w:pPr>
            <w:r w:rsidRPr="00EE0DCD">
              <w:rPr>
                <w:sz w:val="20"/>
                <w:szCs w:val="20"/>
              </w:rPr>
              <w:t>The application for leave to appeal from the judgments of the Court of Appeal for Ontario, Number C69320, 2022 ONCA 587, dated August 16, 2022 and 2022 ONCA 620, dated August 29, 2022, is dismissed with costs.</w:t>
            </w:r>
          </w:p>
          <w:p w:rsidR="003E5B23" w:rsidRPr="00EE0DCD" w:rsidRDefault="003E5B23" w:rsidP="003E5B23">
            <w:pPr>
              <w:jc w:val="both"/>
              <w:rPr>
                <w:sz w:val="20"/>
              </w:rPr>
            </w:pPr>
          </w:p>
        </w:tc>
      </w:tr>
      <w:tr w:rsidR="003E5B23" w:rsidRPr="00EE0DCD" w:rsidTr="003E5B23">
        <w:tc>
          <w:tcPr>
            <w:tcW w:w="5000" w:type="pct"/>
            <w:gridSpan w:val="4"/>
          </w:tcPr>
          <w:p w:rsidR="003E5B23" w:rsidRPr="00EE0DCD" w:rsidRDefault="003E5B23" w:rsidP="003E5B23">
            <w:pPr>
              <w:jc w:val="both"/>
              <w:rPr>
                <w:sz w:val="20"/>
              </w:rPr>
            </w:pPr>
            <w:r w:rsidRPr="00EE0DCD">
              <w:rPr>
                <w:sz w:val="20"/>
              </w:rPr>
              <w:t>(SEALING ORDER)</w:t>
            </w:r>
          </w:p>
          <w:p w:rsidR="003E5B23" w:rsidRPr="00EE0DCD" w:rsidRDefault="003E5B23" w:rsidP="003E5B23">
            <w:pPr>
              <w:jc w:val="both"/>
              <w:rPr>
                <w:sz w:val="20"/>
              </w:rPr>
            </w:pPr>
          </w:p>
          <w:p w:rsidR="003E5B23" w:rsidRPr="00EE0DCD" w:rsidRDefault="003E5B23" w:rsidP="003E5B23">
            <w:pPr>
              <w:jc w:val="both"/>
              <w:rPr>
                <w:sz w:val="20"/>
              </w:rPr>
            </w:pPr>
            <w:r w:rsidRPr="00EE0DCD">
              <w:rPr>
                <w:sz w:val="20"/>
              </w:rPr>
              <w:t xml:space="preserve">Intellectual property — Patents — Medicines — Whether a patent found to be void can shield the patentee from liability for the harm caused by its unlawful enforcement? — Are causes of action created by federal and provincial statutes and by the common law incapable of redressing the manifest legal and commercial injustice of permitting the unlawful monopolist from retaining its ill-gotten, </w:t>
            </w:r>
            <w:r w:rsidRPr="00EE0DCD">
              <w:rPr>
                <w:i/>
                <w:sz w:val="20"/>
              </w:rPr>
              <w:t>supra</w:t>
            </w:r>
            <w:r w:rsidRPr="00EE0DCD">
              <w:rPr>
                <w:sz w:val="20"/>
              </w:rPr>
              <w:t>-competitive profits?</w:t>
            </w:r>
          </w:p>
        </w:tc>
      </w:tr>
      <w:tr w:rsidR="003E5B23" w:rsidRPr="00EE0DCD" w:rsidTr="003E5B23">
        <w:tc>
          <w:tcPr>
            <w:tcW w:w="5000" w:type="pct"/>
            <w:gridSpan w:val="4"/>
          </w:tcPr>
          <w:p w:rsidR="003E5B23" w:rsidRPr="00EE0DCD" w:rsidRDefault="003E5B23" w:rsidP="003E5B23">
            <w:pPr>
              <w:jc w:val="both"/>
              <w:rPr>
                <w:sz w:val="20"/>
              </w:rPr>
            </w:pPr>
          </w:p>
          <w:p w:rsidR="003E5B23" w:rsidRPr="00EE0DCD" w:rsidRDefault="003E5B23" w:rsidP="003E5B23">
            <w:pPr>
              <w:ind w:right="56"/>
              <w:jc w:val="both"/>
              <w:rPr>
                <w:sz w:val="20"/>
              </w:rPr>
            </w:pPr>
            <w:r w:rsidRPr="00EE0DCD">
              <w:rPr>
                <w:sz w:val="20"/>
              </w:rPr>
              <w:t xml:space="preserve">The applicants (collectively “Apotex”), a generic drug manufacturer, and the respondents (collectively, “Eli Lilly”), an innovator company, were engaged in litigation over Eli Lilly’s 113 Patent for the drug, Olanzapine, used to treat schizophrenia, anxiety and other disorders. The 113 Patent was declared void </w:t>
            </w:r>
            <w:r w:rsidRPr="00EE0DCD">
              <w:rPr>
                <w:i/>
                <w:sz w:val="20"/>
              </w:rPr>
              <w:t>ab initio</w:t>
            </w:r>
            <w:r w:rsidRPr="00EE0DCD">
              <w:rPr>
                <w:sz w:val="20"/>
              </w:rPr>
              <w:t xml:space="preserve"> in 2011, in an action involving another generic manufacturer. Apotex was unsuccessful in its own prohibition proceedings against Eli Lilly under the </w:t>
            </w:r>
            <w:r w:rsidRPr="00EE0DCD">
              <w:rPr>
                <w:i/>
                <w:sz w:val="20"/>
              </w:rPr>
              <w:t>Patented Medicines (Notice of Compliance) Regulations</w:t>
            </w:r>
            <w:r w:rsidRPr="00EE0DCD">
              <w:rPr>
                <w:sz w:val="20"/>
              </w:rPr>
              <w:t xml:space="preserve">, SOR/93-133, and could not claim s. 8 damages for delayed market entry. In this action, Apotex sought damages under the </w:t>
            </w:r>
            <w:r w:rsidRPr="00EE0DCD">
              <w:rPr>
                <w:i/>
                <w:sz w:val="20"/>
              </w:rPr>
              <w:t>Statute of Monopolies</w:t>
            </w:r>
            <w:r w:rsidRPr="00EE0DCD">
              <w:rPr>
                <w:sz w:val="20"/>
              </w:rPr>
              <w:t xml:space="preserve">, R.S.O. 1897, Ch. 323, the </w:t>
            </w:r>
            <w:r w:rsidRPr="00EE0DCD">
              <w:rPr>
                <w:i/>
                <w:sz w:val="20"/>
              </w:rPr>
              <w:t>Trademarks Act</w:t>
            </w:r>
            <w:r w:rsidRPr="00EE0DCD">
              <w:rPr>
                <w:sz w:val="20"/>
              </w:rPr>
              <w:t>, R.S.C. 1985, c. T-13, and the common law tort of civil conspiracy. Eli Lilly brought a motion for summary judgment to have this action dismissed.</w:t>
            </w:r>
          </w:p>
          <w:p w:rsidR="003E5B23" w:rsidRPr="00EE0DCD" w:rsidRDefault="003E5B23" w:rsidP="003E5B23">
            <w:pPr>
              <w:jc w:val="both"/>
              <w:rPr>
                <w:sz w:val="20"/>
              </w:rPr>
            </w:pPr>
          </w:p>
          <w:p w:rsidR="003E5B23" w:rsidRPr="00EE0DCD" w:rsidRDefault="003E5B23" w:rsidP="003E5B23">
            <w:pPr>
              <w:jc w:val="both"/>
              <w:rPr>
                <w:sz w:val="20"/>
              </w:rPr>
            </w:pPr>
            <w:r w:rsidRPr="00EE0DCD">
              <w:rPr>
                <w:sz w:val="20"/>
              </w:rPr>
              <w:t>The motion judge granted Eli Lilly’s motion. Eli Lilly was awarded partial indemnity costs. These decisions were upheld on appeal.</w:t>
            </w:r>
          </w:p>
        </w:tc>
      </w:tr>
      <w:tr w:rsidR="003E5B23" w:rsidRPr="00EE0DCD" w:rsidTr="003E5B23">
        <w:tc>
          <w:tcPr>
            <w:tcW w:w="5000" w:type="pct"/>
            <w:gridSpan w:val="4"/>
          </w:tcPr>
          <w:p w:rsidR="003E5B23" w:rsidRPr="00EE0DCD" w:rsidRDefault="003E5B23" w:rsidP="003E5B23">
            <w:pPr>
              <w:jc w:val="both"/>
              <w:rPr>
                <w:sz w:val="20"/>
              </w:rPr>
            </w:pPr>
          </w:p>
        </w:tc>
      </w:tr>
      <w:tr w:rsidR="003E5B23" w:rsidRPr="00EE0DCD" w:rsidTr="003E5B23">
        <w:tc>
          <w:tcPr>
            <w:tcW w:w="2427" w:type="pct"/>
            <w:gridSpan w:val="2"/>
          </w:tcPr>
          <w:p w:rsidR="003E5B23" w:rsidRPr="00EE0DCD" w:rsidRDefault="003E5B23" w:rsidP="003E5B23">
            <w:pPr>
              <w:jc w:val="both"/>
              <w:rPr>
                <w:sz w:val="20"/>
              </w:rPr>
            </w:pPr>
            <w:r w:rsidRPr="00EE0DCD">
              <w:rPr>
                <w:sz w:val="20"/>
              </w:rPr>
              <w:t>March 8, 2021</w:t>
            </w:r>
          </w:p>
          <w:p w:rsidR="003E5B23" w:rsidRPr="00EE0DCD" w:rsidRDefault="003E5B23" w:rsidP="003E5B23">
            <w:pPr>
              <w:jc w:val="both"/>
              <w:rPr>
                <w:sz w:val="20"/>
              </w:rPr>
            </w:pPr>
            <w:r w:rsidRPr="00EE0DCD">
              <w:rPr>
                <w:sz w:val="20"/>
              </w:rPr>
              <w:t>Ontario Superior Court of Justice</w:t>
            </w:r>
          </w:p>
          <w:p w:rsidR="003E5B23" w:rsidRPr="00EE0DCD" w:rsidRDefault="003E5B23" w:rsidP="003E5B23">
            <w:pPr>
              <w:jc w:val="both"/>
              <w:rPr>
                <w:sz w:val="20"/>
              </w:rPr>
            </w:pPr>
            <w:r w:rsidRPr="00EE0DCD">
              <w:rPr>
                <w:sz w:val="20"/>
              </w:rPr>
              <w:t>(Schabas J.)</w:t>
            </w:r>
          </w:p>
          <w:p w:rsidR="003E5B23" w:rsidRPr="00EE0DCD" w:rsidRDefault="00962BCB" w:rsidP="003E5B23">
            <w:pPr>
              <w:jc w:val="both"/>
              <w:rPr>
                <w:sz w:val="20"/>
              </w:rPr>
            </w:pPr>
            <w:hyperlink r:id="rId19" w:history="1">
              <w:r w:rsidR="003E5B23" w:rsidRPr="00EE0DCD">
                <w:rPr>
                  <w:rStyle w:val="Hyperlink"/>
                  <w:sz w:val="20"/>
                </w:rPr>
                <w:t>2021 ONSC 1588</w:t>
              </w:r>
            </w:hyperlink>
          </w:p>
          <w:p w:rsidR="003E5B23" w:rsidRPr="00EE0DCD" w:rsidRDefault="003E5B23" w:rsidP="003E5B23">
            <w:pPr>
              <w:jc w:val="both"/>
              <w:rPr>
                <w:sz w:val="20"/>
              </w:rPr>
            </w:pPr>
          </w:p>
        </w:tc>
        <w:tc>
          <w:tcPr>
            <w:tcW w:w="243" w:type="pct"/>
          </w:tcPr>
          <w:p w:rsidR="003E5B23" w:rsidRPr="00EE0DCD" w:rsidRDefault="003E5B23" w:rsidP="003E5B23">
            <w:pPr>
              <w:jc w:val="both"/>
              <w:rPr>
                <w:sz w:val="20"/>
              </w:rPr>
            </w:pPr>
          </w:p>
        </w:tc>
        <w:tc>
          <w:tcPr>
            <w:tcW w:w="2330" w:type="pct"/>
          </w:tcPr>
          <w:p w:rsidR="003E5B23" w:rsidRPr="00EE0DCD" w:rsidRDefault="003E5B23" w:rsidP="003E5B23">
            <w:pPr>
              <w:jc w:val="both"/>
              <w:rPr>
                <w:sz w:val="20"/>
              </w:rPr>
            </w:pPr>
            <w:r w:rsidRPr="00EE0DCD">
              <w:rPr>
                <w:sz w:val="20"/>
              </w:rPr>
              <w:t>Respondents’ motion for summary judgment granted; Applicants’ action dismissed.</w:t>
            </w:r>
          </w:p>
          <w:p w:rsidR="003E5B23" w:rsidRPr="00EE0DCD" w:rsidRDefault="003E5B23" w:rsidP="003E5B23">
            <w:pPr>
              <w:jc w:val="both"/>
              <w:rPr>
                <w:sz w:val="20"/>
              </w:rPr>
            </w:pPr>
          </w:p>
          <w:p w:rsidR="003E5B23" w:rsidRPr="00EE0DCD" w:rsidRDefault="003E5B23" w:rsidP="003E5B23">
            <w:pPr>
              <w:jc w:val="both"/>
              <w:rPr>
                <w:sz w:val="20"/>
              </w:rPr>
            </w:pPr>
          </w:p>
        </w:tc>
      </w:tr>
      <w:tr w:rsidR="003E5B23" w:rsidRPr="00EE0DCD" w:rsidTr="003E5B23">
        <w:tc>
          <w:tcPr>
            <w:tcW w:w="2427" w:type="pct"/>
            <w:gridSpan w:val="2"/>
          </w:tcPr>
          <w:p w:rsidR="003E5B23" w:rsidRPr="00EE0DCD" w:rsidRDefault="003E5B23" w:rsidP="003E5B23">
            <w:pPr>
              <w:jc w:val="both"/>
              <w:rPr>
                <w:sz w:val="20"/>
              </w:rPr>
            </w:pPr>
            <w:r w:rsidRPr="00EE0DCD">
              <w:rPr>
                <w:sz w:val="20"/>
              </w:rPr>
              <w:t>August 29, 2022</w:t>
            </w:r>
          </w:p>
          <w:p w:rsidR="003E5B23" w:rsidRPr="00EE0DCD" w:rsidRDefault="003E5B23" w:rsidP="003E5B23">
            <w:pPr>
              <w:jc w:val="both"/>
              <w:rPr>
                <w:sz w:val="20"/>
              </w:rPr>
            </w:pPr>
            <w:r w:rsidRPr="00EE0DCD">
              <w:rPr>
                <w:sz w:val="20"/>
              </w:rPr>
              <w:t>Court of Appeal for Ontario</w:t>
            </w:r>
          </w:p>
          <w:p w:rsidR="003E5B23" w:rsidRPr="00EE0DCD" w:rsidRDefault="003E5B23" w:rsidP="003E5B23">
            <w:pPr>
              <w:jc w:val="both"/>
              <w:rPr>
                <w:sz w:val="20"/>
              </w:rPr>
            </w:pPr>
            <w:r w:rsidRPr="00EE0DCD">
              <w:rPr>
                <w:sz w:val="20"/>
              </w:rPr>
              <w:t>(Strathy, Roberts and Sossin JJ.A.)</w:t>
            </w:r>
          </w:p>
          <w:p w:rsidR="003E5B23" w:rsidRPr="00EE0DCD" w:rsidRDefault="00962BCB" w:rsidP="003E5B23">
            <w:pPr>
              <w:jc w:val="both"/>
              <w:rPr>
                <w:sz w:val="20"/>
              </w:rPr>
            </w:pPr>
            <w:hyperlink r:id="rId20" w:history="1">
              <w:r w:rsidR="003E5B23" w:rsidRPr="00EE0DCD">
                <w:rPr>
                  <w:rStyle w:val="Hyperlink"/>
                  <w:sz w:val="20"/>
                </w:rPr>
                <w:t>2022 ONCA 587</w:t>
              </w:r>
            </w:hyperlink>
          </w:p>
          <w:p w:rsidR="003E5B23" w:rsidRPr="00EE0DCD" w:rsidRDefault="003E5B23" w:rsidP="003E5B23">
            <w:pPr>
              <w:jc w:val="both"/>
              <w:rPr>
                <w:sz w:val="20"/>
              </w:rPr>
            </w:pPr>
          </w:p>
        </w:tc>
        <w:tc>
          <w:tcPr>
            <w:tcW w:w="243" w:type="pct"/>
          </w:tcPr>
          <w:p w:rsidR="003E5B23" w:rsidRPr="00EE0DCD" w:rsidRDefault="003E5B23" w:rsidP="003E5B23">
            <w:pPr>
              <w:jc w:val="both"/>
              <w:rPr>
                <w:sz w:val="20"/>
              </w:rPr>
            </w:pPr>
          </w:p>
        </w:tc>
        <w:tc>
          <w:tcPr>
            <w:tcW w:w="2330" w:type="pct"/>
          </w:tcPr>
          <w:p w:rsidR="003E5B23" w:rsidRPr="00EE0DCD" w:rsidRDefault="003E5B23" w:rsidP="003E5B23">
            <w:pPr>
              <w:jc w:val="both"/>
              <w:rPr>
                <w:sz w:val="20"/>
              </w:rPr>
            </w:pPr>
            <w:r w:rsidRPr="00EE0DCD">
              <w:rPr>
                <w:sz w:val="20"/>
              </w:rPr>
              <w:t>Applicants’ appeal dismissed</w:t>
            </w:r>
          </w:p>
          <w:p w:rsidR="003E5B23" w:rsidRPr="00EE0DCD" w:rsidRDefault="003E5B23" w:rsidP="003E5B23">
            <w:pPr>
              <w:jc w:val="both"/>
              <w:rPr>
                <w:sz w:val="20"/>
              </w:rPr>
            </w:pPr>
          </w:p>
        </w:tc>
      </w:tr>
      <w:tr w:rsidR="003E5B23" w:rsidRPr="00EE0DCD" w:rsidTr="003E5B23">
        <w:tc>
          <w:tcPr>
            <w:tcW w:w="2427" w:type="pct"/>
            <w:gridSpan w:val="2"/>
          </w:tcPr>
          <w:p w:rsidR="003E5B23" w:rsidRPr="00EE0DCD" w:rsidRDefault="003E5B23" w:rsidP="003E5B23">
            <w:pPr>
              <w:jc w:val="both"/>
              <w:rPr>
                <w:sz w:val="20"/>
              </w:rPr>
            </w:pPr>
            <w:r w:rsidRPr="00EE0DCD">
              <w:rPr>
                <w:sz w:val="20"/>
              </w:rPr>
              <w:t>October 17, 2022</w:t>
            </w:r>
          </w:p>
          <w:p w:rsidR="003E5B23" w:rsidRPr="00EE0DCD" w:rsidRDefault="003E5B23" w:rsidP="003E5B23">
            <w:pPr>
              <w:jc w:val="both"/>
              <w:rPr>
                <w:sz w:val="20"/>
              </w:rPr>
            </w:pPr>
            <w:r w:rsidRPr="00EE0DCD">
              <w:rPr>
                <w:sz w:val="20"/>
              </w:rPr>
              <w:t>Supreme Court of Canada</w:t>
            </w:r>
          </w:p>
        </w:tc>
        <w:tc>
          <w:tcPr>
            <w:tcW w:w="243" w:type="pct"/>
          </w:tcPr>
          <w:p w:rsidR="003E5B23" w:rsidRPr="00EE0DCD" w:rsidRDefault="003E5B23" w:rsidP="003E5B23">
            <w:pPr>
              <w:jc w:val="both"/>
              <w:rPr>
                <w:sz w:val="20"/>
              </w:rPr>
            </w:pPr>
          </w:p>
        </w:tc>
        <w:tc>
          <w:tcPr>
            <w:tcW w:w="2330" w:type="pct"/>
          </w:tcPr>
          <w:p w:rsidR="003E5B23" w:rsidRPr="00EE0DCD" w:rsidRDefault="003E5B23" w:rsidP="003E5B23">
            <w:pPr>
              <w:jc w:val="both"/>
              <w:rPr>
                <w:sz w:val="20"/>
              </w:rPr>
            </w:pPr>
            <w:r w:rsidRPr="00EE0DCD">
              <w:rPr>
                <w:sz w:val="20"/>
              </w:rPr>
              <w:t>Application for leave to appeal filed</w:t>
            </w:r>
          </w:p>
          <w:p w:rsidR="003E5B23" w:rsidRPr="00EE0DCD" w:rsidRDefault="003E5B23" w:rsidP="003E5B23">
            <w:pPr>
              <w:jc w:val="both"/>
              <w:rPr>
                <w:sz w:val="20"/>
              </w:rPr>
            </w:pPr>
          </w:p>
        </w:tc>
      </w:tr>
    </w:tbl>
    <w:p w:rsidR="003E5B23" w:rsidRPr="00EE0DCD" w:rsidRDefault="003E5B23" w:rsidP="003E5B23">
      <w:pPr>
        <w:jc w:val="both"/>
        <w:rPr>
          <w:sz w:val="20"/>
        </w:rPr>
      </w:pPr>
    </w:p>
    <w:p w:rsidR="003E5B23" w:rsidRPr="00EE0DCD" w:rsidRDefault="00962BCB" w:rsidP="003E5B23">
      <w:pPr>
        <w:jc w:val="both"/>
        <w:rPr>
          <w:sz w:val="20"/>
        </w:rPr>
      </w:pPr>
      <w:r w:rsidRPr="00EE0DCD">
        <w:rPr>
          <w:sz w:val="20"/>
        </w:rPr>
        <w:pict>
          <v:rect id="_x0000_i1030" style="width:2in;height:1pt" o:hrpct="0" o:hralign="center" o:hrstd="t" o:hrnoshade="t" o:hr="t" fillcolor="black [3213]" stroked="f"/>
        </w:pict>
      </w:r>
    </w:p>
    <w:p w:rsidR="003E5B23" w:rsidRPr="00EE0DCD" w:rsidRDefault="003E5B23" w:rsidP="003E5B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E5B23" w:rsidRPr="00EE0DCD" w:rsidTr="003E5B23">
        <w:tc>
          <w:tcPr>
            <w:tcW w:w="543" w:type="pct"/>
          </w:tcPr>
          <w:p w:rsidR="003E5B23" w:rsidRPr="00EE0DCD" w:rsidRDefault="003E5B23" w:rsidP="003E5B23">
            <w:pPr>
              <w:jc w:val="both"/>
              <w:rPr>
                <w:sz w:val="20"/>
              </w:rPr>
            </w:pPr>
            <w:r w:rsidRPr="00EE0DCD">
              <w:rPr>
                <w:rStyle w:val="SCCFileNumberChar"/>
                <w:sz w:val="20"/>
                <w:szCs w:val="20"/>
              </w:rPr>
              <w:t>40420</w:t>
            </w:r>
          </w:p>
        </w:tc>
        <w:tc>
          <w:tcPr>
            <w:tcW w:w="4457" w:type="pct"/>
          </w:tcPr>
          <w:p w:rsidR="003E5B23" w:rsidRPr="00EE0DCD" w:rsidRDefault="003E5B23" w:rsidP="003E5B23">
            <w:pPr>
              <w:pStyle w:val="SCCLsocParty"/>
              <w:jc w:val="both"/>
              <w:rPr>
                <w:b/>
                <w:sz w:val="20"/>
                <w:szCs w:val="20"/>
                <w:lang w:val="en-US"/>
              </w:rPr>
            </w:pPr>
            <w:r w:rsidRPr="00EE0DCD">
              <w:rPr>
                <w:b/>
                <w:sz w:val="20"/>
                <w:szCs w:val="20"/>
                <w:lang w:val="en-US"/>
              </w:rPr>
              <w:t>Apotex Inc.</w:t>
            </w:r>
            <w:r w:rsidR="00883BFC" w:rsidRPr="00EE0DCD">
              <w:rPr>
                <w:b/>
                <w:sz w:val="20"/>
                <w:szCs w:val="20"/>
                <w:lang w:val="en-US"/>
              </w:rPr>
              <w:t xml:space="preserve"> et</w:t>
            </w:r>
            <w:r w:rsidRPr="00EE0DCD">
              <w:rPr>
                <w:b/>
                <w:sz w:val="20"/>
                <w:szCs w:val="20"/>
                <w:lang w:val="en-US"/>
              </w:rPr>
              <w:t xml:space="preserve"> Apotex Pharmachem Inc. c. </w:t>
            </w:r>
            <w:r w:rsidR="00883BFC" w:rsidRPr="00EE0DCD">
              <w:rPr>
                <w:b/>
                <w:sz w:val="20"/>
                <w:szCs w:val="20"/>
                <w:lang w:val="en-US"/>
              </w:rPr>
              <w:t>Eli Lilly Canada Inc., Eli Lilly and Company, Eli Lilly and Company Limited et Eli Lilly SA</w:t>
            </w:r>
          </w:p>
          <w:p w:rsidR="003E5B23" w:rsidRPr="00EE0DCD" w:rsidRDefault="003E5B23" w:rsidP="003E5B23">
            <w:pPr>
              <w:jc w:val="both"/>
              <w:rPr>
                <w:sz w:val="20"/>
                <w:lang w:val="fr-CA"/>
              </w:rPr>
            </w:pPr>
            <w:r w:rsidRPr="00EE0DCD">
              <w:rPr>
                <w:sz w:val="20"/>
                <w:lang w:val="fr-CA"/>
              </w:rPr>
              <w:t>(Ont.) (Civile) (Autorisation)</w:t>
            </w:r>
          </w:p>
        </w:tc>
      </w:tr>
      <w:tr w:rsidR="003E5B23" w:rsidRPr="00EE0DCD" w:rsidTr="003E5B23">
        <w:tc>
          <w:tcPr>
            <w:tcW w:w="5000" w:type="pct"/>
            <w:gridSpan w:val="2"/>
          </w:tcPr>
          <w:p w:rsidR="003E5B23" w:rsidRPr="00EE0DCD" w:rsidRDefault="00883BFC" w:rsidP="003E5B23">
            <w:pPr>
              <w:jc w:val="both"/>
              <w:rPr>
                <w:sz w:val="20"/>
                <w:szCs w:val="20"/>
                <w:lang w:val="fr-CA"/>
              </w:rPr>
            </w:pPr>
            <w:r w:rsidRPr="00EE0DCD">
              <w:rPr>
                <w:sz w:val="20"/>
                <w:szCs w:val="20"/>
                <w:lang w:val="fr-CA"/>
              </w:rPr>
              <w:t>La demande d’autorisation d’appel des arrêts de la Cour d’appel de l’Ontario, numéro C69320, 2022 ONCA 587, daté du 16 août 2022 et 2022 ONCA 620, daté du 29 août 2022, est rejetée avec dépens.</w:t>
            </w:r>
          </w:p>
          <w:p w:rsidR="00883BFC" w:rsidRPr="00EE0DCD" w:rsidRDefault="00883BFC" w:rsidP="003E5B23">
            <w:pPr>
              <w:jc w:val="both"/>
              <w:rPr>
                <w:sz w:val="20"/>
                <w:lang w:val="fr-CA"/>
              </w:rPr>
            </w:pPr>
          </w:p>
        </w:tc>
      </w:tr>
    </w:tbl>
    <w:p w:rsidR="009E5C22" w:rsidRPr="00EE0DCD" w:rsidRDefault="009E5C22">
      <w:pPr>
        <w:rPr>
          <w:lang w:val="fr-CA"/>
        </w:rPr>
      </w:pPr>
      <w:r w:rsidRPr="00EE0DC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5B23" w:rsidRPr="00EE0DCD" w:rsidTr="003E5B23">
        <w:tc>
          <w:tcPr>
            <w:tcW w:w="5000" w:type="pct"/>
            <w:gridSpan w:val="3"/>
          </w:tcPr>
          <w:p w:rsidR="003E5B23" w:rsidRPr="00EE0DCD" w:rsidRDefault="003E5B23" w:rsidP="003E5B23">
            <w:pPr>
              <w:jc w:val="both"/>
              <w:rPr>
                <w:sz w:val="20"/>
                <w:lang w:val="fr-CA"/>
              </w:rPr>
            </w:pPr>
            <w:r w:rsidRPr="00EE0DCD">
              <w:rPr>
                <w:sz w:val="20"/>
                <w:lang w:val="fr-CA"/>
              </w:rPr>
              <w:t>(</w:t>
            </w:r>
            <w:r w:rsidRPr="00EE0DCD">
              <w:rPr>
                <w:caps/>
                <w:sz w:val="20"/>
                <w:lang w:val="fr-CA"/>
              </w:rPr>
              <w:t>ordonnance de mise sous scellés</w:t>
            </w:r>
            <w:r w:rsidRPr="00EE0DCD">
              <w:rPr>
                <w:sz w:val="20"/>
                <w:lang w:val="fr-CA"/>
              </w:rPr>
              <w:t>)</w:t>
            </w:r>
          </w:p>
          <w:p w:rsidR="003E5B23" w:rsidRPr="00EE0DCD" w:rsidRDefault="003E5B23" w:rsidP="003E5B23">
            <w:pPr>
              <w:jc w:val="both"/>
              <w:rPr>
                <w:sz w:val="20"/>
                <w:lang w:val="fr-CA"/>
              </w:rPr>
            </w:pPr>
          </w:p>
          <w:p w:rsidR="003E5B23" w:rsidRPr="00EE0DCD" w:rsidRDefault="003E5B23" w:rsidP="003E5B23">
            <w:pPr>
              <w:jc w:val="both"/>
              <w:rPr>
                <w:sz w:val="20"/>
                <w:lang w:val="fr-CA"/>
              </w:rPr>
            </w:pPr>
            <w:r w:rsidRPr="00EE0DCD">
              <w:rPr>
                <w:sz w:val="20"/>
                <w:lang w:val="fr-CA"/>
              </w:rPr>
              <w:t>Propriété intellectuelle — Brevets — Médicaments — Un brevet déclaré nul peut-il protéger son titulaire contre une action en responsabilité en raison du préjudice causé par sa mise en application illicite? — Les causes d’action créées par des lois fédérales, provinciales, et par la common law sont</w:t>
            </w:r>
            <w:r w:rsidRPr="00EE0DCD">
              <w:rPr>
                <w:sz w:val="20"/>
                <w:lang w:val="fr-CA"/>
              </w:rPr>
              <w:noBreakHyphen/>
              <w:t>elles inefficaces quand il s’agit de réparer l’injustice juridique et commerciale manifeste consistant à permettre le monopole illicite de la rétention mal acquise d</w:t>
            </w:r>
            <w:r w:rsidR="00883BFC" w:rsidRPr="00EE0DCD">
              <w:rPr>
                <w:sz w:val="20"/>
                <w:lang w:val="fr-CA"/>
              </w:rPr>
              <w:t>e profits supra</w:t>
            </w:r>
            <w:r w:rsidR="00883BFC" w:rsidRPr="00EE0DCD">
              <w:rPr>
                <w:sz w:val="20"/>
                <w:lang w:val="fr-CA"/>
              </w:rPr>
              <w:noBreakHyphen/>
              <w:t>concurrentiels?</w:t>
            </w:r>
          </w:p>
          <w:p w:rsidR="00883BFC" w:rsidRPr="00EE0DCD" w:rsidRDefault="00883BFC" w:rsidP="003E5B23">
            <w:pPr>
              <w:jc w:val="both"/>
              <w:rPr>
                <w:sz w:val="20"/>
                <w:lang w:val="fr-CA"/>
              </w:rPr>
            </w:pPr>
          </w:p>
        </w:tc>
      </w:tr>
      <w:tr w:rsidR="003E5B23" w:rsidRPr="00EE0DCD" w:rsidTr="003E5B23">
        <w:tc>
          <w:tcPr>
            <w:tcW w:w="5000" w:type="pct"/>
            <w:gridSpan w:val="3"/>
          </w:tcPr>
          <w:p w:rsidR="003E5B23" w:rsidRPr="00EE0DCD" w:rsidRDefault="003E5B23" w:rsidP="003E5B23">
            <w:pPr>
              <w:jc w:val="both"/>
              <w:rPr>
                <w:sz w:val="20"/>
                <w:lang w:val="fr-CA"/>
              </w:rPr>
            </w:pPr>
            <w:r w:rsidRPr="00EE0DCD">
              <w:rPr>
                <w:sz w:val="20"/>
                <w:lang w:val="fr-CA"/>
              </w:rPr>
              <w:t xml:space="preserve">Les demanderesses (collectivement « Apotex »), des fabricantes de médicaments génériques, et les défenderesses (collectivement « Eli Lilly »), des sociétés innovatrices, avaient un litige relativement au brevet 113 dont Eli Lilly était titulaire et qui visait le médicament Olanzapine, utilisé pour soigner la schizophrénie, l’anxiété et d’autres troubles. Le brevet 113 a été déclaré nul </w:t>
            </w:r>
            <w:r w:rsidRPr="00EE0DCD">
              <w:rPr>
                <w:i/>
                <w:sz w:val="20"/>
                <w:lang w:val="fr-CA"/>
              </w:rPr>
              <w:t>ab initio</w:t>
            </w:r>
            <w:r w:rsidRPr="00EE0DCD">
              <w:rPr>
                <w:sz w:val="20"/>
                <w:lang w:val="fr-CA"/>
              </w:rPr>
              <w:t xml:space="preserve"> en 2011, dans le cadre d’une action concernant un autre fabricant de médicaments génériques. Apotex a échoué dans sa procédure d’interdiction contre Eli Lilly, laquelle était fondée sur le </w:t>
            </w:r>
            <w:r w:rsidRPr="00EE0DCD">
              <w:rPr>
                <w:i/>
                <w:sz w:val="20"/>
                <w:lang w:val="fr-CA"/>
              </w:rPr>
              <w:t>Règlement sur les médicaments brevetés (avis de conformité)</w:t>
            </w:r>
            <w:r w:rsidRPr="00EE0DCD">
              <w:rPr>
                <w:sz w:val="20"/>
                <w:lang w:val="fr-CA"/>
              </w:rPr>
              <w:t>, DORS/93-133, et ne pouvait pas réclamer des dommages</w:t>
            </w:r>
            <w:r w:rsidRPr="00EE0DCD">
              <w:rPr>
                <w:sz w:val="20"/>
                <w:lang w:val="fr-CA"/>
              </w:rPr>
              <w:noBreakHyphen/>
              <w:t>intérêts au titre de l’art. 8 pour le retard dans l’entrée sur le marché. Dans cette action, Apotex a sollicité des dommages</w:t>
            </w:r>
            <w:r w:rsidRPr="00EE0DCD">
              <w:rPr>
                <w:sz w:val="20"/>
                <w:lang w:val="fr-CA"/>
              </w:rPr>
              <w:noBreakHyphen/>
              <w:t xml:space="preserve">intérêts en application du </w:t>
            </w:r>
            <w:r w:rsidRPr="00EE0DCD">
              <w:rPr>
                <w:i/>
                <w:sz w:val="20"/>
                <w:lang w:val="fr-CA"/>
              </w:rPr>
              <w:t>Statute of Monopolies</w:t>
            </w:r>
            <w:r w:rsidRPr="00EE0DCD">
              <w:rPr>
                <w:sz w:val="20"/>
                <w:lang w:val="fr-CA"/>
              </w:rPr>
              <w:t xml:space="preserve">, R.S.O. 1897, Ch. 323, de la </w:t>
            </w:r>
            <w:r w:rsidRPr="00EE0DCD">
              <w:rPr>
                <w:i/>
                <w:sz w:val="20"/>
                <w:lang w:val="fr-CA"/>
              </w:rPr>
              <w:t>Loi sur les marques de commerce</w:t>
            </w:r>
            <w:r w:rsidRPr="00EE0DCD">
              <w:rPr>
                <w:sz w:val="20"/>
                <w:lang w:val="fr-CA"/>
              </w:rPr>
              <w:t xml:space="preserve">, L.R.C. 1985, c. T-13, et la common law en matière de droit de la responsabilité civile délictuelle pour délit de complot civil. Eli Lilly a présenté une motion en vue d’obtenir un jugement sommaire pour que cette action soit rejetée. </w:t>
            </w:r>
          </w:p>
          <w:p w:rsidR="003E5B23" w:rsidRPr="00EE0DCD" w:rsidRDefault="003E5B23" w:rsidP="003E5B23">
            <w:pPr>
              <w:jc w:val="both"/>
              <w:rPr>
                <w:sz w:val="20"/>
                <w:lang w:val="fr-CA"/>
              </w:rPr>
            </w:pPr>
          </w:p>
          <w:p w:rsidR="003E5B23" w:rsidRPr="00EE0DCD" w:rsidRDefault="003E5B23" w:rsidP="003E5B23">
            <w:pPr>
              <w:jc w:val="both"/>
              <w:rPr>
                <w:sz w:val="20"/>
                <w:lang w:val="fr-CA"/>
              </w:rPr>
            </w:pPr>
            <w:r w:rsidRPr="00EE0DCD">
              <w:rPr>
                <w:sz w:val="20"/>
                <w:lang w:val="fr-CA"/>
              </w:rPr>
              <w:t>Le juge des motions a accueilli la motion d’Eli Lilly. Des dépens d’indemnisation partielle ont été adjugés à Eli Lilly. Ces décisions ont été confirmées en appel.</w:t>
            </w:r>
          </w:p>
        </w:tc>
      </w:tr>
      <w:tr w:rsidR="003E5B23" w:rsidRPr="00EE0DCD" w:rsidTr="003E5B23">
        <w:tc>
          <w:tcPr>
            <w:tcW w:w="5000" w:type="pct"/>
            <w:gridSpan w:val="3"/>
          </w:tcPr>
          <w:p w:rsidR="003E5B23" w:rsidRPr="00EE0DCD" w:rsidRDefault="003E5B23" w:rsidP="003E5B23">
            <w:pPr>
              <w:jc w:val="both"/>
              <w:rPr>
                <w:sz w:val="20"/>
                <w:lang w:val="fr-CA"/>
              </w:rPr>
            </w:pPr>
          </w:p>
        </w:tc>
      </w:tr>
      <w:tr w:rsidR="003E5B23" w:rsidRPr="00EE0DCD" w:rsidTr="003E5B23">
        <w:tc>
          <w:tcPr>
            <w:tcW w:w="2427" w:type="pct"/>
          </w:tcPr>
          <w:p w:rsidR="003E5B23" w:rsidRPr="00EE0DCD" w:rsidRDefault="003E5B23" w:rsidP="003E5B23">
            <w:pPr>
              <w:jc w:val="both"/>
              <w:rPr>
                <w:sz w:val="20"/>
                <w:lang w:val="fr-CA"/>
              </w:rPr>
            </w:pPr>
            <w:r w:rsidRPr="00EE0DCD">
              <w:rPr>
                <w:sz w:val="20"/>
                <w:lang w:val="fr-CA"/>
              </w:rPr>
              <w:t>8 mars 2021</w:t>
            </w:r>
          </w:p>
          <w:p w:rsidR="003E5B23" w:rsidRPr="00EE0DCD" w:rsidRDefault="003E5B23" w:rsidP="003E5B23">
            <w:pPr>
              <w:jc w:val="both"/>
              <w:rPr>
                <w:sz w:val="20"/>
                <w:lang w:val="fr-CA"/>
              </w:rPr>
            </w:pPr>
            <w:r w:rsidRPr="00EE0DCD">
              <w:rPr>
                <w:sz w:val="20"/>
                <w:lang w:val="fr-CA"/>
              </w:rPr>
              <w:t>Cour supérieure de justice de l’Ontario</w:t>
            </w:r>
          </w:p>
          <w:p w:rsidR="003E5B23" w:rsidRPr="00EE0DCD" w:rsidRDefault="003E5B23" w:rsidP="003E5B23">
            <w:pPr>
              <w:jc w:val="both"/>
              <w:rPr>
                <w:sz w:val="20"/>
                <w:lang w:val="fr-CA"/>
              </w:rPr>
            </w:pPr>
            <w:r w:rsidRPr="00EE0DCD">
              <w:rPr>
                <w:sz w:val="20"/>
                <w:lang w:val="fr-CA"/>
              </w:rPr>
              <w:t>(juge Schabas)</w:t>
            </w:r>
          </w:p>
          <w:p w:rsidR="003E5B23" w:rsidRPr="00EE0DCD" w:rsidRDefault="00962BCB" w:rsidP="003E5B23">
            <w:pPr>
              <w:jc w:val="both"/>
              <w:rPr>
                <w:sz w:val="20"/>
                <w:lang w:val="fr-CA"/>
              </w:rPr>
            </w:pPr>
            <w:hyperlink r:id="rId21" w:history="1">
              <w:r w:rsidR="003E5B23" w:rsidRPr="00EE0DCD">
                <w:rPr>
                  <w:rStyle w:val="Hyperlink"/>
                  <w:sz w:val="20"/>
                  <w:lang w:val="fr-CA"/>
                </w:rPr>
                <w:t>2021 ONSC 1588</w:t>
              </w:r>
            </w:hyperlink>
          </w:p>
          <w:p w:rsidR="003E5B23" w:rsidRPr="00EE0DCD" w:rsidRDefault="003E5B23" w:rsidP="003E5B23">
            <w:pPr>
              <w:jc w:val="both"/>
              <w:rPr>
                <w:sz w:val="20"/>
                <w:lang w:val="fr-CA"/>
              </w:rPr>
            </w:pPr>
          </w:p>
        </w:tc>
        <w:tc>
          <w:tcPr>
            <w:tcW w:w="243" w:type="pct"/>
          </w:tcPr>
          <w:p w:rsidR="003E5B23" w:rsidRPr="00EE0DCD" w:rsidRDefault="003E5B23" w:rsidP="003E5B23">
            <w:pPr>
              <w:jc w:val="both"/>
              <w:rPr>
                <w:sz w:val="20"/>
                <w:lang w:val="fr-CA"/>
              </w:rPr>
            </w:pPr>
          </w:p>
        </w:tc>
        <w:tc>
          <w:tcPr>
            <w:tcW w:w="2330" w:type="pct"/>
          </w:tcPr>
          <w:p w:rsidR="003E5B23" w:rsidRPr="00EE0DCD" w:rsidRDefault="003E5B23" w:rsidP="003E5B23">
            <w:pPr>
              <w:jc w:val="both"/>
              <w:rPr>
                <w:sz w:val="20"/>
                <w:lang w:val="fr-CA"/>
              </w:rPr>
            </w:pPr>
            <w:r w:rsidRPr="00EE0DCD">
              <w:rPr>
                <w:sz w:val="20"/>
                <w:lang w:val="fr-CA"/>
              </w:rPr>
              <w:t>Requête des défenderesses en jugement sommaire accueillie; rejet de l’action des demanderesses.</w:t>
            </w:r>
          </w:p>
          <w:p w:rsidR="003E5B23" w:rsidRPr="00EE0DCD" w:rsidRDefault="003E5B23" w:rsidP="003E5B23">
            <w:pPr>
              <w:jc w:val="both"/>
              <w:rPr>
                <w:sz w:val="20"/>
                <w:lang w:val="fr-CA"/>
              </w:rPr>
            </w:pPr>
          </w:p>
          <w:p w:rsidR="003E5B23" w:rsidRPr="00EE0DCD" w:rsidRDefault="003E5B23" w:rsidP="003E5B23">
            <w:pPr>
              <w:jc w:val="both"/>
              <w:rPr>
                <w:sz w:val="20"/>
                <w:lang w:val="fr-CA"/>
              </w:rPr>
            </w:pPr>
          </w:p>
        </w:tc>
      </w:tr>
      <w:tr w:rsidR="003E5B23" w:rsidRPr="00EE0DCD" w:rsidTr="003E5B23">
        <w:tc>
          <w:tcPr>
            <w:tcW w:w="2427" w:type="pct"/>
          </w:tcPr>
          <w:p w:rsidR="003E5B23" w:rsidRPr="00EE0DCD" w:rsidRDefault="003E5B23" w:rsidP="003E5B23">
            <w:pPr>
              <w:jc w:val="both"/>
              <w:rPr>
                <w:sz w:val="20"/>
                <w:lang w:val="fr-CA"/>
              </w:rPr>
            </w:pPr>
            <w:r w:rsidRPr="00EE0DCD">
              <w:rPr>
                <w:sz w:val="20"/>
                <w:lang w:val="fr-CA"/>
              </w:rPr>
              <w:t>29 août 2022</w:t>
            </w:r>
          </w:p>
          <w:p w:rsidR="003E5B23" w:rsidRPr="00EE0DCD" w:rsidRDefault="003E5B23" w:rsidP="003E5B23">
            <w:pPr>
              <w:jc w:val="both"/>
              <w:rPr>
                <w:sz w:val="20"/>
                <w:lang w:val="fr-CA"/>
              </w:rPr>
            </w:pPr>
            <w:r w:rsidRPr="00EE0DCD">
              <w:rPr>
                <w:sz w:val="20"/>
                <w:lang w:val="fr-CA"/>
              </w:rPr>
              <w:t>Cour d’appel de l’Ontario</w:t>
            </w:r>
          </w:p>
          <w:p w:rsidR="003E5B23" w:rsidRPr="00EE0DCD" w:rsidRDefault="003E5B23" w:rsidP="003E5B23">
            <w:pPr>
              <w:jc w:val="both"/>
              <w:rPr>
                <w:sz w:val="20"/>
                <w:lang w:val="fr-CA"/>
              </w:rPr>
            </w:pPr>
            <w:r w:rsidRPr="00EE0DCD">
              <w:rPr>
                <w:sz w:val="20"/>
                <w:lang w:val="fr-CA"/>
              </w:rPr>
              <w:t>(juges Strathy, Roberts et Sossin)</w:t>
            </w:r>
          </w:p>
          <w:p w:rsidR="003E5B23" w:rsidRPr="00EE0DCD" w:rsidRDefault="00962BCB" w:rsidP="003E5B23">
            <w:pPr>
              <w:jc w:val="both"/>
              <w:rPr>
                <w:sz w:val="20"/>
                <w:lang w:val="fr-CA"/>
              </w:rPr>
            </w:pPr>
            <w:hyperlink r:id="rId22" w:history="1">
              <w:r w:rsidR="003E5B23" w:rsidRPr="00EE0DCD">
                <w:rPr>
                  <w:rStyle w:val="Hyperlink"/>
                  <w:sz w:val="20"/>
                  <w:lang w:val="fr-CA"/>
                </w:rPr>
                <w:t>2022 ONCA 587</w:t>
              </w:r>
            </w:hyperlink>
          </w:p>
          <w:p w:rsidR="003E5B23" w:rsidRPr="00EE0DCD" w:rsidRDefault="003E5B23" w:rsidP="003E5B23">
            <w:pPr>
              <w:jc w:val="both"/>
              <w:rPr>
                <w:sz w:val="20"/>
                <w:lang w:val="fr-CA"/>
              </w:rPr>
            </w:pPr>
          </w:p>
        </w:tc>
        <w:tc>
          <w:tcPr>
            <w:tcW w:w="243" w:type="pct"/>
          </w:tcPr>
          <w:p w:rsidR="003E5B23" w:rsidRPr="00EE0DCD" w:rsidRDefault="003E5B23" w:rsidP="003E5B23">
            <w:pPr>
              <w:jc w:val="both"/>
              <w:rPr>
                <w:sz w:val="20"/>
                <w:lang w:val="fr-CA"/>
              </w:rPr>
            </w:pPr>
          </w:p>
        </w:tc>
        <w:tc>
          <w:tcPr>
            <w:tcW w:w="2330" w:type="pct"/>
          </w:tcPr>
          <w:p w:rsidR="003E5B23" w:rsidRPr="00EE0DCD" w:rsidRDefault="003E5B23" w:rsidP="003E5B23">
            <w:pPr>
              <w:jc w:val="both"/>
              <w:rPr>
                <w:sz w:val="20"/>
                <w:lang w:val="fr-CA"/>
              </w:rPr>
            </w:pPr>
            <w:r w:rsidRPr="00EE0DCD">
              <w:rPr>
                <w:sz w:val="20"/>
                <w:lang w:val="fr-CA"/>
              </w:rPr>
              <w:t xml:space="preserve">Rejet de l’appel des demanderesses. </w:t>
            </w:r>
          </w:p>
          <w:p w:rsidR="003E5B23" w:rsidRPr="00EE0DCD" w:rsidRDefault="003E5B23" w:rsidP="003E5B23">
            <w:pPr>
              <w:jc w:val="both"/>
              <w:rPr>
                <w:sz w:val="20"/>
                <w:lang w:val="fr-CA"/>
              </w:rPr>
            </w:pPr>
          </w:p>
        </w:tc>
      </w:tr>
      <w:tr w:rsidR="003E5B23" w:rsidRPr="00EE0DCD" w:rsidTr="003E5B23">
        <w:tc>
          <w:tcPr>
            <w:tcW w:w="2427" w:type="pct"/>
          </w:tcPr>
          <w:p w:rsidR="003E5B23" w:rsidRPr="00EE0DCD" w:rsidRDefault="003E5B23" w:rsidP="003E5B23">
            <w:pPr>
              <w:jc w:val="both"/>
              <w:rPr>
                <w:sz w:val="20"/>
                <w:lang w:val="fr-CA"/>
              </w:rPr>
            </w:pPr>
            <w:r w:rsidRPr="00EE0DCD">
              <w:rPr>
                <w:sz w:val="20"/>
                <w:lang w:val="fr-CA"/>
              </w:rPr>
              <w:t>17 octobre 2022</w:t>
            </w:r>
          </w:p>
          <w:p w:rsidR="003E5B23" w:rsidRPr="00EE0DCD" w:rsidRDefault="003E5B23" w:rsidP="003E5B23">
            <w:pPr>
              <w:jc w:val="both"/>
              <w:rPr>
                <w:sz w:val="20"/>
                <w:lang w:val="fr-CA"/>
              </w:rPr>
            </w:pPr>
            <w:r w:rsidRPr="00EE0DCD">
              <w:rPr>
                <w:sz w:val="20"/>
                <w:lang w:val="fr-CA"/>
              </w:rPr>
              <w:t>Cour suprême du Canada</w:t>
            </w:r>
          </w:p>
        </w:tc>
        <w:tc>
          <w:tcPr>
            <w:tcW w:w="243" w:type="pct"/>
          </w:tcPr>
          <w:p w:rsidR="003E5B23" w:rsidRPr="00EE0DCD" w:rsidRDefault="003E5B23" w:rsidP="003E5B23">
            <w:pPr>
              <w:jc w:val="both"/>
              <w:rPr>
                <w:sz w:val="20"/>
                <w:lang w:val="fr-CA"/>
              </w:rPr>
            </w:pPr>
          </w:p>
        </w:tc>
        <w:tc>
          <w:tcPr>
            <w:tcW w:w="2330" w:type="pct"/>
          </w:tcPr>
          <w:p w:rsidR="003E5B23" w:rsidRPr="00EE0DCD" w:rsidRDefault="003E5B23" w:rsidP="003E5B23">
            <w:pPr>
              <w:jc w:val="both"/>
              <w:rPr>
                <w:sz w:val="20"/>
                <w:lang w:val="fr-CA"/>
              </w:rPr>
            </w:pPr>
            <w:r w:rsidRPr="00EE0DCD">
              <w:rPr>
                <w:sz w:val="20"/>
                <w:lang w:val="fr-CA"/>
              </w:rPr>
              <w:t xml:space="preserve">Dépôt de la demande d’autorisation d’appel. </w:t>
            </w:r>
          </w:p>
          <w:p w:rsidR="003E5B23" w:rsidRPr="00EE0DCD" w:rsidRDefault="003E5B23" w:rsidP="003E5B23">
            <w:pPr>
              <w:jc w:val="both"/>
              <w:rPr>
                <w:sz w:val="20"/>
                <w:lang w:val="fr-CA"/>
              </w:rPr>
            </w:pPr>
          </w:p>
        </w:tc>
      </w:tr>
    </w:tbl>
    <w:p w:rsidR="003E5B23" w:rsidRPr="00EE0DCD" w:rsidRDefault="003E5B23" w:rsidP="003E5B23">
      <w:pPr>
        <w:jc w:val="both"/>
        <w:rPr>
          <w:sz w:val="20"/>
          <w:lang w:val="fr-CA"/>
        </w:rPr>
      </w:pPr>
    </w:p>
    <w:p w:rsidR="003E5B23" w:rsidRPr="00EE0DCD" w:rsidRDefault="00962BCB" w:rsidP="003E5B23">
      <w:pPr>
        <w:jc w:val="both"/>
        <w:rPr>
          <w:sz w:val="20"/>
          <w:lang w:val="fr-CA"/>
        </w:rPr>
      </w:pPr>
      <w:r w:rsidRPr="00EE0DCD">
        <w:rPr>
          <w:sz w:val="20"/>
        </w:rPr>
        <w:pict>
          <v:rect id="_x0000_i1031" style="width:2in;height:1pt" o:hrpct="0" o:hralign="center" o:hrstd="t" o:hrnoshade="t" o:hr="t" fillcolor="black [3213]" stroked="f"/>
        </w:pict>
      </w:r>
    </w:p>
    <w:p w:rsidR="003E5B23" w:rsidRPr="00EE0DCD" w:rsidRDefault="003E5B23" w:rsidP="003E5B2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E5B23" w:rsidRPr="00EE0DCD" w:rsidTr="003E5B23">
        <w:tc>
          <w:tcPr>
            <w:tcW w:w="543" w:type="pct"/>
          </w:tcPr>
          <w:p w:rsidR="003E5B23" w:rsidRPr="00EE0DCD" w:rsidRDefault="003E5B23" w:rsidP="003E5B23">
            <w:pPr>
              <w:jc w:val="both"/>
              <w:rPr>
                <w:sz w:val="20"/>
              </w:rPr>
            </w:pPr>
            <w:r w:rsidRPr="00EE0DCD">
              <w:rPr>
                <w:rStyle w:val="SCCFileNumberChar"/>
                <w:sz w:val="20"/>
                <w:szCs w:val="20"/>
              </w:rPr>
              <w:t>40473</w:t>
            </w:r>
          </w:p>
        </w:tc>
        <w:tc>
          <w:tcPr>
            <w:tcW w:w="4457" w:type="pct"/>
          </w:tcPr>
          <w:p w:rsidR="003E5B23" w:rsidRPr="00EE0DCD" w:rsidRDefault="003E5B23" w:rsidP="003E5B23">
            <w:pPr>
              <w:pStyle w:val="SCCLsocParty"/>
              <w:jc w:val="both"/>
              <w:rPr>
                <w:b/>
                <w:sz w:val="20"/>
                <w:szCs w:val="20"/>
                <w:lang w:val="en-US"/>
              </w:rPr>
            </w:pPr>
            <w:r w:rsidRPr="00EE0DCD">
              <w:rPr>
                <w:b/>
                <w:sz w:val="20"/>
                <w:szCs w:val="20"/>
                <w:lang w:val="en-US"/>
              </w:rPr>
              <w:t>Shannon Hancock v. College of Registered Nurses of Manitoba</w:t>
            </w:r>
          </w:p>
          <w:p w:rsidR="003E5B23" w:rsidRPr="00EE0DCD" w:rsidRDefault="003E5B23" w:rsidP="003E5B23">
            <w:pPr>
              <w:jc w:val="both"/>
              <w:rPr>
                <w:sz w:val="20"/>
              </w:rPr>
            </w:pPr>
            <w:r w:rsidRPr="00EE0DCD">
              <w:rPr>
                <w:sz w:val="20"/>
              </w:rPr>
              <w:t>(Man.) (Civil) (By Leave)</w:t>
            </w:r>
          </w:p>
        </w:tc>
      </w:tr>
      <w:tr w:rsidR="003E5B23" w:rsidRPr="00EE0DCD" w:rsidTr="003E5B23">
        <w:tc>
          <w:tcPr>
            <w:tcW w:w="5000" w:type="pct"/>
            <w:gridSpan w:val="2"/>
          </w:tcPr>
          <w:p w:rsidR="00883BFC" w:rsidRPr="00EE0DCD" w:rsidRDefault="00883BFC" w:rsidP="00883BFC">
            <w:pPr>
              <w:jc w:val="both"/>
              <w:rPr>
                <w:sz w:val="20"/>
                <w:szCs w:val="20"/>
              </w:rPr>
            </w:pPr>
            <w:r w:rsidRPr="00EE0DCD">
              <w:rPr>
                <w:sz w:val="20"/>
                <w:szCs w:val="20"/>
              </w:rPr>
              <w:t>The motion for an extension of time to serve and file the application for leave to appeal is granted. The application for leave to appeal from the judgment of the Court of Appeal of Manitoba, Number AI21-30-09681, 2022 MBCA 70, dated September 7, 2022, is dismissed with costs.</w:t>
            </w:r>
          </w:p>
          <w:p w:rsidR="003E5B23" w:rsidRPr="00EE0DCD" w:rsidRDefault="003E5B23" w:rsidP="003E5B23">
            <w:pPr>
              <w:jc w:val="both"/>
              <w:rPr>
                <w:sz w:val="20"/>
              </w:rPr>
            </w:pPr>
          </w:p>
        </w:tc>
      </w:tr>
    </w:tbl>
    <w:p w:rsidR="009E5C22" w:rsidRPr="00EE0DCD" w:rsidRDefault="009E5C22">
      <w:r w:rsidRPr="00EE0DC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5B23" w:rsidRPr="00EE0DCD" w:rsidTr="003E5B23">
        <w:tc>
          <w:tcPr>
            <w:tcW w:w="5000" w:type="pct"/>
            <w:gridSpan w:val="3"/>
          </w:tcPr>
          <w:p w:rsidR="003E5B23" w:rsidRPr="00EE0DCD" w:rsidRDefault="003E5B23" w:rsidP="003E5B23">
            <w:pPr>
              <w:jc w:val="both"/>
              <w:rPr>
                <w:sz w:val="20"/>
              </w:rPr>
            </w:pPr>
            <w:r w:rsidRPr="00EE0DCD">
              <w:rPr>
                <w:sz w:val="20"/>
              </w:rPr>
              <w:t xml:space="preserve">Law of professions — Discipline — Nurses — Administrative law — Appeals — Standard of review — Statutory appeal of administrative decision on penalty and costs — Professional body’s inquiry panel imposing a penalty and costs on a member — Court of Appeal dismissing member’s appeal — Whether the Court of Appeal deviated from standard of review framework for statutory appeals set out in </w:t>
            </w:r>
            <w:r w:rsidRPr="00EE0DCD">
              <w:rPr>
                <w:i/>
                <w:sz w:val="20"/>
              </w:rPr>
              <w:t>Canada (Minister of Citizenship and Immigration) v. Vavilov</w:t>
            </w:r>
            <w:r w:rsidRPr="00EE0DCD">
              <w:rPr>
                <w:sz w:val="20"/>
              </w:rPr>
              <w:t xml:space="preserve">, 2019 SCC 65, [2019] 4 S.C.R. 653, and thereby created undue uncertainty, incoherence, and unworkability — Whether the Court of Appeal and the inquiry panel failed to apply the </w:t>
            </w:r>
            <w:r w:rsidRPr="00EE0DCD">
              <w:rPr>
                <w:i/>
                <w:sz w:val="20"/>
              </w:rPr>
              <w:t xml:space="preserve">Charter </w:t>
            </w:r>
            <w:r w:rsidRPr="00EE0DCD">
              <w:rPr>
                <w:sz w:val="20"/>
              </w:rPr>
              <w:t xml:space="preserve">scrutiny required by </w:t>
            </w:r>
            <w:r w:rsidRPr="00EE0DCD">
              <w:rPr>
                <w:i/>
                <w:sz w:val="20"/>
              </w:rPr>
              <w:t>Doré v. Barreau du Québec</w:t>
            </w:r>
            <w:r w:rsidRPr="00EE0DCD">
              <w:rPr>
                <w:sz w:val="20"/>
              </w:rPr>
              <w:t xml:space="preserve">, 2012 SCC 12, [2012] 1 S.C.R. 395, thereby failing to hold the inquiry panel accountable to the </w:t>
            </w:r>
            <w:r w:rsidRPr="00EE0DCD">
              <w:rPr>
                <w:i/>
                <w:sz w:val="20"/>
              </w:rPr>
              <w:t xml:space="preserve">Charter </w:t>
            </w:r>
            <w:r w:rsidRPr="00EE0DCD">
              <w:rPr>
                <w:sz w:val="20"/>
              </w:rPr>
              <w:t xml:space="preserve">— Whether the Court of Appeal’s and the inquiry panel’s failures to consider the inquiry panel’s ability to reconsider a decision and admit new evidence were incorrect — Whether the Court of Appeal’s incorrect standards of review led to cascading failures to consider extricable legal errors and palpable and overriding mixed fact and law errors — </w:t>
            </w:r>
            <w:r w:rsidRPr="00EE0DCD">
              <w:rPr>
                <w:i/>
                <w:sz w:val="20"/>
              </w:rPr>
              <w:t>The Regulated Health Professions Act</w:t>
            </w:r>
            <w:r w:rsidRPr="00EE0DCD">
              <w:rPr>
                <w:sz w:val="20"/>
              </w:rPr>
              <w:t>, C.C.S.M., c. R117.</w:t>
            </w:r>
          </w:p>
        </w:tc>
      </w:tr>
      <w:tr w:rsidR="003E5B23" w:rsidRPr="00EE0DCD" w:rsidTr="003E5B23">
        <w:tc>
          <w:tcPr>
            <w:tcW w:w="5000" w:type="pct"/>
            <w:gridSpan w:val="3"/>
          </w:tcPr>
          <w:p w:rsidR="003E5B23" w:rsidRPr="00EE0DCD" w:rsidRDefault="003E5B23" w:rsidP="003E5B23">
            <w:pPr>
              <w:jc w:val="both"/>
              <w:rPr>
                <w:sz w:val="20"/>
              </w:rPr>
            </w:pPr>
          </w:p>
        </w:tc>
      </w:tr>
      <w:tr w:rsidR="003E5B23" w:rsidRPr="00EE0DCD" w:rsidTr="003E5B23">
        <w:tc>
          <w:tcPr>
            <w:tcW w:w="5000" w:type="pct"/>
            <w:gridSpan w:val="3"/>
          </w:tcPr>
          <w:p w:rsidR="003E5B23" w:rsidRPr="00EE0DCD" w:rsidRDefault="003E5B23" w:rsidP="003E5B23">
            <w:pPr>
              <w:jc w:val="both"/>
              <w:rPr>
                <w:sz w:val="20"/>
              </w:rPr>
            </w:pPr>
            <w:r w:rsidRPr="00EE0DCD">
              <w:rPr>
                <w:sz w:val="20"/>
              </w:rPr>
              <w:t xml:space="preserve">The applicant, Ms. Hancock, was a member of the respondent College of Registered Nurses of Manitoba (“College”). An inquiry panel of the College held a hearing into Ms. Hancock’s conduct, and found her guilty of misconduct and to be ungovernable. Ms. Hancock did not appeal that decision to the Manitoba Court of Appeal as she was entitled to do under </w:t>
            </w:r>
            <w:r w:rsidRPr="00EE0DCD">
              <w:rPr>
                <w:i/>
                <w:sz w:val="20"/>
              </w:rPr>
              <w:t>The Regulated Health Professions Act</w:t>
            </w:r>
            <w:r w:rsidRPr="00EE0DCD">
              <w:rPr>
                <w:sz w:val="20"/>
              </w:rPr>
              <w:t xml:space="preserve">, C.C.S.M. c. R117. Instead, she sought a reconsideration of that decision at a subsequent hearing that was held to determine the penalty to impose. The inquiry panel declined to reconsider its misconduct decision. It ordered that Ms. Hancock’s registration under </w:t>
            </w:r>
            <w:r w:rsidRPr="00EE0DCD">
              <w:rPr>
                <w:i/>
                <w:sz w:val="20"/>
              </w:rPr>
              <w:t>The Regulated Health Professions Act</w:t>
            </w:r>
            <w:r w:rsidRPr="00EE0DCD">
              <w:rPr>
                <w:sz w:val="20"/>
              </w:rPr>
              <w:t xml:space="preserve"> be cancelled and that she pay costs in the amount of $40,000. Ms. Hancock appealed that decision. The Manitoba Court of Appeal dismissed her appeal. It concluded it had no jurisdiction over the misconduct decision as it was not under appeal. It held that there were no reversible errors in the inquiry panel’s decision on penalty and costs.</w:t>
            </w:r>
          </w:p>
          <w:p w:rsidR="003E5B23" w:rsidRPr="00EE0DCD" w:rsidRDefault="003E5B23" w:rsidP="003E5B23">
            <w:pPr>
              <w:jc w:val="both"/>
              <w:rPr>
                <w:sz w:val="20"/>
              </w:rPr>
            </w:pPr>
          </w:p>
        </w:tc>
      </w:tr>
      <w:tr w:rsidR="003E5B23" w:rsidRPr="00EE0DCD" w:rsidTr="003E5B23">
        <w:tc>
          <w:tcPr>
            <w:tcW w:w="2427" w:type="pct"/>
          </w:tcPr>
          <w:p w:rsidR="003E5B23" w:rsidRPr="00EE0DCD" w:rsidRDefault="003E5B23" w:rsidP="003E5B23">
            <w:pPr>
              <w:jc w:val="both"/>
              <w:rPr>
                <w:sz w:val="20"/>
              </w:rPr>
            </w:pPr>
            <w:r w:rsidRPr="00EE0DCD">
              <w:rPr>
                <w:sz w:val="20"/>
              </w:rPr>
              <w:t>May 12, 2021</w:t>
            </w:r>
          </w:p>
          <w:p w:rsidR="003E5B23" w:rsidRPr="00EE0DCD" w:rsidRDefault="003E5B23" w:rsidP="003E5B23">
            <w:pPr>
              <w:jc w:val="both"/>
              <w:rPr>
                <w:sz w:val="20"/>
              </w:rPr>
            </w:pPr>
            <w:r w:rsidRPr="00EE0DCD">
              <w:rPr>
                <w:sz w:val="20"/>
              </w:rPr>
              <w:t xml:space="preserve">College of Registered Nurses of Manitoba </w:t>
            </w:r>
          </w:p>
          <w:p w:rsidR="003E5B23" w:rsidRPr="00EE0DCD" w:rsidRDefault="003E5B23" w:rsidP="003E5B23">
            <w:pPr>
              <w:jc w:val="both"/>
              <w:rPr>
                <w:sz w:val="20"/>
              </w:rPr>
            </w:pPr>
            <w:r w:rsidRPr="00EE0DCD">
              <w:rPr>
                <w:sz w:val="20"/>
              </w:rPr>
              <w:t>Inquiry Committee Panel</w:t>
            </w:r>
          </w:p>
          <w:p w:rsidR="003E5B23" w:rsidRPr="00EE0DCD" w:rsidRDefault="003E5B23" w:rsidP="003E5B23">
            <w:pPr>
              <w:jc w:val="both"/>
              <w:rPr>
                <w:sz w:val="20"/>
              </w:rPr>
            </w:pPr>
            <w:r w:rsidRPr="00EE0DCD">
              <w:rPr>
                <w:sz w:val="20"/>
              </w:rPr>
              <w:t>(Sandy Forrest, Chair)</w:t>
            </w:r>
          </w:p>
          <w:p w:rsidR="003E5B23" w:rsidRPr="00EE0DCD" w:rsidRDefault="003E5B23" w:rsidP="003E5B23">
            <w:pPr>
              <w:jc w:val="both"/>
              <w:rPr>
                <w:sz w:val="20"/>
              </w:rPr>
            </w:pPr>
            <w:r w:rsidRPr="00EE0DCD">
              <w:rPr>
                <w:sz w:val="20"/>
              </w:rPr>
              <w:t>Unreported</w:t>
            </w:r>
          </w:p>
          <w:p w:rsidR="003E5B23" w:rsidRPr="00EE0DCD" w:rsidRDefault="003E5B23" w:rsidP="003E5B23">
            <w:pPr>
              <w:jc w:val="both"/>
              <w:rPr>
                <w:sz w:val="20"/>
              </w:rPr>
            </w:pPr>
          </w:p>
        </w:tc>
        <w:tc>
          <w:tcPr>
            <w:tcW w:w="243" w:type="pct"/>
          </w:tcPr>
          <w:p w:rsidR="003E5B23" w:rsidRPr="00EE0DCD" w:rsidRDefault="003E5B23" w:rsidP="003E5B23">
            <w:pPr>
              <w:jc w:val="both"/>
              <w:rPr>
                <w:sz w:val="20"/>
              </w:rPr>
            </w:pPr>
          </w:p>
        </w:tc>
        <w:tc>
          <w:tcPr>
            <w:tcW w:w="2330" w:type="pct"/>
          </w:tcPr>
          <w:p w:rsidR="003E5B23" w:rsidRPr="00EE0DCD" w:rsidRDefault="003E5B23" w:rsidP="003E5B23">
            <w:pPr>
              <w:jc w:val="both"/>
              <w:rPr>
                <w:sz w:val="20"/>
              </w:rPr>
            </w:pPr>
            <w:r w:rsidRPr="00EE0DCD">
              <w:rPr>
                <w:sz w:val="20"/>
              </w:rPr>
              <w:t xml:space="preserve">Conclusion that panel’s prior decision finding misconduct final and not subject to variation or reconsideration. Applicant’s certificate to practice revoked and costs awarded against applicant. </w:t>
            </w:r>
          </w:p>
        </w:tc>
      </w:tr>
      <w:tr w:rsidR="003E5B23" w:rsidRPr="00EE0DCD" w:rsidTr="003E5B23">
        <w:tc>
          <w:tcPr>
            <w:tcW w:w="2427" w:type="pct"/>
          </w:tcPr>
          <w:p w:rsidR="003E5B23" w:rsidRPr="00EE0DCD" w:rsidRDefault="003E5B23" w:rsidP="003E5B23">
            <w:pPr>
              <w:jc w:val="both"/>
              <w:rPr>
                <w:sz w:val="20"/>
              </w:rPr>
            </w:pPr>
            <w:r w:rsidRPr="00EE0DCD">
              <w:rPr>
                <w:sz w:val="20"/>
              </w:rPr>
              <w:t>September 7, 2022</w:t>
            </w:r>
          </w:p>
          <w:p w:rsidR="003E5B23" w:rsidRPr="00EE0DCD" w:rsidRDefault="003E5B23" w:rsidP="003E5B23">
            <w:pPr>
              <w:jc w:val="both"/>
              <w:rPr>
                <w:sz w:val="20"/>
              </w:rPr>
            </w:pPr>
            <w:r w:rsidRPr="00EE0DCD">
              <w:rPr>
                <w:sz w:val="20"/>
              </w:rPr>
              <w:t>Court of Appeal of Manitoba</w:t>
            </w:r>
          </w:p>
          <w:p w:rsidR="003E5B23" w:rsidRPr="00EE0DCD" w:rsidRDefault="003E5B23" w:rsidP="003E5B23">
            <w:pPr>
              <w:jc w:val="both"/>
              <w:rPr>
                <w:sz w:val="20"/>
              </w:rPr>
            </w:pPr>
            <w:r w:rsidRPr="00EE0DCD">
              <w:rPr>
                <w:sz w:val="20"/>
              </w:rPr>
              <w:t>(Cameron, Mainella, and Pfuetzner JJ.A.)</w:t>
            </w:r>
          </w:p>
          <w:p w:rsidR="003E5B23" w:rsidRPr="00EE0DCD" w:rsidRDefault="00962BCB" w:rsidP="003E5B23">
            <w:pPr>
              <w:jc w:val="both"/>
              <w:rPr>
                <w:sz w:val="20"/>
              </w:rPr>
            </w:pPr>
            <w:hyperlink r:id="rId23" w:history="1">
              <w:r w:rsidR="003E5B23" w:rsidRPr="00EE0DCD">
                <w:rPr>
                  <w:rStyle w:val="Hyperlink"/>
                  <w:sz w:val="20"/>
                </w:rPr>
                <w:t>2022 MBCA 70</w:t>
              </w:r>
            </w:hyperlink>
            <w:r w:rsidR="003E5B23" w:rsidRPr="00EE0DCD">
              <w:rPr>
                <w:sz w:val="20"/>
              </w:rPr>
              <w:t xml:space="preserve"> (Docket: AI21-30-09681)</w:t>
            </w:r>
          </w:p>
          <w:p w:rsidR="003E5B23" w:rsidRPr="00EE0DCD" w:rsidRDefault="003E5B23" w:rsidP="003E5B23">
            <w:pPr>
              <w:jc w:val="both"/>
              <w:rPr>
                <w:sz w:val="20"/>
                <w:lang w:val="fr-CA"/>
              </w:rPr>
            </w:pPr>
          </w:p>
        </w:tc>
        <w:tc>
          <w:tcPr>
            <w:tcW w:w="243" w:type="pct"/>
          </w:tcPr>
          <w:p w:rsidR="003E5B23" w:rsidRPr="00EE0DCD" w:rsidRDefault="003E5B23" w:rsidP="003E5B23">
            <w:pPr>
              <w:jc w:val="both"/>
              <w:rPr>
                <w:sz w:val="20"/>
                <w:lang w:val="fr-CA"/>
              </w:rPr>
            </w:pPr>
          </w:p>
        </w:tc>
        <w:tc>
          <w:tcPr>
            <w:tcW w:w="2330" w:type="pct"/>
          </w:tcPr>
          <w:p w:rsidR="003E5B23" w:rsidRPr="00EE0DCD" w:rsidRDefault="003E5B23" w:rsidP="003E5B23">
            <w:pPr>
              <w:jc w:val="both"/>
              <w:rPr>
                <w:sz w:val="20"/>
              </w:rPr>
            </w:pPr>
            <w:r w:rsidRPr="00EE0DCD">
              <w:rPr>
                <w:sz w:val="20"/>
              </w:rPr>
              <w:t>Applicant’s appeal dismissed.</w:t>
            </w:r>
          </w:p>
          <w:p w:rsidR="003E5B23" w:rsidRPr="00EE0DCD" w:rsidRDefault="003E5B23" w:rsidP="003E5B23">
            <w:pPr>
              <w:jc w:val="both"/>
              <w:rPr>
                <w:sz w:val="20"/>
              </w:rPr>
            </w:pPr>
          </w:p>
        </w:tc>
      </w:tr>
      <w:tr w:rsidR="003E5B23" w:rsidRPr="00EE0DCD" w:rsidTr="003E5B23">
        <w:tc>
          <w:tcPr>
            <w:tcW w:w="2427" w:type="pct"/>
          </w:tcPr>
          <w:p w:rsidR="003E5B23" w:rsidRPr="00EE0DCD" w:rsidRDefault="003E5B23" w:rsidP="003E5B23">
            <w:pPr>
              <w:jc w:val="both"/>
              <w:rPr>
                <w:sz w:val="20"/>
              </w:rPr>
            </w:pPr>
            <w:r w:rsidRPr="00EE0DCD">
              <w:rPr>
                <w:sz w:val="20"/>
              </w:rPr>
              <w:t>November 29, 2022</w:t>
            </w:r>
          </w:p>
          <w:p w:rsidR="003E5B23" w:rsidRPr="00EE0DCD" w:rsidRDefault="003E5B23" w:rsidP="003E5B23">
            <w:pPr>
              <w:jc w:val="both"/>
              <w:rPr>
                <w:sz w:val="20"/>
              </w:rPr>
            </w:pPr>
            <w:r w:rsidRPr="00EE0DCD">
              <w:rPr>
                <w:sz w:val="20"/>
              </w:rPr>
              <w:t>Supreme Court of Canada</w:t>
            </w:r>
          </w:p>
          <w:p w:rsidR="003E5B23" w:rsidRPr="00EE0DCD" w:rsidRDefault="003E5B23" w:rsidP="003E5B23">
            <w:pPr>
              <w:jc w:val="both"/>
              <w:rPr>
                <w:sz w:val="20"/>
              </w:rPr>
            </w:pPr>
          </w:p>
        </w:tc>
        <w:tc>
          <w:tcPr>
            <w:tcW w:w="243" w:type="pct"/>
          </w:tcPr>
          <w:p w:rsidR="003E5B23" w:rsidRPr="00EE0DCD" w:rsidRDefault="003E5B23" w:rsidP="003E5B23">
            <w:pPr>
              <w:jc w:val="both"/>
              <w:rPr>
                <w:sz w:val="20"/>
              </w:rPr>
            </w:pPr>
          </w:p>
        </w:tc>
        <w:tc>
          <w:tcPr>
            <w:tcW w:w="2330" w:type="pct"/>
          </w:tcPr>
          <w:p w:rsidR="003E5B23" w:rsidRPr="00EE0DCD" w:rsidRDefault="003E5B23" w:rsidP="003E5B23">
            <w:pPr>
              <w:jc w:val="both"/>
              <w:rPr>
                <w:sz w:val="20"/>
              </w:rPr>
            </w:pPr>
            <w:r w:rsidRPr="00EE0DCD">
              <w:rPr>
                <w:sz w:val="20"/>
              </w:rPr>
              <w:t>Application for leave to appeal and motion for extension of time to serve and file application for leave to appeal filed.</w:t>
            </w:r>
          </w:p>
        </w:tc>
      </w:tr>
    </w:tbl>
    <w:p w:rsidR="003E5B23" w:rsidRPr="00EE0DCD" w:rsidRDefault="003E5B23" w:rsidP="003E5B23">
      <w:pPr>
        <w:jc w:val="both"/>
        <w:rPr>
          <w:sz w:val="20"/>
        </w:rPr>
      </w:pPr>
    </w:p>
    <w:p w:rsidR="003E5B23" w:rsidRPr="00EE0DCD" w:rsidRDefault="00962BCB" w:rsidP="003E5B23">
      <w:pPr>
        <w:jc w:val="both"/>
        <w:rPr>
          <w:sz w:val="20"/>
        </w:rPr>
      </w:pPr>
      <w:r w:rsidRPr="00EE0DCD">
        <w:rPr>
          <w:sz w:val="20"/>
        </w:rPr>
        <w:pict>
          <v:rect id="_x0000_i1032" style="width:2in;height:1pt" o:hrpct="0" o:hralign="center" o:hrstd="t" o:hrnoshade="t" o:hr="t" fillcolor="black [3213]" stroked="f"/>
        </w:pict>
      </w:r>
    </w:p>
    <w:p w:rsidR="003E5B23" w:rsidRPr="00EE0DCD" w:rsidRDefault="003E5B23" w:rsidP="003E5B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E5B23" w:rsidRPr="00EE0DCD" w:rsidTr="003E5B23">
        <w:tc>
          <w:tcPr>
            <w:tcW w:w="543" w:type="pct"/>
          </w:tcPr>
          <w:p w:rsidR="003E5B23" w:rsidRPr="00EE0DCD" w:rsidRDefault="003E5B23" w:rsidP="003E5B23">
            <w:pPr>
              <w:jc w:val="both"/>
              <w:rPr>
                <w:sz w:val="20"/>
                <w:lang w:val="fr-CA"/>
              </w:rPr>
            </w:pPr>
            <w:r w:rsidRPr="00EE0DCD">
              <w:rPr>
                <w:rStyle w:val="SCCFileNumberChar"/>
                <w:sz w:val="20"/>
                <w:szCs w:val="20"/>
                <w:lang w:val="fr-CA"/>
              </w:rPr>
              <w:t>40473</w:t>
            </w:r>
          </w:p>
        </w:tc>
        <w:tc>
          <w:tcPr>
            <w:tcW w:w="4457" w:type="pct"/>
          </w:tcPr>
          <w:p w:rsidR="003E5B23" w:rsidRPr="00EE0DCD" w:rsidRDefault="003E5B23" w:rsidP="003E5B23">
            <w:pPr>
              <w:pStyle w:val="SCCLsocParty"/>
              <w:jc w:val="both"/>
              <w:rPr>
                <w:b/>
                <w:sz w:val="20"/>
                <w:szCs w:val="20"/>
                <w:lang w:val="en-US"/>
              </w:rPr>
            </w:pPr>
            <w:r w:rsidRPr="00EE0DCD">
              <w:rPr>
                <w:b/>
                <w:sz w:val="20"/>
                <w:szCs w:val="20"/>
                <w:lang w:val="en-US"/>
              </w:rPr>
              <w:t>Shannon Hancock c. College of Registered Nurses of Manitoba</w:t>
            </w:r>
          </w:p>
          <w:p w:rsidR="003E5B23" w:rsidRPr="00EE0DCD" w:rsidRDefault="003E5B23" w:rsidP="003E5B23">
            <w:pPr>
              <w:jc w:val="both"/>
              <w:rPr>
                <w:sz w:val="20"/>
                <w:lang w:val="fr-CA"/>
              </w:rPr>
            </w:pPr>
            <w:r w:rsidRPr="00EE0DCD">
              <w:rPr>
                <w:sz w:val="20"/>
                <w:lang w:val="fr-CA"/>
              </w:rPr>
              <w:t>(Man.) (Civile) (Autorisation)</w:t>
            </w:r>
          </w:p>
        </w:tc>
      </w:tr>
      <w:tr w:rsidR="003E5B23" w:rsidRPr="00EE0DCD" w:rsidTr="003E5B23">
        <w:tc>
          <w:tcPr>
            <w:tcW w:w="5000" w:type="pct"/>
            <w:gridSpan w:val="2"/>
          </w:tcPr>
          <w:p w:rsidR="003E5B23" w:rsidRPr="00EE0DCD" w:rsidRDefault="00883BFC" w:rsidP="003E5B23">
            <w:pPr>
              <w:jc w:val="both"/>
              <w:rPr>
                <w:sz w:val="20"/>
                <w:szCs w:val="20"/>
                <w:lang w:val="fr-CA"/>
              </w:rPr>
            </w:pPr>
            <w:r w:rsidRPr="00EE0DCD">
              <w:rPr>
                <w:sz w:val="20"/>
                <w:szCs w:val="20"/>
                <w:lang w:val="fr-CA"/>
              </w:rPr>
              <w:t>La requête en prorogation du délai pour signifier et déposer la demande d’autorisation d’appel est accueillie. La demande d’autorisation d’appel de l’arrêt de la Cour d’appel du Manitoba, numéro AI21-30-09681, 2022 MBCA 70, daté du 7 septembre 2022, est rejetée avec dépens.</w:t>
            </w:r>
          </w:p>
          <w:p w:rsidR="00883BFC" w:rsidRPr="00EE0DCD" w:rsidRDefault="00883BFC" w:rsidP="003E5B23">
            <w:pPr>
              <w:jc w:val="both"/>
              <w:rPr>
                <w:sz w:val="20"/>
                <w:lang w:val="fr-CA"/>
              </w:rPr>
            </w:pPr>
          </w:p>
        </w:tc>
      </w:tr>
    </w:tbl>
    <w:p w:rsidR="009E5C22" w:rsidRPr="00EE0DCD" w:rsidRDefault="009E5C22">
      <w:pPr>
        <w:rPr>
          <w:lang w:val="fr-CA"/>
        </w:rPr>
      </w:pPr>
      <w:r w:rsidRPr="00EE0DC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5B23" w:rsidRPr="00EE0DCD" w:rsidTr="003E5B23">
        <w:tc>
          <w:tcPr>
            <w:tcW w:w="5000" w:type="pct"/>
            <w:gridSpan w:val="3"/>
          </w:tcPr>
          <w:p w:rsidR="003E5B23" w:rsidRPr="00EE0DCD" w:rsidRDefault="003E5B23" w:rsidP="003E5B23">
            <w:pPr>
              <w:jc w:val="both"/>
              <w:rPr>
                <w:sz w:val="20"/>
                <w:lang w:val="fr-CA"/>
              </w:rPr>
            </w:pPr>
            <w:r w:rsidRPr="00EE0DCD">
              <w:rPr>
                <w:sz w:val="20"/>
                <w:lang w:val="fr-CA"/>
              </w:rPr>
              <w:t>Droit des professions — Discipline — Infirmiers et infirmières — Droit administratif — Appels — Norme de contrôle — Appels prévus par la loi contre des décisions administratives relatives aux peines et aux frais — Comité d’enquête de l’Ordre professionnel qui impose une peine et des frais à une de ses membres — Cour d’appel rejetant l’appel interjeté par une de ses membres — La Cour d’appel s’est</w:t>
            </w:r>
            <w:r w:rsidRPr="00EE0DCD">
              <w:rPr>
                <w:sz w:val="20"/>
                <w:lang w:val="fr-CA"/>
              </w:rPr>
              <w:noBreakHyphen/>
              <w:t xml:space="preserve">elle écartée du cadre d’analyse de la norme de contrôle applicable aux appels prévus par la loi, lequel est énoncé dans l’arrêt </w:t>
            </w:r>
            <w:r w:rsidRPr="00EE0DCD">
              <w:rPr>
                <w:i/>
                <w:sz w:val="20"/>
                <w:lang w:val="fr-CA"/>
              </w:rPr>
              <w:t>Canada (Ministre de la Citoyenneté et de l’Immigration) c. Vavilov</w:t>
            </w:r>
            <w:r w:rsidRPr="00EE0DCD">
              <w:rPr>
                <w:sz w:val="20"/>
                <w:lang w:val="fr-CA"/>
              </w:rPr>
              <w:t>, 2019 CSC 65, [2019] 4 R.C.S. 653, et a–t</w:t>
            </w:r>
            <w:r w:rsidRPr="00EE0DCD">
              <w:rPr>
                <w:sz w:val="20"/>
                <w:lang w:val="fr-CA"/>
              </w:rPr>
              <w:noBreakHyphen/>
              <w:t>elle donc créé indûment de l’incertitude, de l’incohérence et l’inapplicabilité? — La Cour d’appel et le comité d’enquête ont</w:t>
            </w:r>
            <w:r w:rsidRPr="00EE0DCD">
              <w:rPr>
                <w:sz w:val="20"/>
                <w:lang w:val="fr-CA"/>
              </w:rPr>
              <w:noBreakHyphen/>
              <w:t xml:space="preserve">ils omis d’appliquer le principe de conformité à la </w:t>
            </w:r>
            <w:r w:rsidRPr="00EE0DCD">
              <w:rPr>
                <w:i/>
                <w:sz w:val="20"/>
                <w:lang w:val="fr-CA"/>
              </w:rPr>
              <w:t>Charte</w:t>
            </w:r>
            <w:r w:rsidRPr="00EE0DCD">
              <w:rPr>
                <w:sz w:val="20"/>
                <w:lang w:val="fr-CA"/>
              </w:rPr>
              <w:t xml:space="preserve"> requis par l’arrêt </w:t>
            </w:r>
            <w:r w:rsidRPr="00EE0DCD">
              <w:rPr>
                <w:i/>
                <w:sz w:val="20"/>
                <w:lang w:val="fr-CA"/>
              </w:rPr>
              <w:t>Doré c. Barreau du Québec</w:t>
            </w:r>
            <w:r w:rsidRPr="00EE0DCD">
              <w:rPr>
                <w:sz w:val="20"/>
                <w:lang w:val="fr-CA"/>
              </w:rPr>
              <w:t xml:space="preserve">, 2012 CSC 12, [2012] 1 R.C.S. 395, s’abstenant ainsi d’engager la responsabilité du comité d’enquête au regard de la </w:t>
            </w:r>
            <w:r w:rsidRPr="00EE0DCD">
              <w:rPr>
                <w:i/>
                <w:sz w:val="20"/>
                <w:lang w:val="fr-CA"/>
              </w:rPr>
              <w:t>Charte</w:t>
            </w:r>
            <w:r w:rsidRPr="00EE0DCD">
              <w:rPr>
                <w:sz w:val="20"/>
                <w:lang w:val="fr-CA"/>
              </w:rPr>
              <w:t>? — Les défauts de la Cour d’appel et du comité d’enquête de prendre en compte l’incapacité du comité d’enquête d’effectuer un nouvel examen d’une décision et d’admettre de nouveaux éléments de preuve étaient</w:t>
            </w:r>
            <w:r w:rsidRPr="00EE0DCD">
              <w:rPr>
                <w:sz w:val="20"/>
                <w:lang w:val="fr-CA"/>
              </w:rPr>
              <w:noBreakHyphen/>
              <w:t>ils incorrects? — Le fait que la Cour d’appel a appliqué les mauvaises normes de contrôle a</w:t>
            </w:r>
            <w:r w:rsidRPr="00EE0DCD">
              <w:rPr>
                <w:sz w:val="20"/>
                <w:lang w:val="fr-CA"/>
              </w:rPr>
              <w:noBreakHyphen/>
              <w:t>t-il mené à des omissions en cascade de considérer des erreurs juridiques mixtes de faits et de droit isolables, manifestes et déterminantes? —</w:t>
            </w:r>
            <w:r w:rsidRPr="00EE0DCD">
              <w:rPr>
                <w:i/>
                <w:sz w:val="20"/>
                <w:lang w:val="fr-CA"/>
              </w:rPr>
              <w:t xml:space="preserve"> Loi sur les professions de la santé réglementées</w:t>
            </w:r>
            <w:r w:rsidRPr="00EE0DCD">
              <w:rPr>
                <w:sz w:val="20"/>
                <w:lang w:val="fr-CA"/>
              </w:rPr>
              <w:t>, C.P.L.M., c. R117.</w:t>
            </w:r>
          </w:p>
        </w:tc>
      </w:tr>
      <w:tr w:rsidR="003E5B23" w:rsidRPr="00EE0DCD" w:rsidTr="003E5B23">
        <w:tc>
          <w:tcPr>
            <w:tcW w:w="5000" w:type="pct"/>
            <w:gridSpan w:val="3"/>
          </w:tcPr>
          <w:p w:rsidR="003E5B23" w:rsidRPr="00EE0DCD" w:rsidRDefault="003E5B23" w:rsidP="003E5B23">
            <w:pPr>
              <w:jc w:val="both"/>
              <w:rPr>
                <w:sz w:val="20"/>
                <w:lang w:val="fr-CA"/>
              </w:rPr>
            </w:pPr>
          </w:p>
        </w:tc>
      </w:tr>
      <w:tr w:rsidR="003E5B23" w:rsidRPr="00EE0DCD" w:rsidTr="003E5B23">
        <w:tc>
          <w:tcPr>
            <w:tcW w:w="5000" w:type="pct"/>
            <w:gridSpan w:val="3"/>
          </w:tcPr>
          <w:p w:rsidR="003E5B23" w:rsidRPr="00EE0DCD" w:rsidRDefault="003E5B23" w:rsidP="003E5B23">
            <w:pPr>
              <w:jc w:val="both"/>
              <w:rPr>
                <w:sz w:val="20"/>
                <w:lang w:val="fr-CA"/>
              </w:rPr>
            </w:pPr>
            <w:r w:rsidRPr="00EE0DCD">
              <w:rPr>
                <w:sz w:val="20"/>
                <w:lang w:val="fr-CA"/>
              </w:rPr>
              <w:t>La demanderesse, M</w:t>
            </w:r>
            <w:r w:rsidRPr="00EE0DCD">
              <w:rPr>
                <w:sz w:val="20"/>
                <w:vertAlign w:val="superscript"/>
                <w:lang w:val="fr-CA"/>
              </w:rPr>
              <w:t>me</w:t>
            </w:r>
            <w:r w:rsidRPr="00EE0DCD">
              <w:rPr>
                <w:sz w:val="20"/>
                <w:lang w:val="fr-CA"/>
              </w:rPr>
              <w:t> Hancock, était membre du College of Registered Nurses of Manitoba (« Ordre »). Un comité d’enquête de l’Ordre a tenu une audience sur la conduite de M</w:t>
            </w:r>
            <w:r w:rsidRPr="00EE0DCD">
              <w:rPr>
                <w:sz w:val="20"/>
                <w:vertAlign w:val="superscript"/>
                <w:lang w:val="fr-CA"/>
              </w:rPr>
              <w:t>me</w:t>
            </w:r>
            <w:r w:rsidRPr="00EE0DCD">
              <w:rPr>
                <w:sz w:val="20"/>
                <w:lang w:val="fr-CA"/>
              </w:rPr>
              <w:t> Hancock et il l’a déclarée coupable de faute professionnelle et d’être impossible à gérer. M</w:t>
            </w:r>
            <w:r w:rsidRPr="00EE0DCD">
              <w:rPr>
                <w:sz w:val="20"/>
                <w:vertAlign w:val="superscript"/>
                <w:lang w:val="fr-CA"/>
              </w:rPr>
              <w:t>me</w:t>
            </w:r>
            <w:r w:rsidRPr="00EE0DCD">
              <w:rPr>
                <w:sz w:val="20"/>
                <w:lang w:val="fr-CA"/>
              </w:rPr>
              <w:t xml:space="preserve"> Hancock n’a pas interjeté appel de cette décision à la Cour d’appel du Manitoba, même si la </w:t>
            </w:r>
            <w:r w:rsidRPr="00EE0DCD">
              <w:rPr>
                <w:i/>
                <w:sz w:val="20"/>
                <w:lang w:val="fr-CA"/>
              </w:rPr>
              <w:t>Loi sur les professions de la santé réglementées</w:t>
            </w:r>
            <w:r w:rsidRPr="00EE0DCD">
              <w:rPr>
                <w:sz w:val="20"/>
                <w:lang w:val="fr-CA"/>
              </w:rPr>
              <w:t>, C.P.L.M., c. R117, le lui permettait. Elle a plutôt sollicité un nouvel examen de la décision lors d’une audience subséquente tenue afin de déterminer la peine à lui infliger. Le comité d’enquête a refusé de réexaminer sa décision relative à la faute professionnelle. Il a ordonné que l’inscription de M</w:t>
            </w:r>
            <w:r w:rsidRPr="00EE0DCD">
              <w:rPr>
                <w:sz w:val="20"/>
                <w:vertAlign w:val="superscript"/>
                <w:lang w:val="fr-CA"/>
              </w:rPr>
              <w:t>me</w:t>
            </w:r>
            <w:r w:rsidRPr="00EE0DCD">
              <w:rPr>
                <w:sz w:val="20"/>
                <w:lang w:val="fr-CA"/>
              </w:rPr>
              <w:t xml:space="preserve"> Hancock au titre de la </w:t>
            </w:r>
            <w:r w:rsidRPr="00EE0DCD">
              <w:rPr>
                <w:i/>
                <w:sz w:val="20"/>
                <w:lang w:val="fr-CA"/>
              </w:rPr>
              <w:t>Loi sur les professions de la santé réglementées</w:t>
            </w:r>
            <w:r w:rsidRPr="00EE0DCD">
              <w:rPr>
                <w:sz w:val="20"/>
                <w:lang w:val="fr-CA"/>
              </w:rPr>
              <w:t xml:space="preserve"> soit annulée et qu’elle paye des frais d’un montant de 40 000 $. M</w:t>
            </w:r>
            <w:r w:rsidRPr="00EE0DCD">
              <w:rPr>
                <w:sz w:val="20"/>
                <w:vertAlign w:val="superscript"/>
                <w:lang w:val="fr-CA"/>
              </w:rPr>
              <w:t>me</w:t>
            </w:r>
            <w:r w:rsidRPr="00EE0DCD">
              <w:rPr>
                <w:sz w:val="20"/>
                <w:lang w:val="fr-CA"/>
              </w:rPr>
              <w:t> Hancock a interjeté appel de cette décision</w:t>
            </w:r>
            <w:r w:rsidRPr="00EE0DCD">
              <w:rPr>
                <w:sz w:val="20"/>
                <w:lang w:val="fr-CA"/>
              </w:rPr>
              <w:noBreakHyphen/>
              <w:t>là. La Cour d’appel du Manitoba a rejeté son appel. Elle a conclu qu’elle n’avait pas la compétence requise pour entendre la décision portant sur la faute professionnelle, car cette décision n’était pas soumise à un appel. Elle a décidé qu’il n’y avait pas d’erreur susceptible de contrôle dans la décision du comité d’enquête concernant la peine et les frais.</w:t>
            </w:r>
          </w:p>
          <w:p w:rsidR="003E5B23" w:rsidRPr="00EE0DCD" w:rsidRDefault="003E5B23" w:rsidP="003E5B23">
            <w:pPr>
              <w:jc w:val="both"/>
              <w:rPr>
                <w:sz w:val="20"/>
                <w:lang w:val="fr-CA"/>
              </w:rPr>
            </w:pPr>
          </w:p>
        </w:tc>
      </w:tr>
      <w:tr w:rsidR="003E5B23" w:rsidRPr="00EE0DCD" w:rsidTr="003E5B23">
        <w:tc>
          <w:tcPr>
            <w:tcW w:w="2427" w:type="pct"/>
          </w:tcPr>
          <w:p w:rsidR="003E5B23" w:rsidRPr="00EE0DCD" w:rsidRDefault="003E5B23" w:rsidP="003E5B23">
            <w:pPr>
              <w:jc w:val="both"/>
              <w:rPr>
                <w:sz w:val="20"/>
              </w:rPr>
            </w:pPr>
            <w:r w:rsidRPr="00EE0DCD">
              <w:rPr>
                <w:sz w:val="20"/>
              </w:rPr>
              <w:t>12 mai 2021</w:t>
            </w:r>
          </w:p>
          <w:p w:rsidR="003E5B23" w:rsidRPr="00EE0DCD" w:rsidRDefault="003E5B23" w:rsidP="003E5B23">
            <w:pPr>
              <w:jc w:val="both"/>
              <w:rPr>
                <w:sz w:val="20"/>
              </w:rPr>
            </w:pPr>
            <w:r w:rsidRPr="00EE0DCD">
              <w:rPr>
                <w:sz w:val="20"/>
              </w:rPr>
              <w:t xml:space="preserve">College of Registered Nurses of Manitoba </w:t>
            </w:r>
          </w:p>
          <w:p w:rsidR="003E5B23" w:rsidRPr="00EE0DCD" w:rsidRDefault="003E5B23" w:rsidP="003E5B23">
            <w:pPr>
              <w:jc w:val="both"/>
              <w:rPr>
                <w:sz w:val="20"/>
                <w:lang w:val="fr-CA"/>
              </w:rPr>
            </w:pPr>
            <w:r w:rsidRPr="00EE0DCD">
              <w:rPr>
                <w:sz w:val="20"/>
                <w:lang w:val="fr-CA"/>
              </w:rPr>
              <w:t xml:space="preserve">Formation du comité d’enquête </w:t>
            </w:r>
          </w:p>
          <w:p w:rsidR="003E5B23" w:rsidRPr="00EE0DCD" w:rsidRDefault="003E5B23" w:rsidP="003E5B23">
            <w:pPr>
              <w:jc w:val="both"/>
              <w:rPr>
                <w:sz w:val="20"/>
                <w:lang w:val="fr-CA"/>
              </w:rPr>
            </w:pPr>
            <w:r w:rsidRPr="00EE0DCD">
              <w:rPr>
                <w:sz w:val="20"/>
                <w:lang w:val="fr-CA"/>
              </w:rPr>
              <w:t>(Sandy Forrest, présidente)</w:t>
            </w:r>
          </w:p>
          <w:p w:rsidR="003E5B23" w:rsidRPr="00EE0DCD" w:rsidRDefault="003E5B23" w:rsidP="003E5B23">
            <w:pPr>
              <w:jc w:val="both"/>
              <w:rPr>
                <w:sz w:val="20"/>
                <w:lang w:val="fr-CA"/>
              </w:rPr>
            </w:pPr>
            <w:r w:rsidRPr="00EE0DCD">
              <w:rPr>
                <w:sz w:val="20"/>
                <w:lang w:val="fr-CA"/>
              </w:rPr>
              <w:t>Non-publiée</w:t>
            </w:r>
          </w:p>
          <w:p w:rsidR="003E5B23" w:rsidRPr="00EE0DCD" w:rsidRDefault="003E5B23" w:rsidP="003E5B23">
            <w:pPr>
              <w:jc w:val="both"/>
              <w:rPr>
                <w:sz w:val="20"/>
                <w:lang w:val="fr-CA"/>
              </w:rPr>
            </w:pPr>
          </w:p>
        </w:tc>
        <w:tc>
          <w:tcPr>
            <w:tcW w:w="243" w:type="pct"/>
          </w:tcPr>
          <w:p w:rsidR="003E5B23" w:rsidRPr="00EE0DCD" w:rsidRDefault="003E5B23" w:rsidP="003E5B23">
            <w:pPr>
              <w:jc w:val="both"/>
              <w:rPr>
                <w:sz w:val="20"/>
                <w:lang w:val="fr-CA"/>
              </w:rPr>
            </w:pPr>
          </w:p>
        </w:tc>
        <w:tc>
          <w:tcPr>
            <w:tcW w:w="2330" w:type="pct"/>
          </w:tcPr>
          <w:p w:rsidR="003E5B23" w:rsidRPr="00EE0DCD" w:rsidRDefault="003E5B23" w:rsidP="003E5B23">
            <w:pPr>
              <w:jc w:val="both"/>
              <w:rPr>
                <w:sz w:val="20"/>
                <w:lang w:val="fr-CA"/>
              </w:rPr>
            </w:pPr>
            <w:r w:rsidRPr="00EE0DCD">
              <w:rPr>
                <w:sz w:val="20"/>
                <w:lang w:val="fr-CA"/>
              </w:rPr>
              <w:t xml:space="preserve">Conclusion selon laquelle la décision antérieure du comité concluant à la faute professionnelle est définitive et non susceptible d’être annulée ou réexaminée. Certificat de pratique de la demanderesse révoqué et frais ordonnés contre la demanderesse. </w:t>
            </w:r>
          </w:p>
        </w:tc>
      </w:tr>
      <w:tr w:rsidR="003E5B23" w:rsidRPr="00EE0DCD" w:rsidTr="003E5B23">
        <w:tc>
          <w:tcPr>
            <w:tcW w:w="2427" w:type="pct"/>
          </w:tcPr>
          <w:p w:rsidR="003E5B23" w:rsidRPr="00EE0DCD" w:rsidRDefault="003E5B23" w:rsidP="003E5B23">
            <w:pPr>
              <w:jc w:val="both"/>
              <w:rPr>
                <w:sz w:val="20"/>
                <w:lang w:val="fr-CA"/>
              </w:rPr>
            </w:pPr>
            <w:r w:rsidRPr="00EE0DCD">
              <w:rPr>
                <w:sz w:val="20"/>
                <w:lang w:val="fr-CA"/>
              </w:rPr>
              <w:t>7 septembre 2022</w:t>
            </w:r>
          </w:p>
          <w:p w:rsidR="003E5B23" w:rsidRPr="00EE0DCD" w:rsidRDefault="003E5B23" w:rsidP="003E5B23">
            <w:pPr>
              <w:jc w:val="both"/>
              <w:rPr>
                <w:sz w:val="20"/>
                <w:lang w:val="fr-CA"/>
              </w:rPr>
            </w:pPr>
            <w:r w:rsidRPr="00EE0DCD">
              <w:rPr>
                <w:sz w:val="20"/>
                <w:lang w:val="fr-CA"/>
              </w:rPr>
              <w:t>Cour d’appel du Manitoba</w:t>
            </w:r>
          </w:p>
          <w:p w:rsidR="003E5B23" w:rsidRPr="00EE0DCD" w:rsidRDefault="003E5B23" w:rsidP="003E5B23">
            <w:pPr>
              <w:jc w:val="both"/>
              <w:rPr>
                <w:sz w:val="20"/>
                <w:lang w:val="fr-CA"/>
              </w:rPr>
            </w:pPr>
            <w:r w:rsidRPr="00EE0DCD">
              <w:rPr>
                <w:sz w:val="20"/>
                <w:lang w:val="fr-CA"/>
              </w:rPr>
              <w:t>(juges Cameron, Mainella, et Pfuetzner)</w:t>
            </w:r>
          </w:p>
          <w:p w:rsidR="003E5B23" w:rsidRPr="00EE0DCD" w:rsidRDefault="00962BCB" w:rsidP="003E5B23">
            <w:pPr>
              <w:jc w:val="both"/>
              <w:rPr>
                <w:sz w:val="20"/>
                <w:lang w:val="fr-CA"/>
              </w:rPr>
            </w:pPr>
            <w:hyperlink r:id="rId24" w:history="1">
              <w:r w:rsidR="003E5B23" w:rsidRPr="00EE0DCD">
                <w:rPr>
                  <w:rStyle w:val="Hyperlink"/>
                  <w:sz w:val="20"/>
                  <w:lang w:val="fr-CA"/>
                </w:rPr>
                <w:t>2022 MBCA 70</w:t>
              </w:r>
            </w:hyperlink>
            <w:r w:rsidR="003E5B23" w:rsidRPr="00EE0DCD">
              <w:rPr>
                <w:sz w:val="20"/>
                <w:lang w:val="fr-CA"/>
              </w:rPr>
              <w:t xml:space="preserve"> (Dossier : AI21-30-09681)</w:t>
            </w:r>
          </w:p>
          <w:p w:rsidR="003E5B23" w:rsidRPr="00EE0DCD" w:rsidRDefault="003E5B23" w:rsidP="003E5B23">
            <w:pPr>
              <w:jc w:val="both"/>
              <w:rPr>
                <w:sz w:val="20"/>
                <w:lang w:val="fr-CA"/>
              </w:rPr>
            </w:pPr>
          </w:p>
        </w:tc>
        <w:tc>
          <w:tcPr>
            <w:tcW w:w="243" w:type="pct"/>
          </w:tcPr>
          <w:p w:rsidR="003E5B23" w:rsidRPr="00EE0DCD" w:rsidRDefault="003E5B23" w:rsidP="003E5B23">
            <w:pPr>
              <w:jc w:val="both"/>
              <w:rPr>
                <w:sz w:val="20"/>
                <w:lang w:val="fr-CA"/>
              </w:rPr>
            </w:pPr>
          </w:p>
        </w:tc>
        <w:tc>
          <w:tcPr>
            <w:tcW w:w="2330" w:type="pct"/>
          </w:tcPr>
          <w:p w:rsidR="003E5B23" w:rsidRPr="00EE0DCD" w:rsidRDefault="003E5B23" w:rsidP="003E5B23">
            <w:pPr>
              <w:jc w:val="both"/>
              <w:rPr>
                <w:sz w:val="20"/>
                <w:lang w:val="fr-CA"/>
              </w:rPr>
            </w:pPr>
            <w:r w:rsidRPr="00EE0DCD">
              <w:rPr>
                <w:sz w:val="20"/>
                <w:lang w:val="fr-CA"/>
              </w:rPr>
              <w:t>Rejet de l’appel de la demanderesse.</w:t>
            </w:r>
          </w:p>
          <w:p w:rsidR="003E5B23" w:rsidRPr="00EE0DCD" w:rsidRDefault="003E5B23" w:rsidP="003E5B23">
            <w:pPr>
              <w:jc w:val="both"/>
              <w:rPr>
                <w:sz w:val="20"/>
                <w:lang w:val="fr-CA"/>
              </w:rPr>
            </w:pPr>
          </w:p>
        </w:tc>
      </w:tr>
      <w:tr w:rsidR="003E5B23" w:rsidRPr="00EE0DCD" w:rsidTr="003E5B23">
        <w:tc>
          <w:tcPr>
            <w:tcW w:w="2427" w:type="pct"/>
          </w:tcPr>
          <w:p w:rsidR="003E5B23" w:rsidRPr="00EE0DCD" w:rsidRDefault="003E5B23" w:rsidP="003E5B23">
            <w:pPr>
              <w:jc w:val="both"/>
              <w:rPr>
                <w:sz w:val="20"/>
                <w:lang w:val="fr-CA"/>
              </w:rPr>
            </w:pPr>
            <w:r w:rsidRPr="00EE0DCD">
              <w:rPr>
                <w:sz w:val="20"/>
                <w:lang w:val="fr-CA"/>
              </w:rPr>
              <w:t>29 novembre 2022</w:t>
            </w:r>
          </w:p>
          <w:p w:rsidR="003E5B23" w:rsidRPr="00EE0DCD" w:rsidRDefault="003E5B23" w:rsidP="003E5B23">
            <w:pPr>
              <w:jc w:val="both"/>
              <w:rPr>
                <w:sz w:val="20"/>
                <w:lang w:val="fr-CA"/>
              </w:rPr>
            </w:pPr>
            <w:r w:rsidRPr="00EE0DCD">
              <w:rPr>
                <w:sz w:val="20"/>
                <w:lang w:val="fr-CA"/>
              </w:rPr>
              <w:t>Cour suprême du Canada</w:t>
            </w:r>
          </w:p>
          <w:p w:rsidR="003E5B23" w:rsidRPr="00EE0DCD" w:rsidRDefault="003E5B23" w:rsidP="003E5B23">
            <w:pPr>
              <w:jc w:val="both"/>
              <w:rPr>
                <w:sz w:val="20"/>
                <w:lang w:val="fr-CA"/>
              </w:rPr>
            </w:pPr>
          </w:p>
        </w:tc>
        <w:tc>
          <w:tcPr>
            <w:tcW w:w="243" w:type="pct"/>
          </w:tcPr>
          <w:p w:rsidR="003E5B23" w:rsidRPr="00EE0DCD" w:rsidRDefault="003E5B23" w:rsidP="003E5B23">
            <w:pPr>
              <w:jc w:val="both"/>
              <w:rPr>
                <w:sz w:val="20"/>
                <w:lang w:val="fr-CA"/>
              </w:rPr>
            </w:pPr>
          </w:p>
        </w:tc>
        <w:tc>
          <w:tcPr>
            <w:tcW w:w="2330" w:type="pct"/>
          </w:tcPr>
          <w:p w:rsidR="003E5B23" w:rsidRPr="00EE0DCD" w:rsidRDefault="003E5B23" w:rsidP="003E5B23">
            <w:pPr>
              <w:jc w:val="both"/>
              <w:rPr>
                <w:sz w:val="20"/>
                <w:lang w:val="fr-CA"/>
              </w:rPr>
            </w:pPr>
            <w:r w:rsidRPr="00EE0DCD">
              <w:rPr>
                <w:sz w:val="20"/>
                <w:lang w:val="fr-CA"/>
              </w:rPr>
              <w:t>Dépôts de la demande d’autorisation d’appel et de la requête en vue de la prorogation du délai pour signifier et déposer la demande d’appel.</w:t>
            </w:r>
          </w:p>
        </w:tc>
      </w:tr>
    </w:tbl>
    <w:p w:rsidR="00673569" w:rsidRPr="00EE0DCD" w:rsidRDefault="00673569" w:rsidP="004B2E86">
      <w:pPr>
        <w:jc w:val="both"/>
        <w:rPr>
          <w:sz w:val="20"/>
          <w:szCs w:val="20"/>
          <w:lang w:val="fr-CA"/>
        </w:rPr>
      </w:pPr>
    </w:p>
    <w:p w:rsidR="00102792" w:rsidRPr="00EE0DCD" w:rsidRDefault="00962BCB" w:rsidP="004B2E86">
      <w:pPr>
        <w:jc w:val="both"/>
        <w:rPr>
          <w:sz w:val="20"/>
          <w:szCs w:val="20"/>
          <w:lang w:val="fr-CA"/>
        </w:rPr>
      </w:pPr>
      <w:r w:rsidRPr="00EE0DCD">
        <w:rPr>
          <w:sz w:val="20"/>
          <w:szCs w:val="20"/>
        </w:rPr>
        <w:pict>
          <v:rect id="_x0000_i1033" style="width:2in;height:1pt" o:hrpct="0" o:hralign="center" o:hrstd="t" o:hrnoshade="t" o:hr="t" fillcolor="black" stroked="f"/>
        </w:pict>
      </w:r>
    </w:p>
    <w:p w:rsidR="00E06F20" w:rsidRPr="00EE0DCD" w:rsidRDefault="00E06F20" w:rsidP="00102792">
      <w:pPr>
        <w:jc w:val="both"/>
        <w:rPr>
          <w:sz w:val="20"/>
          <w:lang w:val="fr-CA"/>
        </w:rPr>
      </w:pPr>
    </w:p>
    <w:p w:rsidR="00890FEB" w:rsidRPr="00EE0DCD" w:rsidRDefault="00890FEB" w:rsidP="008D292F">
      <w:pPr>
        <w:rPr>
          <w:sz w:val="20"/>
          <w:szCs w:val="20"/>
          <w:lang w:val="fr-CA"/>
        </w:rPr>
      </w:pPr>
    </w:p>
    <w:p w:rsidR="00890FEB" w:rsidRPr="00EE0DCD" w:rsidRDefault="00890FEB" w:rsidP="008D292F">
      <w:pPr>
        <w:rPr>
          <w:b/>
          <w:sz w:val="20"/>
          <w:szCs w:val="20"/>
          <w:lang w:val="fr-CA"/>
        </w:rPr>
        <w:sectPr w:rsidR="00890FEB" w:rsidRPr="00EE0DCD"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EE0DCD" w:rsidRDefault="001434B9" w:rsidP="00567602">
      <w:pPr>
        <w:pStyle w:val="Header1StyleE"/>
        <w:pBdr>
          <w:bottom w:val="single" w:sz="12" w:space="1" w:color="auto"/>
        </w:pBdr>
        <w:rPr>
          <w:sz w:val="20"/>
          <w:lang w:val="en-US"/>
        </w:rPr>
      </w:pPr>
      <w:bookmarkStart w:id="3" w:name="_Toc133498283"/>
      <w:r w:rsidRPr="00EE0DCD">
        <w:t>Notices of appeal filed since the last issue</w:t>
      </w:r>
      <w:r w:rsidR="00271E1E" w:rsidRPr="00EE0DCD">
        <w:t xml:space="preserve"> / </w:t>
      </w:r>
      <w:r w:rsidR="00567602" w:rsidRPr="00EE0DCD">
        <w:br/>
      </w:r>
      <w:r w:rsidRPr="00EE0DCD">
        <w:rPr>
          <w:lang w:val="fr-CA"/>
        </w:rPr>
        <w:t>Avis d’appel déposés depuis la dernière parution</w:t>
      </w:r>
      <w:bookmarkEnd w:id="3"/>
    </w:p>
    <w:p w:rsidR="00FB1DB6" w:rsidRPr="00EE0DCD"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E0DCD" w:rsidTr="005F1ED8">
        <w:trPr>
          <w:cantSplit/>
        </w:trPr>
        <w:tc>
          <w:tcPr>
            <w:tcW w:w="2206" w:type="pct"/>
            <w:tcMar>
              <w:left w:w="0" w:type="dxa"/>
              <w:right w:w="0" w:type="dxa"/>
            </w:tcMar>
          </w:tcPr>
          <w:p w:rsidR="0086340B" w:rsidRPr="00EE0DCD" w:rsidRDefault="004E0A01" w:rsidP="005F1ED8">
            <w:pPr>
              <w:rPr>
                <w:sz w:val="20"/>
                <w:szCs w:val="20"/>
              </w:rPr>
            </w:pPr>
            <w:r w:rsidRPr="00EE0DCD">
              <w:rPr>
                <w:sz w:val="20"/>
                <w:szCs w:val="20"/>
              </w:rPr>
              <w:t>April</w:t>
            </w:r>
            <w:r w:rsidR="008859F1" w:rsidRPr="00EE0DCD">
              <w:rPr>
                <w:sz w:val="20"/>
                <w:szCs w:val="20"/>
              </w:rPr>
              <w:t xml:space="preserve"> </w:t>
            </w:r>
            <w:r w:rsidR="009B36BA" w:rsidRPr="00EE0DCD">
              <w:rPr>
                <w:sz w:val="20"/>
                <w:szCs w:val="20"/>
              </w:rPr>
              <w:t>14</w:t>
            </w:r>
            <w:r w:rsidR="008859F1" w:rsidRPr="00EE0DCD">
              <w:rPr>
                <w:sz w:val="20"/>
                <w:szCs w:val="20"/>
              </w:rPr>
              <w:t>, 20</w:t>
            </w:r>
            <w:r w:rsidR="005967EF" w:rsidRPr="00EE0DCD">
              <w:rPr>
                <w:sz w:val="20"/>
                <w:szCs w:val="20"/>
              </w:rPr>
              <w:t>2</w:t>
            </w:r>
            <w:r w:rsidR="00FC7090" w:rsidRPr="00EE0DCD">
              <w:rPr>
                <w:sz w:val="20"/>
                <w:szCs w:val="20"/>
              </w:rPr>
              <w:t>3</w:t>
            </w:r>
          </w:p>
          <w:p w:rsidR="0034657E" w:rsidRPr="00EE0DCD" w:rsidRDefault="0034657E" w:rsidP="005F1ED8">
            <w:pPr>
              <w:rPr>
                <w:sz w:val="20"/>
                <w:szCs w:val="20"/>
              </w:rPr>
            </w:pPr>
          </w:p>
          <w:p w:rsidR="0086340B" w:rsidRPr="00EE0DCD" w:rsidRDefault="004E0A01" w:rsidP="005F1ED8">
            <w:pPr>
              <w:rPr>
                <w:b/>
                <w:sz w:val="20"/>
                <w:szCs w:val="20"/>
              </w:rPr>
            </w:pPr>
            <w:r w:rsidRPr="00EE0DCD">
              <w:rPr>
                <w:b/>
                <w:sz w:val="20"/>
                <w:szCs w:val="20"/>
              </w:rPr>
              <w:t>City of St. John's</w:t>
            </w:r>
          </w:p>
          <w:p w:rsidR="0086340B" w:rsidRPr="00EE0DCD" w:rsidRDefault="0086340B" w:rsidP="005F1ED8">
            <w:pPr>
              <w:rPr>
                <w:sz w:val="20"/>
                <w:szCs w:val="20"/>
              </w:rPr>
            </w:pPr>
          </w:p>
          <w:p w:rsidR="0086340B" w:rsidRPr="00EE0DCD" w:rsidRDefault="0086340B" w:rsidP="005F1ED8">
            <w:pPr>
              <w:rPr>
                <w:b/>
                <w:sz w:val="20"/>
                <w:szCs w:val="20"/>
              </w:rPr>
            </w:pPr>
            <w:r w:rsidRPr="00EE0DCD">
              <w:rPr>
                <w:b/>
                <w:sz w:val="20"/>
                <w:szCs w:val="20"/>
              </w:rPr>
              <w:tab/>
              <w:t>v. (4</w:t>
            </w:r>
            <w:r w:rsidR="004E0A01" w:rsidRPr="00EE0DCD">
              <w:rPr>
                <w:b/>
                <w:sz w:val="20"/>
                <w:szCs w:val="20"/>
              </w:rPr>
              <w:t>030</w:t>
            </w:r>
            <w:r w:rsidRPr="00EE0DCD">
              <w:rPr>
                <w:b/>
                <w:sz w:val="20"/>
                <w:szCs w:val="20"/>
              </w:rPr>
              <w:t>2)</w:t>
            </w:r>
          </w:p>
          <w:p w:rsidR="0086340B" w:rsidRPr="00EE0DCD" w:rsidRDefault="0086340B" w:rsidP="005F1ED8">
            <w:pPr>
              <w:rPr>
                <w:sz w:val="20"/>
                <w:szCs w:val="20"/>
              </w:rPr>
            </w:pPr>
          </w:p>
          <w:p w:rsidR="0086340B" w:rsidRPr="00EE0DCD" w:rsidRDefault="004E0A01" w:rsidP="005F1ED8">
            <w:pPr>
              <w:rPr>
                <w:b/>
                <w:sz w:val="20"/>
                <w:szCs w:val="20"/>
                <w:lang w:val="fr-CA"/>
              </w:rPr>
            </w:pPr>
            <w:r w:rsidRPr="00EE0DCD">
              <w:rPr>
                <w:b/>
                <w:sz w:val="20"/>
                <w:szCs w:val="20"/>
                <w:lang w:val="fr-CA"/>
              </w:rPr>
              <w:t>Wallace Lynch, et al.</w:t>
            </w:r>
            <w:r w:rsidR="0086340B" w:rsidRPr="00EE0DCD">
              <w:rPr>
                <w:b/>
                <w:sz w:val="20"/>
                <w:szCs w:val="20"/>
                <w:lang w:val="fr-CA"/>
              </w:rPr>
              <w:t xml:space="preserve"> (N.</w:t>
            </w:r>
            <w:r w:rsidRPr="00EE0DCD">
              <w:rPr>
                <w:b/>
                <w:sz w:val="20"/>
                <w:szCs w:val="20"/>
                <w:lang w:val="fr-CA"/>
              </w:rPr>
              <w:t>L</w:t>
            </w:r>
            <w:r w:rsidR="0086340B" w:rsidRPr="00EE0DCD">
              <w:rPr>
                <w:b/>
                <w:sz w:val="20"/>
                <w:szCs w:val="20"/>
                <w:lang w:val="fr-CA"/>
              </w:rPr>
              <w:t>.)</w:t>
            </w:r>
          </w:p>
          <w:p w:rsidR="0086340B" w:rsidRPr="00EE0DCD" w:rsidRDefault="0086340B" w:rsidP="005F1ED8">
            <w:pPr>
              <w:rPr>
                <w:sz w:val="20"/>
                <w:szCs w:val="20"/>
                <w:lang w:val="fr-CA"/>
              </w:rPr>
            </w:pPr>
          </w:p>
          <w:p w:rsidR="0086340B" w:rsidRPr="00EE0DCD" w:rsidRDefault="0086340B" w:rsidP="005F1ED8">
            <w:pPr>
              <w:rPr>
                <w:sz w:val="20"/>
                <w:szCs w:val="20"/>
              </w:rPr>
            </w:pPr>
            <w:r w:rsidRPr="00EE0DCD">
              <w:rPr>
                <w:sz w:val="20"/>
                <w:szCs w:val="20"/>
              </w:rPr>
              <w:t>(By Leave)</w:t>
            </w:r>
          </w:p>
          <w:p w:rsidR="0086340B" w:rsidRPr="00EE0DCD" w:rsidRDefault="0086340B" w:rsidP="005F1ED8">
            <w:pPr>
              <w:rPr>
                <w:sz w:val="20"/>
                <w:szCs w:val="20"/>
              </w:rPr>
            </w:pPr>
          </w:p>
          <w:p w:rsidR="0086340B" w:rsidRPr="00EE0DCD" w:rsidRDefault="00962BCB" w:rsidP="005F1ED8">
            <w:pPr>
              <w:rPr>
                <w:sz w:val="20"/>
                <w:szCs w:val="20"/>
                <w:lang w:val="fr-CA"/>
              </w:rPr>
            </w:pPr>
            <w:r w:rsidRPr="00EE0DCD">
              <w:rPr>
                <w:sz w:val="20"/>
                <w:szCs w:val="20"/>
                <w:lang w:val="fr-CA"/>
              </w:rPr>
              <w:pict>
                <v:rect id="_x0000_i1039" style="width:106.1pt;height:1pt" o:hrpct="500" o:hrstd="t" o:hrnoshade="t" o:hr="t" fillcolor="black [3213]" stroked="f"/>
              </w:pict>
            </w:r>
          </w:p>
        </w:tc>
        <w:tc>
          <w:tcPr>
            <w:tcW w:w="588" w:type="pct"/>
          </w:tcPr>
          <w:p w:rsidR="0086340B" w:rsidRPr="00EE0DCD" w:rsidRDefault="0086340B" w:rsidP="005F1ED8">
            <w:pPr>
              <w:jc w:val="center"/>
              <w:rPr>
                <w:sz w:val="20"/>
                <w:szCs w:val="20"/>
              </w:rPr>
            </w:pPr>
          </w:p>
          <w:p w:rsidR="0086340B" w:rsidRPr="00EE0DCD" w:rsidRDefault="0086340B" w:rsidP="005F1ED8">
            <w:pPr>
              <w:jc w:val="center"/>
              <w:rPr>
                <w:sz w:val="20"/>
                <w:szCs w:val="20"/>
              </w:rPr>
            </w:pPr>
          </w:p>
          <w:p w:rsidR="0086340B" w:rsidRPr="00EE0DCD" w:rsidRDefault="0086340B" w:rsidP="005F1ED8">
            <w:pPr>
              <w:jc w:val="center"/>
              <w:rPr>
                <w:sz w:val="20"/>
                <w:szCs w:val="20"/>
              </w:rPr>
            </w:pPr>
          </w:p>
          <w:p w:rsidR="0086340B" w:rsidRPr="00EE0DCD" w:rsidRDefault="0086340B" w:rsidP="005F1ED8">
            <w:pPr>
              <w:jc w:val="center"/>
              <w:rPr>
                <w:sz w:val="20"/>
                <w:szCs w:val="20"/>
              </w:rPr>
            </w:pPr>
          </w:p>
          <w:p w:rsidR="0086340B" w:rsidRPr="00EE0DCD" w:rsidRDefault="0086340B" w:rsidP="005F1ED8">
            <w:pPr>
              <w:jc w:val="center"/>
              <w:rPr>
                <w:sz w:val="20"/>
                <w:szCs w:val="20"/>
              </w:rPr>
            </w:pPr>
          </w:p>
          <w:p w:rsidR="0086340B" w:rsidRPr="00EE0DCD" w:rsidRDefault="0086340B" w:rsidP="005F1ED8">
            <w:pPr>
              <w:jc w:val="center"/>
              <w:rPr>
                <w:sz w:val="20"/>
                <w:szCs w:val="20"/>
              </w:rPr>
            </w:pPr>
          </w:p>
          <w:p w:rsidR="0086340B" w:rsidRPr="00EE0DCD" w:rsidRDefault="0086340B" w:rsidP="005F1ED8">
            <w:pPr>
              <w:jc w:val="center"/>
              <w:rPr>
                <w:sz w:val="20"/>
                <w:szCs w:val="20"/>
              </w:rPr>
            </w:pPr>
          </w:p>
          <w:p w:rsidR="0086340B" w:rsidRPr="00EE0DCD" w:rsidRDefault="0086340B" w:rsidP="005F1ED8">
            <w:pPr>
              <w:jc w:val="center"/>
              <w:rPr>
                <w:sz w:val="20"/>
                <w:szCs w:val="20"/>
              </w:rPr>
            </w:pPr>
          </w:p>
          <w:p w:rsidR="0086340B" w:rsidRPr="00EE0DCD" w:rsidRDefault="0086340B" w:rsidP="005F1ED8">
            <w:pPr>
              <w:jc w:val="center"/>
              <w:rPr>
                <w:sz w:val="20"/>
                <w:szCs w:val="20"/>
              </w:rPr>
            </w:pPr>
          </w:p>
          <w:p w:rsidR="0086340B" w:rsidRPr="00EE0DCD" w:rsidRDefault="0086340B" w:rsidP="005F1ED8">
            <w:pPr>
              <w:jc w:val="center"/>
              <w:rPr>
                <w:sz w:val="20"/>
                <w:szCs w:val="20"/>
              </w:rPr>
            </w:pPr>
          </w:p>
          <w:p w:rsidR="00E06F20" w:rsidRPr="00EE0DCD" w:rsidRDefault="00E06F20" w:rsidP="005F1ED8">
            <w:pPr>
              <w:jc w:val="center"/>
              <w:rPr>
                <w:sz w:val="20"/>
                <w:szCs w:val="20"/>
              </w:rPr>
            </w:pPr>
          </w:p>
          <w:p w:rsidR="0086340B" w:rsidRPr="00EE0DCD" w:rsidRDefault="0086340B" w:rsidP="005F1ED8">
            <w:pPr>
              <w:jc w:val="center"/>
              <w:rPr>
                <w:sz w:val="20"/>
                <w:szCs w:val="20"/>
              </w:rPr>
            </w:pPr>
          </w:p>
        </w:tc>
        <w:tc>
          <w:tcPr>
            <w:tcW w:w="2206" w:type="pct"/>
          </w:tcPr>
          <w:p w:rsidR="004E0A01" w:rsidRPr="00EE0DCD" w:rsidRDefault="004E0A01" w:rsidP="004E0A01">
            <w:pPr>
              <w:rPr>
                <w:sz w:val="20"/>
                <w:szCs w:val="20"/>
              </w:rPr>
            </w:pPr>
            <w:r w:rsidRPr="00EE0DCD">
              <w:rPr>
                <w:sz w:val="20"/>
                <w:szCs w:val="20"/>
              </w:rPr>
              <w:t>April 17, 2023</w:t>
            </w:r>
          </w:p>
          <w:p w:rsidR="0086340B" w:rsidRPr="00EE0DCD" w:rsidRDefault="0086340B" w:rsidP="005F1ED8">
            <w:pPr>
              <w:rPr>
                <w:sz w:val="20"/>
                <w:szCs w:val="20"/>
                <w:lang w:val="en-US"/>
              </w:rPr>
            </w:pPr>
          </w:p>
          <w:p w:rsidR="0086340B" w:rsidRPr="00EE0DCD" w:rsidRDefault="004E0A01" w:rsidP="005F1ED8">
            <w:pPr>
              <w:rPr>
                <w:b/>
                <w:sz w:val="20"/>
                <w:szCs w:val="20"/>
                <w:lang w:val="en-US"/>
              </w:rPr>
            </w:pPr>
            <w:r w:rsidRPr="00EE0DCD">
              <w:rPr>
                <w:b/>
                <w:sz w:val="20"/>
                <w:szCs w:val="20"/>
                <w:lang w:val="en-US"/>
              </w:rPr>
              <w:t>Iris Technologies Inc.</w:t>
            </w:r>
          </w:p>
          <w:p w:rsidR="0086340B" w:rsidRPr="00EE0DCD" w:rsidRDefault="0086340B" w:rsidP="005F1ED8">
            <w:pPr>
              <w:rPr>
                <w:sz w:val="20"/>
                <w:szCs w:val="20"/>
                <w:lang w:val="en-US"/>
              </w:rPr>
            </w:pPr>
          </w:p>
          <w:p w:rsidR="004E0A01" w:rsidRPr="00EE0DCD" w:rsidRDefault="004E0A01" w:rsidP="004E0A01">
            <w:pPr>
              <w:rPr>
                <w:b/>
                <w:sz w:val="20"/>
                <w:szCs w:val="20"/>
                <w:lang w:val="en-US"/>
              </w:rPr>
            </w:pPr>
            <w:r w:rsidRPr="00EE0DCD">
              <w:rPr>
                <w:b/>
                <w:sz w:val="20"/>
                <w:szCs w:val="20"/>
              </w:rPr>
              <w:tab/>
            </w:r>
            <w:r w:rsidRPr="00EE0DCD">
              <w:rPr>
                <w:b/>
                <w:sz w:val="20"/>
                <w:szCs w:val="20"/>
                <w:lang w:val="en-US"/>
              </w:rPr>
              <w:t>v. (40346)</w:t>
            </w:r>
          </w:p>
          <w:p w:rsidR="0086340B" w:rsidRPr="00EE0DCD" w:rsidRDefault="0086340B" w:rsidP="005F1ED8">
            <w:pPr>
              <w:rPr>
                <w:sz w:val="20"/>
                <w:szCs w:val="20"/>
                <w:lang w:val="en-US"/>
              </w:rPr>
            </w:pPr>
          </w:p>
          <w:p w:rsidR="0086340B" w:rsidRPr="00EE0DCD" w:rsidRDefault="004E0A01" w:rsidP="005F1ED8">
            <w:pPr>
              <w:rPr>
                <w:b/>
                <w:sz w:val="20"/>
                <w:szCs w:val="20"/>
                <w:lang w:val="en-US"/>
              </w:rPr>
            </w:pPr>
            <w:r w:rsidRPr="00EE0DCD">
              <w:rPr>
                <w:b/>
                <w:sz w:val="20"/>
                <w:szCs w:val="20"/>
                <w:lang w:val="en-US"/>
              </w:rPr>
              <w:t>Attorney General of Canada</w:t>
            </w:r>
            <w:r w:rsidR="0086340B" w:rsidRPr="00EE0DCD">
              <w:rPr>
                <w:b/>
                <w:sz w:val="20"/>
                <w:szCs w:val="20"/>
                <w:lang w:val="en-US"/>
              </w:rPr>
              <w:t xml:space="preserve"> (</w:t>
            </w:r>
            <w:r w:rsidRPr="00EE0DCD">
              <w:rPr>
                <w:b/>
                <w:sz w:val="20"/>
                <w:szCs w:val="20"/>
                <w:lang w:val="en-US"/>
              </w:rPr>
              <w:t>F.C.</w:t>
            </w:r>
            <w:r w:rsidR="0086340B" w:rsidRPr="00EE0DCD">
              <w:rPr>
                <w:b/>
                <w:sz w:val="20"/>
                <w:szCs w:val="20"/>
                <w:lang w:val="en-US"/>
              </w:rPr>
              <w:t>)</w:t>
            </w:r>
          </w:p>
          <w:p w:rsidR="0086340B" w:rsidRPr="00EE0DCD" w:rsidRDefault="0086340B" w:rsidP="005F1ED8">
            <w:pPr>
              <w:rPr>
                <w:sz w:val="20"/>
                <w:szCs w:val="20"/>
                <w:lang w:val="en-US"/>
              </w:rPr>
            </w:pPr>
          </w:p>
          <w:p w:rsidR="004E0A01" w:rsidRPr="00EE0DCD" w:rsidRDefault="004E0A01" w:rsidP="004E0A01">
            <w:pPr>
              <w:rPr>
                <w:sz w:val="20"/>
                <w:szCs w:val="20"/>
              </w:rPr>
            </w:pPr>
            <w:r w:rsidRPr="00EE0DCD">
              <w:rPr>
                <w:sz w:val="20"/>
                <w:szCs w:val="20"/>
              </w:rPr>
              <w:t>(By Leave)</w:t>
            </w:r>
          </w:p>
          <w:p w:rsidR="0086340B" w:rsidRPr="00EE0DCD" w:rsidRDefault="0086340B" w:rsidP="005F1ED8">
            <w:pPr>
              <w:rPr>
                <w:sz w:val="20"/>
                <w:szCs w:val="20"/>
              </w:rPr>
            </w:pPr>
          </w:p>
          <w:p w:rsidR="0086340B" w:rsidRPr="00EE0DCD" w:rsidRDefault="00962BCB" w:rsidP="005F1ED8">
            <w:pPr>
              <w:rPr>
                <w:sz w:val="20"/>
                <w:szCs w:val="20"/>
              </w:rPr>
            </w:pPr>
            <w:r w:rsidRPr="00EE0DCD">
              <w:rPr>
                <w:sz w:val="20"/>
                <w:szCs w:val="20"/>
                <w:lang w:val="fr-CA"/>
              </w:rPr>
              <w:pict>
                <v:rect id="_x0000_i1040" style="width:106.1pt;height:1pt" o:hrpct="500" o:hrstd="t" o:hrnoshade="t" o:hr="t" fillcolor="black [3213]" stroked="f"/>
              </w:pict>
            </w:r>
          </w:p>
        </w:tc>
      </w:tr>
      <w:tr w:rsidR="004E0A01" w:rsidRPr="00EE0DCD" w:rsidTr="005F1ED8">
        <w:trPr>
          <w:cantSplit/>
        </w:trPr>
        <w:tc>
          <w:tcPr>
            <w:tcW w:w="2206" w:type="pct"/>
            <w:tcMar>
              <w:left w:w="0" w:type="dxa"/>
              <w:right w:w="0" w:type="dxa"/>
            </w:tcMar>
          </w:tcPr>
          <w:p w:rsidR="004E0A01" w:rsidRPr="00EE0DCD" w:rsidRDefault="004E0A01" w:rsidP="004E0A01">
            <w:pPr>
              <w:rPr>
                <w:sz w:val="20"/>
                <w:szCs w:val="20"/>
              </w:rPr>
            </w:pPr>
            <w:r w:rsidRPr="00EE0DCD">
              <w:rPr>
                <w:sz w:val="20"/>
                <w:szCs w:val="20"/>
              </w:rPr>
              <w:t>April 17, 2023</w:t>
            </w:r>
          </w:p>
          <w:p w:rsidR="004E0A01" w:rsidRPr="00EE0DCD" w:rsidRDefault="004E0A01" w:rsidP="004E0A01">
            <w:pPr>
              <w:rPr>
                <w:sz w:val="20"/>
                <w:szCs w:val="20"/>
              </w:rPr>
            </w:pPr>
          </w:p>
          <w:p w:rsidR="004E0A01" w:rsidRPr="00EE0DCD" w:rsidRDefault="004E0A01" w:rsidP="004E0A01">
            <w:pPr>
              <w:rPr>
                <w:b/>
                <w:sz w:val="20"/>
                <w:szCs w:val="20"/>
              </w:rPr>
            </w:pPr>
            <w:r w:rsidRPr="00EE0DCD">
              <w:rPr>
                <w:b/>
                <w:sz w:val="20"/>
                <w:szCs w:val="20"/>
              </w:rPr>
              <w:t>Eurobank Ergasias S.A.</w:t>
            </w:r>
          </w:p>
          <w:p w:rsidR="004E0A01" w:rsidRPr="00EE0DCD" w:rsidRDefault="004E0A01" w:rsidP="004E0A01">
            <w:pPr>
              <w:rPr>
                <w:sz w:val="20"/>
                <w:szCs w:val="20"/>
              </w:rPr>
            </w:pPr>
          </w:p>
          <w:p w:rsidR="004E0A01" w:rsidRPr="00EE0DCD" w:rsidRDefault="004E0A01" w:rsidP="004E0A01">
            <w:pPr>
              <w:rPr>
                <w:b/>
                <w:sz w:val="20"/>
                <w:szCs w:val="20"/>
                <w:lang w:val="fr-CA"/>
              </w:rPr>
            </w:pPr>
            <w:r w:rsidRPr="00EE0DCD">
              <w:rPr>
                <w:b/>
                <w:sz w:val="20"/>
                <w:szCs w:val="20"/>
              </w:rPr>
              <w:tab/>
            </w:r>
            <w:r w:rsidRPr="00EE0DCD">
              <w:rPr>
                <w:b/>
                <w:sz w:val="20"/>
                <w:szCs w:val="20"/>
                <w:lang w:val="fr-CA"/>
              </w:rPr>
              <w:t>v. (40350)</w:t>
            </w:r>
          </w:p>
          <w:p w:rsidR="004E0A01" w:rsidRPr="00EE0DCD" w:rsidRDefault="004E0A01" w:rsidP="004E0A01">
            <w:pPr>
              <w:rPr>
                <w:sz w:val="20"/>
                <w:szCs w:val="20"/>
                <w:lang w:val="fr-CA"/>
              </w:rPr>
            </w:pPr>
          </w:p>
          <w:p w:rsidR="004E0A01" w:rsidRPr="00EE0DCD" w:rsidRDefault="004E0A01" w:rsidP="004E0A01">
            <w:pPr>
              <w:rPr>
                <w:b/>
                <w:sz w:val="20"/>
                <w:szCs w:val="20"/>
              </w:rPr>
            </w:pPr>
            <w:r w:rsidRPr="00EE0DCD">
              <w:rPr>
                <w:b/>
                <w:sz w:val="20"/>
                <w:szCs w:val="20"/>
                <w:lang w:val="fr-CA"/>
              </w:rPr>
              <w:t xml:space="preserve">Bombardier inc., et al. </w:t>
            </w:r>
            <w:r w:rsidRPr="00EE0DCD">
              <w:rPr>
                <w:b/>
                <w:sz w:val="20"/>
                <w:szCs w:val="20"/>
              </w:rPr>
              <w:t>(Que.)</w:t>
            </w:r>
          </w:p>
          <w:p w:rsidR="004E0A01" w:rsidRPr="00EE0DCD" w:rsidRDefault="004E0A01" w:rsidP="004E0A01">
            <w:pPr>
              <w:rPr>
                <w:sz w:val="20"/>
                <w:szCs w:val="20"/>
              </w:rPr>
            </w:pPr>
          </w:p>
          <w:p w:rsidR="004E0A01" w:rsidRPr="00EE0DCD" w:rsidRDefault="004E0A01" w:rsidP="004E0A01">
            <w:pPr>
              <w:rPr>
                <w:sz w:val="20"/>
                <w:szCs w:val="20"/>
              </w:rPr>
            </w:pPr>
            <w:r w:rsidRPr="00EE0DCD">
              <w:rPr>
                <w:sz w:val="20"/>
                <w:szCs w:val="20"/>
              </w:rPr>
              <w:t>(By Leave)</w:t>
            </w:r>
          </w:p>
          <w:p w:rsidR="004E0A01" w:rsidRPr="00EE0DCD" w:rsidRDefault="004E0A01" w:rsidP="004E0A01">
            <w:pPr>
              <w:rPr>
                <w:sz w:val="20"/>
                <w:szCs w:val="20"/>
              </w:rPr>
            </w:pPr>
          </w:p>
          <w:p w:rsidR="004E0A01" w:rsidRPr="00EE0DCD" w:rsidRDefault="00962BCB" w:rsidP="004E0A01">
            <w:pPr>
              <w:rPr>
                <w:sz w:val="20"/>
                <w:szCs w:val="20"/>
              </w:rPr>
            </w:pPr>
            <w:r w:rsidRPr="00EE0DCD">
              <w:rPr>
                <w:sz w:val="20"/>
                <w:szCs w:val="20"/>
                <w:lang w:val="fr-CA"/>
              </w:rPr>
              <w:pict>
                <v:rect id="_x0000_i1041" style="width:106.1pt;height:1pt" o:hrpct="500" o:hrstd="t" o:hrnoshade="t" o:hr="t" fillcolor="black [3213]" stroked="f"/>
              </w:pict>
            </w:r>
          </w:p>
        </w:tc>
        <w:tc>
          <w:tcPr>
            <w:tcW w:w="588" w:type="pct"/>
          </w:tcPr>
          <w:p w:rsidR="004E0A01" w:rsidRPr="00EE0DCD" w:rsidRDefault="004E0A01" w:rsidP="005F1ED8">
            <w:pPr>
              <w:jc w:val="center"/>
              <w:rPr>
                <w:sz w:val="20"/>
                <w:szCs w:val="20"/>
              </w:rPr>
            </w:pPr>
          </w:p>
          <w:p w:rsidR="004E0A01" w:rsidRPr="00EE0DCD" w:rsidRDefault="004E0A01" w:rsidP="005F1ED8">
            <w:pPr>
              <w:jc w:val="center"/>
              <w:rPr>
                <w:sz w:val="20"/>
                <w:szCs w:val="20"/>
              </w:rPr>
            </w:pPr>
          </w:p>
          <w:p w:rsidR="004E0A01" w:rsidRPr="00EE0DCD" w:rsidRDefault="004E0A01" w:rsidP="005F1ED8">
            <w:pPr>
              <w:jc w:val="center"/>
              <w:rPr>
                <w:sz w:val="20"/>
                <w:szCs w:val="20"/>
              </w:rPr>
            </w:pPr>
          </w:p>
          <w:p w:rsidR="004E0A01" w:rsidRPr="00EE0DCD" w:rsidRDefault="004E0A01" w:rsidP="005F1ED8">
            <w:pPr>
              <w:jc w:val="center"/>
              <w:rPr>
                <w:sz w:val="20"/>
                <w:szCs w:val="20"/>
              </w:rPr>
            </w:pPr>
          </w:p>
          <w:p w:rsidR="004E0A01" w:rsidRPr="00EE0DCD" w:rsidRDefault="004E0A01" w:rsidP="005F1ED8">
            <w:pPr>
              <w:jc w:val="center"/>
              <w:rPr>
                <w:sz w:val="20"/>
                <w:szCs w:val="20"/>
              </w:rPr>
            </w:pPr>
          </w:p>
          <w:p w:rsidR="004E0A01" w:rsidRPr="00EE0DCD" w:rsidRDefault="004E0A01" w:rsidP="005F1ED8">
            <w:pPr>
              <w:jc w:val="center"/>
              <w:rPr>
                <w:sz w:val="20"/>
                <w:szCs w:val="20"/>
              </w:rPr>
            </w:pPr>
          </w:p>
          <w:p w:rsidR="004E0A01" w:rsidRPr="00EE0DCD" w:rsidRDefault="004E0A01" w:rsidP="005F1ED8">
            <w:pPr>
              <w:jc w:val="center"/>
              <w:rPr>
                <w:sz w:val="20"/>
                <w:szCs w:val="20"/>
              </w:rPr>
            </w:pPr>
          </w:p>
          <w:p w:rsidR="004E0A01" w:rsidRPr="00EE0DCD" w:rsidRDefault="004E0A01" w:rsidP="005F1ED8">
            <w:pPr>
              <w:jc w:val="center"/>
              <w:rPr>
                <w:sz w:val="20"/>
                <w:szCs w:val="20"/>
              </w:rPr>
            </w:pPr>
          </w:p>
          <w:p w:rsidR="004E0A01" w:rsidRPr="00EE0DCD" w:rsidRDefault="004E0A01" w:rsidP="005F1ED8">
            <w:pPr>
              <w:jc w:val="center"/>
              <w:rPr>
                <w:sz w:val="20"/>
                <w:szCs w:val="20"/>
              </w:rPr>
            </w:pPr>
          </w:p>
          <w:p w:rsidR="004E0A01" w:rsidRPr="00EE0DCD" w:rsidRDefault="004E0A01" w:rsidP="005F1ED8">
            <w:pPr>
              <w:jc w:val="center"/>
              <w:rPr>
                <w:sz w:val="20"/>
                <w:szCs w:val="20"/>
              </w:rPr>
            </w:pPr>
          </w:p>
          <w:p w:rsidR="004E0A01" w:rsidRPr="00EE0DCD" w:rsidRDefault="004E0A01" w:rsidP="005F1ED8">
            <w:pPr>
              <w:jc w:val="center"/>
              <w:rPr>
                <w:sz w:val="20"/>
                <w:szCs w:val="20"/>
              </w:rPr>
            </w:pPr>
          </w:p>
          <w:p w:rsidR="004E0A01" w:rsidRPr="00EE0DCD" w:rsidRDefault="004E0A01" w:rsidP="005F1ED8">
            <w:pPr>
              <w:jc w:val="center"/>
              <w:rPr>
                <w:sz w:val="20"/>
                <w:szCs w:val="20"/>
              </w:rPr>
            </w:pPr>
          </w:p>
        </w:tc>
        <w:tc>
          <w:tcPr>
            <w:tcW w:w="2206" w:type="pct"/>
          </w:tcPr>
          <w:p w:rsidR="004E0A01" w:rsidRPr="00EE0DCD" w:rsidRDefault="004E0A01" w:rsidP="005F1ED8">
            <w:pPr>
              <w:rPr>
                <w:sz w:val="20"/>
                <w:szCs w:val="20"/>
                <w:lang w:val="fr-CA"/>
              </w:rPr>
            </w:pPr>
          </w:p>
        </w:tc>
      </w:tr>
    </w:tbl>
    <w:p w:rsidR="008277C4" w:rsidRPr="00EE0DCD" w:rsidRDefault="008277C4" w:rsidP="00F40249">
      <w:pPr>
        <w:rPr>
          <w:sz w:val="20"/>
          <w:szCs w:val="20"/>
        </w:rPr>
      </w:pPr>
    </w:p>
    <w:p w:rsidR="008277C4" w:rsidRPr="00EE0DCD" w:rsidRDefault="008277C4" w:rsidP="00F40249">
      <w:pPr>
        <w:rPr>
          <w:sz w:val="20"/>
          <w:szCs w:val="20"/>
        </w:rPr>
      </w:pPr>
    </w:p>
    <w:p w:rsidR="0010587F" w:rsidRPr="00EE0DCD" w:rsidRDefault="0010587F" w:rsidP="00F40249">
      <w:pPr>
        <w:rPr>
          <w:sz w:val="20"/>
          <w:szCs w:val="20"/>
        </w:rPr>
      </w:pPr>
    </w:p>
    <w:p w:rsidR="00EB2B90" w:rsidRPr="00EE0DCD" w:rsidRDefault="00EB2B90" w:rsidP="00F40249">
      <w:pPr>
        <w:rPr>
          <w:sz w:val="20"/>
          <w:szCs w:val="20"/>
        </w:rPr>
        <w:sectPr w:rsidR="00EB2B90" w:rsidRPr="00EE0DCD" w:rsidSect="00F4024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EE0DCD" w:rsidRDefault="001434B9" w:rsidP="00567602">
      <w:pPr>
        <w:pStyle w:val="Header1StyleE"/>
        <w:pBdr>
          <w:bottom w:val="single" w:sz="12" w:space="1" w:color="auto"/>
        </w:pBdr>
        <w:rPr>
          <w:lang w:val="fr-CA"/>
        </w:rPr>
      </w:pPr>
      <w:bookmarkStart w:id="4" w:name="_Toc133498284"/>
      <w:r w:rsidRPr="00EE0DCD">
        <w:rPr>
          <w:lang w:val="fr-CA"/>
        </w:rPr>
        <w:t>Pronouncements of reserved</w:t>
      </w:r>
      <w:r w:rsidR="00271E1E" w:rsidRPr="00EE0DCD">
        <w:rPr>
          <w:lang w:val="fr-CA"/>
        </w:rPr>
        <w:t xml:space="preserve"> appeals / </w:t>
      </w:r>
      <w:r w:rsidR="00567602" w:rsidRPr="00EE0DCD">
        <w:rPr>
          <w:lang w:val="fr-CA"/>
        </w:rPr>
        <w:br/>
      </w:r>
      <w:r w:rsidRPr="00EE0DCD">
        <w:rPr>
          <w:lang w:val="fr-CA"/>
        </w:rPr>
        <w:t>Jugements rendus sur les appels en délibéré</w:t>
      </w:r>
      <w:bookmarkEnd w:id="4"/>
    </w:p>
    <w:p w:rsidR="00FF6EEC" w:rsidRPr="00EE0DCD" w:rsidRDefault="00FF6EEC" w:rsidP="00FF6EEC">
      <w:pPr>
        <w:rPr>
          <w:sz w:val="20"/>
          <w:szCs w:val="20"/>
          <w:lang w:val="fr-CA"/>
        </w:rPr>
      </w:pPr>
    </w:p>
    <w:p w:rsidR="00102792" w:rsidRPr="00EE0DCD" w:rsidRDefault="00673569" w:rsidP="00102792">
      <w:pPr>
        <w:rPr>
          <w:b/>
          <w:sz w:val="20"/>
          <w:szCs w:val="20"/>
          <w:lang w:val="en-US"/>
        </w:rPr>
      </w:pPr>
      <w:r w:rsidRPr="00EE0DCD">
        <w:rPr>
          <w:b/>
          <w:sz w:val="20"/>
          <w:szCs w:val="20"/>
          <w:lang w:val="en-US"/>
        </w:rPr>
        <w:t>APRIL 28</w:t>
      </w:r>
      <w:r w:rsidR="00102792" w:rsidRPr="00EE0DCD">
        <w:rPr>
          <w:b/>
          <w:sz w:val="20"/>
          <w:szCs w:val="20"/>
          <w:lang w:val="en-US"/>
        </w:rPr>
        <w:t xml:space="preserve">, </w:t>
      </w:r>
      <w:r w:rsidR="0034657E" w:rsidRPr="00EE0DCD">
        <w:rPr>
          <w:b/>
          <w:sz w:val="20"/>
          <w:szCs w:val="20"/>
          <w:lang w:val="en-US"/>
        </w:rPr>
        <w:t>20</w:t>
      </w:r>
      <w:r w:rsidR="00172473" w:rsidRPr="00EE0DCD">
        <w:rPr>
          <w:b/>
          <w:sz w:val="20"/>
          <w:szCs w:val="20"/>
          <w:lang w:val="en-US"/>
        </w:rPr>
        <w:t>2</w:t>
      </w:r>
      <w:r w:rsidR="00FC7090" w:rsidRPr="00EE0DCD">
        <w:rPr>
          <w:b/>
          <w:sz w:val="20"/>
          <w:szCs w:val="20"/>
          <w:lang w:val="en-US"/>
        </w:rPr>
        <w:t>3</w:t>
      </w:r>
      <w:r w:rsidR="00102792" w:rsidRPr="00EE0DCD">
        <w:rPr>
          <w:b/>
          <w:sz w:val="20"/>
          <w:szCs w:val="20"/>
          <w:lang w:val="en-US"/>
        </w:rPr>
        <w:t xml:space="preserve"> / LE </w:t>
      </w:r>
      <w:r w:rsidR="00FC7090" w:rsidRPr="00EE0DCD">
        <w:rPr>
          <w:b/>
          <w:sz w:val="20"/>
          <w:szCs w:val="20"/>
          <w:lang w:val="en-US"/>
        </w:rPr>
        <w:t>2</w:t>
      </w:r>
      <w:r w:rsidRPr="00EE0DCD">
        <w:rPr>
          <w:b/>
          <w:sz w:val="20"/>
          <w:szCs w:val="20"/>
          <w:lang w:val="en-US"/>
        </w:rPr>
        <w:t>8</w:t>
      </w:r>
      <w:r w:rsidR="002C13E1" w:rsidRPr="00EE0DCD">
        <w:rPr>
          <w:b/>
          <w:sz w:val="20"/>
          <w:szCs w:val="20"/>
          <w:lang w:val="en-US"/>
        </w:rPr>
        <w:t xml:space="preserve"> </w:t>
      </w:r>
      <w:r w:rsidR="00FC7090" w:rsidRPr="00EE0DCD">
        <w:rPr>
          <w:b/>
          <w:sz w:val="20"/>
          <w:szCs w:val="20"/>
          <w:lang w:val="en-US"/>
        </w:rPr>
        <w:t>AVR</w:t>
      </w:r>
      <w:r w:rsidRPr="00EE0DCD">
        <w:rPr>
          <w:b/>
          <w:sz w:val="20"/>
          <w:szCs w:val="20"/>
          <w:lang w:val="en-US"/>
        </w:rPr>
        <w:t>IL</w:t>
      </w:r>
      <w:r w:rsidR="00102792" w:rsidRPr="00EE0DCD">
        <w:rPr>
          <w:b/>
          <w:sz w:val="20"/>
          <w:szCs w:val="20"/>
          <w:lang w:val="en-US"/>
        </w:rPr>
        <w:t xml:space="preserve"> </w:t>
      </w:r>
      <w:r w:rsidR="0034657E" w:rsidRPr="00EE0DCD">
        <w:rPr>
          <w:b/>
          <w:sz w:val="20"/>
          <w:szCs w:val="20"/>
          <w:lang w:val="en-US"/>
        </w:rPr>
        <w:t>20</w:t>
      </w:r>
      <w:r w:rsidR="00172473" w:rsidRPr="00EE0DCD">
        <w:rPr>
          <w:b/>
          <w:sz w:val="20"/>
          <w:szCs w:val="20"/>
          <w:lang w:val="en-US"/>
        </w:rPr>
        <w:t>2</w:t>
      </w:r>
      <w:r w:rsidR="00FC7090" w:rsidRPr="00EE0DCD">
        <w:rPr>
          <w:b/>
          <w:sz w:val="20"/>
          <w:szCs w:val="20"/>
          <w:lang w:val="en-US"/>
        </w:rPr>
        <w:t>3</w:t>
      </w:r>
    </w:p>
    <w:p w:rsidR="00102792" w:rsidRPr="00EE0DCD" w:rsidRDefault="00102792" w:rsidP="00102792">
      <w:pPr>
        <w:rPr>
          <w:sz w:val="20"/>
          <w:szCs w:val="20"/>
          <w:lang w:val="en-US"/>
        </w:rPr>
      </w:pPr>
    </w:p>
    <w:p w:rsidR="00673569" w:rsidRPr="00EE0DCD" w:rsidRDefault="00102792" w:rsidP="00673569">
      <w:pPr>
        <w:ind w:left="1440" w:hanging="1440"/>
        <w:jc w:val="both"/>
        <w:rPr>
          <w:sz w:val="20"/>
        </w:rPr>
      </w:pPr>
      <w:r w:rsidRPr="00EE0DCD">
        <w:rPr>
          <w:rFonts w:eastAsia="Times New Roman" w:cs="Times New Roman"/>
          <w:b/>
          <w:bCs/>
          <w:color w:val="000000"/>
          <w:sz w:val="20"/>
          <w:szCs w:val="20"/>
          <w:lang w:val="en-US"/>
        </w:rPr>
        <w:t>3</w:t>
      </w:r>
      <w:r w:rsidR="00673569" w:rsidRPr="00EE0DCD">
        <w:rPr>
          <w:rFonts w:eastAsia="Times New Roman" w:cs="Times New Roman"/>
          <w:b/>
          <w:bCs/>
          <w:color w:val="000000"/>
          <w:sz w:val="20"/>
          <w:szCs w:val="20"/>
          <w:lang w:val="en-US"/>
        </w:rPr>
        <w:t>9</w:t>
      </w:r>
      <w:r w:rsidRPr="00EE0DCD">
        <w:rPr>
          <w:rFonts w:eastAsia="Times New Roman" w:cs="Times New Roman"/>
          <w:b/>
          <w:bCs/>
          <w:color w:val="000000"/>
          <w:sz w:val="20"/>
          <w:szCs w:val="20"/>
          <w:lang w:val="en-US"/>
        </w:rPr>
        <w:t>6</w:t>
      </w:r>
      <w:r w:rsidR="00673569" w:rsidRPr="00EE0DCD">
        <w:rPr>
          <w:rFonts w:eastAsia="Times New Roman" w:cs="Times New Roman"/>
          <w:b/>
          <w:bCs/>
          <w:color w:val="000000"/>
          <w:sz w:val="20"/>
          <w:szCs w:val="20"/>
          <w:lang w:val="en-US"/>
        </w:rPr>
        <w:t>35</w:t>
      </w:r>
      <w:r w:rsidR="00172473" w:rsidRPr="00EE0DCD">
        <w:rPr>
          <w:rFonts w:eastAsia="Times New Roman" w:cs="Times New Roman"/>
          <w:b/>
          <w:bCs/>
          <w:color w:val="000000"/>
          <w:sz w:val="20"/>
          <w:szCs w:val="20"/>
          <w:lang w:val="en-US"/>
        </w:rPr>
        <w:tab/>
      </w:r>
      <w:r w:rsidR="00673569" w:rsidRPr="00EE0DCD">
        <w:rPr>
          <w:rFonts w:eastAsia="Times New Roman" w:cs="Times New Roman"/>
          <w:b/>
          <w:bCs/>
          <w:color w:val="000000"/>
          <w:sz w:val="20"/>
          <w:szCs w:val="20"/>
          <w:lang w:val="en-US"/>
        </w:rPr>
        <w:t xml:space="preserve">His </w:t>
      </w:r>
      <w:r w:rsidR="00C45D02" w:rsidRPr="00EE0DCD">
        <w:rPr>
          <w:b/>
          <w:sz w:val="20"/>
        </w:rPr>
        <w:t xml:space="preserve">Majesty The King v. Cody Rae Haevischer and Matthew James Johnston - and - </w:t>
      </w:r>
      <w:r w:rsidR="005C0476" w:rsidRPr="00EE0DCD">
        <w:rPr>
          <w:b/>
          <w:sz w:val="20"/>
        </w:rPr>
        <w:t>Director of Public Prosecutions, Attorney General of Ontario, Criminal Lawyers’ Association of Ontario, Independent Criminal Defence Advocacy Society, Criminal Trial Lawyers’ Association, Trial Lawyers Association of British Columbia and Canadian Civil Liberties Association</w:t>
      </w:r>
      <w:r w:rsidR="00C45D02" w:rsidRPr="00EE0DCD">
        <w:rPr>
          <w:b/>
          <w:sz w:val="20"/>
        </w:rPr>
        <w:t xml:space="preserve"> </w:t>
      </w:r>
      <w:r w:rsidR="00C45D02" w:rsidRPr="00EE0DCD">
        <w:rPr>
          <w:iCs/>
          <w:sz w:val="20"/>
        </w:rPr>
        <w:t>(B.C.)</w:t>
      </w:r>
    </w:p>
    <w:p w:rsidR="00102792" w:rsidRPr="00EE0DCD" w:rsidRDefault="00102792" w:rsidP="00102792">
      <w:pPr>
        <w:ind w:left="1440"/>
        <w:jc w:val="both"/>
        <w:rPr>
          <w:rFonts w:eastAsia="Times New Roman" w:cs="Times New Roman"/>
          <w:color w:val="000000"/>
          <w:sz w:val="20"/>
          <w:szCs w:val="20"/>
          <w:lang w:val="en-US"/>
        </w:rPr>
      </w:pPr>
      <w:r w:rsidRPr="00EE0DCD">
        <w:rPr>
          <w:rFonts w:eastAsia="Times New Roman" w:cs="Times New Roman"/>
          <w:b/>
          <w:bCs/>
          <w:color w:val="000000"/>
          <w:sz w:val="20"/>
          <w:szCs w:val="20"/>
          <w:lang w:val="en-US"/>
        </w:rPr>
        <w:t>20</w:t>
      </w:r>
      <w:r w:rsidR="00172473" w:rsidRPr="00EE0DCD">
        <w:rPr>
          <w:rFonts w:eastAsia="Times New Roman" w:cs="Times New Roman"/>
          <w:b/>
          <w:bCs/>
          <w:color w:val="000000"/>
          <w:sz w:val="20"/>
          <w:szCs w:val="20"/>
          <w:lang w:val="en-US"/>
        </w:rPr>
        <w:t>2</w:t>
      </w:r>
      <w:r w:rsidR="00FC7090" w:rsidRPr="00EE0DCD">
        <w:rPr>
          <w:rFonts w:eastAsia="Times New Roman" w:cs="Times New Roman"/>
          <w:b/>
          <w:bCs/>
          <w:color w:val="000000"/>
          <w:sz w:val="20"/>
          <w:szCs w:val="20"/>
          <w:lang w:val="en-US"/>
        </w:rPr>
        <w:t>3</w:t>
      </w:r>
      <w:r w:rsidRPr="00EE0DCD">
        <w:rPr>
          <w:rFonts w:eastAsia="Times New Roman" w:cs="Times New Roman"/>
          <w:b/>
          <w:bCs/>
          <w:color w:val="000000"/>
          <w:sz w:val="20"/>
          <w:szCs w:val="20"/>
          <w:lang w:val="en-US"/>
        </w:rPr>
        <w:t xml:space="preserve"> SCC </w:t>
      </w:r>
      <w:r w:rsidR="00673569" w:rsidRPr="00EE0DCD">
        <w:rPr>
          <w:rFonts w:eastAsia="Times New Roman" w:cs="Times New Roman"/>
          <w:b/>
          <w:bCs/>
          <w:color w:val="000000"/>
          <w:sz w:val="20"/>
          <w:szCs w:val="20"/>
          <w:lang w:val="en-US"/>
        </w:rPr>
        <w:t>1</w:t>
      </w:r>
      <w:r w:rsidR="00172473" w:rsidRPr="00EE0DCD">
        <w:rPr>
          <w:rFonts w:eastAsia="Times New Roman" w:cs="Times New Roman"/>
          <w:b/>
          <w:bCs/>
          <w:color w:val="000000"/>
          <w:sz w:val="20"/>
          <w:szCs w:val="20"/>
          <w:lang w:val="en-US"/>
        </w:rPr>
        <w:t>1</w:t>
      </w:r>
      <w:r w:rsidRPr="00EE0DCD">
        <w:rPr>
          <w:rFonts w:eastAsia="Times New Roman" w:cs="Times New Roman"/>
          <w:b/>
          <w:bCs/>
          <w:color w:val="000000"/>
          <w:sz w:val="20"/>
          <w:szCs w:val="20"/>
          <w:lang w:val="en-US"/>
        </w:rPr>
        <w:t xml:space="preserve"> / 20</w:t>
      </w:r>
      <w:r w:rsidR="00172473" w:rsidRPr="00EE0DCD">
        <w:rPr>
          <w:rFonts w:eastAsia="Times New Roman" w:cs="Times New Roman"/>
          <w:b/>
          <w:bCs/>
          <w:color w:val="000000"/>
          <w:sz w:val="20"/>
          <w:szCs w:val="20"/>
          <w:lang w:val="en-US"/>
        </w:rPr>
        <w:t>2</w:t>
      </w:r>
      <w:r w:rsidR="00FC7090" w:rsidRPr="00EE0DCD">
        <w:rPr>
          <w:rFonts w:eastAsia="Times New Roman" w:cs="Times New Roman"/>
          <w:b/>
          <w:bCs/>
          <w:color w:val="000000"/>
          <w:sz w:val="20"/>
          <w:szCs w:val="20"/>
          <w:lang w:val="en-US"/>
        </w:rPr>
        <w:t>3</w:t>
      </w:r>
      <w:r w:rsidRPr="00EE0DCD">
        <w:rPr>
          <w:rFonts w:eastAsia="Times New Roman" w:cs="Times New Roman"/>
          <w:b/>
          <w:bCs/>
          <w:color w:val="000000"/>
          <w:sz w:val="20"/>
          <w:szCs w:val="20"/>
          <w:lang w:val="en-US"/>
        </w:rPr>
        <w:t xml:space="preserve"> CSC </w:t>
      </w:r>
      <w:r w:rsidR="00673569" w:rsidRPr="00EE0DCD">
        <w:rPr>
          <w:rFonts w:eastAsia="Times New Roman" w:cs="Times New Roman"/>
          <w:b/>
          <w:bCs/>
          <w:color w:val="000000"/>
          <w:sz w:val="20"/>
          <w:szCs w:val="20"/>
          <w:lang w:val="en-US"/>
        </w:rPr>
        <w:t>1</w:t>
      </w:r>
      <w:r w:rsidR="00172473" w:rsidRPr="00EE0DCD">
        <w:rPr>
          <w:rFonts w:eastAsia="Times New Roman" w:cs="Times New Roman"/>
          <w:b/>
          <w:bCs/>
          <w:color w:val="000000"/>
          <w:sz w:val="20"/>
          <w:szCs w:val="20"/>
          <w:lang w:val="en-US"/>
        </w:rPr>
        <w:t>1</w:t>
      </w:r>
    </w:p>
    <w:p w:rsidR="00102792" w:rsidRPr="00EE0DCD" w:rsidRDefault="00102792" w:rsidP="00102792">
      <w:pPr>
        <w:jc w:val="both"/>
        <w:rPr>
          <w:rFonts w:eastAsia="Times New Roman" w:cs="Times New Roman"/>
          <w:color w:val="000000"/>
          <w:sz w:val="20"/>
          <w:szCs w:val="20"/>
          <w:lang w:val="en-US"/>
        </w:rPr>
      </w:pPr>
    </w:p>
    <w:p w:rsidR="00102792" w:rsidRPr="00EE0DCD" w:rsidRDefault="00172473" w:rsidP="00102792">
      <w:pPr>
        <w:ind w:left="1440" w:hanging="1440"/>
        <w:rPr>
          <w:rFonts w:eastAsia="Times New Roman" w:cs="Times New Roman"/>
          <w:color w:val="000000"/>
          <w:sz w:val="20"/>
          <w:szCs w:val="20"/>
          <w:lang w:val="en-US"/>
        </w:rPr>
      </w:pPr>
      <w:r w:rsidRPr="00EE0DCD">
        <w:rPr>
          <w:rFonts w:eastAsia="Times New Roman" w:cs="Times New Roman"/>
          <w:color w:val="000000"/>
          <w:sz w:val="20"/>
          <w:szCs w:val="20"/>
          <w:lang w:val="en-US"/>
        </w:rPr>
        <w:t>Coram:</w:t>
      </w:r>
      <w:r w:rsidRPr="00EE0DCD">
        <w:rPr>
          <w:rFonts w:eastAsia="Times New Roman" w:cs="Times New Roman"/>
          <w:color w:val="000000"/>
          <w:sz w:val="20"/>
          <w:szCs w:val="20"/>
          <w:lang w:val="en-US"/>
        </w:rPr>
        <w:tab/>
      </w:r>
      <w:r w:rsidR="00673569" w:rsidRPr="00EE0DCD">
        <w:rPr>
          <w:sz w:val="20"/>
        </w:rPr>
        <w:t>Wagner C.J. and Karakatsanis, Côté, Brown, * Rowe, Martin, Kasirer, Jamal and O’Bonsawin JJ.</w:t>
      </w:r>
    </w:p>
    <w:p w:rsidR="00102792" w:rsidRPr="00EE0DCD" w:rsidRDefault="00102792" w:rsidP="00102792">
      <w:pPr>
        <w:ind w:left="1440" w:hanging="1440"/>
        <w:rPr>
          <w:rFonts w:eastAsia="Times New Roman" w:cs="Times New Roman"/>
          <w:color w:val="000000"/>
          <w:sz w:val="20"/>
          <w:szCs w:val="20"/>
          <w:lang w:val="en-US"/>
        </w:rPr>
      </w:pPr>
    </w:p>
    <w:p w:rsidR="005C0476" w:rsidRPr="00EE0DCD" w:rsidRDefault="005C0476" w:rsidP="005C0476">
      <w:pPr>
        <w:jc w:val="both"/>
        <w:rPr>
          <w:sz w:val="20"/>
          <w:szCs w:val="20"/>
        </w:rPr>
      </w:pPr>
      <w:r w:rsidRPr="00EE0DCD">
        <w:rPr>
          <w:sz w:val="20"/>
          <w:szCs w:val="20"/>
        </w:rPr>
        <w:t xml:space="preserve">The appeal from the judgment </w:t>
      </w:r>
      <w:bookmarkStart w:id="5" w:name="BM_1_"/>
      <w:bookmarkEnd w:id="5"/>
      <w:r w:rsidRPr="00EE0DCD">
        <w:rPr>
          <w:sz w:val="20"/>
          <w:szCs w:val="20"/>
        </w:rPr>
        <w:t>of the Court of Appeal for British Columbia (Vancouver), Numbers CA42488 and CA42490, 2021 BCCA 34, dated January 28, 2021, heard on October 4, 2022, is dismissed.</w:t>
      </w:r>
    </w:p>
    <w:p w:rsidR="00673569" w:rsidRPr="00EE0DCD" w:rsidRDefault="00673569" w:rsidP="00673569">
      <w:pPr>
        <w:jc w:val="both"/>
        <w:rPr>
          <w:sz w:val="20"/>
          <w:szCs w:val="20"/>
        </w:rPr>
      </w:pPr>
    </w:p>
    <w:p w:rsidR="00673569" w:rsidRPr="00EE0DCD" w:rsidRDefault="00673569" w:rsidP="00673569">
      <w:pPr>
        <w:rPr>
          <w:rStyle w:val="SCCSsocChar0"/>
          <w:i w:val="0"/>
          <w:sz w:val="20"/>
          <w:szCs w:val="20"/>
        </w:rPr>
      </w:pPr>
      <w:r w:rsidRPr="00EE0DCD">
        <w:rPr>
          <w:rStyle w:val="SCCSsocChar0"/>
          <w:i w:val="0"/>
          <w:sz w:val="20"/>
          <w:szCs w:val="20"/>
        </w:rPr>
        <w:t>* Brown J. did not participate in the final disposition of the judgment.</w:t>
      </w:r>
    </w:p>
    <w:p w:rsidR="00673569" w:rsidRPr="00EE0DCD" w:rsidRDefault="00673569" w:rsidP="00673569">
      <w:pPr>
        <w:widowControl w:val="0"/>
        <w:jc w:val="both"/>
        <w:outlineLvl w:val="0"/>
        <w:rPr>
          <w:sz w:val="20"/>
          <w:szCs w:val="20"/>
        </w:rPr>
      </w:pPr>
    </w:p>
    <w:p w:rsidR="005C0476" w:rsidRPr="00EE0DCD" w:rsidRDefault="005C0476" w:rsidP="005C0476">
      <w:pPr>
        <w:jc w:val="both"/>
        <w:rPr>
          <w:sz w:val="20"/>
          <w:szCs w:val="20"/>
          <w:lang w:val="fr-CA"/>
        </w:rPr>
      </w:pPr>
      <w:r w:rsidRPr="00EE0DCD">
        <w:rPr>
          <w:sz w:val="20"/>
          <w:szCs w:val="20"/>
          <w:lang w:val="fr-CA"/>
        </w:rPr>
        <w:t>L’appel interjeté contre l’arrêt de la Cour d’appel de la Colombie-Britannique (Vancouver), numéros CA42488 et CA42490, 2021 BCCA 34, daté du 28 janvier 2021, entendu le 4 octobre 2022, est rejeté.</w:t>
      </w:r>
    </w:p>
    <w:p w:rsidR="00673569" w:rsidRPr="00EE0DCD" w:rsidRDefault="00673569" w:rsidP="00673569">
      <w:pPr>
        <w:widowControl w:val="0"/>
        <w:jc w:val="both"/>
        <w:outlineLvl w:val="0"/>
        <w:rPr>
          <w:sz w:val="20"/>
          <w:szCs w:val="20"/>
          <w:lang w:val="fr-CA"/>
        </w:rPr>
      </w:pPr>
    </w:p>
    <w:p w:rsidR="00673569" w:rsidRPr="00EE0DCD" w:rsidRDefault="00673569" w:rsidP="00673569">
      <w:pPr>
        <w:rPr>
          <w:sz w:val="20"/>
          <w:lang w:val="fr-CA"/>
        </w:rPr>
      </w:pPr>
      <w:r w:rsidRPr="00EE0DCD">
        <w:rPr>
          <w:color w:val="000000"/>
          <w:sz w:val="20"/>
          <w:lang w:val="fr-CA"/>
        </w:rPr>
        <w:t>* Le juge Brown n’a pas participé au dispositif final du jugement.</w:t>
      </w:r>
    </w:p>
    <w:p w:rsidR="00102792" w:rsidRPr="00EE0DCD" w:rsidRDefault="00102792" w:rsidP="00102792">
      <w:pPr>
        <w:jc w:val="both"/>
        <w:rPr>
          <w:rFonts w:eastAsia="Times New Roman" w:cs="Times New Roman"/>
          <w:color w:val="000000"/>
          <w:sz w:val="20"/>
          <w:szCs w:val="20"/>
          <w:lang w:val="fr-CA"/>
        </w:rPr>
      </w:pPr>
    </w:p>
    <w:p w:rsidR="00102792" w:rsidRPr="00EE0DCD" w:rsidRDefault="00962BCB" w:rsidP="00102792">
      <w:pPr>
        <w:rPr>
          <w:sz w:val="20"/>
          <w:szCs w:val="20"/>
          <w:lang w:val="fr-CA"/>
        </w:rPr>
      </w:pPr>
      <w:hyperlink r:id="rId37" w:history="1">
        <w:r w:rsidR="00506BE1" w:rsidRPr="00EE0DCD">
          <w:rPr>
            <w:rStyle w:val="Hyperlink"/>
            <w:sz w:val="20"/>
            <w:szCs w:val="20"/>
            <w:lang w:val="fr-CA"/>
          </w:rPr>
          <w:t xml:space="preserve">LINK TO </w:t>
        </w:r>
        <w:r w:rsidR="00D82BFF" w:rsidRPr="00EE0DCD">
          <w:rPr>
            <w:rStyle w:val="Hyperlink"/>
            <w:sz w:val="20"/>
            <w:szCs w:val="20"/>
            <w:lang w:val="fr-CA"/>
          </w:rPr>
          <w:t>REASONS</w:t>
        </w:r>
      </w:hyperlink>
      <w:r w:rsidR="00102792" w:rsidRPr="00EE0DCD">
        <w:rPr>
          <w:sz w:val="20"/>
          <w:szCs w:val="20"/>
          <w:lang w:val="fr-CA"/>
        </w:rPr>
        <w:t xml:space="preserve"> / </w:t>
      </w:r>
      <w:hyperlink r:id="rId38" w:history="1">
        <w:r w:rsidR="00D82BFF" w:rsidRPr="00EE0DCD">
          <w:rPr>
            <w:rStyle w:val="Hyperlink"/>
            <w:sz w:val="20"/>
            <w:szCs w:val="20"/>
            <w:lang w:val="fr-CA"/>
          </w:rPr>
          <w:t>LIEN VERS LES MOTIFS</w:t>
        </w:r>
      </w:hyperlink>
    </w:p>
    <w:p w:rsidR="00102792" w:rsidRPr="00EE0DCD" w:rsidRDefault="00102792" w:rsidP="00102792">
      <w:pPr>
        <w:rPr>
          <w:sz w:val="20"/>
          <w:szCs w:val="20"/>
          <w:lang w:val="fr-CA"/>
        </w:rPr>
      </w:pPr>
    </w:p>
    <w:p w:rsidR="00D004FC" w:rsidRPr="00EE0DCD" w:rsidRDefault="00962BCB" w:rsidP="00102792">
      <w:pPr>
        <w:jc w:val="both"/>
        <w:rPr>
          <w:rFonts w:cs="Times New Roman"/>
          <w:b/>
          <w:sz w:val="20"/>
          <w:szCs w:val="20"/>
        </w:rPr>
      </w:pPr>
      <w:r w:rsidRPr="00EE0DCD">
        <w:rPr>
          <w:b/>
          <w:sz w:val="20"/>
          <w:szCs w:val="20"/>
        </w:rPr>
        <w:pict>
          <v:rect id="_x0000_i1044" style="width:144.3pt;height:1pt" o:hrpct="300" o:hralign="center" o:hrstd="t" o:hrnoshade="t" o:hr="t" fillcolor="black [3213]" stroked="f"/>
        </w:pict>
      </w:r>
    </w:p>
    <w:p w:rsidR="00D004FC" w:rsidRPr="00EE0DCD" w:rsidRDefault="00D004FC" w:rsidP="00D004FC">
      <w:pPr>
        <w:jc w:val="both"/>
        <w:rPr>
          <w:rFonts w:cs="Times New Roman"/>
          <w:sz w:val="20"/>
          <w:szCs w:val="20"/>
        </w:rPr>
      </w:pPr>
    </w:p>
    <w:p w:rsidR="00281DA2" w:rsidRPr="00EE0DCD" w:rsidRDefault="00281DA2" w:rsidP="00D004FC">
      <w:pPr>
        <w:jc w:val="both"/>
        <w:rPr>
          <w:rFonts w:cs="Times New Roman"/>
          <w:sz w:val="20"/>
          <w:szCs w:val="20"/>
        </w:rPr>
      </w:pPr>
    </w:p>
    <w:p w:rsidR="0056248C" w:rsidRPr="00EE0DCD" w:rsidRDefault="0056248C" w:rsidP="00091BA6">
      <w:pPr>
        <w:rPr>
          <w:sz w:val="20"/>
          <w:szCs w:val="20"/>
          <w:lang w:val="fr-CA"/>
        </w:rPr>
      </w:pPr>
    </w:p>
    <w:p w:rsidR="00102926" w:rsidRPr="00EE0DCD" w:rsidRDefault="00102926" w:rsidP="00782AE4">
      <w:pPr>
        <w:jc w:val="both"/>
        <w:rPr>
          <w:sz w:val="20"/>
          <w:szCs w:val="20"/>
        </w:rPr>
        <w:sectPr w:rsidR="00102926" w:rsidRPr="00EE0DCD" w:rsidSect="00782AE4">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576" w:footer="960" w:gutter="0"/>
          <w:cols w:space="720"/>
          <w:titlePg/>
          <w:docGrid w:linePitch="272"/>
        </w:sectPr>
      </w:pPr>
    </w:p>
    <w:p w:rsidR="00567602" w:rsidRPr="00EE0DCD" w:rsidRDefault="001434B9" w:rsidP="001434B9">
      <w:pPr>
        <w:pStyle w:val="Header1StyleE"/>
        <w:pBdr>
          <w:bottom w:val="single" w:sz="12" w:space="0" w:color="auto"/>
        </w:pBdr>
        <w:rPr>
          <w:lang w:val="fr-CA"/>
        </w:rPr>
      </w:pPr>
      <w:bookmarkStart w:id="6" w:name="_Toc133498285"/>
      <w:r w:rsidRPr="00EE0DCD">
        <w:rPr>
          <w:lang w:val="fr-CA"/>
        </w:rPr>
        <w:t xml:space="preserve">Agenda and case summaries for </w:t>
      </w:r>
      <w:r w:rsidR="00673569" w:rsidRPr="00EE0DCD">
        <w:rPr>
          <w:lang w:val="fr-CA"/>
        </w:rPr>
        <w:t>May</w:t>
      </w:r>
      <w:r w:rsidR="00567602" w:rsidRPr="00EE0DCD">
        <w:rPr>
          <w:lang w:val="fr-CA"/>
        </w:rPr>
        <w:t xml:space="preserve"> </w:t>
      </w:r>
      <w:r w:rsidR="0034657E" w:rsidRPr="00EE0DCD">
        <w:rPr>
          <w:lang w:val="fr-CA"/>
        </w:rPr>
        <w:t>20</w:t>
      </w:r>
      <w:r w:rsidR="00172473" w:rsidRPr="00EE0DCD">
        <w:rPr>
          <w:lang w:val="fr-CA"/>
        </w:rPr>
        <w:t>2</w:t>
      </w:r>
      <w:r w:rsidR="00FC7090" w:rsidRPr="00EE0DCD">
        <w:rPr>
          <w:lang w:val="fr-CA"/>
        </w:rPr>
        <w:t>3</w:t>
      </w:r>
      <w:r w:rsidR="00271E1E" w:rsidRPr="00EE0DCD">
        <w:rPr>
          <w:lang w:val="fr-CA"/>
        </w:rPr>
        <w:t xml:space="preserve"> / </w:t>
      </w:r>
      <w:r w:rsidR="00567602" w:rsidRPr="00EE0DCD">
        <w:rPr>
          <w:lang w:val="fr-CA"/>
        </w:rPr>
        <w:br/>
      </w:r>
      <w:r w:rsidRPr="00EE0DCD">
        <w:rPr>
          <w:lang w:val="fr-CA"/>
        </w:rPr>
        <w:t>Calendrier et sommaires des causes d</w:t>
      </w:r>
      <w:r w:rsidR="00172473" w:rsidRPr="00EE0DCD">
        <w:rPr>
          <w:lang w:val="fr-CA"/>
        </w:rPr>
        <w:t xml:space="preserve">e </w:t>
      </w:r>
      <w:r w:rsidR="00673569" w:rsidRPr="00EE0DCD">
        <w:rPr>
          <w:lang w:val="fr-CA"/>
        </w:rPr>
        <w:t>mai</w:t>
      </w:r>
      <w:r w:rsidR="00172473" w:rsidRPr="00EE0DCD">
        <w:rPr>
          <w:lang w:val="fr-CA"/>
        </w:rPr>
        <w:t xml:space="preserve"> </w:t>
      </w:r>
      <w:r w:rsidR="0034657E" w:rsidRPr="00EE0DCD">
        <w:rPr>
          <w:lang w:val="fr-CA"/>
        </w:rPr>
        <w:t>20</w:t>
      </w:r>
      <w:r w:rsidR="00172473" w:rsidRPr="00EE0DCD">
        <w:rPr>
          <w:lang w:val="fr-CA"/>
        </w:rPr>
        <w:t>2</w:t>
      </w:r>
      <w:r w:rsidR="00FC7090" w:rsidRPr="00EE0DCD">
        <w:rPr>
          <w:lang w:val="fr-CA"/>
        </w:rPr>
        <w:t>3</w:t>
      </w:r>
      <w:bookmarkEnd w:id="6"/>
    </w:p>
    <w:p w:rsidR="00567602" w:rsidRPr="00EE0DCD" w:rsidRDefault="00567602" w:rsidP="004B66B4">
      <w:pPr>
        <w:rPr>
          <w:sz w:val="20"/>
          <w:szCs w:val="20"/>
          <w:lang w:val="fr-CA"/>
        </w:rPr>
      </w:pPr>
    </w:p>
    <w:p w:rsidR="00102926" w:rsidRPr="00EE0DCD" w:rsidRDefault="00673569" w:rsidP="00782AE4">
      <w:pPr>
        <w:jc w:val="both"/>
        <w:rPr>
          <w:b/>
          <w:sz w:val="20"/>
          <w:szCs w:val="20"/>
          <w:lang w:val="fr-CA"/>
        </w:rPr>
      </w:pPr>
      <w:r w:rsidRPr="00EE0DCD">
        <w:rPr>
          <w:b/>
          <w:sz w:val="20"/>
          <w:szCs w:val="20"/>
          <w:lang w:val="fr-CA"/>
        </w:rPr>
        <w:t>APRIL</w:t>
      </w:r>
      <w:r w:rsidR="00102792" w:rsidRPr="00EE0DCD">
        <w:rPr>
          <w:b/>
          <w:sz w:val="20"/>
          <w:szCs w:val="20"/>
          <w:lang w:val="fr-CA"/>
        </w:rPr>
        <w:t xml:space="preserve"> </w:t>
      </w:r>
      <w:r w:rsidR="002C13E1" w:rsidRPr="00EE0DCD">
        <w:rPr>
          <w:b/>
          <w:sz w:val="20"/>
          <w:szCs w:val="20"/>
          <w:lang w:val="fr-CA"/>
        </w:rPr>
        <w:t>2</w:t>
      </w:r>
      <w:r w:rsidRPr="00EE0DCD">
        <w:rPr>
          <w:b/>
          <w:sz w:val="20"/>
          <w:szCs w:val="20"/>
          <w:lang w:val="fr-CA"/>
        </w:rPr>
        <w:t>8</w:t>
      </w:r>
      <w:r w:rsidR="00102792" w:rsidRPr="00EE0DCD">
        <w:rPr>
          <w:b/>
          <w:sz w:val="20"/>
          <w:szCs w:val="20"/>
          <w:lang w:val="fr-CA"/>
        </w:rPr>
        <w:t xml:space="preserve">, </w:t>
      </w:r>
      <w:r w:rsidR="0034657E" w:rsidRPr="00EE0DCD">
        <w:rPr>
          <w:b/>
          <w:sz w:val="20"/>
          <w:szCs w:val="20"/>
          <w:lang w:val="fr-CA"/>
        </w:rPr>
        <w:t>20</w:t>
      </w:r>
      <w:r w:rsidR="00172473" w:rsidRPr="00EE0DCD">
        <w:rPr>
          <w:b/>
          <w:sz w:val="20"/>
          <w:szCs w:val="20"/>
          <w:lang w:val="fr-CA"/>
        </w:rPr>
        <w:t>2</w:t>
      </w:r>
      <w:r w:rsidR="00FC7090" w:rsidRPr="00EE0DCD">
        <w:rPr>
          <w:b/>
          <w:sz w:val="20"/>
          <w:szCs w:val="20"/>
          <w:lang w:val="fr-CA"/>
        </w:rPr>
        <w:t>3</w:t>
      </w:r>
      <w:r w:rsidR="00102792" w:rsidRPr="00EE0DCD">
        <w:rPr>
          <w:b/>
          <w:sz w:val="20"/>
          <w:szCs w:val="20"/>
          <w:lang w:val="fr-CA"/>
        </w:rPr>
        <w:t xml:space="preserve"> / LE </w:t>
      </w:r>
      <w:r w:rsidR="002C13E1" w:rsidRPr="00EE0DCD">
        <w:rPr>
          <w:b/>
          <w:sz w:val="20"/>
          <w:szCs w:val="20"/>
          <w:lang w:val="fr-CA"/>
        </w:rPr>
        <w:t>2</w:t>
      </w:r>
      <w:r w:rsidRPr="00EE0DCD">
        <w:rPr>
          <w:b/>
          <w:sz w:val="20"/>
          <w:szCs w:val="20"/>
          <w:lang w:val="fr-CA"/>
        </w:rPr>
        <w:t>8</w:t>
      </w:r>
      <w:r w:rsidR="00102792" w:rsidRPr="00EE0DCD">
        <w:rPr>
          <w:b/>
          <w:sz w:val="20"/>
          <w:szCs w:val="20"/>
          <w:lang w:val="fr-CA"/>
        </w:rPr>
        <w:t xml:space="preserve"> </w:t>
      </w:r>
      <w:r w:rsidR="00FC7090" w:rsidRPr="00EE0DCD">
        <w:rPr>
          <w:b/>
          <w:sz w:val="20"/>
          <w:szCs w:val="20"/>
          <w:lang w:val="fr-CA"/>
        </w:rPr>
        <w:t>AVR</w:t>
      </w:r>
      <w:r w:rsidRPr="00EE0DCD">
        <w:rPr>
          <w:b/>
          <w:sz w:val="20"/>
          <w:szCs w:val="20"/>
          <w:lang w:val="fr-CA"/>
        </w:rPr>
        <w:t>IL</w:t>
      </w:r>
      <w:r w:rsidR="00102792" w:rsidRPr="00EE0DCD">
        <w:rPr>
          <w:b/>
          <w:sz w:val="20"/>
          <w:szCs w:val="20"/>
          <w:lang w:val="fr-CA"/>
        </w:rPr>
        <w:t xml:space="preserve"> </w:t>
      </w:r>
      <w:r w:rsidR="0034657E" w:rsidRPr="00EE0DCD">
        <w:rPr>
          <w:b/>
          <w:sz w:val="20"/>
          <w:szCs w:val="20"/>
          <w:lang w:val="fr-CA"/>
        </w:rPr>
        <w:t>20</w:t>
      </w:r>
      <w:r w:rsidR="00172473" w:rsidRPr="00EE0DCD">
        <w:rPr>
          <w:b/>
          <w:sz w:val="20"/>
          <w:szCs w:val="20"/>
          <w:lang w:val="fr-CA"/>
        </w:rPr>
        <w:t>2</w:t>
      </w:r>
      <w:r w:rsidR="00FC7090" w:rsidRPr="00EE0DCD">
        <w:rPr>
          <w:b/>
          <w:sz w:val="20"/>
          <w:szCs w:val="20"/>
          <w:lang w:val="fr-CA"/>
        </w:rPr>
        <w:t>3</w:t>
      </w:r>
    </w:p>
    <w:p w:rsidR="00102792" w:rsidRPr="00EE0DCD"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EE0DCD" w:rsidTr="00FC7090">
        <w:tc>
          <w:tcPr>
            <w:tcW w:w="2397" w:type="dxa"/>
            <w:tcMar>
              <w:top w:w="58" w:type="dxa"/>
              <w:left w:w="58" w:type="dxa"/>
              <w:bottom w:w="58" w:type="dxa"/>
              <w:right w:w="58" w:type="dxa"/>
            </w:tcMar>
            <w:hideMark/>
          </w:tcPr>
          <w:p w:rsidR="00102792" w:rsidRPr="00EE0DCD" w:rsidRDefault="00102792">
            <w:pPr>
              <w:rPr>
                <w:b/>
                <w:color w:val="000000"/>
                <w:lang w:val="en-US"/>
              </w:rPr>
            </w:pPr>
            <w:r w:rsidRPr="00EE0DCD">
              <w:rPr>
                <w:b/>
                <w:color w:val="000000"/>
                <w:sz w:val="20"/>
                <w:szCs w:val="20"/>
              </w:rPr>
              <w:t>DATE OF HEARING /</w:t>
            </w:r>
          </w:p>
          <w:p w:rsidR="00102792" w:rsidRPr="00EE0DCD" w:rsidRDefault="00102792">
            <w:pPr>
              <w:rPr>
                <w:color w:val="000000"/>
              </w:rPr>
            </w:pPr>
            <w:r w:rsidRPr="00EE0DCD">
              <w:rPr>
                <w:b/>
                <w:color w:val="000000"/>
                <w:sz w:val="20"/>
                <w:szCs w:val="20"/>
              </w:rPr>
              <w:t>DATE D’AUDITION</w:t>
            </w:r>
          </w:p>
        </w:tc>
        <w:tc>
          <w:tcPr>
            <w:tcW w:w="7173" w:type="dxa"/>
            <w:tcMar>
              <w:top w:w="58" w:type="dxa"/>
              <w:left w:w="58" w:type="dxa"/>
              <w:bottom w:w="58" w:type="dxa"/>
              <w:right w:w="58" w:type="dxa"/>
            </w:tcMar>
            <w:hideMark/>
          </w:tcPr>
          <w:p w:rsidR="00102792" w:rsidRPr="00EE0DCD" w:rsidRDefault="00102792">
            <w:pPr>
              <w:rPr>
                <w:b/>
                <w:color w:val="000000"/>
                <w:lang w:val="fr-CA"/>
              </w:rPr>
            </w:pPr>
            <w:r w:rsidRPr="00EE0DCD">
              <w:rPr>
                <w:b/>
                <w:color w:val="000000"/>
                <w:sz w:val="20"/>
                <w:szCs w:val="20"/>
                <w:lang w:val="fr-CA"/>
              </w:rPr>
              <w:t>NAME AND CASE NUMBER /</w:t>
            </w:r>
          </w:p>
          <w:p w:rsidR="00102792" w:rsidRPr="00EE0DCD" w:rsidRDefault="00102792">
            <w:pPr>
              <w:rPr>
                <w:color w:val="000000"/>
                <w:lang w:val="fr-CA"/>
              </w:rPr>
            </w:pPr>
            <w:r w:rsidRPr="00EE0DCD">
              <w:rPr>
                <w:b/>
                <w:color w:val="000000"/>
                <w:sz w:val="20"/>
                <w:szCs w:val="20"/>
                <w:lang w:val="fr-CA"/>
              </w:rPr>
              <w:t>NOM DE LA CAUSE ET NUMÉRO</w:t>
            </w:r>
          </w:p>
        </w:tc>
      </w:tr>
      <w:tr w:rsidR="00102792" w:rsidRPr="00EE0DCD" w:rsidTr="00FC7090">
        <w:tc>
          <w:tcPr>
            <w:tcW w:w="2397" w:type="dxa"/>
            <w:tcMar>
              <w:top w:w="58" w:type="dxa"/>
              <w:left w:w="58" w:type="dxa"/>
              <w:bottom w:w="58" w:type="dxa"/>
              <w:right w:w="58" w:type="dxa"/>
            </w:tcMar>
            <w:hideMark/>
          </w:tcPr>
          <w:p w:rsidR="00102792" w:rsidRPr="00EE0DCD" w:rsidRDefault="00102792" w:rsidP="00673569">
            <w:pPr>
              <w:rPr>
                <w:color w:val="000000"/>
              </w:rPr>
            </w:pPr>
            <w:r w:rsidRPr="00EE0DCD">
              <w:rPr>
                <w:color w:val="000000"/>
                <w:sz w:val="20"/>
                <w:szCs w:val="20"/>
              </w:rPr>
              <w:t>20</w:t>
            </w:r>
            <w:r w:rsidR="00172473" w:rsidRPr="00EE0DCD">
              <w:rPr>
                <w:color w:val="000000"/>
                <w:sz w:val="20"/>
                <w:szCs w:val="20"/>
              </w:rPr>
              <w:t>2</w:t>
            </w:r>
            <w:r w:rsidR="00FC7090" w:rsidRPr="00EE0DCD">
              <w:rPr>
                <w:color w:val="000000"/>
                <w:sz w:val="20"/>
                <w:szCs w:val="20"/>
              </w:rPr>
              <w:t>3</w:t>
            </w:r>
            <w:r w:rsidRPr="00EE0DCD">
              <w:rPr>
                <w:color w:val="000000"/>
                <w:sz w:val="20"/>
                <w:szCs w:val="20"/>
              </w:rPr>
              <w:t>-</w:t>
            </w:r>
            <w:r w:rsidR="00172473" w:rsidRPr="00EE0DCD">
              <w:rPr>
                <w:color w:val="000000"/>
                <w:sz w:val="20"/>
                <w:szCs w:val="20"/>
              </w:rPr>
              <w:t>0</w:t>
            </w:r>
            <w:r w:rsidR="00673569" w:rsidRPr="00EE0DCD">
              <w:rPr>
                <w:color w:val="000000"/>
                <w:sz w:val="20"/>
                <w:szCs w:val="20"/>
              </w:rPr>
              <w:t>5</w:t>
            </w:r>
            <w:r w:rsidRPr="00EE0DCD">
              <w:rPr>
                <w:color w:val="000000"/>
                <w:sz w:val="20"/>
                <w:szCs w:val="20"/>
              </w:rPr>
              <w:t>-</w:t>
            </w:r>
            <w:r w:rsidR="00673569" w:rsidRPr="00EE0DCD">
              <w:rPr>
                <w:color w:val="000000"/>
                <w:sz w:val="20"/>
                <w:szCs w:val="20"/>
              </w:rPr>
              <w:t>15</w:t>
            </w:r>
          </w:p>
        </w:tc>
        <w:tc>
          <w:tcPr>
            <w:tcW w:w="7173" w:type="dxa"/>
            <w:tcMar>
              <w:top w:w="58" w:type="dxa"/>
              <w:left w:w="58" w:type="dxa"/>
              <w:bottom w:w="58" w:type="dxa"/>
              <w:right w:w="58" w:type="dxa"/>
            </w:tcMar>
            <w:hideMark/>
          </w:tcPr>
          <w:p w:rsidR="00102792" w:rsidRPr="00EE0DCD" w:rsidRDefault="000905D7">
            <w:pPr>
              <w:rPr>
                <w:color w:val="000000"/>
              </w:rPr>
            </w:pPr>
            <w:r w:rsidRPr="00EE0DCD">
              <w:rPr>
                <w:i/>
                <w:iCs/>
                <w:color w:val="000000"/>
                <w:sz w:val="20"/>
              </w:rPr>
              <w:t>George Zacharias v. His Majesty the King </w:t>
            </w:r>
            <w:r w:rsidRPr="00EE0DCD">
              <w:rPr>
                <w:iCs/>
                <w:color w:val="000000"/>
                <w:sz w:val="20"/>
              </w:rPr>
              <w:t>(Alta.) (Criminal) (As of Right) (</w:t>
            </w:r>
            <w:hyperlink r:id="rId45" w:history="1">
              <w:r w:rsidRPr="00EE0DCD">
                <w:rPr>
                  <w:rStyle w:val="Hyperlink"/>
                  <w:iCs/>
                  <w:sz w:val="20"/>
                </w:rPr>
                <w:t>40117</w:t>
              </w:r>
            </w:hyperlink>
            <w:r w:rsidRPr="00EE0DCD">
              <w:rPr>
                <w:iCs/>
                <w:color w:val="000000"/>
                <w:sz w:val="20"/>
              </w:rPr>
              <w:t>)</w:t>
            </w:r>
          </w:p>
        </w:tc>
      </w:tr>
      <w:tr w:rsidR="00102792" w:rsidRPr="00EE0DCD" w:rsidTr="00FC7090">
        <w:tc>
          <w:tcPr>
            <w:tcW w:w="2397" w:type="dxa"/>
            <w:tcMar>
              <w:top w:w="58" w:type="dxa"/>
              <w:left w:w="58" w:type="dxa"/>
              <w:bottom w:w="58" w:type="dxa"/>
              <w:right w:w="58" w:type="dxa"/>
            </w:tcMar>
            <w:hideMark/>
          </w:tcPr>
          <w:p w:rsidR="00102792" w:rsidRPr="00EE0DCD" w:rsidRDefault="00102792" w:rsidP="00673569">
            <w:pPr>
              <w:rPr>
                <w:color w:val="000000"/>
              </w:rPr>
            </w:pPr>
            <w:r w:rsidRPr="00EE0DCD">
              <w:rPr>
                <w:color w:val="000000"/>
                <w:sz w:val="20"/>
                <w:szCs w:val="20"/>
              </w:rPr>
              <w:t>20</w:t>
            </w:r>
            <w:r w:rsidR="00172473" w:rsidRPr="00EE0DCD">
              <w:rPr>
                <w:color w:val="000000"/>
                <w:sz w:val="20"/>
                <w:szCs w:val="20"/>
              </w:rPr>
              <w:t>2</w:t>
            </w:r>
            <w:r w:rsidR="00FC7090" w:rsidRPr="00EE0DCD">
              <w:rPr>
                <w:color w:val="000000"/>
                <w:sz w:val="20"/>
                <w:szCs w:val="20"/>
              </w:rPr>
              <w:t>3</w:t>
            </w:r>
            <w:r w:rsidRPr="00EE0DCD">
              <w:rPr>
                <w:color w:val="000000"/>
                <w:sz w:val="20"/>
                <w:szCs w:val="20"/>
              </w:rPr>
              <w:t>-</w:t>
            </w:r>
            <w:r w:rsidR="00172473" w:rsidRPr="00EE0DCD">
              <w:rPr>
                <w:color w:val="000000"/>
                <w:sz w:val="20"/>
                <w:szCs w:val="20"/>
              </w:rPr>
              <w:t>0</w:t>
            </w:r>
            <w:r w:rsidR="00673569" w:rsidRPr="00EE0DCD">
              <w:rPr>
                <w:color w:val="000000"/>
                <w:sz w:val="20"/>
                <w:szCs w:val="20"/>
              </w:rPr>
              <w:t>5</w:t>
            </w:r>
            <w:r w:rsidRPr="00EE0DCD">
              <w:rPr>
                <w:color w:val="000000"/>
                <w:sz w:val="20"/>
                <w:szCs w:val="20"/>
              </w:rPr>
              <w:t>-</w:t>
            </w:r>
            <w:r w:rsidR="00673569" w:rsidRPr="00EE0DCD">
              <w:rPr>
                <w:color w:val="000000"/>
                <w:sz w:val="20"/>
                <w:szCs w:val="20"/>
              </w:rPr>
              <w:t>16</w:t>
            </w:r>
          </w:p>
        </w:tc>
        <w:tc>
          <w:tcPr>
            <w:tcW w:w="7173" w:type="dxa"/>
            <w:tcMar>
              <w:top w:w="58" w:type="dxa"/>
              <w:left w:w="58" w:type="dxa"/>
              <w:bottom w:w="58" w:type="dxa"/>
              <w:right w:w="58" w:type="dxa"/>
            </w:tcMar>
            <w:hideMark/>
          </w:tcPr>
          <w:p w:rsidR="00102792" w:rsidRPr="00EE0DCD" w:rsidRDefault="000905D7">
            <w:pPr>
              <w:rPr>
                <w:color w:val="000000"/>
                <w:lang w:val="fr-CA"/>
              </w:rPr>
            </w:pPr>
            <w:r w:rsidRPr="00EE0DCD">
              <w:rPr>
                <w:i/>
                <w:iCs/>
                <w:color w:val="000000"/>
                <w:sz w:val="20"/>
                <w:lang w:val="fr-CA"/>
              </w:rPr>
              <w:t>La Presse inc. c. Frédérick Silva, et al. </w:t>
            </w:r>
            <w:r w:rsidRPr="00EE0DCD">
              <w:rPr>
                <w:iCs/>
                <w:color w:val="000000"/>
                <w:sz w:val="20"/>
              </w:rPr>
              <w:t>(Qc) (Criminelle) (Autorisation) (</w:t>
            </w:r>
            <w:hyperlink r:id="rId46" w:history="1">
              <w:r w:rsidRPr="00EE0DCD">
                <w:rPr>
                  <w:rStyle w:val="Hyperlink"/>
                  <w:iCs/>
                  <w:sz w:val="20"/>
                </w:rPr>
                <w:t>40175</w:t>
              </w:r>
            </w:hyperlink>
            <w:r w:rsidRPr="00EE0DCD">
              <w:rPr>
                <w:iCs/>
                <w:color w:val="000000"/>
                <w:sz w:val="20"/>
              </w:rPr>
              <w:t>)</w:t>
            </w:r>
          </w:p>
        </w:tc>
      </w:tr>
      <w:tr w:rsidR="00102792" w:rsidRPr="00EE0DCD" w:rsidTr="00FC7090">
        <w:tc>
          <w:tcPr>
            <w:tcW w:w="2397" w:type="dxa"/>
            <w:tcMar>
              <w:top w:w="58" w:type="dxa"/>
              <w:left w:w="58" w:type="dxa"/>
              <w:bottom w:w="58" w:type="dxa"/>
              <w:right w:w="58" w:type="dxa"/>
            </w:tcMar>
            <w:hideMark/>
          </w:tcPr>
          <w:p w:rsidR="00102792" w:rsidRPr="00EE0DCD" w:rsidRDefault="00102792" w:rsidP="00673569">
            <w:pPr>
              <w:rPr>
                <w:color w:val="000000"/>
              </w:rPr>
            </w:pPr>
            <w:r w:rsidRPr="00EE0DCD">
              <w:rPr>
                <w:color w:val="000000"/>
                <w:sz w:val="20"/>
                <w:szCs w:val="20"/>
              </w:rPr>
              <w:t>20</w:t>
            </w:r>
            <w:r w:rsidR="00172473" w:rsidRPr="00EE0DCD">
              <w:rPr>
                <w:color w:val="000000"/>
                <w:sz w:val="20"/>
                <w:szCs w:val="20"/>
              </w:rPr>
              <w:t>2</w:t>
            </w:r>
            <w:r w:rsidR="00FC7090" w:rsidRPr="00EE0DCD">
              <w:rPr>
                <w:color w:val="000000"/>
                <w:sz w:val="20"/>
                <w:szCs w:val="20"/>
              </w:rPr>
              <w:t>3</w:t>
            </w:r>
            <w:r w:rsidRPr="00EE0DCD">
              <w:rPr>
                <w:color w:val="000000"/>
                <w:sz w:val="20"/>
                <w:szCs w:val="20"/>
              </w:rPr>
              <w:t>-</w:t>
            </w:r>
            <w:r w:rsidR="00172473" w:rsidRPr="00EE0DCD">
              <w:rPr>
                <w:color w:val="000000"/>
                <w:sz w:val="20"/>
                <w:szCs w:val="20"/>
              </w:rPr>
              <w:t>0</w:t>
            </w:r>
            <w:r w:rsidR="00673569" w:rsidRPr="00EE0DCD">
              <w:rPr>
                <w:color w:val="000000"/>
                <w:sz w:val="20"/>
                <w:szCs w:val="20"/>
              </w:rPr>
              <w:t>5</w:t>
            </w:r>
            <w:r w:rsidRPr="00EE0DCD">
              <w:rPr>
                <w:color w:val="000000"/>
                <w:sz w:val="20"/>
                <w:szCs w:val="20"/>
              </w:rPr>
              <w:t>-</w:t>
            </w:r>
            <w:r w:rsidR="00673569" w:rsidRPr="00EE0DCD">
              <w:rPr>
                <w:color w:val="000000"/>
                <w:sz w:val="20"/>
                <w:szCs w:val="20"/>
              </w:rPr>
              <w:t>17</w:t>
            </w:r>
          </w:p>
        </w:tc>
        <w:tc>
          <w:tcPr>
            <w:tcW w:w="7173" w:type="dxa"/>
            <w:tcMar>
              <w:top w:w="58" w:type="dxa"/>
              <w:left w:w="58" w:type="dxa"/>
              <w:bottom w:w="58" w:type="dxa"/>
              <w:right w:w="58" w:type="dxa"/>
            </w:tcMar>
            <w:hideMark/>
          </w:tcPr>
          <w:p w:rsidR="00102792" w:rsidRPr="00EE0DCD" w:rsidRDefault="000905D7">
            <w:pPr>
              <w:rPr>
                <w:color w:val="000000"/>
                <w:lang w:val="en-US"/>
              </w:rPr>
            </w:pPr>
            <w:r w:rsidRPr="00EE0DCD">
              <w:rPr>
                <w:i/>
                <w:iCs/>
                <w:color w:val="000000"/>
                <w:sz w:val="20"/>
                <w:lang w:val="en-US"/>
              </w:rPr>
              <w:t>Canadian Broadcasting Corporation, et al. v. Aydin Coban, et al. </w:t>
            </w:r>
            <w:r w:rsidRPr="00EE0DCD">
              <w:rPr>
                <w:iCs/>
                <w:color w:val="000000"/>
                <w:sz w:val="20"/>
                <w:lang w:val="en-US"/>
              </w:rPr>
              <w:t>(B.C.) (Criminal) (By Leave) (</w:t>
            </w:r>
            <w:hyperlink r:id="rId47" w:history="1">
              <w:r w:rsidRPr="00EE0DCD">
                <w:rPr>
                  <w:rStyle w:val="Hyperlink"/>
                  <w:iCs/>
                  <w:sz w:val="20"/>
                  <w:lang w:val="en-US"/>
                </w:rPr>
                <w:t>40223</w:t>
              </w:r>
            </w:hyperlink>
            <w:r w:rsidRPr="00EE0DCD">
              <w:rPr>
                <w:iCs/>
                <w:color w:val="000000"/>
                <w:sz w:val="20"/>
                <w:lang w:val="en-US"/>
              </w:rPr>
              <w:t>)</w:t>
            </w:r>
          </w:p>
        </w:tc>
      </w:tr>
      <w:tr w:rsidR="00A6385A" w:rsidRPr="00EE0DCD" w:rsidTr="00FC7090">
        <w:tc>
          <w:tcPr>
            <w:tcW w:w="2397" w:type="dxa"/>
            <w:vMerge w:val="restart"/>
            <w:tcMar>
              <w:top w:w="58" w:type="dxa"/>
              <w:left w:w="58" w:type="dxa"/>
              <w:bottom w:w="58" w:type="dxa"/>
              <w:right w:w="58" w:type="dxa"/>
            </w:tcMar>
          </w:tcPr>
          <w:p w:rsidR="00A6385A" w:rsidRPr="00EE0DCD" w:rsidRDefault="00A6385A" w:rsidP="00A6385A">
            <w:pPr>
              <w:rPr>
                <w:color w:val="000000"/>
                <w:sz w:val="20"/>
              </w:rPr>
            </w:pPr>
            <w:r w:rsidRPr="00EE0DCD">
              <w:rPr>
                <w:color w:val="000000"/>
                <w:sz w:val="20"/>
              </w:rPr>
              <w:t>2023-05-18</w:t>
            </w:r>
          </w:p>
        </w:tc>
        <w:tc>
          <w:tcPr>
            <w:tcW w:w="7173" w:type="dxa"/>
            <w:tcMar>
              <w:top w:w="58" w:type="dxa"/>
              <w:left w:w="58" w:type="dxa"/>
              <w:bottom w:w="58" w:type="dxa"/>
              <w:right w:w="58" w:type="dxa"/>
            </w:tcMar>
          </w:tcPr>
          <w:p w:rsidR="00A6385A" w:rsidRPr="00EE0DCD" w:rsidRDefault="00A6385A" w:rsidP="00A6385A">
            <w:pPr>
              <w:spacing w:after="120"/>
              <w:rPr>
                <w:i/>
                <w:iCs/>
                <w:color w:val="000000"/>
                <w:sz w:val="20"/>
                <w:lang w:val="fr-CA"/>
              </w:rPr>
            </w:pPr>
            <w:r w:rsidRPr="00EE0DCD">
              <w:rPr>
                <w:i/>
                <w:iCs/>
                <w:color w:val="000000"/>
                <w:sz w:val="20"/>
                <w:lang w:val="en-US"/>
              </w:rPr>
              <w:t>His Majesty the King v. Christopher James Kruk </w:t>
            </w:r>
            <w:r w:rsidRPr="00EE0DCD">
              <w:rPr>
                <w:iCs/>
                <w:color w:val="000000"/>
                <w:sz w:val="20"/>
                <w:lang w:val="en-US"/>
              </w:rPr>
              <w:t>(B.C.) (Criminal) (By Leave) (</w:t>
            </w:r>
            <w:hyperlink r:id="rId48" w:history="1">
              <w:r w:rsidRPr="00EE0DCD">
                <w:rPr>
                  <w:rStyle w:val="Hyperlink"/>
                  <w:iCs/>
                  <w:sz w:val="20"/>
                  <w:lang w:val="en-US"/>
                </w:rPr>
                <w:t>40095</w:t>
              </w:r>
            </w:hyperlink>
            <w:r w:rsidRPr="00EE0DCD">
              <w:rPr>
                <w:iCs/>
                <w:color w:val="000000"/>
                <w:sz w:val="20"/>
                <w:lang w:val="en-US"/>
              </w:rPr>
              <w:t>)</w:t>
            </w:r>
          </w:p>
        </w:tc>
      </w:tr>
      <w:tr w:rsidR="00A6385A" w:rsidRPr="00EE0DCD" w:rsidTr="00FC7090">
        <w:trPr>
          <w:trHeight w:val="302"/>
        </w:trPr>
        <w:tc>
          <w:tcPr>
            <w:tcW w:w="2397" w:type="dxa"/>
            <w:vMerge/>
            <w:tcMar>
              <w:top w:w="58" w:type="dxa"/>
              <w:left w:w="58" w:type="dxa"/>
              <w:bottom w:w="58" w:type="dxa"/>
              <w:right w:w="58" w:type="dxa"/>
            </w:tcMar>
            <w:hideMark/>
          </w:tcPr>
          <w:p w:rsidR="00A6385A" w:rsidRPr="00EE0DCD" w:rsidRDefault="00A6385A" w:rsidP="00A6385A">
            <w:pPr>
              <w:rPr>
                <w:color w:val="000000"/>
                <w:sz w:val="20"/>
              </w:rPr>
            </w:pPr>
          </w:p>
        </w:tc>
        <w:tc>
          <w:tcPr>
            <w:tcW w:w="7173" w:type="dxa"/>
            <w:tcMar>
              <w:top w:w="58" w:type="dxa"/>
              <w:left w:w="58" w:type="dxa"/>
              <w:bottom w:w="58" w:type="dxa"/>
              <w:right w:w="58" w:type="dxa"/>
            </w:tcMar>
            <w:hideMark/>
          </w:tcPr>
          <w:p w:rsidR="00A6385A" w:rsidRPr="00EE0DCD" w:rsidRDefault="00A6385A" w:rsidP="00A6385A">
            <w:pPr>
              <w:spacing w:after="120"/>
              <w:rPr>
                <w:i/>
                <w:iCs/>
                <w:color w:val="000000"/>
                <w:sz w:val="20"/>
                <w:lang w:val="fr-CA"/>
              </w:rPr>
            </w:pPr>
            <w:r w:rsidRPr="00EE0DCD">
              <w:rPr>
                <w:i/>
                <w:iCs/>
                <w:color w:val="000000"/>
                <w:sz w:val="20"/>
                <w:lang w:val="en-US"/>
              </w:rPr>
              <w:t>His Majesty the King v. Edwin Tsang </w:t>
            </w:r>
            <w:r w:rsidRPr="00EE0DCD">
              <w:rPr>
                <w:iCs/>
                <w:color w:val="000000"/>
                <w:sz w:val="20"/>
                <w:lang w:val="en-US"/>
              </w:rPr>
              <w:t>(B.C.) (Criminal) (By Leave) (</w:t>
            </w:r>
            <w:hyperlink r:id="rId49" w:history="1">
              <w:r w:rsidRPr="00EE0DCD">
                <w:rPr>
                  <w:rStyle w:val="Hyperlink"/>
                  <w:iCs/>
                  <w:sz w:val="20"/>
                  <w:lang w:val="en-US"/>
                </w:rPr>
                <w:t>40447</w:t>
              </w:r>
            </w:hyperlink>
            <w:r w:rsidRPr="00EE0DCD">
              <w:rPr>
                <w:iCs/>
                <w:color w:val="000000"/>
                <w:sz w:val="20"/>
                <w:lang w:val="en-US"/>
              </w:rPr>
              <w:t>)</w:t>
            </w:r>
          </w:p>
        </w:tc>
      </w:tr>
      <w:tr w:rsidR="00A6385A" w:rsidRPr="00EE0DCD" w:rsidTr="00FC7090">
        <w:tc>
          <w:tcPr>
            <w:tcW w:w="2397" w:type="dxa"/>
            <w:tcMar>
              <w:top w:w="58" w:type="dxa"/>
              <w:left w:w="58" w:type="dxa"/>
              <w:bottom w:w="58" w:type="dxa"/>
              <w:right w:w="58" w:type="dxa"/>
            </w:tcMar>
            <w:hideMark/>
          </w:tcPr>
          <w:p w:rsidR="00A6385A" w:rsidRPr="00EE0DCD" w:rsidRDefault="00A6385A" w:rsidP="00A6385A">
            <w:pPr>
              <w:rPr>
                <w:color w:val="000000"/>
              </w:rPr>
            </w:pPr>
            <w:r w:rsidRPr="00EE0DCD">
              <w:rPr>
                <w:color w:val="000000"/>
                <w:sz w:val="20"/>
                <w:szCs w:val="20"/>
              </w:rPr>
              <w:t>2023-05-19</w:t>
            </w:r>
          </w:p>
        </w:tc>
        <w:tc>
          <w:tcPr>
            <w:tcW w:w="7173" w:type="dxa"/>
            <w:tcMar>
              <w:top w:w="58" w:type="dxa"/>
              <w:left w:w="58" w:type="dxa"/>
              <w:bottom w:w="58" w:type="dxa"/>
              <w:right w:w="58" w:type="dxa"/>
            </w:tcMar>
            <w:hideMark/>
          </w:tcPr>
          <w:p w:rsidR="00A6385A" w:rsidRPr="00EE0DCD" w:rsidRDefault="00A6385A" w:rsidP="00A6385A">
            <w:pPr>
              <w:rPr>
                <w:color w:val="000000"/>
                <w:lang w:val="fr-CA"/>
              </w:rPr>
            </w:pPr>
            <w:r w:rsidRPr="00EE0DCD">
              <w:rPr>
                <w:i/>
                <w:iCs/>
                <w:color w:val="000000"/>
                <w:sz w:val="20"/>
                <w:lang w:val="en-US"/>
              </w:rPr>
              <w:t>Jason Donald Hay v. His Majesty the King </w:t>
            </w:r>
            <w:r w:rsidRPr="00EE0DCD">
              <w:rPr>
                <w:iCs/>
                <w:color w:val="000000"/>
                <w:sz w:val="20"/>
                <w:lang w:val="en-US"/>
              </w:rPr>
              <w:t>(Alta.) (Criminal) (As of Right) (</w:t>
            </w:r>
            <w:hyperlink r:id="rId50" w:history="1">
              <w:r w:rsidRPr="00EE0DCD">
                <w:rPr>
                  <w:rStyle w:val="Hyperlink"/>
                  <w:iCs/>
                  <w:sz w:val="20"/>
                  <w:lang w:val="en-US"/>
                </w:rPr>
                <w:t>40316</w:t>
              </w:r>
            </w:hyperlink>
            <w:r w:rsidRPr="00EE0DCD">
              <w:rPr>
                <w:iCs/>
                <w:color w:val="000000"/>
                <w:sz w:val="20"/>
                <w:lang w:val="en-US"/>
              </w:rPr>
              <w:t>)</w:t>
            </w:r>
          </w:p>
        </w:tc>
      </w:tr>
    </w:tbl>
    <w:p w:rsidR="00102792" w:rsidRPr="00EE0DCD" w:rsidRDefault="00102792" w:rsidP="00102792">
      <w:pPr>
        <w:rPr>
          <w:color w:val="000000"/>
          <w:sz w:val="20"/>
          <w:szCs w:val="20"/>
          <w:lang w:val="fr-CA"/>
        </w:rPr>
      </w:pPr>
    </w:p>
    <w:p w:rsidR="00102792" w:rsidRPr="00EE0DCD" w:rsidRDefault="00102792" w:rsidP="00102792">
      <w:pPr>
        <w:jc w:val="both"/>
        <w:rPr>
          <w:color w:val="000000"/>
          <w:sz w:val="20"/>
          <w:szCs w:val="20"/>
        </w:rPr>
      </w:pPr>
      <w:r w:rsidRPr="00EE0DCD">
        <w:rPr>
          <w:b/>
          <w:bCs/>
          <w:color w:val="000000"/>
          <w:sz w:val="20"/>
          <w:szCs w:val="20"/>
        </w:rPr>
        <w:t>NOTE:</w:t>
      </w:r>
      <w:r w:rsidRPr="00EE0DCD">
        <w:rPr>
          <w:color w:val="000000"/>
          <w:sz w:val="20"/>
          <w:szCs w:val="20"/>
        </w:rPr>
        <w:t> This agenda is subject to change. Hearings normally commence at 9:30 a.m.</w:t>
      </w:r>
      <w:r w:rsidR="00172473" w:rsidRPr="00EE0DCD">
        <w:rPr>
          <w:color w:val="000000"/>
          <w:sz w:val="20"/>
          <w:szCs w:val="20"/>
        </w:rPr>
        <w:t>, ET</w:t>
      </w:r>
      <w:r w:rsidRPr="00EE0DCD">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EE0DCD" w:rsidRDefault="00102792" w:rsidP="00102792">
      <w:pPr>
        <w:jc w:val="both"/>
        <w:rPr>
          <w:color w:val="000000"/>
          <w:sz w:val="20"/>
          <w:szCs w:val="20"/>
        </w:rPr>
      </w:pPr>
    </w:p>
    <w:p w:rsidR="00102792" w:rsidRPr="00EE0DCD" w:rsidRDefault="00102792" w:rsidP="00102792">
      <w:pPr>
        <w:jc w:val="both"/>
        <w:rPr>
          <w:color w:val="000000"/>
          <w:sz w:val="20"/>
          <w:szCs w:val="20"/>
          <w:lang w:val="fr-CA"/>
        </w:rPr>
      </w:pPr>
      <w:r w:rsidRPr="00EE0DCD">
        <w:rPr>
          <w:color w:val="000000"/>
          <w:sz w:val="20"/>
          <w:szCs w:val="20"/>
          <w:lang w:val="fr-CA"/>
        </w:rPr>
        <w:t>Ce calendrier est sujet à modification. Les audiences débutent normalement à 9h30</w:t>
      </w:r>
      <w:r w:rsidR="00172473" w:rsidRPr="00EE0DCD">
        <w:rPr>
          <w:color w:val="000000"/>
          <w:sz w:val="20"/>
          <w:szCs w:val="20"/>
          <w:lang w:val="fr-CA"/>
        </w:rPr>
        <w:t>, HE</w:t>
      </w:r>
      <w:r w:rsidRPr="00EE0DCD">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EE0DCD" w:rsidRDefault="00102792" w:rsidP="00102792">
      <w:pPr>
        <w:jc w:val="both"/>
        <w:rPr>
          <w:color w:val="000000"/>
          <w:sz w:val="20"/>
          <w:szCs w:val="20"/>
          <w:lang w:val="fr-CA"/>
        </w:rPr>
      </w:pPr>
    </w:p>
    <w:p w:rsidR="00102792" w:rsidRPr="00EE0DCD" w:rsidRDefault="00962BCB" w:rsidP="00102792">
      <w:pPr>
        <w:rPr>
          <w:color w:val="000000"/>
          <w:sz w:val="20"/>
          <w:szCs w:val="20"/>
          <w:lang w:val="fr-CA"/>
        </w:rPr>
      </w:pPr>
      <w:r w:rsidRPr="00EE0DCD">
        <w:rPr>
          <w:sz w:val="20"/>
        </w:rPr>
        <w:pict>
          <v:rect id="_x0000_i1047" style="width:2in;height:1pt" o:hrpct="0" o:hralign="center" o:hrstd="t" o:hrnoshade="t" o:hr="t" fillcolor="black [3213]" stroked="f"/>
        </w:pict>
      </w:r>
    </w:p>
    <w:p w:rsidR="0003550C" w:rsidRPr="00EE0DCD" w:rsidRDefault="0003550C" w:rsidP="0003550C">
      <w:pPr>
        <w:widowControl w:val="0"/>
        <w:tabs>
          <w:tab w:val="left" w:pos="720"/>
        </w:tabs>
        <w:ind w:left="1440" w:hanging="1440"/>
        <w:jc w:val="both"/>
        <w:rPr>
          <w:sz w:val="20"/>
        </w:rPr>
      </w:pPr>
    </w:p>
    <w:p w:rsidR="0003550C" w:rsidRPr="00EE0DCD" w:rsidRDefault="0003550C" w:rsidP="0003550C">
      <w:pPr>
        <w:widowControl w:val="0"/>
        <w:tabs>
          <w:tab w:val="left" w:pos="720"/>
        </w:tabs>
        <w:ind w:left="1440" w:hanging="1440"/>
        <w:jc w:val="both"/>
        <w:rPr>
          <w:b/>
          <w:i/>
          <w:sz w:val="20"/>
          <w:szCs w:val="20"/>
        </w:rPr>
      </w:pPr>
      <w:r w:rsidRPr="00EE0DCD">
        <w:rPr>
          <w:b/>
          <w:sz w:val="20"/>
          <w:szCs w:val="20"/>
        </w:rPr>
        <w:fldChar w:fldCharType="begin"/>
      </w:r>
      <w:r w:rsidRPr="00EE0DCD">
        <w:rPr>
          <w:b/>
          <w:sz w:val="20"/>
          <w:szCs w:val="20"/>
        </w:rPr>
        <w:instrText xml:space="preserve"> SEQ CHAPTER \h \r 1</w:instrText>
      </w:r>
      <w:r w:rsidRPr="00EE0DCD">
        <w:rPr>
          <w:b/>
          <w:sz w:val="20"/>
          <w:szCs w:val="20"/>
        </w:rPr>
        <w:fldChar w:fldCharType="end"/>
      </w:r>
      <w:r w:rsidRPr="00EE0DCD">
        <w:rPr>
          <w:b/>
          <w:sz w:val="20"/>
          <w:szCs w:val="20"/>
        </w:rPr>
        <w:t>40117</w:t>
      </w:r>
      <w:r w:rsidRPr="00EE0DCD">
        <w:rPr>
          <w:sz w:val="20"/>
          <w:szCs w:val="20"/>
        </w:rPr>
        <w:tab/>
      </w:r>
      <w:bookmarkStart w:id="7" w:name="3"/>
      <w:bookmarkEnd w:id="7"/>
      <w:r w:rsidRPr="00EE0DCD">
        <w:rPr>
          <w:b/>
          <w:i/>
          <w:sz w:val="20"/>
          <w:szCs w:val="20"/>
        </w:rPr>
        <w:t>George Zacharias v. H</w:t>
      </w:r>
      <w:r w:rsidRPr="00EE0DCD">
        <w:rPr>
          <w:b/>
          <w:i/>
          <w:sz w:val="20"/>
        </w:rPr>
        <w:t>is</w:t>
      </w:r>
      <w:r w:rsidRPr="00EE0DCD">
        <w:rPr>
          <w:b/>
          <w:i/>
          <w:sz w:val="20"/>
          <w:szCs w:val="20"/>
        </w:rPr>
        <w:t xml:space="preserve"> Majesty the </w:t>
      </w:r>
      <w:r w:rsidRPr="00EE0DCD">
        <w:rPr>
          <w:b/>
          <w:i/>
          <w:sz w:val="20"/>
        </w:rPr>
        <w:t>King</w:t>
      </w:r>
    </w:p>
    <w:p w:rsidR="0003550C" w:rsidRPr="00EE0DCD" w:rsidRDefault="0003550C" w:rsidP="0003550C">
      <w:pPr>
        <w:widowControl w:val="0"/>
        <w:tabs>
          <w:tab w:val="left" w:pos="720"/>
        </w:tabs>
        <w:ind w:left="1440" w:hanging="1440"/>
        <w:jc w:val="both"/>
        <w:rPr>
          <w:sz w:val="20"/>
          <w:szCs w:val="20"/>
        </w:rPr>
      </w:pPr>
      <w:r w:rsidRPr="00EE0DCD">
        <w:rPr>
          <w:sz w:val="20"/>
          <w:szCs w:val="20"/>
        </w:rPr>
        <w:tab/>
        <w:t>(Alta.) (Criminal) (As of Right)</w:t>
      </w:r>
    </w:p>
    <w:p w:rsidR="0003550C" w:rsidRPr="00EE0DCD" w:rsidRDefault="0003550C" w:rsidP="0003550C">
      <w:pPr>
        <w:widowControl w:val="0"/>
        <w:jc w:val="both"/>
        <w:rPr>
          <w:sz w:val="20"/>
          <w:szCs w:val="20"/>
        </w:rPr>
      </w:pPr>
    </w:p>
    <w:p w:rsidR="0003550C" w:rsidRPr="00EE0DCD" w:rsidRDefault="0003550C" w:rsidP="0003550C">
      <w:pPr>
        <w:widowControl w:val="0"/>
        <w:jc w:val="both"/>
        <w:rPr>
          <w:sz w:val="20"/>
          <w:szCs w:val="20"/>
        </w:rPr>
      </w:pPr>
      <w:r w:rsidRPr="00EE0DCD">
        <w:rPr>
          <w:sz w:val="20"/>
          <w:szCs w:val="20"/>
        </w:rPr>
        <w:t xml:space="preserve">Constitutional Law — Charter of Rights — Arbitrary detention — Search and seizure — Enforcement — Exclusion of evidence — </w:t>
      </w:r>
      <w:proofErr w:type="gramStart"/>
      <w:r w:rsidRPr="00EE0DCD">
        <w:rPr>
          <w:sz w:val="20"/>
          <w:szCs w:val="20"/>
        </w:rPr>
        <w:t>Whether</w:t>
      </w:r>
      <w:proofErr w:type="gramEnd"/>
      <w:r w:rsidRPr="00EE0DCD">
        <w:rPr>
          <w:sz w:val="20"/>
          <w:szCs w:val="20"/>
        </w:rPr>
        <w:t xml:space="preserve"> the trial judge properly considered all the relevant </w:t>
      </w:r>
      <w:r w:rsidRPr="00EE0DCD">
        <w:rPr>
          <w:i/>
          <w:sz w:val="20"/>
          <w:szCs w:val="20"/>
        </w:rPr>
        <w:t>Charter</w:t>
      </w:r>
      <w:r w:rsidRPr="00EE0DCD">
        <w:rPr>
          <w:sz w:val="20"/>
          <w:szCs w:val="20"/>
        </w:rPr>
        <w:t>-infringing state conduct.</w:t>
      </w:r>
    </w:p>
    <w:p w:rsidR="0003550C" w:rsidRPr="00EE0DCD" w:rsidRDefault="0003550C" w:rsidP="0003550C">
      <w:pPr>
        <w:widowControl w:val="0"/>
        <w:jc w:val="both"/>
        <w:rPr>
          <w:sz w:val="20"/>
          <w:szCs w:val="20"/>
        </w:rPr>
      </w:pPr>
    </w:p>
    <w:p w:rsidR="0003550C" w:rsidRPr="00EE0DCD" w:rsidRDefault="0003550C" w:rsidP="0003550C">
      <w:pPr>
        <w:widowControl w:val="0"/>
        <w:tabs>
          <w:tab w:val="left" w:pos="938"/>
        </w:tabs>
        <w:spacing w:line="0" w:lineRule="atLeast"/>
        <w:jc w:val="both"/>
        <w:rPr>
          <w:sz w:val="20"/>
          <w:szCs w:val="20"/>
        </w:rPr>
      </w:pPr>
      <w:r w:rsidRPr="00EE0DCD">
        <w:rPr>
          <w:sz w:val="20"/>
          <w:szCs w:val="20"/>
        </w:rPr>
        <w:t xml:space="preserve">The appellant, George Zacharias, was convicted under s. 5(2) of the </w:t>
      </w:r>
      <w:r w:rsidRPr="00EE0DCD">
        <w:rPr>
          <w:i/>
          <w:sz w:val="20"/>
          <w:szCs w:val="20"/>
        </w:rPr>
        <w:t>Controlled Drugs and Substances Act</w:t>
      </w:r>
      <w:r w:rsidRPr="00EE0DCD">
        <w:rPr>
          <w:sz w:val="20"/>
          <w:szCs w:val="20"/>
        </w:rPr>
        <w:t xml:space="preserve">, S.C. 1996, c. 19, for possession of 101.5 pounds of cannabis for the purpose of trafficking. The main issue at trial was whether Cst. MacPhail, who conducted a traffic stop of Mr. Zacharias’ truck, had reasonable suspicion to enter into an investigative detention and deploy a sniffer dog. The trial judge found that the initial investigative detention and the sniffer dog search were unlawful and breached the ss. 8 and 9 </w:t>
      </w:r>
      <w:r w:rsidRPr="00EE0DCD">
        <w:rPr>
          <w:i/>
          <w:sz w:val="20"/>
          <w:szCs w:val="20"/>
        </w:rPr>
        <w:t>Charter</w:t>
      </w:r>
      <w:r w:rsidRPr="00EE0DCD">
        <w:rPr>
          <w:sz w:val="20"/>
          <w:szCs w:val="20"/>
        </w:rPr>
        <w:t xml:space="preserve"> rights of Mr. Zacharias to be free from unreasonable search and arbitrary detention. Applying the test in </w:t>
      </w:r>
      <w:r w:rsidRPr="00EE0DCD">
        <w:rPr>
          <w:i/>
          <w:sz w:val="20"/>
          <w:szCs w:val="20"/>
        </w:rPr>
        <w:t>R. v. Grant</w:t>
      </w:r>
      <w:r w:rsidRPr="00EE0DCD">
        <w:rPr>
          <w:sz w:val="20"/>
          <w:szCs w:val="20"/>
        </w:rPr>
        <w:t xml:space="preserve">, 2009 SCC 32, the trial judge then found that the first two factors did not strongly favour exclusion of the evidence and that the third one favoured inclusion. The evidence was therefore admitted. </w:t>
      </w:r>
    </w:p>
    <w:p w:rsidR="0003550C" w:rsidRPr="00EE0DCD" w:rsidRDefault="0003550C" w:rsidP="0003550C">
      <w:pPr>
        <w:widowControl w:val="0"/>
        <w:tabs>
          <w:tab w:val="left" w:pos="938"/>
        </w:tabs>
        <w:spacing w:line="0" w:lineRule="atLeast"/>
        <w:jc w:val="both"/>
        <w:rPr>
          <w:sz w:val="20"/>
          <w:szCs w:val="20"/>
        </w:rPr>
      </w:pPr>
    </w:p>
    <w:p w:rsidR="0003550C" w:rsidRPr="00EE0DCD" w:rsidRDefault="0003550C">
      <w:pPr>
        <w:rPr>
          <w:sz w:val="20"/>
          <w:szCs w:val="20"/>
        </w:rPr>
      </w:pPr>
      <w:r w:rsidRPr="00EE0DCD">
        <w:rPr>
          <w:sz w:val="20"/>
          <w:szCs w:val="20"/>
        </w:rPr>
        <w:br w:type="page"/>
      </w:r>
    </w:p>
    <w:p w:rsidR="0003550C" w:rsidRPr="00EE0DCD" w:rsidRDefault="0003550C" w:rsidP="0003550C">
      <w:pPr>
        <w:widowControl w:val="0"/>
        <w:tabs>
          <w:tab w:val="left" w:pos="938"/>
        </w:tabs>
        <w:spacing w:line="0" w:lineRule="atLeast"/>
        <w:jc w:val="both"/>
        <w:rPr>
          <w:sz w:val="20"/>
        </w:rPr>
      </w:pPr>
      <w:r w:rsidRPr="00EE0DCD">
        <w:rPr>
          <w:sz w:val="20"/>
          <w:szCs w:val="20"/>
        </w:rPr>
        <w:t xml:space="preserve">A majority of the Court of Appeal dismissed Mr. Zacharias’ appeal, declining to consider his arguments regarding the additional breaches that were neither included in his </w:t>
      </w:r>
      <w:r w:rsidRPr="00EE0DCD">
        <w:rPr>
          <w:i/>
          <w:sz w:val="20"/>
          <w:szCs w:val="20"/>
        </w:rPr>
        <w:t xml:space="preserve">Charter </w:t>
      </w:r>
      <w:r w:rsidRPr="00EE0DCD">
        <w:rPr>
          <w:sz w:val="20"/>
          <w:szCs w:val="20"/>
        </w:rPr>
        <w:t xml:space="preserve">notice nor argued at trial, as it would have been unfair for an appellate court to make findings of fact of new breach arguments. Further, the majority concluded that while the trial judge did not expressly include the s. 9 </w:t>
      </w:r>
      <w:r w:rsidRPr="00EE0DCD">
        <w:rPr>
          <w:i/>
          <w:sz w:val="20"/>
          <w:szCs w:val="20"/>
        </w:rPr>
        <w:t>Charter</w:t>
      </w:r>
      <w:r w:rsidRPr="00EE0DCD">
        <w:rPr>
          <w:sz w:val="20"/>
          <w:szCs w:val="20"/>
        </w:rPr>
        <w:t xml:space="preserve"> breach in her consideration of the second stage of the </w:t>
      </w:r>
      <w:r w:rsidRPr="00EE0DCD">
        <w:rPr>
          <w:i/>
          <w:sz w:val="20"/>
          <w:szCs w:val="20"/>
        </w:rPr>
        <w:t>Grant</w:t>
      </w:r>
      <w:r w:rsidRPr="00EE0DCD">
        <w:rPr>
          <w:sz w:val="20"/>
          <w:szCs w:val="20"/>
        </w:rPr>
        <w:t xml:space="preserve"> analysis, her failure to do so did not affect the result. In dissent, Khullar J.A. would have allowed Mr. Zacharias’ appeal, excluded the drug evidence and other evidence seized, set aside the conviction and entered an acquittal. In her view, while there was no reviewable error at the first and third stage of the </w:t>
      </w:r>
      <w:r w:rsidRPr="00EE0DCD">
        <w:rPr>
          <w:i/>
          <w:sz w:val="20"/>
          <w:szCs w:val="20"/>
        </w:rPr>
        <w:t>Grant</w:t>
      </w:r>
      <w:r w:rsidRPr="00EE0DCD">
        <w:rPr>
          <w:sz w:val="20"/>
          <w:szCs w:val="20"/>
        </w:rPr>
        <w:t xml:space="preserve"> test, the second </w:t>
      </w:r>
      <w:r w:rsidRPr="00EE0DCD">
        <w:rPr>
          <w:i/>
          <w:sz w:val="20"/>
          <w:szCs w:val="20"/>
        </w:rPr>
        <w:t>Grant</w:t>
      </w:r>
      <w:r w:rsidRPr="00EE0DCD">
        <w:rPr>
          <w:sz w:val="20"/>
          <w:szCs w:val="20"/>
        </w:rPr>
        <w:t xml:space="preserve"> factor strongly favoured exclusion of the evidence. The trial judge only considered the exterior search of the vehicle by the sniffer dog, but there were several more </w:t>
      </w:r>
      <w:r w:rsidRPr="00EE0DCD">
        <w:rPr>
          <w:i/>
          <w:sz w:val="20"/>
          <w:szCs w:val="20"/>
        </w:rPr>
        <w:t xml:space="preserve">Charter </w:t>
      </w:r>
      <w:r w:rsidRPr="00EE0DCD">
        <w:rPr>
          <w:sz w:val="20"/>
          <w:szCs w:val="20"/>
        </w:rPr>
        <w:t>breaches. Balancing the three factors together, Khullar J.A. found that admitting the evidence would undermine the reputation of the criminal justice system in the eyes of a reasonable person informed of all the relevant circumstances.</w:t>
      </w:r>
    </w:p>
    <w:p w:rsidR="0003550C" w:rsidRPr="00EE0DCD" w:rsidRDefault="0003550C" w:rsidP="0003550C">
      <w:pPr>
        <w:widowControl w:val="0"/>
        <w:tabs>
          <w:tab w:val="left" w:pos="938"/>
        </w:tabs>
        <w:spacing w:line="0" w:lineRule="atLeast"/>
        <w:jc w:val="both"/>
        <w:rPr>
          <w:sz w:val="20"/>
        </w:rPr>
      </w:pPr>
    </w:p>
    <w:p w:rsidR="0003550C" w:rsidRPr="00EE0DCD" w:rsidRDefault="00962BCB" w:rsidP="0003550C">
      <w:pPr>
        <w:widowControl w:val="0"/>
        <w:tabs>
          <w:tab w:val="left" w:pos="938"/>
        </w:tabs>
        <w:spacing w:line="0" w:lineRule="atLeast"/>
        <w:jc w:val="both"/>
        <w:rPr>
          <w:sz w:val="20"/>
        </w:rPr>
      </w:pPr>
      <w:r w:rsidRPr="00EE0DCD">
        <w:rPr>
          <w:sz w:val="20"/>
        </w:rPr>
        <w:pict>
          <v:rect id="_x0000_i1048" style="width:2in;height:1pt" o:hrpct="0" o:hralign="center" o:hrstd="t" o:hrnoshade="t" o:hr="t" fillcolor="black [3213]" stroked="f"/>
        </w:pict>
      </w:r>
    </w:p>
    <w:p w:rsidR="0003550C" w:rsidRPr="00EE0DCD" w:rsidRDefault="0003550C" w:rsidP="0003550C">
      <w:pPr>
        <w:widowControl w:val="0"/>
        <w:tabs>
          <w:tab w:val="left" w:pos="938"/>
        </w:tabs>
        <w:spacing w:line="0" w:lineRule="atLeast"/>
        <w:jc w:val="both"/>
        <w:rPr>
          <w:sz w:val="20"/>
          <w:szCs w:val="20"/>
        </w:rPr>
      </w:pPr>
    </w:p>
    <w:p w:rsidR="0003550C" w:rsidRPr="00EE0DCD" w:rsidRDefault="0003550C" w:rsidP="0003550C">
      <w:pPr>
        <w:widowControl w:val="0"/>
        <w:tabs>
          <w:tab w:val="left" w:pos="720"/>
        </w:tabs>
        <w:ind w:left="1440" w:hanging="1440"/>
        <w:jc w:val="both"/>
        <w:rPr>
          <w:b/>
          <w:i/>
          <w:sz w:val="20"/>
          <w:szCs w:val="20"/>
          <w:lang w:val="fr-CA"/>
        </w:rPr>
      </w:pPr>
      <w:r w:rsidRPr="00EE0DCD">
        <w:rPr>
          <w:b/>
          <w:sz w:val="20"/>
          <w:szCs w:val="20"/>
        </w:rPr>
        <w:fldChar w:fldCharType="begin"/>
      </w:r>
      <w:r w:rsidRPr="00EE0DCD">
        <w:rPr>
          <w:b/>
          <w:sz w:val="20"/>
          <w:szCs w:val="20"/>
          <w:lang w:val="fr-CA"/>
        </w:rPr>
        <w:instrText xml:space="preserve"> SEQ CHAPTER \h \r 1</w:instrText>
      </w:r>
      <w:r w:rsidRPr="00EE0DCD">
        <w:rPr>
          <w:b/>
          <w:sz w:val="20"/>
          <w:szCs w:val="20"/>
        </w:rPr>
        <w:fldChar w:fldCharType="end"/>
      </w:r>
      <w:r w:rsidRPr="00EE0DCD">
        <w:rPr>
          <w:b/>
          <w:sz w:val="20"/>
          <w:szCs w:val="20"/>
          <w:lang w:val="fr-CA"/>
        </w:rPr>
        <w:t>40117</w:t>
      </w:r>
      <w:r w:rsidRPr="00EE0DCD">
        <w:rPr>
          <w:sz w:val="20"/>
          <w:szCs w:val="20"/>
          <w:lang w:val="fr-CA"/>
        </w:rPr>
        <w:tab/>
      </w:r>
      <w:r w:rsidRPr="00EE0DCD">
        <w:rPr>
          <w:b/>
          <w:i/>
          <w:sz w:val="20"/>
          <w:szCs w:val="20"/>
          <w:lang w:val="fr-CA"/>
        </w:rPr>
        <w:t>George Zacharias c. Sa Majesté l</w:t>
      </w:r>
      <w:r w:rsidRPr="00EE0DCD">
        <w:rPr>
          <w:b/>
          <w:i/>
          <w:sz w:val="20"/>
          <w:lang w:val="fr-CA"/>
        </w:rPr>
        <w:t>e</w:t>
      </w:r>
      <w:r w:rsidRPr="00EE0DCD">
        <w:rPr>
          <w:b/>
          <w:i/>
          <w:sz w:val="20"/>
          <w:szCs w:val="20"/>
          <w:lang w:val="fr-CA"/>
        </w:rPr>
        <w:t xml:space="preserve"> R</w:t>
      </w:r>
      <w:r w:rsidRPr="00EE0DCD">
        <w:rPr>
          <w:b/>
          <w:i/>
          <w:sz w:val="20"/>
          <w:lang w:val="fr-CA"/>
        </w:rPr>
        <w:t>o</w:t>
      </w:r>
      <w:r w:rsidRPr="00EE0DCD">
        <w:rPr>
          <w:b/>
          <w:i/>
          <w:sz w:val="20"/>
          <w:szCs w:val="20"/>
          <w:lang w:val="fr-CA"/>
        </w:rPr>
        <w:t>i</w:t>
      </w:r>
    </w:p>
    <w:p w:rsidR="0003550C" w:rsidRPr="00EE0DCD" w:rsidRDefault="0003550C" w:rsidP="0003550C">
      <w:pPr>
        <w:widowControl w:val="0"/>
        <w:tabs>
          <w:tab w:val="left" w:pos="720"/>
        </w:tabs>
        <w:ind w:left="1440" w:hanging="1440"/>
        <w:jc w:val="both"/>
        <w:rPr>
          <w:sz w:val="20"/>
          <w:szCs w:val="20"/>
          <w:lang w:val="fr-CA"/>
        </w:rPr>
      </w:pPr>
      <w:r w:rsidRPr="00EE0DCD">
        <w:rPr>
          <w:sz w:val="20"/>
          <w:szCs w:val="20"/>
          <w:lang w:val="fr-CA"/>
        </w:rPr>
        <w:tab/>
        <w:t>(Alb.) (Criminelle) (De plein droit)</w:t>
      </w:r>
    </w:p>
    <w:p w:rsidR="0003550C" w:rsidRPr="00EE0DCD" w:rsidRDefault="0003550C" w:rsidP="0003550C">
      <w:pPr>
        <w:widowControl w:val="0"/>
        <w:jc w:val="both"/>
        <w:rPr>
          <w:sz w:val="20"/>
          <w:szCs w:val="20"/>
          <w:lang w:val="fr-CA"/>
        </w:rPr>
      </w:pPr>
    </w:p>
    <w:p w:rsidR="0003550C" w:rsidRPr="00EE0DCD" w:rsidRDefault="0003550C" w:rsidP="0003550C">
      <w:pPr>
        <w:widowControl w:val="0"/>
        <w:jc w:val="both"/>
        <w:rPr>
          <w:sz w:val="20"/>
          <w:szCs w:val="20"/>
          <w:lang w:val="fr-CA"/>
        </w:rPr>
      </w:pPr>
      <w:r w:rsidRPr="00EE0DCD">
        <w:rPr>
          <w:sz w:val="20"/>
          <w:szCs w:val="20"/>
          <w:lang w:val="fr-CA"/>
        </w:rPr>
        <w:t xml:space="preserve">Droit constitutionnel — Charte des droits — Détention arbitraire — Fouilles, perquisitions et saisies — Exécution — Exclusion d’éléments de preuve — La juge du procès a-t-elle tenu dûment compte de toute la conduite attentatoire pertinente de l’État? </w:t>
      </w:r>
    </w:p>
    <w:p w:rsidR="0003550C" w:rsidRPr="00EE0DCD" w:rsidRDefault="0003550C" w:rsidP="0003550C">
      <w:pPr>
        <w:widowControl w:val="0"/>
        <w:jc w:val="both"/>
        <w:rPr>
          <w:sz w:val="20"/>
          <w:szCs w:val="20"/>
          <w:lang w:val="fr-CA"/>
        </w:rPr>
      </w:pPr>
    </w:p>
    <w:p w:rsidR="0003550C" w:rsidRPr="00EE0DCD" w:rsidRDefault="0003550C" w:rsidP="0003550C">
      <w:pPr>
        <w:widowControl w:val="0"/>
        <w:tabs>
          <w:tab w:val="left" w:pos="938"/>
        </w:tabs>
        <w:spacing w:line="0" w:lineRule="atLeast"/>
        <w:jc w:val="both"/>
        <w:rPr>
          <w:sz w:val="20"/>
          <w:szCs w:val="20"/>
          <w:lang w:val="fr-CA"/>
        </w:rPr>
      </w:pPr>
      <w:r w:rsidRPr="00EE0DCD">
        <w:rPr>
          <w:sz w:val="20"/>
          <w:szCs w:val="20"/>
          <w:lang w:val="fr-CA"/>
        </w:rPr>
        <w:t xml:space="preserve">L’appelant, George Zacharias, a été déclaré coupable au titre du par. 5(2) de la </w:t>
      </w:r>
      <w:r w:rsidRPr="00EE0DCD">
        <w:rPr>
          <w:i/>
          <w:sz w:val="20"/>
          <w:szCs w:val="20"/>
          <w:lang w:val="fr-CA"/>
        </w:rPr>
        <w:t>Loi réglementant certaines drogues et autres substances</w:t>
      </w:r>
      <w:r w:rsidRPr="00EE0DCD">
        <w:rPr>
          <w:sz w:val="20"/>
          <w:szCs w:val="20"/>
          <w:lang w:val="fr-CA"/>
        </w:rPr>
        <w:t xml:space="preserve">, L.C. 1996, c. 19, de possession de 101,5 lb de cannabis en vue d’en faire le trafic. La question principale au procès était de savoir si l’agent MacPhail qui a effectué un contrôle routier du camion de M. Zacharias avait des soupçons raisonnables justifiant qu’il procède à une détention aux fins d’enquête et qu’il ait recours à un chien renifleur. La juge du procès a conclu que la détention initiale aux fins d’enquête et la fouille à l’aide du chien renifleur étaient arbitraires et violaient les droits que </w:t>
      </w:r>
      <w:proofErr w:type="gramStart"/>
      <w:r w:rsidRPr="00EE0DCD">
        <w:rPr>
          <w:sz w:val="20"/>
          <w:szCs w:val="20"/>
          <w:lang w:val="fr-CA"/>
        </w:rPr>
        <w:t>les art</w:t>
      </w:r>
      <w:proofErr w:type="gramEnd"/>
      <w:r w:rsidRPr="00EE0DCD">
        <w:rPr>
          <w:sz w:val="20"/>
          <w:szCs w:val="20"/>
          <w:lang w:val="fr-CA"/>
        </w:rPr>
        <w:t xml:space="preserve">. 8 et 9 de la </w:t>
      </w:r>
      <w:r w:rsidRPr="00EE0DCD">
        <w:rPr>
          <w:i/>
          <w:sz w:val="20"/>
          <w:szCs w:val="20"/>
          <w:lang w:val="fr-CA"/>
        </w:rPr>
        <w:t>Charte</w:t>
      </w:r>
      <w:r w:rsidRPr="00EE0DCD">
        <w:rPr>
          <w:sz w:val="20"/>
          <w:szCs w:val="20"/>
          <w:lang w:val="fr-CA"/>
        </w:rPr>
        <w:t xml:space="preserve"> garantissent à M. Zacharias d’être à l’abri de fouilles abusives et de détention arbitraire. Appliquant le test de </w:t>
      </w:r>
      <w:r w:rsidRPr="00EE0DCD">
        <w:rPr>
          <w:i/>
          <w:sz w:val="20"/>
          <w:szCs w:val="20"/>
          <w:lang w:val="fr-CA"/>
        </w:rPr>
        <w:t>R. c. Grant</w:t>
      </w:r>
      <w:r w:rsidRPr="00EE0DCD">
        <w:rPr>
          <w:sz w:val="20"/>
          <w:szCs w:val="20"/>
          <w:lang w:val="fr-CA"/>
        </w:rPr>
        <w:t>, 2009 CSC 32, la juge du procès a ensuite conclu que les deux premiers facteurs ne militaient pas fortement en faveur de l’exclusion des éléments de preuve et que le troisième facteur militait en faveur de l’inclusion. Les éléments de preuve ont donc été admis.</w:t>
      </w:r>
    </w:p>
    <w:p w:rsidR="0003550C" w:rsidRPr="00EE0DCD" w:rsidRDefault="0003550C" w:rsidP="0003550C">
      <w:pPr>
        <w:widowControl w:val="0"/>
        <w:tabs>
          <w:tab w:val="left" w:pos="938"/>
        </w:tabs>
        <w:spacing w:line="0" w:lineRule="atLeast"/>
        <w:jc w:val="both"/>
        <w:rPr>
          <w:sz w:val="20"/>
          <w:szCs w:val="20"/>
          <w:lang w:val="fr-CA"/>
        </w:rPr>
      </w:pPr>
    </w:p>
    <w:p w:rsidR="0003550C" w:rsidRPr="00EE0DCD" w:rsidRDefault="0003550C" w:rsidP="0003550C">
      <w:pPr>
        <w:widowControl w:val="0"/>
        <w:tabs>
          <w:tab w:val="left" w:pos="938"/>
        </w:tabs>
        <w:spacing w:line="0" w:lineRule="atLeast"/>
        <w:jc w:val="both"/>
        <w:rPr>
          <w:sz w:val="20"/>
          <w:lang w:val="fr-CA"/>
        </w:rPr>
      </w:pPr>
      <w:r w:rsidRPr="00EE0DCD">
        <w:rPr>
          <w:sz w:val="20"/>
          <w:szCs w:val="20"/>
          <w:lang w:val="fr-CA"/>
        </w:rPr>
        <w:t xml:space="preserve">Les juges majoritaires de la Cour d’appel ont rejeté l’appel de M. Zacharias, refusant d’examiner ses arguments relatifs aux violations additionnelles, qui n’étaient ni incluses dans son avis exigé par la </w:t>
      </w:r>
      <w:r w:rsidRPr="00EE0DCD">
        <w:rPr>
          <w:i/>
          <w:sz w:val="20"/>
          <w:szCs w:val="20"/>
          <w:lang w:val="fr-CA"/>
        </w:rPr>
        <w:t>Charte</w:t>
      </w:r>
      <w:r w:rsidRPr="00EE0DCD">
        <w:rPr>
          <w:sz w:val="20"/>
          <w:szCs w:val="20"/>
          <w:lang w:val="fr-CA"/>
        </w:rPr>
        <w:t xml:space="preserve"> ni plaidées au procès, car il aurait été injuste qu’une cour d’appel tire des conclusions de faits relativement à de nouveaux arguments portant sur les violations de la </w:t>
      </w:r>
      <w:r w:rsidRPr="00EE0DCD">
        <w:rPr>
          <w:i/>
          <w:sz w:val="20"/>
          <w:szCs w:val="20"/>
          <w:lang w:val="fr-CA"/>
        </w:rPr>
        <w:t>Charte</w:t>
      </w:r>
      <w:r w:rsidRPr="00EE0DCD">
        <w:rPr>
          <w:sz w:val="20"/>
          <w:szCs w:val="20"/>
          <w:lang w:val="fr-CA"/>
        </w:rPr>
        <w:t xml:space="preserve">. De plus, les juges majoritaires ont conclu que, certes, la juge du procès n’a pas expressément inclus la violation de l’art. 9 de la </w:t>
      </w:r>
      <w:r w:rsidRPr="00EE0DCD">
        <w:rPr>
          <w:i/>
          <w:sz w:val="20"/>
          <w:szCs w:val="20"/>
          <w:lang w:val="fr-CA"/>
        </w:rPr>
        <w:t>Charte</w:t>
      </w:r>
      <w:r w:rsidRPr="00EE0DCD">
        <w:rPr>
          <w:sz w:val="20"/>
          <w:szCs w:val="20"/>
          <w:lang w:val="fr-CA"/>
        </w:rPr>
        <w:t xml:space="preserve"> dans son évaluation du deuxième volet de l’analyse de l’arrêt </w:t>
      </w:r>
      <w:r w:rsidRPr="00EE0DCD">
        <w:rPr>
          <w:i/>
          <w:sz w:val="20"/>
          <w:szCs w:val="20"/>
          <w:lang w:val="fr-CA"/>
        </w:rPr>
        <w:t>Grant</w:t>
      </w:r>
      <w:r w:rsidRPr="00EE0DCD">
        <w:rPr>
          <w:sz w:val="20"/>
          <w:szCs w:val="20"/>
          <w:lang w:val="fr-CA"/>
        </w:rPr>
        <w:t xml:space="preserve">, mais son omission à cet égard n’a pas eu de conséquence sur l’issue de l’affaire. En dissidence, la juge d’appel Khullar aurait accueilli l’appel de M. Zacharias, exclu la preuve relative à la drogue et les autres éléments de preuve saisis, annulé la déclaration de culpabilité et inscrit un acquittement. Selon elle, bien qu’il n’y ait pas eu d’erreur susceptible de contrôle eu égard aux premier et troisième volets du test de </w:t>
      </w:r>
      <w:r w:rsidRPr="00EE0DCD">
        <w:rPr>
          <w:i/>
          <w:sz w:val="20"/>
          <w:szCs w:val="20"/>
          <w:lang w:val="fr-CA"/>
        </w:rPr>
        <w:t>Grant</w:t>
      </w:r>
      <w:r w:rsidRPr="00EE0DCD">
        <w:rPr>
          <w:sz w:val="20"/>
          <w:szCs w:val="20"/>
          <w:lang w:val="fr-CA"/>
        </w:rPr>
        <w:t xml:space="preserve">, le deuxième volet de </w:t>
      </w:r>
      <w:r w:rsidRPr="00EE0DCD">
        <w:rPr>
          <w:i/>
          <w:sz w:val="20"/>
          <w:szCs w:val="20"/>
          <w:lang w:val="fr-CA"/>
        </w:rPr>
        <w:t>Grant</w:t>
      </w:r>
      <w:r w:rsidRPr="00EE0DCD">
        <w:rPr>
          <w:sz w:val="20"/>
          <w:szCs w:val="20"/>
          <w:lang w:val="fr-CA"/>
        </w:rPr>
        <w:t xml:space="preserve"> militait fortement en faveur de l’exclusion des éléments de preuve. La juge du procès a uniquement examiné la fouille extérieure du véhicule effectuée grâce à un chien renifleur, mais il existait plusieurs autres violations de la </w:t>
      </w:r>
      <w:r w:rsidRPr="00EE0DCD">
        <w:rPr>
          <w:i/>
          <w:sz w:val="20"/>
          <w:szCs w:val="20"/>
          <w:lang w:val="fr-CA"/>
        </w:rPr>
        <w:t>Charte</w:t>
      </w:r>
      <w:r w:rsidRPr="00EE0DCD">
        <w:rPr>
          <w:sz w:val="20"/>
          <w:szCs w:val="20"/>
          <w:lang w:val="fr-CA"/>
        </w:rPr>
        <w:t>. Mettant en balance les trois facteurs ensemble, la juge Khullar a conclu que l’admission des éléments de preuve minerait la réputation du système de justice pénale aux yeux d’une personne raisonnable au fait de l’ensemble des circonstances pertinentes.</w:t>
      </w:r>
    </w:p>
    <w:p w:rsidR="0003550C" w:rsidRPr="00EE0DCD" w:rsidRDefault="0003550C" w:rsidP="0003550C">
      <w:pPr>
        <w:widowControl w:val="0"/>
        <w:tabs>
          <w:tab w:val="left" w:pos="938"/>
        </w:tabs>
        <w:spacing w:line="0" w:lineRule="atLeast"/>
        <w:jc w:val="both"/>
        <w:rPr>
          <w:sz w:val="20"/>
          <w:lang w:val="fr-CA"/>
        </w:rPr>
      </w:pPr>
    </w:p>
    <w:p w:rsidR="0003550C" w:rsidRPr="00EE0DCD" w:rsidRDefault="00962BCB" w:rsidP="0003550C">
      <w:pPr>
        <w:widowControl w:val="0"/>
        <w:tabs>
          <w:tab w:val="left" w:pos="938"/>
        </w:tabs>
        <w:spacing w:line="0" w:lineRule="atLeast"/>
        <w:jc w:val="both"/>
        <w:rPr>
          <w:sz w:val="20"/>
          <w:szCs w:val="20"/>
          <w:lang w:val="fr-CA"/>
        </w:rPr>
      </w:pPr>
      <w:r w:rsidRPr="00EE0DCD">
        <w:rPr>
          <w:sz w:val="20"/>
        </w:rPr>
        <w:pict>
          <v:rect id="_x0000_i1049" style="width:2in;height:1pt" o:hrpct="0" o:hralign="center" o:hrstd="t" o:hrnoshade="t" o:hr="t" fillcolor="black [3213]" stroked="f"/>
        </w:pict>
      </w:r>
    </w:p>
    <w:p w:rsidR="0003550C" w:rsidRPr="00EE0DCD" w:rsidRDefault="0003550C" w:rsidP="0003550C">
      <w:pPr>
        <w:widowControl w:val="0"/>
        <w:tabs>
          <w:tab w:val="left" w:pos="938"/>
        </w:tabs>
        <w:spacing w:line="0" w:lineRule="atLeast"/>
        <w:jc w:val="both"/>
        <w:rPr>
          <w:sz w:val="20"/>
          <w:lang w:val="fr-CA"/>
        </w:rPr>
      </w:pPr>
    </w:p>
    <w:p w:rsidR="0003550C" w:rsidRPr="00EE0DCD" w:rsidRDefault="0003550C">
      <w:pPr>
        <w:rPr>
          <w:rStyle w:val="SCCFileNumberChar"/>
          <w:sz w:val="20"/>
          <w:szCs w:val="20"/>
        </w:rPr>
      </w:pPr>
      <w:r w:rsidRPr="00EE0DCD">
        <w:rPr>
          <w:rStyle w:val="SCCFileNumberChar"/>
          <w:sz w:val="20"/>
          <w:szCs w:val="20"/>
        </w:rPr>
        <w:br w:type="page"/>
      </w:r>
    </w:p>
    <w:p w:rsidR="0003550C" w:rsidRPr="00EE0DCD" w:rsidRDefault="0003550C" w:rsidP="0003550C">
      <w:pPr>
        <w:pStyle w:val="SCCLsocParty"/>
        <w:tabs>
          <w:tab w:val="left" w:pos="709"/>
        </w:tabs>
        <w:jc w:val="both"/>
        <w:rPr>
          <w:b/>
          <w:i/>
          <w:sz w:val="20"/>
          <w:szCs w:val="20"/>
          <w:lang w:val="en-CA"/>
        </w:rPr>
      </w:pPr>
      <w:r w:rsidRPr="00EE0DCD">
        <w:rPr>
          <w:rStyle w:val="SCCFileNumberChar"/>
          <w:sz w:val="20"/>
          <w:szCs w:val="20"/>
        </w:rPr>
        <w:t>40175</w:t>
      </w:r>
      <w:r w:rsidRPr="00EE0DCD">
        <w:rPr>
          <w:rStyle w:val="SCCFileNumberChar"/>
          <w:sz w:val="20"/>
          <w:szCs w:val="20"/>
        </w:rPr>
        <w:tab/>
      </w:r>
      <w:r w:rsidRPr="00EE0DCD">
        <w:rPr>
          <w:b/>
          <w:i/>
          <w:sz w:val="20"/>
          <w:szCs w:val="20"/>
          <w:lang w:val="en-CA"/>
        </w:rPr>
        <w:t>La Presse inc. v. Frédérick Silva and His Majesty the King</w:t>
      </w:r>
    </w:p>
    <w:p w:rsidR="0003550C" w:rsidRPr="00EE0DCD" w:rsidRDefault="0003550C" w:rsidP="0003550C">
      <w:pPr>
        <w:widowControl w:val="0"/>
        <w:tabs>
          <w:tab w:val="left" w:pos="709"/>
        </w:tabs>
        <w:spacing w:line="0" w:lineRule="atLeast"/>
        <w:jc w:val="both"/>
        <w:rPr>
          <w:sz w:val="20"/>
          <w:lang w:val="en-US"/>
        </w:rPr>
      </w:pPr>
      <w:r w:rsidRPr="00EE0DCD">
        <w:rPr>
          <w:sz w:val="20"/>
        </w:rPr>
        <w:tab/>
      </w:r>
      <w:r w:rsidRPr="00EE0DCD">
        <w:rPr>
          <w:sz w:val="20"/>
          <w:szCs w:val="20"/>
        </w:rPr>
        <w:t>(Que.) (Civil) (By Leave)</w:t>
      </w:r>
    </w:p>
    <w:p w:rsidR="0003550C" w:rsidRPr="00EE0DCD" w:rsidRDefault="0003550C" w:rsidP="0003550C">
      <w:pPr>
        <w:widowControl w:val="0"/>
        <w:tabs>
          <w:tab w:val="left" w:pos="938"/>
        </w:tabs>
        <w:spacing w:line="0" w:lineRule="atLeast"/>
        <w:jc w:val="both"/>
        <w:rPr>
          <w:sz w:val="20"/>
          <w:lang w:val="en-US"/>
        </w:rPr>
      </w:pPr>
    </w:p>
    <w:p w:rsidR="0003550C" w:rsidRPr="00EE0DCD" w:rsidRDefault="0003550C" w:rsidP="0003550C">
      <w:pPr>
        <w:pStyle w:val="SCCBanSummary0"/>
        <w:rPr>
          <w:sz w:val="20"/>
          <w:szCs w:val="20"/>
        </w:rPr>
      </w:pPr>
      <w:r w:rsidRPr="00EE0DCD">
        <w:rPr>
          <w:sz w:val="20"/>
          <w:szCs w:val="20"/>
        </w:rPr>
        <w:t>(Certain information not available to the public)</w:t>
      </w:r>
    </w:p>
    <w:p w:rsidR="0003550C" w:rsidRPr="00EE0DCD" w:rsidRDefault="0003550C" w:rsidP="0003550C">
      <w:pPr>
        <w:jc w:val="both"/>
        <w:rPr>
          <w:sz w:val="20"/>
          <w:szCs w:val="20"/>
        </w:rPr>
      </w:pPr>
    </w:p>
    <w:p w:rsidR="0003550C" w:rsidRPr="00EE0DCD" w:rsidRDefault="0003550C" w:rsidP="0003550C">
      <w:pPr>
        <w:widowControl w:val="0"/>
        <w:tabs>
          <w:tab w:val="left" w:pos="938"/>
        </w:tabs>
        <w:spacing w:line="0" w:lineRule="atLeast"/>
        <w:jc w:val="both"/>
        <w:rPr>
          <w:sz w:val="20"/>
          <w:lang w:val="en-US"/>
        </w:rPr>
      </w:pPr>
      <w:r w:rsidRPr="00EE0DCD">
        <w:rPr>
          <w:sz w:val="20"/>
          <w:szCs w:val="20"/>
        </w:rPr>
        <w:t xml:space="preserve">Criminal law ⸺ Publication ban ⸺ Orders prohibiting publication, broadcasting and transmission in relation to judgments on </w:t>
      </w:r>
      <w:r w:rsidRPr="00EE0DCD">
        <w:rPr>
          <w:i/>
          <w:sz w:val="20"/>
          <w:szCs w:val="20"/>
        </w:rPr>
        <w:t>voir dire</w:t>
      </w:r>
      <w:r w:rsidRPr="00EE0DCD">
        <w:rPr>
          <w:sz w:val="20"/>
          <w:szCs w:val="20"/>
        </w:rPr>
        <w:t xml:space="preserve"> ⸺ Whether s. 648 of </w:t>
      </w:r>
      <w:r w:rsidRPr="00EE0DCD">
        <w:rPr>
          <w:i/>
          <w:sz w:val="20"/>
          <w:szCs w:val="20"/>
        </w:rPr>
        <w:t>Criminal Code</w:t>
      </w:r>
      <w:r w:rsidRPr="00EE0DCD">
        <w:rPr>
          <w:sz w:val="20"/>
          <w:szCs w:val="20"/>
        </w:rPr>
        <w:t xml:space="preserve"> applies prior to jury selection ⸺ Whether Superior Court erred in applying </w:t>
      </w:r>
      <w:r w:rsidRPr="00EE0DCD">
        <w:rPr>
          <w:i/>
          <w:sz w:val="20"/>
          <w:szCs w:val="20"/>
        </w:rPr>
        <w:t>Dagenais/Mentuck</w:t>
      </w:r>
      <w:r w:rsidRPr="00EE0DCD">
        <w:rPr>
          <w:sz w:val="20"/>
          <w:szCs w:val="20"/>
        </w:rPr>
        <w:t xml:space="preserve"> test ⸺ </w:t>
      </w:r>
      <w:r w:rsidRPr="00EE0DCD">
        <w:rPr>
          <w:i/>
          <w:sz w:val="20"/>
          <w:szCs w:val="20"/>
        </w:rPr>
        <w:t>Criminal Code,</w:t>
      </w:r>
      <w:r w:rsidRPr="00EE0DCD">
        <w:rPr>
          <w:sz w:val="20"/>
          <w:szCs w:val="20"/>
        </w:rPr>
        <w:t xml:space="preserve"> R.S.C. 1985, c. C</w:t>
      </w:r>
      <w:r w:rsidRPr="00EE0DCD">
        <w:rPr>
          <w:sz w:val="20"/>
          <w:szCs w:val="20"/>
        </w:rPr>
        <w:noBreakHyphen/>
        <w:t>46, s. 648.</w:t>
      </w:r>
    </w:p>
    <w:p w:rsidR="0003550C" w:rsidRPr="00EE0DCD" w:rsidRDefault="0003550C" w:rsidP="0003550C">
      <w:pPr>
        <w:widowControl w:val="0"/>
        <w:tabs>
          <w:tab w:val="left" w:pos="938"/>
        </w:tabs>
        <w:spacing w:line="0" w:lineRule="atLeast"/>
        <w:jc w:val="both"/>
        <w:rPr>
          <w:sz w:val="20"/>
          <w:lang w:val="en-US"/>
        </w:rPr>
      </w:pPr>
    </w:p>
    <w:p w:rsidR="0003550C" w:rsidRPr="00EE0DCD" w:rsidRDefault="0003550C" w:rsidP="0003550C">
      <w:pPr>
        <w:widowControl w:val="0"/>
        <w:tabs>
          <w:tab w:val="left" w:pos="938"/>
        </w:tabs>
        <w:spacing w:line="0" w:lineRule="atLeast"/>
        <w:jc w:val="both"/>
        <w:rPr>
          <w:sz w:val="20"/>
          <w:lang w:val="en-US"/>
        </w:rPr>
      </w:pPr>
      <w:r w:rsidRPr="00EE0DCD">
        <w:rPr>
          <w:sz w:val="20"/>
          <w:szCs w:val="20"/>
        </w:rPr>
        <w:t xml:space="preserve">The respondent Frédérick Silva was charged with four counts of murder and one count of attempted murder based on incidents that occurred on February 21, 2017, and December 20, 2018. On November 22, 2019, the prosecution laid five charges by direct indictment. On August 2 and October 15, 2021, respectively, the Superior Court dismissed Mr. Silva’s motion for a stay of proceedings and </w:t>
      </w:r>
      <w:r w:rsidRPr="00EE0DCD">
        <w:rPr>
          <w:i/>
          <w:sz w:val="20"/>
          <w:szCs w:val="20"/>
        </w:rPr>
        <w:t>Garofoli</w:t>
      </w:r>
      <w:r w:rsidRPr="00EE0DCD">
        <w:rPr>
          <w:sz w:val="20"/>
          <w:szCs w:val="20"/>
        </w:rPr>
        <w:t xml:space="preserve"> motion. It also made orders under s. 648(1) of the </w:t>
      </w:r>
      <w:r w:rsidRPr="00EE0DCD">
        <w:rPr>
          <w:i/>
          <w:sz w:val="20"/>
          <w:szCs w:val="20"/>
        </w:rPr>
        <w:t>Criminal Code</w:t>
      </w:r>
      <w:r w:rsidRPr="00EE0DCD">
        <w:rPr>
          <w:sz w:val="20"/>
          <w:szCs w:val="20"/>
        </w:rPr>
        <w:t>, R.S.C. 1985, c. C</w:t>
      </w:r>
      <w:r w:rsidRPr="00EE0DCD">
        <w:rPr>
          <w:sz w:val="20"/>
          <w:szCs w:val="20"/>
        </w:rPr>
        <w:noBreakHyphen/>
        <w:t>46 (</w:t>
      </w:r>
      <w:r w:rsidRPr="00EE0DCD">
        <w:rPr>
          <w:i/>
          <w:sz w:val="20"/>
          <w:szCs w:val="20"/>
        </w:rPr>
        <w:t>Cr. C.</w:t>
      </w:r>
      <w:r w:rsidRPr="00EE0DCD">
        <w:rPr>
          <w:sz w:val="20"/>
          <w:szCs w:val="20"/>
        </w:rPr>
        <w:t xml:space="preserve">), prohibiting publication, broadcasting and transmission in relation to the two judgments. Further to those judgments, and by consent of the parties, Mr. Silva was tried by a judge alone, without a jury, on four of the five counts. On November 16, 2021, he formally recognized that the prosecution had discharged its burden on each essential element of the four offences through a </w:t>
      </w:r>
      <w:r w:rsidRPr="00EE0DCD">
        <w:rPr>
          <w:i/>
          <w:sz w:val="20"/>
          <w:szCs w:val="20"/>
        </w:rPr>
        <w:t>nolo contendere</w:t>
      </w:r>
      <w:r w:rsidRPr="00EE0DCD">
        <w:rPr>
          <w:sz w:val="20"/>
          <w:szCs w:val="20"/>
        </w:rPr>
        <w:t xml:space="preserve"> proceeding. On January 27, 2022, Mr. Silva was convicted on the four counts. The parties agreed that the last count, which was for second degree murder, would be separated from the indictment and that Mr. Silva would have a trial by judge and jury on that count in May 2022. Before the trial began, La Presse brought a motion to lift the orders prohibiting publication, broadcasting and transmission in relation to the two judgments. On March 11, 2022, the Superior Court dismissed the motion. On May 6, 2022, Mr. Silva filed a </w:t>
      </w:r>
      <w:r w:rsidRPr="00EE0DCD">
        <w:rPr>
          <w:i/>
          <w:sz w:val="20"/>
          <w:szCs w:val="20"/>
        </w:rPr>
        <w:t>nolo contendere</w:t>
      </w:r>
      <w:r w:rsidRPr="00EE0DCD">
        <w:rPr>
          <w:sz w:val="20"/>
          <w:szCs w:val="20"/>
        </w:rPr>
        <w:t xml:space="preserve"> proceeding on the last count, leading to the cancellation of the jury trial.</w:t>
      </w:r>
    </w:p>
    <w:p w:rsidR="0003550C" w:rsidRPr="00EE0DCD" w:rsidRDefault="0003550C" w:rsidP="0003550C">
      <w:pPr>
        <w:widowControl w:val="0"/>
        <w:tabs>
          <w:tab w:val="left" w:pos="938"/>
        </w:tabs>
        <w:spacing w:line="0" w:lineRule="atLeast"/>
        <w:jc w:val="both"/>
        <w:rPr>
          <w:sz w:val="20"/>
          <w:lang w:val="en-US"/>
        </w:rPr>
      </w:pPr>
    </w:p>
    <w:p w:rsidR="0003550C" w:rsidRPr="00EE0DCD" w:rsidRDefault="00962BCB" w:rsidP="0003550C">
      <w:pPr>
        <w:widowControl w:val="0"/>
        <w:tabs>
          <w:tab w:val="left" w:pos="938"/>
        </w:tabs>
        <w:spacing w:line="0" w:lineRule="atLeast"/>
        <w:jc w:val="both"/>
        <w:rPr>
          <w:sz w:val="20"/>
          <w:szCs w:val="20"/>
          <w:lang w:val="en-US"/>
        </w:rPr>
      </w:pPr>
      <w:r w:rsidRPr="00EE0DCD">
        <w:rPr>
          <w:sz w:val="20"/>
        </w:rPr>
        <w:pict>
          <v:rect id="_x0000_i1050" style="width:2in;height:1pt" o:hrpct="0" o:hralign="center" o:hrstd="t" o:hrnoshade="t" o:hr="t" fillcolor="black [3213]" stroked="f"/>
        </w:pict>
      </w:r>
    </w:p>
    <w:p w:rsidR="0003550C" w:rsidRPr="00EE0DCD" w:rsidRDefault="0003550C" w:rsidP="0003550C">
      <w:pPr>
        <w:jc w:val="both"/>
        <w:rPr>
          <w:sz w:val="20"/>
        </w:rPr>
      </w:pPr>
    </w:p>
    <w:p w:rsidR="0003550C" w:rsidRPr="00EE0DCD" w:rsidRDefault="0003550C" w:rsidP="0003550C">
      <w:pPr>
        <w:pStyle w:val="SCCLsocParty"/>
        <w:jc w:val="both"/>
        <w:rPr>
          <w:b/>
          <w:i/>
          <w:sz w:val="20"/>
          <w:szCs w:val="20"/>
        </w:rPr>
      </w:pPr>
      <w:r w:rsidRPr="00EE0DCD">
        <w:rPr>
          <w:rStyle w:val="SCCFileNumberChar"/>
          <w:rFonts w:cstheme="minorBidi"/>
          <w:sz w:val="20"/>
          <w:szCs w:val="20"/>
          <w:lang w:val="fr-CA"/>
        </w:rPr>
        <w:t>40175</w:t>
      </w:r>
      <w:r w:rsidRPr="00EE0DCD">
        <w:rPr>
          <w:rStyle w:val="SCCFileNumberChar"/>
          <w:rFonts w:cstheme="minorBidi"/>
          <w:sz w:val="20"/>
          <w:szCs w:val="20"/>
          <w:lang w:val="fr-CA"/>
        </w:rPr>
        <w:tab/>
      </w:r>
      <w:r w:rsidRPr="00EE0DCD">
        <w:rPr>
          <w:b/>
          <w:i/>
          <w:sz w:val="20"/>
          <w:szCs w:val="20"/>
        </w:rPr>
        <w:t>La Presse inc. c. Frédérick Silva et Sa Majesté le Roi</w:t>
      </w:r>
    </w:p>
    <w:p w:rsidR="0003550C" w:rsidRPr="00EE0DCD" w:rsidRDefault="0003550C" w:rsidP="0003550C">
      <w:pPr>
        <w:ind w:firstLine="720"/>
        <w:jc w:val="both"/>
        <w:rPr>
          <w:sz w:val="20"/>
          <w:lang w:val="fr-CA"/>
        </w:rPr>
      </w:pPr>
      <w:r w:rsidRPr="00EE0DCD">
        <w:rPr>
          <w:sz w:val="20"/>
          <w:szCs w:val="20"/>
          <w:lang w:val="fr-CA"/>
        </w:rPr>
        <w:t>(Qc) (Civil</w:t>
      </w:r>
      <w:r w:rsidRPr="00EE0DCD">
        <w:rPr>
          <w:sz w:val="20"/>
          <w:lang w:val="fr-CA"/>
        </w:rPr>
        <w:t>e</w:t>
      </w:r>
      <w:r w:rsidRPr="00EE0DCD">
        <w:rPr>
          <w:sz w:val="20"/>
          <w:szCs w:val="20"/>
          <w:lang w:val="fr-CA"/>
        </w:rPr>
        <w:t>) (Autorisation)</w:t>
      </w:r>
    </w:p>
    <w:p w:rsidR="0003550C" w:rsidRPr="00EE0DCD" w:rsidRDefault="0003550C" w:rsidP="0003550C">
      <w:pPr>
        <w:jc w:val="both"/>
        <w:rPr>
          <w:sz w:val="20"/>
          <w:szCs w:val="20"/>
          <w:lang w:val="fr-CA"/>
        </w:rPr>
      </w:pPr>
    </w:p>
    <w:p w:rsidR="0003550C" w:rsidRPr="00EE0DCD" w:rsidRDefault="0003550C" w:rsidP="0003550C">
      <w:pPr>
        <w:pStyle w:val="SCCBanSummary0"/>
        <w:rPr>
          <w:sz w:val="20"/>
          <w:szCs w:val="20"/>
          <w:lang w:val="fr-CA"/>
        </w:rPr>
      </w:pPr>
      <w:r w:rsidRPr="00EE0DCD">
        <w:rPr>
          <w:sz w:val="20"/>
          <w:szCs w:val="20"/>
          <w:lang w:val="fr-CA"/>
        </w:rPr>
        <w:t>(Certaines informations non disponibles pour le public)</w:t>
      </w:r>
    </w:p>
    <w:p w:rsidR="0003550C" w:rsidRPr="00EE0DCD" w:rsidRDefault="0003550C" w:rsidP="0003550C">
      <w:pPr>
        <w:jc w:val="both"/>
        <w:rPr>
          <w:sz w:val="20"/>
          <w:szCs w:val="20"/>
          <w:lang w:val="fr-CA"/>
        </w:rPr>
      </w:pPr>
    </w:p>
    <w:p w:rsidR="0003550C" w:rsidRPr="00EE0DCD" w:rsidRDefault="0003550C" w:rsidP="0003550C">
      <w:pPr>
        <w:jc w:val="both"/>
        <w:rPr>
          <w:sz w:val="20"/>
          <w:szCs w:val="20"/>
          <w:lang w:val="fr-CA"/>
        </w:rPr>
      </w:pPr>
      <w:r w:rsidRPr="00EE0DCD">
        <w:rPr>
          <w:sz w:val="20"/>
          <w:szCs w:val="20"/>
          <w:lang w:val="fr-CA"/>
        </w:rPr>
        <w:t xml:space="preserve">Droit criminel </w:t>
      </w:r>
      <w:r w:rsidRPr="00EE0DCD">
        <w:rPr>
          <w:sz w:val="20"/>
          <w:szCs w:val="20"/>
        </w:rPr>
        <w:t>⸺</w:t>
      </w:r>
      <w:r w:rsidRPr="00EE0DCD">
        <w:rPr>
          <w:sz w:val="20"/>
          <w:szCs w:val="20"/>
          <w:lang w:val="fr-CA"/>
        </w:rPr>
        <w:t xml:space="preserve"> Interdiction de publication </w:t>
      </w:r>
      <w:r w:rsidRPr="00EE0DCD">
        <w:rPr>
          <w:sz w:val="20"/>
          <w:szCs w:val="20"/>
        </w:rPr>
        <w:t>⸺</w:t>
      </w:r>
      <w:r w:rsidRPr="00EE0DCD">
        <w:rPr>
          <w:sz w:val="20"/>
          <w:szCs w:val="20"/>
          <w:lang w:val="fr-CA"/>
        </w:rPr>
        <w:t xml:space="preserve"> Ordonnances de non-publications et de non-diffusion relatives à des jugements sur voir-dire </w:t>
      </w:r>
      <w:r w:rsidRPr="00EE0DCD">
        <w:rPr>
          <w:sz w:val="20"/>
          <w:szCs w:val="20"/>
        </w:rPr>
        <w:t>⸺</w:t>
      </w:r>
      <w:r w:rsidRPr="00EE0DCD">
        <w:rPr>
          <w:sz w:val="20"/>
          <w:szCs w:val="20"/>
          <w:lang w:val="fr-CA"/>
        </w:rPr>
        <w:t xml:space="preserve"> L’article 648 du </w:t>
      </w:r>
      <w:r w:rsidRPr="00EE0DCD">
        <w:rPr>
          <w:i/>
          <w:sz w:val="20"/>
          <w:szCs w:val="20"/>
          <w:lang w:val="fr-CA"/>
        </w:rPr>
        <w:t>Code criminel</w:t>
      </w:r>
      <w:r w:rsidRPr="00EE0DCD">
        <w:rPr>
          <w:sz w:val="20"/>
          <w:szCs w:val="20"/>
          <w:lang w:val="fr-CA"/>
        </w:rPr>
        <w:t xml:space="preserve"> trouve-t-il application avant la sélection du jury? </w:t>
      </w:r>
      <w:r w:rsidRPr="00EE0DCD">
        <w:rPr>
          <w:sz w:val="20"/>
          <w:szCs w:val="20"/>
        </w:rPr>
        <w:t>⸺</w:t>
      </w:r>
      <w:r w:rsidRPr="00EE0DCD">
        <w:rPr>
          <w:sz w:val="20"/>
          <w:szCs w:val="20"/>
          <w:lang w:val="fr-CA"/>
        </w:rPr>
        <w:t xml:space="preserve"> La Cour supérieure a-t-elle erré dans l’application du test </w:t>
      </w:r>
      <w:r w:rsidRPr="00EE0DCD">
        <w:rPr>
          <w:i/>
          <w:sz w:val="20"/>
          <w:szCs w:val="20"/>
          <w:lang w:val="fr-CA"/>
        </w:rPr>
        <w:t>Dagenais/Mentuck</w:t>
      </w:r>
      <w:r w:rsidRPr="00EE0DCD">
        <w:rPr>
          <w:sz w:val="20"/>
          <w:szCs w:val="20"/>
          <w:lang w:val="fr-CA"/>
        </w:rPr>
        <w:t xml:space="preserve">? </w:t>
      </w:r>
      <w:r w:rsidRPr="00EE0DCD">
        <w:rPr>
          <w:sz w:val="20"/>
          <w:szCs w:val="20"/>
        </w:rPr>
        <w:t>⸺</w:t>
      </w:r>
      <w:r w:rsidRPr="00EE0DCD">
        <w:rPr>
          <w:sz w:val="20"/>
          <w:szCs w:val="20"/>
          <w:lang w:val="fr-CA"/>
        </w:rPr>
        <w:t xml:space="preserve"> </w:t>
      </w:r>
      <w:r w:rsidRPr="00EE0DCD">
        <w:rPr>
          <w:i/>
          <w:sz w:val="20"/>
          <w:szCs w:val="20"/>
          <w:lang w:val="fr-CA"/>
        </w:rPr>
        <w:t>Code criminel,</w:t>
      </w:r>
      <w:r w:rsidRPr="00EE0DCD">
        <w:rPr>
          <w:sz w:val="20"/>
          <w:szCs w:val="20"/>
          <w:lang w:val="fr-CA"/>
        </w:rPr>
        <w:t xml:space="preserve"> LRC 1985, c. C-46, art. 648.</w:t>
      </w:r>
    </w:p>
    <w:p w:rsidR="0003550C" w:rsidRPr="00EE0DCD" w:rsidRDefault="0003550C" w:rsidP="0003550C">
      <w:pPr>
        <w:widowControl w:val="0"/>
        <w:jc w:val="both"/>
        <w:rPr>
          <w:sz w:val="20"/>
          <w:szCs w:val="20"/>
          <w:lang w:val="fr-CA"/>
        </w:rPr>
      </w:pPr>
    </w:p>
    <w:p w:rsidR="0003550C" w:rsidRPr="00EE0DCD" w:rsidRDefault="0003550C" w:rsidP="0003550C">
      <w:pPr>
        <w:jc w:val="both"/>
        <w:rPr>
          <w:sz w:val="20"/>
          <w:szCs w:val="20"/>
          <w:lang w:val="fr-CA"/>
        </w:rPr>
      </w:pPr>
      <w:r w:rsidRPr="00EE0DCD">
        <w:rPr>
          <w:sz w:val="20"/>
          <w:szCs w:val="20"/>
          <w:lang w:val="fr-CA"/>
        </w:rPr>
        <w:t xml:space="preserve">M. Frédérick Silva, intimé, est accusé de quatre meurtres et d’une tentative de meurtre pour des évènements survenus entre le 21 février 2017 et le 20 décembre 2018. Le 22 novembre 2019, la poursuite a déposé cinq chefs d’accusation par le biais d’un acte d’accusation direct. Le 2 août 2021 et le 15 octobre 2021, la Cour supérieure a rejeté respectivement une requête en arrêt de procédures et une requête de type </w:t>
      </w:r>
      <w:r w:rsidRPr="00EE0DCD">
        <w:rPr>
          <w:i/>
          <w:sz w:val="20"/>
          <w:szCs w:val="20"/>
          <w:lang w:val="fr-CA"/>
        </w:rPr>
        <w:t>Garofoli</w:t>
      </w:r>
      <w:r w:rsidRPr="00EE0DCD">
        <w:rPr>
          <w:sz w:val="20"/>
          <w:szCs w:val="20"/>
          <w:lang w:val="fr-CA"/>
        </w:rPr>
        <w:t xml:space="preserve">, déposées par M. Silva. Elle a également émis des ordonnances de non-publication et de non-diffusion relativement aux deux jugements en vertu de l’art. 648(1) du </w:t>
      </w:r>
      <w:r w:rsidRPr="00EE0DCD">
        <w:rPr>
          <w:i/>
          <w:sz w:val="20"/>
          <w:szCs w:val="20"/>
          <w:lang w:val="fr-CA"/>
        </w:rPr>
        <w:t>Code criminel</w:t>
      </w:r>
      <w:r w:rsidRPr="00EE0DCD">
        <w:rPr>
          <w:sz w:val="20"/>
          <w:szCs w:val="20"/>
          <w:lang w:val="fr-CA"/>
        </w:rPr>
        <w:t xml:space="preserve"> L.R.C. 1985, c. C-46 (</w:t>
      </w:r>
      <w:r w:rsidRPr="00EE0DCD">
        <w:rPr>
          <w:i/>
          <w:sz w:val="20"/>
          <w:szCs w:val="20"/>
          <w:lang w:val="fr-CA"/>
        </w:rPr>
        <w:t>C.cr.</w:t>
      </w:r>
      <w:r w:rsidRPr="00EE0DCD">
        <w:rPr>
          <w:sz w:val="20"/>
          <w:szCs w:val="20"/>
          <w:lang w:val="fr-CA"/>
        </w:rPr>
        <w:t xml:space="preserve">). Comme suite à ces jugements, et sur consentement des parties, M. Silva a subi un procès sans jury et devant un seul juge pour quatre des cinq chefs. Le 16 novembre 2021, M. Silva a reconnu formellement que la poursuite s’est déchargée de son fardeau à l’égard de chacun des éléments essentiels des quatre infractions par le biais d’une procédure de </w:t>
      </w:r>
      <w:r w:rsidRPr="00EE0DCD">
        <w:rPr>
          <w:i/>
          <w:sz w:val="20"/>
          <w:szCs w:val="20"/>
          <w:lang w:val="fr-CA"/>
        </w:rPr>
        <w:t>nolo contendere</w:t>
      </w:r>
      <w:r w:rsidRPr="00EE0DCD">
        <w:rPr>
          <w:sz w:val="20"/>
          <w:szCs w:val="20"/>
          <w:lang w:val="fr-CA"/>
        </w:rPr>
        <w:t xml:space="preserve">. Le 27 janvier 2022, M. Silva a été déclaré coupable des quatre chefs d’accusation. Quant au dernier chef d’accusation, relatifs à un meurtre au second degré, les parties ont consenti à ce qu’il soit séparé de l’acte d’accusation et que M. Silva subisse un procès devant juge et jury au mois de mai 2022. Avant que ne débute le procès, La Presse a demandé par requête la levée des ordonnances de non-publication et de non-diffusion relatives aux deux jugements. Le 11 mars 2022, la Cour supérieure a rejeté la requête de La Presse. Le 6 mai 2022, M. Silva a déposé une procédure de </w:t>
      </w:r>
      <w:r w:rsidRPr="00EE0DCD">
        <w:rPr>
          <w:i/>
          <w:sz w:val="20"/>
          <w:szCs w:val="20"/>
          <w:lang w:val="fr-CA"/>
        </w:rPr>
        <w:t>nolo contendere</w:t>
      </w:r>
      <w:r w:rsidRPr="00EE0DCD">
        <w:rPr>
          <w:sz w:val="20"/>
          <w:szCs w:val="20"/>
          <w:lang w:val="fr-CA"/>
        </w:rPr>
        <w:t xml:space="preserve"> quant au dernier chef d’accusation entrainant ainsi l’annulation de la tenue du procès devant jury.</w:t>
      </w:r>
    </w:p>
    <w:p w:rsidR="0003550C" w:rsidRPr="00EE0DCD" w:rsidRDefault="0003550C" w:rsidP="0003550C">
      <w:pPr>
        <w:widowControl w:val="0"/>
        <w:tabs>
          <w:tab w:val="left" w:pos="720"/>
        </w:tabs>
        <w:ind w:left="1440" w:hanging="1440"/>
        <w:jc w:val="both"/>
        <w:rPr>
          <w:sz w:val="20"/>
          <w:szCs w:val="20"/>
          <w:lang w:val="fr-CA"/>
        </w:rPr>
      </w:pPr>
    </w:p>
    <w:p w:rsidR="0003550C" w:rsidRPr="00EE0DCD" w:rsidRDefault="00962BCB" w:rsidP="0003550C">
      <w:pPr>
        <w:widowControl w:val="0"/>
        <w:tabs>
          <w:tab w:val="left" w:pos="720"/>
        </w:tabs>
        <w:ind w:left="1440" w:hanging="1440"/>
        <w:jc w:val="both"/>
        <w:rPr>
          <w:sz w:val="20"/>
          <w:lang w:val="fr-CA"/>
        </w:rPr>
      </w:pPr>
      <w:r w:rsidRPr="00EE0DCD">
        <w:rPr>
          <w:sz w:val="20"/>
        </w:rPr>
        <w:pict>
          <v:rect id="_x0000_i1051" style="width:2in;height:1pt" o:hrpct="0" o:hralign="center" o:hrstd="t" o:hrnoshade="t" o:hr="t" fillcolor="black [3213]" stroked="f"/>
        </w:pict>
      </w:r>
    </w:p>
    <w:p w:rsidR="0003550C" w:rsidRPr="00EE0DCD" w:rsidRDefault="0003550C" w:rsidP="0003550C">
      <w:pPr>
        <w:widowControl w:val="0"/>
        <w:tabs>
          <w:tab w:val="left" w:pos="720"/>
        </w:tabs>
        <w:ind w:left="1440" w:hanging="1440"/>
        <w:jc w:val="both"/>
        <w:rPr>
          <w:sz w:val="20"/>
          <w:szCs w:val="20"/>
          <w:lang w:val="fr-CA"/>
        </w:rPr>
      </w:pPr>
    </w:p>
    <w:p w:rsidR="0003550C" w:rsidRPr="00EE0DCD" w:rsidRDefault="0003550C">
      <w:pPr>
        <w:rPr>
          <w:b/>
          <w:sz w:val="20"/>
          <w:szCs w:val="20"/>
        </w:rPr>
      </w:pPr>
      <w:r w:rsidRPr="00EE0DCD">
        <w:rPr>
          <w:b/>
          <w:sz w:val="20"/>
          <w:szCs w:val="20"/>
        </w:rPr>
        <w:br w:type="page"/>
      </w:r>
    </w:p>
    <w:p w:rsidR="0003550C" w:rsidRPr="00EE0DCD" w:rsidRDefault="0003550C" w:rsidP="0003550C">
      <w:pPr>
        <w:widowControl w:val="0"/>
        <w:ind w:left="709" w:hanging="709"/>
        <w:jc w:val="both"/>
        <w:rPr>
          <w:b/>
          <w:i/>
          <w:sz w:val="20"/>
          <w:szCs w:val="20"/>
        </w:rPr>
      </w:pPr>
      <w:r w:rsidRPr="00EE0DCD">
        <w:rPr>
          <w:b/>
          <w:sz w:val="20"/>
          <w:szCs w:val="20"/>
        </w:rPr>
        <w:fldChar w:fldCharType="begin"/>
      </w:r>
      <w:r w:rsidRPr="00EE0DCD">
        <w:rPr>
          <w:b/>
          <w:sz w:val="20"/>
          <w:szCs w:val="20"/>
        </w:rPr>
        <w:instrText xml:space="preserve"> SEQ CHAPTER \h \r 1</w:instrText>
      </w:r>
      <w:r w:rsidRPr="00EE0DCD">
        <w:rPr>
          <w:b/>
          <w:sz w:val="20"/>
          <w:szCs w:val="20"/>
        </w:rPr>
        <w:fldChar w:fldCharType="end"/>
      </w:r>
      <w:r w:rsidRPr="00EE0DCD">
        <w:rPr>
          <w:b/>
          <w:sz w:val="20"/>
          <w:szCs w:val="20"/>
        </w:rPr>
        <w:t>40223</w:t>
      </w:r>
      <w:r w:rsidRPr="00EE0DCD">
        <w:rPr>
          <w:sz w:val="20"/>
          <w:szCs w:val="20"/>
        </w:rPr>
        <w:tab/>
      </w:r>
      <w:r w:rsidRPr="00EE0DCD">
        <w:rPr>
          <w:b/>
          <w:i/>
          <w:sz w:val="20"/>
          <w:szCs w:val="20"/>
        </w:rPr>
        <w:t>Canadian Broadcasting Corporation, Global News (a division of Corus Television Limited Partnership), Postmedia Network Inc., CTV News (a division of Bell Media Inc.), Glacier Media Inc., CityNews (a division of Rogers Media Inc.), Globe and Mail Inc., Torstar Corporation v. Aydin Coban, His Majesty the King</w:t>
      </w:r>
    </w:p>
    <w:p w:rsidR="0003550C" w:rsidRPr="00EE0DCD" w:rsidRDefault="0003550C" w:rsidP="0003550C">
      <w:pPr>
        <w:widowControl w:val="0"/>
        <w:tabs>
          <w:tab w:val="left" w:pos="720"/>
        </w:tabs>
        <w:ind w:left="1440" w:hanging="1440"/>
        <w:jc w:val="both"/>
        <w:rPr>
          <w:b/>
          <w:sz w:val="20"/>
          <w:szCs w:val="20"/>
        </w:rPr>
      </w:pPr>
      <w:r w:rsidRPr="00EE0DCD">
        <w:rPr>
          <w:sz w:val="20"/>
          <w:szCs w:val="20"/>
        </w:rPr>
        <w:tab/>
        <w:t>(B.C.) (Criminal) (By Leave)</w:t>
      </w:r>
      <w:bookmarkStart w:id="8" w:name="4"/>
      <w:bookmarkEnd w:id="8"/>
    </w:p>
    <w:p w:rsidR="0003550C" w:rsidRPr="00EE0DCD" w:rsidRDefault="0003550C" w:rsidP="0003550C">
      <w:pPr>
        <w:widowControl w:val="0"/>
        <w:ind w:left="1440" w:hanging="1440"/>
        <w:jc w:val="both"/>
        <w:rPr>
          <w:sz w:val="20"/>
          <w:szCs w:val="20"/>
        </w:rPr>
      </w:pPr>
    </w:p>
    <w:p w:rsidR="0003550C" w:rsidRPr="00EE0DCD" w:rsidRDefault="0003550C" w:rsidP="0003550C">
      <w:pPr>
        <w:pStyle w:val="SCCLsocParty"/>
        <w:jc w:val="both"/>
        <w:rPr>
          <w:sz w:val="20"/>
          <w:szCs w:val="20"/>
          <w:lang w:val="en-US"/>
        </w:rPr>
      </w:pPr>
      <w:r w:rsidRPr="00EE0DCD">
        <w:rPr>
          <w:sz w:val="20"/>
          <w:szCs w:val="20"/>
          <w:lang w:val="en-US"/>
        </w:rPr>
        <w:t>(</w:t>
      </w:r>
      <w:r w:rsidRPr="00EE0DCD">
        <w:rPr>
          <w:smallCaps/>
          <w:sz w:val="20"/>
          <w:szCs w:val="20"/>
          <w:lang w:val="en-US"/>
        </w:rPr>
        <w:t>Publication Ban in Case</w:t>
      </w:r>
      <w:r w:rsidRPr="00EE0DCD">
        <w:rPr>
          <w:sz w:val="20"/>
          <w:szCs w:val="20"/>
          <w:lang w:val="en-US"/>
        </w:rPr>
        <w:t xml:space="preserve">) </w:t>
      </w:r>
    </w:p>
    <w:p w:rsidR="0003550C" w:rsidRPr="00EE0DCD" w:rsidRDefault="0003550C" w:rsidP="0003550C">
      <w:pPr>
        <w:widowControl w:val="0"/>
        <w:jc w:val="both"/>
        <w:rPr>
          <w:sz w:val="20"/>
          <w:szCs w:val="20"/>
        </w:rPr>
      </w:pPr>
    </w:p>
    <w:p w:rsidR="0003550C" w:rsidRPr="00EE0DCD" w:rsidRDefault="0003550C" w:rsidP="0003550C">
      <w:pPr>
        <w:jc w:val="both"/>
        <w:rPr>
          <w:sz w:val="20"/>
          <w:szCs w:val="20"/>
        </w:rPr>
      </w:pPr>
      <w:r w:rsidRPr="00EE0DCD">
        <w:rPr>
          <w:sz w:val="20"/>
          <w:szCs w:val="20"/>
        </w:rPr>
        <w:t xml:space="preserve">Criminal law — Publication bans — </w:t>
      </w:r>
      <w:proofErr w:type="gramStart"/>
      <w:r w:rsidRPr="00EE0DCD">
        <w:rPr>
          <w:sz w:val="20"/>
          <w:szCs w:val="20"/>
        </w:rPr>
        <w:t>Whether</w:t>
      </w:r>
      <w:proofErr w:type="gramEnd"/>
      <w:r w:rsidRPr="00EE0DCD">
        <w:rPr>
          <w:sz w:val="20"/>
          <w:szCs w:val="20"/>
        </w:rPr>
        <w:t xml:space="preserve"> a publication ban pursuant to s. 648 of the </w:t>
      </w:r>
      <w:r w:rsidRPr="00EE0DCD">
        <w:rPr>
          <w:i/>
          <w:sz w:val="20"/>
          <w:szCs w:val="20"/>
        </w:rPr>
        <w:t>Criminal Code</w:t>
      </w:r>
      <w:r w:rsidRPr="00EE0DCD">
        <w:rPr>
          <w:sz w:val="20"/>
          <w:szCs w:val="20"/>
        </w:rPr>
        <w:t xml:space="preserve"> applies to proceedings before a jury is empaneled?</w:t>
      </w:r>
    </w:p>
    <w:p w:rsidR="0003550C" w:rsidRPr="00EE0DCD" w:rsidRDefault="0003550C" w:rsidP="0003550C">
      <w:pPr>
        <w:widowControl w:val="0"/>
        <w:jc w:val="both"/>
        <w:rPr>
          <w:sz w:val="20"/>
          <w:szCs w:val="20"/>
        </w:rPr>
      </w:pPr>
    </w:p>
    <w:p w:rsidR="0003550C" w:rsidRPr="00EE0DCD" w:rsidRDefault="0003550C" w:rsidP="0003550C">
      <w:pPr>
        <w:widowControl w:val="0"/>
        <w:kinsoku w:val="0"/>
        <w:overflowPunct w:val="0"/>
        <w:jc w:val="both"/>
        <w:textAlignment w:val="baseline"/>
        <w:rPr>
          <w:sz w:val="20"/>
        </w:rPr>
      </w:pPr>
      <w:r w:rsidRPr="00EE0DCD">
        <w:rPr>
          <w:sz w:val="20"/>
          <w:szCs w:val="20"/>
        </w:rPr>
        <w:t xml:space="preserve">An accused was charged with several offences. Before the jury selection process began, a ban on publication was imposed on all pre-trial applications in the proceedings pursuant to s. 648(1) of the </w:t>
      </w:r>
      <w:r w:rsidRPr="00EE0DCD">
        <w:rPr>
          <w:i/>
          <w:sz w:val="20"/>
          <w:szCs w:val="20"/>
        </w:rPr>
        <w:t xml:space="preserve">Criminal Code. </w:t>
      </w:r>
      <w:r w:rsidRPr="00EE0DCD">
        <w:rPr>
          <w:sz w:val="20"/>
          <w:szCs w:val="20"/>
        </w:rPr>
        <w:t>A consortium of major media outlets applied to have the ban clarified and declared applicable only after the jury is empaneled. The motion judge dismissed the application.</w:t>
      </w:r>
    </w:p>
    <w:p w:rsidR="0003550C" w:rsidRPr="00EE0DCD" w:rsidRDefault="0003550C" w:rsidP="0003550C">
      <w:pPr>
        <w:widowControl w:val="0"/>
        <w:kinsoku w:val="0"/>
        <w:overflowPunct w:val="0"/>
        <w:jc w:val="both"/>
        <w:textAlignment w:val="baseline"/>
        <w:rPr>
          <w:sz w:val="20"/>
        </w:rPr>
      </w:pPr>
    </w:p>
    <w:p w:rsidR="0003550C" w:rsidRPr="00EE0DCD" w:rsidRDefault="00962BCB" w:rsidP="0003550C">
      <w:pPr>
        <w:widowControl w:val="0"/>
        <w:kinsoku w:val="0"/>
        <w:overflowPunct w:val="0"/>
        <w:jc w:val="both"/>
        <w:textAlignment w:val="baseline"/>
        <w:rPr>
          <w:sz w:val="20"/>
        </w:rPr>
      </w:pPr>
      <w:r w:rsidRPr="00EE0DCD">
        <w:rPr>
          <w:sz w:val="20"/>
        </w:rPr>
        <w:pict>
          <v:rect id="_x0000_i1052" style="width:2in;height:1pt" o:hrpct="0" o:hralign="center" o:hrstd="t" o:hrnoshade="t" o:hr="t" fillcolor="black [3213]" stroked="f"/>
        </w:pict>
      </w:r>
    </w:p>
    <w:p w:rsidR="0003550C" w:rsidRPr="00EE0DCD" w:rsidRDefault="0003550C" w:rsidP="0003550C">
      <w:pPr>
        <w:widowControl w:val="0"/>
        <w:kinsoku w:val="0"/>
        <w:overflowPunct w:val="0"/>
        <w:jc w:val="both"/>
        <w:textAlignment w:val="baseline"/>
        <w:rPr>
          <w:sz w:val="20"/>
        </w:rPr>
      </w:pPr>
    </w:p>
    <w:p w:rsidR="0003550C" w:rsidRPr="00EE0DCD" w:rsidRDefault="0003550C" w:rsidP="0003550C">
      <w:pPr>
        <w:pStyle w:val="SCCLsocParty"/>
        <w:ind w:left="720" w:hanging="720"/>
        <w:jc w:val="both"/>
        <w:rPr>
          <w:b/>
          <w:i/>
          <w:sz w:val="20"/>
          <w:szCs w:val="20"/>
          <w:lang w:val="en-US"/>
        </w:rPr>
      </w:pPr>
      <w:r w:rsidRPr="00EE0DCD">
        <w:rPr>
          <w:rStyle w:val="SCCFileNumberChar"/>
          <w:sz w:val="20"/>
          <w:szCs w:val="20"/>
          <w:lang w:val="en-US"/>
        </w:rPr>
        <w:t>40223</w:t>
      </w:r>
      <w:r w:rsidRPr="00EE0DCD">
        <w:rPr>
          <w:rStyle w:val="SCCFileNumberChar"/>
          <w:sz w:val="20"/>
          <w:szCs w:val="20"/>
          <w:lang w:val="en-US"/>
        </w:rPr>
        <w:tab/>
      </w:r>
      <w:r w:rsidRPr="00EE0DCD">
        <w:rPr>
          <w:b/>
          <w:i/>
          <w:sz w:val="20"/>
          <w:szCs w:val="20"/>
          <w:lang w:val="en-US"/>
        </w:rPr>
        <w:t>Société Radio-Canada, Global News (une division de Corus Television Limited Partnership), Postmedia Network Inc., CTV News (une division de Bell Média inc.), Glacier Media Inc., CityNews (une division de Rogers Media Inc.), Globe and Mail Inc., Torstar Corporation c. Aydin Coban, Sa Majesté le Roi</w:t>
      </w:r>
    </w:p>
    <w:p w:rsidR="0003550C" w:rsidRPr="00EE0DCD" w:rsidRDefault="0003550C" w:rsidP="0003550C">
      <w:pPr>
        <w:widowControl w:val="0"/>
        <w:kinsoku w:val="0"/>
        <w:overflowPunct w:val="0"/>
        <w:ind w:firstLine="720"/>
        <w:jc w:val="both"/>
        <w:textAlignment w:val="baseline"/>
        <w:rPr>
          <w:sz w:val="20"/>
          <w:lang w:val="fr-CA"/>
        </w:rPr>
      </w:pPr>
      <w:r w:rsidRPr="00EE0DCD">
        <w:rPr>
          <w:sz w:val="20"/>
          <w:szCs w:val="20"/>
          <w:lang w:val="fr-CA"/>
        </w:rPr>
        <w:t>(C.-B.) (</w:t>
      </w:r>
      <w:r w:rsidRPr="00EE0DCD">
        <w:rPr>
          <w:sz w:val="20"/>
          <w:lang w:val="fr-CA"/>
        </w:rPr>
        <w:t>C</w:t>
      </w:r>
      <w:r w:rsidRPr="00EE0DCD">
        <w:rPr>
          <w:sz w:val="20"/>
          <w:szCs w:val="20"/>
          <w:lang w:val="fr-CA"/>
        </w:rPr>
        <w:t>riminelle) (</w:t>
      </w:r>
      <w:r w:rsidRPr="00EE0DCD">
        <w:rPr>
          <w:sz w:val="20"/>
          <w:lang w:val="fr-CA"/>
        </w:rPr>
        <w:t>S</w:t>
      </w:r>
      <w:r w:rsidRPr="00EE0DCD">
        <w:rPr>
          <w:sz w:val="20"/>
          <w:szCs w:val="20"/>
          <w:lang w:val="fr-CA"/>
        </w:rPr>
        <w:t>ur autorisation)</w:t>
      </w:r>
    </w:p>
    <w:p w:rsidR="0003550C" w:rsidRPr="00EE0DCD" w:rsidRDefault="0003550C" w:rsidP="0003550C">
      <w:pPr>
        <w:widowControl w:val="0"/>
        <w:kinsoku w:val="0"/>
        <w:overflowPunct w:val="0"/>
        <w:jc w:val="both"/>
        <w:textAlignment w:val="baseline"/>
        <w:rPr>
          <w:sz w:val="20"/>
          <w:lang w:val="fr-CA"/>
        </w:rPr>
      </w:pPr>
    </w:p>
    <w:p w:rsidR="0003550C" w:rsidRPr="00EE0DCD" w:rsidRDefault="0003550C" w:rsidP="0003550C">
      <w:pPr>
        <w:pStyle w:val="SCCBanSummary0"/>
        <w:rPr>
          <w:sz w:val="20"/>
          <w:szCs w:val="20"/>
          <w:lang w:val="fr-CA"/>
        </w:rPr>
      </w:pPr>
      <w:r w:rsidRPr="00EE0DCD">
        <w:rPr>
          <w:sz w:val="20"/>
          <w:szCs w:val="20"/>
          <w:lang w:val="fr-CA"/>
        </w:rPr>
        <w:t xml:space="preserve">(Ordonnance de non-publication au dossier) </w:t>
      </w:r>
    </w:p>
    <w:p w:rsidR="0003550C" w:rsidRPr="00EE0DCD" w:rsidRDefault="0003550C" w:rsidP="0003550C">
      <w:pPr>
        <w:pStyle w:val="SCCBanSummary0"/>
        <w:rPr>
          <w:sz w:val="20"/>
          <w:szCs w:val="20"/>
          <w:lang w:val="fr-CA"/>
        </w:rPr>
      </w:pPr>
    </w:p>
    <w:p w:rsidR="0003550C" w:rsidRPr="00EE0DCD" w:rsidRDefault="0003550C" w:rsidP="0003550C">
      <w:pPr>
        <w:widowControl w:val="0"/>
        <w:kinsoku w:val="0"/>
        <w:overflowPunct w:val="0"/>
        <w:jc w:val="both"/>
        <w:textAlignment w:val="baseline"/>
        <w:rPr>
          <w:sz w:val="20"/>
          <w:lang w:val="fr-CA"/>
        </w:rPr>
      </w:pPr>
      <w:r w:rsidRPr="00EE0DCD">
        <w:rPr>
          <w:sz w:val="20"/>
          <w:szCs w:val="20"/>
          <w:lang w:val="fr-CA"/>
        </w:rPr>
        <w:t xml:space="preserve">Droit criminel — </w:t>
      </w:r>
      <w:r w:rsidRPr="00EE0DCD">
        <w:rPr>
          <w:iCs/>
          <w:sz w:val="20"/>
          <w:szCs w:val="20"/>
          <w:lang w:val="fr-CA"/>
        </w:rPr>
        <w:t>Interdictions de publication</w:t>
      </w:r>
      <w:r w:rsidRPr="00EE0DCD">
        <w:rPr>
          <w:sz w:val="20"/>
          <w:szCs w:val="20"/>
          <w:lang w:val="fr-CA"/>
        </w:rPr>
        <w:t xml:space="preserve"> — Une interdiction de publication rendue en vertu de l’art. 648 du </w:t>
      </w:r>
      <w:r w:rsidRPr="00EE0DCD">
        <w:rPr>
          <w:i/>
          <w:sz w:val="20"/>
          <w:szCs w:val="20"/>
          <w:lang w:val="fr-CA"/>
        </w:rPr>
        <w:t>Code criminel</w:t>
      </w:r>
      <w:r w:rsidRPr="00EE0DCD">
        <w:rPr>
          <w:sz w:val="20"/>
          <w:szCs w:val="20"/>
          <w:lang w:val="fr-CA"/>
        </w:rPr>
        <w:t xml:space="preserve"> s’applique-t-elle à l’instance avant que le jury ne soit constitué ?</w:t>
      </w:r>
    </w:p>
    <w:p w:rsidR="0003550C" w:rsidRPr="00EE0DCD" w:rsidRDefault="0003550C" w:rsidP="0003550C">
      <w:pPr>
        <w:widowControl w:val="0"/>
        <w:kinsoku w:val="0"/>
        <w:overflowPunct w:val="0"/>
        <w:jc w:val="both"/>
        <w:textAlignment w:val="baseline"/>
        <w:rPr>
          <w:sz w:val="20"/>
          <w:lang w:val="fr-CA"/>
        </w:rPr>
      </w:pPr>
    </w:p>
    <w:p w:rsidR="0003550C" w:rsidRPr="00EE0DCD" w:rsidRDefault="0003550C" w:rsidP="0003550C">
      <w:pPr>
        <w:widowControl w:val="0"/>
        <w:kinsoku w:val="0"/>
        <w:overflowPunct w:val="0"/>
        <w:jc w:val="both"/>
        <w:textAlignment w:val="baseline"/>
        <w:rPr>
          <w:sz w:val="20"/>
          <w:lang w:val="fr-CA"/>
        </w:rPr>
      </w:pPr>
      <w:r w:rsidRPr="00EE0DCD">
        <w:rPr>
          <w:sz w:val="20"/>
          <w:szCs w:val="20"/>
          <w:lang w:val="fr-CA"/>
        </w:rPr>
        <w:t xml:space="preserve">Un accusé a été inculpé de plusieurs infractions. Avant le début du processus de sélection des jurés, une interdiction de publication a été imposée relativement à toutes les demandes préalables au procès dans le cadre de l’instance, en vertu du par. 648(1) du </w:t>
      </w:r>
      <w:r w:rsidRPr="00EE0DCD">
        <w:rPr>
          <w:i/>
          <w:sz w:val="20"/>
          <w:szCs w:val="20"/>
          <w:lang w:val="fr-CA"/>
        </w:rPr>
        <w:t>Code criminel</w:t>
      </w:r>
      <w:r w:rsidRPr="00EE0DCD">
        <w:rPr>
          <w:sz w:val="20"/>
          <w:szCs w:val="20"/>
          <w:lang w:val="fr-CA"/>
        </w:rPr>
        <w:t>. Un consortium des grands médias a présenté une demande pour que l’interdiction soit précisée et qu’elle soit déclarée applicable seulement une fois le jury constitué. La juge des requêtes a rejeté la demande.</w:t>
      </w:r>
    </w:p>
    <w:p w:rsidR="0003550C" w:rsidRPr="00EE0DCD" w:rsidRDefault="0003550C" w:rsidP="0003550C">
      <w:pPr>
        <w:widowControl w:val="0"/>
        <w:kinsoku w:val="0"/>
        <w:overflowPunct w:val="0"/>
        <w:jc w:val="both"/>
        <w:textAlignment w:val="baseline"/>
        <w:rPr>
          <w:sz w:val="20"/>
          <w:lang w:val="fr-CA"/>
        </w:rPr>
      </w:pPr>
    </w:p>
    <w:p w:rsidR="0003550C" w:rsidRPr="00EE0DCD" w:rsidRDefault="00962BCB" w:rsidP="0003550C">
      <w:pPr>
        <w:widowControl w:val="0"/>
        <w:kinsoku w:val="0"/>
        <w:overflowPunct w:val="0"/>
        <w:jc w:val="both"/>
        <w:textAlignment w:val="baseline"/>
        <w:rPr>
          <w:sz w:val="20"/>
          <w:szCs w:val="20"/>
          <w:lang w:val="fr-CA"/>
        </w:rPr>
      </w:pPr>
      <w:r w:rsidRPr="00EE0DCD">
        <w:rPr>
          <w:sz w:val="20"/>
        </w:rPr>
        <w:pict>
          <v:rect id="_x0000_i1053" style="width:2in;height:1pt" o:hrpct="0" o:hralign="center" o:hrstd="t" o:hrnoshade="t" o:hr="t" fillcolor="black [3213]" stroked="f"/>
        </w:pict>
      </w:r>
    </w:p>
    <w:p w:rsidR="0003550C" w:rsidRPr="00EE0DCD" w:rsidRDefault="0003550C" w:rsidP="0003550C">
      <w:pPr>
        <w:jc w:val="both"/>
        <w:rPr>
          <w:sz w:val="20"/>
          <w:szCs w:val="20"/>
          <w:lang w:val="fr-CA"/>
        </w:rPr>
      </w:pPr>
    </w:p>
    <w:p w:rsidR="0003550C" w:rsidRPr="00EE0DCD" w:rsidRDefault="0003550C" w:rsidP="0003550C">
      <w:pPr>
        <w:widowControl w:val="0"/>
        <w:tabs>
          <w:tab w:val="left" w:pos="720"/>
        </w:tabs>
        <w:ind w:left="1440" w:hanging="1440"/>
        <w:jc w:val="both"/>
        <w:rPr>
          <w:b/>
          <w:i/>
          <w:sz w:val="20"/>
          <w:szCs w:val="20"/>
        </w:rPr>
      </w:pPr>
      <w:r w:rsidRPr="00EE0DCD">
        <w:rPr>
          <w:b/>
          <w:sz w:val="20"/>
          <w:szCs w:val="20"/>
        </w:rPr>
        <w:fldChar w:fldCharType="begin"/>
      </w:r>
      <w:r w:rsidRPr="00EE0DCD">
        <w:rPr>
          <w:b/>
          <w:sz w:val="20"/>
          <w:szCs w:val="20"/>
        </w:rPr>
        <w:instrText xml:space="preserve"> SEQ CHAPTER \h \r 1</w:instrText>
      </w:r>
      <w:r w:rsidRPr="00EE0DCD">
        <w:rPr>
          <w:b/>
          <w:sz w:val="20"/>
          <w:szCs w:val="20"/>
        </w:rPr>
        <w:fldChar w:fldCharType="end"/>
      </w:r>
      <w:r w:rsidRPr="00EE0DCD">
        <w:rPr>
          <w:b/>
          <w:sz w:val="20"/>
          <w:szCs w:val="20"/>
        </w:rPr>
        <w:t>40095</w:t>
      </w:r>
      <w:r w:rsidRPr="00EE0DCD">
        <w:rPr>
          <w:sz w:val="20"/>
          <w:szCs w:val="20"/>
        </w:rPr>
        <w:tab/>
      </w:r>
      <w:r w:rsidRPr="00EE0DCD">
        <w:rPr>
          <w:b/>
          <w:i/>
          <w:sz w:val="20"/>
          <w:szCs w:val="20"/>
        </w:rPr>
        <w:t>His Majesty the King v. Christopher James Kruk</w:t>
      </w:r>
    </w:p>
    <w:p w:rsidR="0003550C" w:rsidRPr="00EE0DCD" w:rsidRDefault="0003550C" w:rsidP="0003550C">
      <w:pPr>
        <w:widowControl w:val="0"/>
        <w:tabs>
          <w:tab w:val="left" w:pos="720"/>
        </w:tabs>
        <w:ind w:left="1440" w:hanging="1440"/>
        <w:jc w:val="both"/>
        <w:rPr>
          <w:sz w:val="20"/>
          <w:szCs w:val="20"/>
        </w:rPr>
      </w:pPr>
      <w:r w:rsidRPr="00EE0DCD">
        <w:rPr>
          <w:sz w:val="20"/>
          <w:szCs w:val="20"/>
        </w:rPr>
        <w:tab/>
        <w:t>(B.C.) (Criminal) (By Leave)</w:t>
      </w:r>
    </w:p>
    <w:p w:rsidR="0003550C" w:rsidRPr="00EE0DCD" w:rsidRDefault="0003550C" w:rsidP="0003550C">
      <w:pPr>
        <w:widowControl w:val="0"/>
        <w:jc w:val="both"/>
        <w:rPr>
          <w:sz w:val="20"/>
          <w:szCs w:val="20"/>
        </w:rPr>
      </w:pPr>
    </w:p>
    <w:p w:rsidR="0003550C" w:rsidRPr="00EE0DCD" w:rsidRDefault="0003550C" w:rsidP="0003550C">
      <w:pPr>
        <w:widowControl w:val="0"/>
        <w:jc w:val="both"/>
        <w:rPr>
          <w:sz w:val="20"/>
          <w:szCs w:val="20"/>
        </w:rPr>
      </w:pPr>
      <w:r w:rsidRPr="00EE0DCD">
        <w:rPr>
          <w:sz w:val="20"/>
          <w:szCs w:val="20"/>
        </w:rPr>
        <w:t>(PUBLICATION BAN IN CASE)</w:t>
      </w:r>
    </w:p>
    <w:p w:rsidR="0003550C" w:rsidRPr="00EE0DCD" w:rsidRDefault="0003550C" w:rsidP="0003550C">
      <w:pPr>
        <w:widowControl w:val="0"/>
        <w:jc w:val="both"/>
        <w:rPr>
          <w:sz w:val="20"/>
          <w:szCs w:val="20"/>
        </w:rPr>
      </w:pPr>
    </w:p>
    <w:p w:rsidR="0003550C" w:rsidRPr="00EE0DCD" w:rsidRDefault="0003550C" w:rsidP="0003550C">
      <w:pPr>
        <w:jc w:val="both"/>
        <w:rPr>
          <w:sz w:val="20"/>
          <w:szCs w:val="20"/>
        </w:rPr>
      </w:pPr>
      <w:r w:rsidRPr="00EE0DCD">
        <w:rPr>
          <w:sz w:val="20"/>
          <w:szCs w:val="20"/>
        </w:rPr>
        <w:t>Criminal law — Trial — Judgments — Sexual assault — Whether the Court of Appeal erred in concluding that the trial judge relied on speculative reasoning in accepting the complainant’s evidence — Whether there was no merit to the respondent’s alternate argument regarding alleged misapprehensions of evidence, and the appropriate remedy was to restore the conviction.</w:t>
      </w:r>
    </w:p>
    <w:p w:rsidR="0003550C" w:rsidRPr="00EE0DCD" w:rsidRDefault="0003550C" w:rsidP="0003550C">
      <w:pPr>
        <w:widowControl w:val="0"/>
        <w:jc w:val="both"/>
        <w:rPr>
          <w:sz w:val="20"/>
          <w:szCs w:val="20"/>
        </w:rPr>
      </w:pPr>
    </w:p>
    <w:p w:rsidR="0003550C" w:rsidRPr="00EE0DCD" w:rsidRDefault="0003550C" w:rsidP="0003550C">
      <w:pPr>
        <w:jc w:val="both"/>
        <w:rPr>
          <w:sz w:val="20"/>
        </w:rPr>
      </w:pPr>
      <w:r w:rsidRPr="00EE0DCD">
        <w:rPr>
          <w:color w:val="000000"/>
          <w:sz w:val="20"/>
          <w:szCs w:val="20"/>
        </w:rPr>
        <w:t>The complainant was intoxicated, and eventually passed out or fell asleep in the respondent’s bedroom. She testified that she woke up to find the respondent on top of her with his penis inside her vagina. The respondent denied having sex with the complainant.</w:t>
      </w:r>
      <w:r w:rsidRPr="00EE0DCD">
        <w:rPr>
          <w:sz w:val="20"/>
          <w:szCs w:val="20"/>
        </w:rPr>
        <w:t xml:space="preserve"> The respondent was convicted of sexual assault. The Court of Appeal allowed the respondent’s appeal, set aside the conviction, and ordered a new trial.</w:t>
      </w:r>
    </w:p>
    <w:p w:rsidR="0003550C" w:rsidRPr="00EE0DCD" w:rsidRDefault="0003550C" w:rsidP="0003550C">
      <w:pPr>
        <w:jc w:val="both"/>
        <w:rPr>
          <w:sz w:val="20"/>
        </w:rPr>
      </w:pPr>
    </w:p>
    <w:p w:rsidR="0003550C" w:rsidRPr="00EE0DCD" w:rsidRDefault="00962BCB" w:rsidP="0003550C">
      <w:pPr>
        <w:jc w:val="both"/>
        <w:rPr>
          <w:sz w:val="20"/>
        </w:rPr>
      </w:pPr>
      <w:r w:rsidRPr="00EE0DCD">
        <w:rPr>
          <w:sz w:val="20"/>
        </w:rPr>
        <w:pict>
          <v:rect id="_x0000_i1054" style="width:2in;height:1pt" o:hrpct="0" o:hralign="center" o:hrstd="t" o:hrnoshade="t" o:hr="t" fillcolor="black [3213]" stroked="f"/>
        </w:pict>
      </w:r>
    </w:p>
    <w:p w:rsidR="0003550C" w:rsidRPr="00EE0DCD" w:rsidRDefault="0003550C" w:rsidP="0003550C">
      <w:pPr>
        <w:jc w:val="both"/>
        <w:rPr>
          <w:sz w:val="20"/>
        </w:rPr>
      </w:pPr>
    </w:p>
    <w:p w:rsidR="0003550C" w:rsidRPr="00EE0DCD" w:rsidRDefault="0003550C">
      <w:pPr>
        <w:rPr>
          <w:rStyle w:val="SCCFileNumberChar"/>
          <w:sz w:val="20"/>
          <w:szCs w:val="20"/>
          <w:lang w:val="fr-CA"/>
        </w:rPr>
      </w:pPr>
      <w:r w:rsidRPr="00EE0DCD">
        <w:rPr>
          <w:rStyle w:val="SCCFileNumberChar"/>
          <w:sz w:val="20"/>
          <w:szCs w:val="20"/>
          <w:lang w:val="fr-CA"/>
        </w:rPr>
        <w:br w:type="page"/>
      </w:r>
    </w:p>
    <w:p w:rsidR="0003550C" w:rsidRPr="00EE0DCD" w:rsidRDefault="0003550C" w:rsidP="0003550C">
      <w:pPr>
        <w:pStyle w:val="SCCLsocParty"/>
        <w:jc w:val="both"/>
        <w:rPr>
          <w:b/>
          <w:i/>
          <w:sz w:val="20"/>
          <w:szCs w:val="20"/>
        </w:rPr>
      </w:pPr>
      <w:r w:rsidRPr="00EE0DCD">
        <w:rPr>
          <w:rStyle w:val="SCCFileNumberChar"/>
          <w:sz w:val="20"/>
          <w:szCs w:val="20"/>
          <w:lang w:val="fr-CA"/>
        </w:rPr>
        <w:t>40095</w:t>
      </w:r>
      <w:r w:rsidRPr="00EE0DCD">
        <w:rPr>
          <w:rStyle w:val="SCCFileNumberChar"/>
          <w:sz w:val="20"/>
          <w:szCs w:val="20"/>
          <w:lang w:val="fr-CA"/>
        </w:rPr>
        <w:tab/>
      </w:r>
      <w:r w:rsidRPr="00EE0DCD">
        <w:rPr>
          <w:b/>
          <w:i/>
          <w:sz w:val="20"/>
          <w:szCs w:val="20"/>
        </w:rPr>
        <w:t>Sa Majesté le Roi c. Christopher James Kruk</w:t>
      </w:r>
    </w:p>
    <w:p w:rsidR="0003550C" w:rsidRPr="00EE0DCD" w:rsidRDefault="0003550C" w:rsidP="0003550C">
      <w:pPr>
        <w:ind w:firstLine="720"/>
        <w:jc w:val="both"/>
        <w:rPr>
          <w:sz w:val="20"/>
          <w:lang w:val="fr-CA"/>
        </w:rPr>
      </w:pPr>
      <w:r w:rsidRPr="00EE0DCD">
        <w:rPr>
          <w:sz w:val="20"/>
          <w:szCs w:val="20"/>
          <w:lang w:val="fr-CA"/>
        </w:rPr>
        <w:t>(C.-B.) (Criminelle) (Sur autorisation)</w:t>
      </w:r>
    </w:p>
    <w:p w:rsidR="0003550C" w:rsidRPr="00EE0DCD" w:rsidRDefault="0003550C" w:rsidP="0003550C">
      <w:pPr>
        <w:jc w:val="both"/>
        <w:rPr>
          <w:sz w:val="20"/>
          <w:lang w:val="fr-CA"/>
        </w:rPr>
      </w:pPr>
    </w:p>
    <w:p w:rsidR="0003550C" w:rsidRPr="00EE0DCD" w:rsidRDefault="0003550C" w:rsidP="0003550C">
      <w:pPr>
        <w:pStyle w:val="SCCBanSummary0"/>
        <w:rPr>
          <w:sz w:val="20"/>
          <w:szCs w:val="20"/>
          <w:lang w:val="fr-CA"/>
        </w:rPr>
      </w:pPr>
      <w:r w:rsidRPr="00EE0DCD">
        <w:rPr>
          <w:sz w:val="20"/>
          <w:szCs w:val="20"/>
          <w:lang w:val="fr-CA"/>
        </w:rPr>
        <w:t>(Ordonnance de non-publication au dossier)</w:t>
      </w:r>
    </w:p>
    <w:p w:rsidR="0003550C" w:rsidRPr="00EE0DCD" w:rsidRDefault="0003550C" w:rsidP="0003550C">
      <w:pPr>
        <w:jc w:val="both"/>
        <w:rPr>
          <w:sz w:val="20"/>
          <w:lang w:val="fr-CA"/>
        </w:rPr>
      </w:pPr>
    </w:p>
    <w:p w:rsidR="0003550C" w:rsidRPr="00EE0DCD" w:rsidRDefault="0003550C" w:rsidP="0003550C">
      <w:pPr>
        <w:jc w:val="both"/>
        <w:rPr>
          <w:sz w:val="20"/>
          <w:szCs w:val="20"/>
          <w:lang w:val="fr-CA"/>
        </w:rPr>
      </w:pPr>
      <w:r w:rsidRPr="00EE0DCD">
        <w:rPr>
          <w:sz w:val="20"/>
          <w:szCs w:val="20"/>
          <w:lang w:val="fr-CA"/>
        </w:rPr>
        <w:t>Droit criminel — Procès — Jugements — Agression sexuelle — La Cour d’appel a-t-elle commis une erreur en concluant que le juge du procès s’était fondé sur un raisonnement conjectural lorsqu’il a retenu le témoignage de la plaignante? — L’argument subsidiaire de l’intimé selon lequel il y avait eu mauvaise interprétation de la preuve était-il sans fondement, et la réparation appropriée était-elle de rétablir la déclaration de culpabilité?</w:t>
      </w:r>
    </w:p>
    <w:p w:rsidR="0003550C" w:rsidRPr="00EE0DCD" w:rsidRDefault="0003550C" w:rsidP="0003550C">
      <w:pPr>
        <w:jc w:val="both"/>
        <w:rPr>
          <w:sz w:val="20"/>
          <w:lang w:val="fr-CA"/>
        </w:rPr>
      </w:pPr>
    </w:p>
    <w:p w:rsidR="0003550C" w:rsidRPr="00EE0DCD" w:rsidRDefault="0003550C" w:rsidP="0003550C">
      <w:pPr>
        <w:jc w:val="both"/>
        <w:rPr>
          <w:sz w:val="20"/>
          <w:lang w:val="fr-CA"/>
        </w:rPr>
      </w:pPr>
      <w:r w:rsidRPr="00EE0DCD">
        <w:rPr>
          <w:color w:val="000000"/>
          <w:sz w:val="20"/>
          <w:szCs w:val="20"/>
          <w:lang w:val="fr-CA"/>
        </w:rPr>
        <w:t>La plaignante, qui était en état d’ébriété, a fini par perdre connaissance ou tomber endormie dans la chambre à coucher de l’intimé. Elle a témoigné qu’elle s’est réveillée pour constater que l’intimé était au-dessus d’elle et qu’il avait inséré son pénis dans son vagin. L’intimé a nié avoir eu des relations sexuelles avec la plaignante.</w:t>
      </w:r>
      <w:r w:rsidRPr="00EE0DCD">
        <w:rPr>
          <w:sz w:val="20"/>
          <w:szCs w:val="20"/>
          <w:lang w:val="fr-CA"/>
        </w:rPr>
        <w:t xml:space="preserve"> L’intimé a été déclaré coupable d’agression sexuelle. La Cour d’appel a accueilli l’appel de l’intimé, a annulé la déclaration de culpabilité et a ordonné la tenue d’un nouveau procès.</w:t>
      </w:r>
    </w:p>
    <w:p w:rsidR="0003550C" w:rsidRPr="00EE0DCD" w:rsidRDefault="0003550C" w:rsidP="0003550C">
      <w:pPr>
        <w:jc w:val="both"/>
        <w:rPr>
          <w:sz w:val="20"/>
          <w:lang w:val="fr-CA"/>
        </w:rPr>
      </w:pPr>
    </w:p>
    <w:p w:rsidR="0003550C" w:rsidRPr="00EE0DCD" w:rsidRDefault="00962BCB" w:rsidP="0003550C">
      <w:pPr>
        <w:jc w:val="both"/>
        <w:rPr>
          <w:sz w:val="20"/>
          <w:lang w:val="fr-CA"/>
        </w:rPr>
      </w:pPr>
      <w:r w:rsidRPr="00EE0DCD">
        <w:rPr>
          <w:sz w:val="20"/>
        </w:rPr>
        <w:pict>
          <v:rect id="_x0000_i1055" style="width:2in;height:1pt" o:hrpct="0" o:hralign="center" o:hrstd="t" o:hrnoshade="t" o:hr="t" fillcolor="black [3213]" stroked="f"/>
        </w:pict>
      </w:r>
    </w:p>
    <w:p w:rsidR="0003550C" w:rsidRPr="00EE0DCD" w:rsidRDefault="0003550C" w:rsidP="0003550C">
      <w:pPr>
        <w:jc w:val="both"/>
        <w:rPr>
          <w:sz w:val="20"/>
          <w:szCs w:val="20"/>
          <w:lang w:val="fr-CA"/>
        </w:rPr>
      </w:pPr>
    </w:p>
    <w:p w:rsidR="0003550C" w:rsidRPr="00EE0DCD" w:rsidRDefault="0003550C" w:rsidP="0003550C">
      <w:pPr>
        <w:widowControl w:val="0"/>
        <w:tabs>
          <w:tab w:val="left" w:pos="720"/>
        </w:tabs>
        <w:ind w:left="1440" w:hanging="1440"/>
        <w:jc w:val="both"/>
        <w:rPr>
          <w:b/>
          <w:i/>
          <w:sz w:val="20"/>
          <w:szCs w:val="20"/>
        </w:rPr>
      </w:pPr>
      <w:r w:rsidRPr="00EE0DCD">
        <w:rPr>
          <w:b/>
          <w:sz w:val="20"/>
          <w:szCs w:val="20"/>
        </w:rPr>
        <w:fldChar w:fldCharType="begin"/>
      </w:r>
      <w:r w:rsidRPr="00EE0DCD">
        <w:rPr>
          <w:b/>
          <w:sz w:val="20"/>
          <w:szCs w:val="20"/>
        </w:rPr>
        <w:instrText xml:space="preserve"> SEQ CHAPTER \h \r 1</w:instrText>
      </w:r>
      <w:r w:rsidRPr="00EE0DCD">
        <w:rPr>
          <w:b/>
          <w:sz w:val="20"/>
          <w:szCs w:val="20"/>
        </w:rPr>
        <w:fldChar w:fldCharType="end"/>
      </w:r>
      <w:r w:rsidRPr="00EE0DCD">
        <w:rPr>
          <w:b/>
          <w:sz w:val="20"/>
          <w:szCs w:val="20"/>
        </w:rPr>
        <w:t>40447</w:t>
      </w:r>
      <w:r w:rsidRPr="00EE0DCD">
        <w:rPr>
          <w:sz w:val="20"/>
          <w:szCs w:val="20"/>
        </w:rPr>
        <w:tab/>
      </w:r>
      <w:r w:rsidRPr="00EE0DCD">
        <w:rPr>
          <w:b/>
          <w:i/>
          <w:sz w:val="20"/>
          <w:szCs w:val="20"/>
        </w:rPr>
        <w:t>His Majesty the King v. Edwin Tsang</w:t>
      </w:r>
    </w:p>
    <w:p w:rsidR="0003550C" w:rsidRPr="00EE0DCD" w:rsidRDefault="0003550C" w:rsidP="0003550C">
      <w:pPr>
        <w:widowControl w:val="0"/>
        <w:tabs>
          <w:tab w:val="left" w:pos="720"/>
        </w:tabs>
        <w:ind w:left="1440" w:hanging="1440"/>
        <w:jc w:val="both"/>
        <w:rPr>
          <w:sz w:val="20"/>
          <w:szCs w:val="20"/>
        </w:rPr>
      </w:pPr>
      <w:r w:rsidRPr="00EE0DCD">
        <w:rPr>
          <w:sz w:val="20"/>
          <w:szCs w:val="20"/>
        </w:rPr>
        <w:tab/>
        <w:t>(B.C.) (Criminal) (By Leave)</w:t>
      </w:r>
    </w:p>
    <w:p w:rsidR="0003550C" w:rsidRPr="00EE0DCD" w:rsidRDefault="0003550C" w:rsidP="0003550C">
      <w:pPr>
        <w:widowControl w:val="0"/>
        <w:ind w:left="1440" w:hanging="1440"/>
        <w:jc w:val="both"/>
        <w:rPr>
          <w:sz w:val="20"/>
          <w:szCs w:val="20"/>
        </w:rPr>
      </w:pPr>
    </w:p>
    <w:p w:rsidR="0003550C" w:rsidRPr="00EE0DCD" w:rsidRDefault="0003550C" w:rsidP="0003550C">
      <w:pPr>
        <w:widowControl w:val="0"/>
        <w:jc w:val="both"/>
        <w:rPr>
          <w:sz w:val="20"/>
          <w:szCs w:val="20"/>
        </w:rPr>
      </w:pPr>
      <w:r w:rsidRPr="00EE0DCD">
        <w:rPr>
          <w:sz w:val="20"/>
          <w:szCs w:val="20"/>
        </w:rPr>
        <w:t>(PUBLICATION BAN IN CASE)</w:t>
      </w:r>
    </w:p>
    <w:p w:rsidR="0003550C" w:rsidRPr="00EE0DCD" w:rsidRDefault="0003550C" w:rsidP="0003550C">
      <w:pPr>
        <w:widowControl w:val="0"/>
        <w:jc w:val="both"/>
        <w:rPr>
          <w:sz w:val="20"/>
          <w:szCs w:val="20"/>
        </w:rPr>
      </w:pPr>
    </w:p>
    <w:p w:rsidR="0003550C" w:rsidRPr="00EE0DCD" w:rsidRDefault="0003550C" w:rsidP="0003550C">
      <w:pPr>
        <w:jc w:val="both"/>
        <w:rPr>
          <w:sz w:val="20"/>
          <w:szCs w:val="20"/>
        </w:rPr>
      </w:pPr>
      <w:r w:rsidRPr="00EE0DCD">
        <w:rPr>
          <w:sz w:val="20"/>
          <w:szCs w:val="20"/>
        </w:rPr>
        <w:t>Criminal law — Trial — Judgments — Sexual assault — Whether the Court of Appeal erred by not applying a deferential standard of review, and intervening on the basis that the trial judge erred in law by basing her credibility conclusions on unfounded generalizations — Whether the Court of Appeal erred by not conducting a functional and contextual review of the trial judge’s reasons — Whether the Court of Appeal erred by improperly re-weighing the evidence in concluding that the alleged unfounded generalizations were material — What is the appropriate remedy for the Court of Appeal’s errors?</w:t>
      </w:r>
    </w:p>
    <w:p w:rsidR="0003550C" w:rsidRPr="00EE0DCD" w:rsidRDefault="0003550C" w:rsidP="0003550C">
      <w:pPr>
        <w:widowControl w:val="0"/>
        <w:jc w:val="both"/>
        <w:rPr>
          <w:sz w:val="20"/>
          <w:szCs w:val="20"/>
        </w:rPr>
      </w:pPr>
    </w:p>
    <w:p w:rsidR="0003550C" w:rsidRPr="00EE0DCD" w:rsidRDefault="0003550C" w:rsidP="0003550C">
      <w:pPr>
        <w:jc w:val="both"/>
        <w:rPr>
          <w:color w:val="000000"/>
          <w:sz w:val="20"/>
        </w:rPr>
      </w:pPr>
      <w:bookmarkStart w:id="9" w:name="_Hlk105337403"/>
      <w:r w:rsidRPr="00EE0DCD">
        <w:rPr>
          <w:color w:val="000000"/>
          <w:sz w:val="20"/>
          <w:szCs w:val="20"/>
        </w:rPr>
        <w:t>The respondent and the complainant had mutual friends, but met for the first time at an event. When that event ended, the respondent drove the complainant and her friend, to Commodore Ballroom. The respondent and the complainant continued drinking and dancing and later left the Commodore in the respondent’s car. On the way to the complainant’s home, they got into the back seat to “make out”. The trial judge found that what ensued after the initial consensual foreplay was a sexual assault.</w:t>
      </w:r>
      <w:bookmarkEnd w:id="9"/>
      <w:r w:rsidRPr="00EE0DCD">
        <w:rPr>
          <w:color w:val="000000"/>
          <w:sz w:val="20"/>
          <w:szCs w:val="20"/>
        </w:rPr>
        <w:t xml:space="preserve"> The trial judge convicted the respondent of sexual assault. The Court of Appeal allowed the conviction appeal, set aside the conviction and ordered a new trial.</w:t>
      </w:r>
    </w:p>
    <w:p w:rsidR="0003550C" w:rsidRPr="00EE0DCD" w:rsidRDefault="0003550C" w:rsidP="0003550C">
      <w:pPr>
        <w:jc w:val="both"/>
        <w:rPr>
          <w:color w:val="000000"/>
          <w:sz w:val="20"/>
        </w:rPr>
      </w:pPr>
    </w:p>
    <w:p w:rsidR="0003550C" w:rsidRPr="00EE0DCD" w:rsidRDefault="00962BCB" w:rsidP="0003550C">
      <w:pPr>
        <w:jc w:val="both"/>
        <w:rPr>
          <w:color w:val="000000"/>
          <w:sz w:val="20"/>
        </w:rPr>
      </w:pPr>
      <w:r w:rsidRPr="00EE0DCD">
        <w:rPr>
          <w:sz w:val="20"/>
        </w:rPr>
        <w:pict>
          <v:rect id="_x0000_i1056" style="width:2in;height:1pt" o:hrpct="0" o:hralign="center" o:hrstd="t" o:hrnoshade="t" o:hr="t" fillcolor="black [3213]" stroked="f"/>
        </w:pict>
      </w:r>
    </w:p>
    <w:p w:rsidR="0003550C" w:rsidRPr="00EE0DCD" w:rsidRDefault="0003550C" w:rsidP="0003550C">
      <w:pPr>
        <w:jc w:val="both"/>
        <w:rPr>
          <w:color w:val="000000"/>
          <w:sz w:val="20"/>
        </w:rPr>
      </w:pPr>
    </w:p>
    <w:p w:rsidR="0003550C" w:rsidRPr="00EE0DCD" w:rsidRDefault="0003550C" w:rsidP="0003550C">
      <w:pPr>
        <w:pStyle w:val="SCCLsocParty"/>
        <w:jc w:val="both"/>
        <w:rPr>
          <w:b/>
          <w:i/>
          <w:sz w:val="20"/>
          <w:szCs w:val="20"/>
        </w:rPr>
      </w:pPr>
      <w:r w:rsidRPr="00EE0DCD">
        <w:rPr>
          <w:rStyle w:val="SCCFileNumberChar"/>
          <w:sz w:val="20"/>
          <w:szCs w:val="20"/>
          <w:lang w:val="fr-CA"/>
        </w:rPr>
        <w:t>40447</w:t>
      </w:r>
      <w:r w:rsidRPr="00EE0DCD">
        <w:rPr>
          <w:rStyle w:val="SCCFileNumberChar"/>
          <w:sz w:val="20"/>
          <w:szCs w:val="20"/>
          <w:lang w:val="fr-CA"/>
        </w:rPr>
        <w:tab/>
      </w:r>
      <w:r w:rsidRPr="00EE0DCD">
        <w:rPr>
          <w:b/>
          <w:i/>
          <w:sz w:val="20"/>
          <w:szCs w:val="20"/>
        </w:rPr>
        <w:t>Sa Majesté le Roi c. Edwin Tsang</w:t>
      </w:r>
    </w:p>
    <w:p w:rsidR="0003550C" w:rsidRPr="00EE0DCD" w:rsidRDefault="0003550C" w:rsidP="0003550C">
      <w:pPr>
        <w:ind w:firstLine="720"/>
        <w:jc w:val="both"/>
        <w:rPr>
          <w:color w:val="000000"/>
          <w:sz w:val="20"/>
          <w:lang w:val="fr-CA"/>
        </w:rPr>
      </w:pPr>
      <w:r w:rsidRPr="00EE0DCD">
        <w:rPr>
          <w:sz w:val="20"/>
          <w:szCs w:val="20"/>
          <w:lang w:val="fr-CA"/>
        </w:rPr>
        <w:t>(C.-B.) (Criminelle) (Sur autorisation)</w:t>
      </w:r>
    </w:p>
    <w:p w:rsidR="0003550C" w:rsidRPr="00EE0DCD" w:rsidRDefault="0003550C" w:rsidP="0003550C">
      <w:pPr>
        <w:jc w:val="both"/>
        <w:rPr>
          <w:sz w:val="20"/>
          <w:szCs w:val="20"/>
          <w:lang w:val="fr-CA"/>
        </w:rPr>
      </w:pPr>
    </w:p>
    <w:p w:rsidR="0003550C" w:rsidRPr="00EE0DCD" w:rsidRDefault="0003550C" w:rsidP="0003550C">
      <w:pPr>
        <w:pStyle w:val="SCCBanSummary0"/>
        <w:rPr>
          <w:sz w:val="20"/>
          <w:szCs w:val="20"/>
          <w:lang w:val="fr-CA"/>
        </w:rPr>
      </w:pPr>
      <w:r w:rsidRPr="00EE0DCD">
        <w:rPr>
          <w:sz w:val="20"/>
          <w:szCs w:val="20"/>
          <w:lang w:val="fr-CA"/>
        </w:rPr>
        <w:t>(Ordonnance de non-publication au dossier)</w:t>
      </w:r>
    </w:p>
    <w:p w:rsidR="0003550C" w:rsidRPr="00EE0DCD" w:rsidRDefault="0003550C" w:rsidP="0003550C">
      <w:pPr>
        <w:jc w:val="both"/>
        <w:rPr>
          <w:sz w:val="20"/>
          <w:lang w:val="fr-CA"/>
        </w:rPr>
      </w:pPr>
    </w:p>
    <w:p w:rsidR="0003550C" w:rsidRPr="00EE0DCD" w:rsidRDefault="0003550C" w:rsidP="0003550C">
      <w:pPr>
        <w:jc w:val="both"/>
        <w:rPr>
          <w:sz w:val="20"/>
          <w:szCs w:val="20"/>
          <w:lang w:val="fr-CA"/>
        </w:rPr>
      </w:pPr>
      <w:r w:rsidRPr="00EE0DCD">
        <w:rPr>
          <w:sz w:val="20"/>
          <w:szCs w:val="20"/>
          <w:lang w:val="fr-CA"/>
        </w:rPr>
        <w:t xml:space="preserve">Droit criminel — Procès — Jugements — Agression sexuelle — La Cour d’appel a-t-elle fait erreur en omettant d'appliquer une norme de contrôle empreinte de déférence, et en intervenant au motif que la juge de première instance a commis une erreur de droit lorsqu’elle s’est basée sur des généralisations non fondées pour tirer des conclusions quant à la crédibilité? La Cour d’appel a-t-elle eu tort de ne pas procéder à un examen fonctionnel et contextuel des motifs de la juge de première instance? La Cour d’appel a-t-elle commis une erreur en soupesant, à tort, la preuve de nouveau lorsqu'elle a conclu que les présumées généralisations non fondées étaient importantes? Quelle réparation convient-il d’accorder en raison des erreurs commises par la Cour d’appel? </w:t>
      </w:r>
    </w:p>
    <w:p w:rsidR="0003550C" w:rsidRPr="00EE0DCD" w:rsidRDefault="0003550C" w:rsidP="0003550C">
      <w:pPr>
        <w:jc w:val="both"/>
        <w:rPr>
          <w:sz w:val="20"/>
          <w:lang w:val="fr-CA"/>
        </w:rPr>
      </w:pPr>
    </w:p>
    <w:p w:rsidR="0003550C" w:rsidRPr="00EE0DCD" w:rsidRDefault="0003550C">
      <w:pPr>
        <w:rPr>
          <w:color w:val="000000"/>
          <w:sz w:val="20"/>
          <w:szCs w:val="20"/>
          <w:lang w:val="fr-CA"/>
        </w:rPr>
      </w:pPr>
      <w:r w:rsidRPr="00EE0DCD">
        <w:rPr>
          <w:color w:val="000000"/>
          <w:sz w:val="20"/>
          <w:szCs w:val="20"/>
          <w:lang w:val="fr-CA"/>
        </w:rPr>
        <w:br w:type="page"/>
      </w:r>
    </w:p>
    <w:p w:rsidR="0003550C" w:rsidRPr="00EE0DCD" w:rsidRDefault="0003550C" w:rsidP="0003550C">
      <w:pPr>
        <w:jc w:val="both"/>
        <w:rPr>
          <w:sz w:val="20"/>
          <w:lang w:val="fr-CA"/>
        </w:rPr>
      </w:pPr>
      <w:r w:rsidRPr="00EE0DCD">
        <w:rPr>
          <w:color w:val="000000"/>
          <w:sz w:val="20"/>
          <w:szCs w:val="20"/>
          <w:lang w:val="fr-CA"/>
        </w:rPr>
        <w:t>L’intimé et la plaignante avaient des amis en commun, mais ils se sont rencontrés pour la première fois lors d'un événement. À la fin de l’événement, l’intimé a conduit la plaignante et son amie au Commodore Ballroom. L’intimé et la plaignante ont continué à boire et à danser et ont ensuite quitté le Commodore dans la voiture de l’intimé. Sur le chemin du domicile de la plaignante, ils se sont installés sur la banquette arrière pour « se peloter ». La juge de première instance a estimé que ce qui s'est passé après les premiers préliminaires consensuels était une agression sexuelle. La juge de première instance a déclaré l’intimé coupable d’agression sexuelle. La Cour d’appel a accueilli l’appel de la déclaration de culpabilité, a annulé la déclaration de culpabilité et a ordonné la tenue d’un nouveau procès.</w:t>
      </w:r>
    </w:p>
    <w:p w:rsidR="0003550C" w:rsidRPr="00EE0DCD" w:rsidRDefault="0003550C" w:rsidP="0003550C">
      <w:pPr>
        <w:jc w:val="both"/>
        <w:rPr>
          <w:sz w:val="20"/>
          <w:szCs w:val="20"/>
          <w:lang w:val="fr-CA"/>
        </w:rPr>
      </w:pPr>
    </w:p>
    <w:p w:rsidR="0003550C" w:rsidRPr="00EE0DCD" w:rsidRDefault="00962BCB" w:rsidP="0003550C">
      <w:pPr>
        <w:jc w:val="both"/>
        <w:rPr>
          <w:sz w:val="20"/>
          <w:szCs w:val="20"/>
          <w:lang w:val="fr-CA"/>
        </w:rPr>
      </w:pPr>
      <w:r w:rsidRPr="00EE0DCD">
        <w:rPr>
          <w:sz w:val="20"/>
        </w:rPr>
        <w:pict>
          <v:rect id="_x0000_i1057" style="width:2in;height:1pt" o:hrpct="0" o:hralign="center" o:hrstd="t" o:hrnoshade="t" o:hr="t" fillcolor="black [3213]" stroked="f"/>
        </w:pict>
      </w:r>
    </w:p>
    <w:p w:rsidR="0003550C" w:rsidRPr="00EE0DCD" w:rsidRDefault="0003550C" w:rsidP="0003550C">
      <w:pPr>
        <w:widowControl w:val="0"/>
        <w:tabs>
          <w:tab w:val="left" w:pos="720"/>
        </w:tabs>
        <w:ind w:left="1440" w:hanging="1440"/>
        <w:jc w:val="both"/>
        <w:rPr>
          <w:sz w:val="20"/>
          <w:szCs w:val="20"/>
          <w:lang w:val="fr-CA"/>
        </w:rPr>
      </w:pPr>
    </w:p>
    <w:p w:rsidR="0003550C" w:rsidRPr="00EE0DCD" w:rsidRDefault="0003550C" w:rsidP="0003550C">
      <w:pPr>
        <w:widowControl w:val="0"/>
        <w:tabs>
          <w:tab w:val="left" w:pos="720"/>
        </w:tabs>
        <w:ind w:left="1440" w:hanging="1440"/>
        <w:jc w:val="both"/>
        <w:rPr>
          <w:b/>
          <w:i/>
          <w:sz w:val="20"/>
          <w:szCs w:val="20"/>
        </w:rPr>
      </w:pPr>
      <w:r w:rsidRPr="00EE0DCD">
        <w:rPr>
          <w:b/>
          <w:sz w:val="20"/>
          <w:szCs w:val="20"/>
        </w:rPr>
        <w:fldChar w:fldCharType="begin"/>
      </w:r>
      <w:r w:rsidRPr="00EE0DCD">
        <w:rPr>
          <w:b/>
          <w:sz w:val="20"/>
          <w:szCs w:val="20"/>
        </w:rPr>
        <w:instrText xml:space="preserve"> SEQ CHAPTER \h \r 1</w:instrText>
      </w:r>
      <w:r w:rsidRPr="00EE0DCD">
        <w:rPr>
          <w:b/>
          <w:sz w:val="20"/>
          <w:szCs w:val="20"/>
        </w:rPr>
        <w:fldChar w:fldCharType="end"/>
      </w:r>
      <w:r w:rsidRPr="00EE0DCD">
        <w:rPr>
          <w:b/>
          <w:sz w:val="20"/>
          <w:szCs w:val="20"/>
        </w:rPr>
        <w:t>40316</w:t>
      </w:r>
      <w:r w:rsidRPr="00EE0DCD">
        <w:rPr>
          <w:sz w:val="20"/>
          <w:szCs w:val="20"/>
        </w:rPr>
        <w:tab/>
      </w:r>
      <w:r w:rsidRPr="00EE0DCD">
        <w:rPr>
          <w:b/>
          <w:i/>
          <w:sz w:val="20"/>
          <w:szCs w:val="20"/>
        </w:rPr>
        <w:t>Jason Donald Hay v. His Majesty the King</w:t>
      </w:r>
    </w:p>
    <w:p w:rsidR="0003550C" w:rsidRPr="00EE0DCD" w:rsidRDefault="0003550C" w:rsidP="0003550C">
      <w:pPr>
        <w:widowControl w:val="0"/>
        <w:tabs>
          <w:tab w:val="left" w:pos="720"/>
        </w:tabs>
        <w:ind w:left="1440" w:hanging="1440"/>
        <w:jc w:val="both"/>
        <w:rPr>
          <w:sz w:val="20"/>
          <w:szCs w:val="20"/>
        </w:rPr>
      </w:pPr>
      <w:r w:rsidRPr="00EE0DCD">
        <w:rPr>
          <w:sz w:val="20"/>
          <w:szCs w:val="20"/>
        </w:rPr>
        <w:tab/>
        <w:t>(Alta.) (</w:t>
      </w:r>
      <w:r w:rsidRPr="00EE0DCD">
        <w:rPr>
          <w:sz w:val="20"/>
          <w:szCs w:val="20"/>
          <w:lang w:val="en-US"/>
        </w:rPr>
        <w:t>Crim</w:t>
      </w:r>
      <w:r w:rsidRPr="00EE0DCD">
        <w:rPr>
          <w:sz w:val="20"/>
        </w:rPr>
        <w:t>inal</w:t>
      </w:r>
      <w:r w:rsidRPr="00EE0DCD">
        <w:rPr>
          <w:sz w:val="20"/>
          <w:szCs w:val="20"/>
        </w:rPr>
        <w:t>) (As of Right)</w:t>
      </w:r>
    </w:p>
    <w:p w:rsidR="0003550C" w:rsidRPr="00EE0DCD" w:rsidRDefault="0003550C" w:rsidP="0003550C">
      <w:pPr>
        <w:jc w:val="both"/>
        <w:rPr>
          <w:sz w:val="20"/>
          <w:szCs w:val="20"/>
        </w:rPr>
      </w:pPr>
    </w:p>
    <w:p w:rsidR="0003550C" w:rsidRPr="00EE0DCD" w:rsidRDefault="0003550C" w:rsidP="0003550C">
      <w:pPr>
        <w:widowControl w:val="0"/>
        <w:jc w:val="both"/>
        <w:rPr>
          <w:sz w:val="20"/>
          <w:szCs w:val="20"/>
        </w:rPr>
      </w:pPr>
      <w:r w:rsidRPr="00EE0DCD">
        <w:rPr>
          <w:sz w:val="20"/>
          <w:szCs w:val="20"/>
        </w:rPr>
        <w:t>(</w:t>
      </w:r>
      <w:r w:rsidRPr="00EE0DCD">
        <w:rPr>
          <w:smallCaps/>
          <w:sz w:val="20"/>
          <w:szCs w:val="20"/>
        </w:rPr>
        <w:t>Publication Ban in Case</w:t>
      </w:r>
      <w:r w:rsidRPr="00EE0DCD">
        <w:rPr>
          <w:sz w:val="20"/>
          <w:szCs w:val="20"/>
        </w:rPr>
        <w:t xml:space="preserve">) </w:t>
      </w:r>
    </w:p>
    <w:p w:rsidR="0003550C" w:rsidRPr="00EE0DCD" w:rsidRDefault="0003550C" w:rsidP="0003550C">
      <w:pPr>
        <w:widowControl w:val="0"/>
        <w:jc w:val="both"/>
        <w:rPr>
          <w:sz w:val="20"/>
          <w:szCs w:val="20"/>
        </w:rPr>
      </w:pPr>
    </w:p>
    <w:p w:rsidR="0003550C" w:rsidRPr="00EE0DCD" w:rsidRDefault="0003550C" w:rsidP="0003550C">
      <w:pPr>
        <w:jc w:val="both"/>
        <w:rPr>
          <w:sz w:val="20"/>
          <w:szCs w:val="20"/>
        </w:rPr>
      </w:pPr>
      <w:r w:rsidRPr="00EE0DCD">
        <w:rPr>
          <w:sz w:val="20"/>
          <w:szCs w:val="20"/>
        </w:rPr>
        <w:t xml:space="preserve">Criminal law – Offences – Sexual assault – Consent – Evidence – Defence – Whether the Court of Appeal of Alberta erred by reversing the trial judge’s decision to allow evidence of prior sexual acts per s. 276 of the </w:t>
      </w:r>
      <w:r w:rsidRPr="00EE0DCD">
        <w:rPr>
          <w:i/>
          <w:sz w:val="20"/>
          <w:szCs w:val="20"/>
        </w:rPr>
        <w:t>Criminal Code</w:t>
      </w:r>
      <w:r w:rsidRPr="00EE0DCD">
        <w:rPr>
          <w:sz w:val="20"/>
          <w:szCs w:val="20"/>
        </w:rPr>
        <w:t xml:space="preserve"> as part of the defence – Whether the Court of Appeal erred by conflating the requirement of consent into the defence of mistaken belief in communicated consent – Whether the Court of Appeal erred by reversing the criminal standard of proof onto the appellant to establish his innocence – Whether the Court of Appeal erred in substituting its own view of the facts contrary to the trial judge’s findings in relation to the testimony of the appellant – Whether the Court of Appeal erred by requiring proof of explicit consent as a prerequisite for the defence of mistaken belief in communicated consent to apply.</w:t>
      </w:r>
    </w:p>
    <w:p w:rsidR="0003550C" w:rsidRPr="00EE0DCD" w:rsidRDefault="0003550C" w:rsidP="0003550C">
      <w:pPr>
        <w:widowControl w:val="0"/>
        <w:jc w:val="both"/>
        <w:rPr>
          <w:sz w:val="20"/>
          <w:szCs w:val="20"/>
        </w:rPr>
      </w:pPr>
    </w:p>
    <w:p w:rsidR="0003550C" w:rsidRPr="00EE0DCD" w:rsidRDefault="0003550C" w:rsidP="0003550C">
      <w:pPr>
        <w:widowControl w:val="0"/>
        <w:tabs>
          <w:tab w:val="left" w:pos="938"/>
        </w:tabs>
        <w:jc w:val="both"/>
        <w:rPr>
          <w:color w:val="000000"/>
          <w:sz w:val="20"/>
          <w:szCs w:val="20"/>
        </w:rPr>
      </w:pPr>
      <w:r w:rsidRPr="00EE0DCD">
        <w:rPr>
          <w:sz w:val="20"/>
          <w:szCs w:val="20"/>
        </w:rPr>
        <w:t xml:space="preserve">Following a judge-alone trial, the appellant, Mr. Hay, was acquitted of one count of sexual assault under s. 271 of the </w:t>
      </w:r>
      <w:r w:rsidRPr="00EE0DCD">
        <w:rPr>
          <w:i/>
          <w:sz w:val="20"/>
          <w:szCs w:val="20"/>
        </w:rPr>
        <w:t>Criminal Code</w:t>
      </w:r>
      <w:r w:rsidRPr="00EE0DCD">
        <w:rPr>
          <w:sz w:val="20"/>
          <w:szCs w:val="20"/>
        </w:rPr>
        <w:t xml:space="preserve">, R.S.C. 1985, </w:t>
      </w:r>
      <w:proofErr w:type="gramStart"/>
      <w:r w:rsidRPr="00EE0DCD">
        <w:rPr>
          <w:sz w:val="20"/>
          <w:szCs w:val="20"/>
        </w:rPr>
        <w:t>c</w:t>
      </w:r>
      <w:proofErr w:type="gramEnd"/>
      <w:r w:rsidRPr="00EE0DCD">
        <w:rPr>
          <w:sz w:val="20"/>
          <w:szCs w:val="20"/>
        </w:rPr>
        <w:t xml:space="preserve">. C-46. The appellant conceded </w:t>
      </w:r>
      <w:r w:rsidRPr="00EE0DCD">
        <w:rPr>
          <w:color w:val="000000"/>
          <w:sz w:val="20"/>
          <w:szCs w:val="20"/>
        </w:rPr>
        <w:t xml:space="preserve">that the complainant did not consent to anal intercourse on September 13, 2019. The only issue on appeal was whether Mr. Hay had an honest but mistaken belief in the complainant’s communicated consent. Following </w:t>
      </w:r>
      <w:proofErr w:type="gramStart"/>
      <w:r w:rsidRPr="00EE0DCD">
        <w:rPr>
          <w:color w:val="000000"/>
          <w:sz w:val="20"/>
          <w:szCs w:val="20"/>
        </w:rPr>
        <w:t>a</w:t>
      </w:r>
      <w:proofErr w:type="gramEnd"/>
      <w:r w:rsidRPr="00EE0DCD">
        <w:rPr>
          <w:color w:val="000000"/>
          <w:sz w:val="20"/>
          <w:szCs w:val="20"/>
        </w:rPr>
        <w:t xml:space="preserve"> s. 276 </w:t>
      </w:r>
      <w:r w:rsidRPr="00EE0DCD">
        <w:rPr>
          <w:i/>
          <w:iCs/>
          <w:color w:val="000000"/>
          <w:sz w:val="20"/>
          <w:szCs w:val="20"/>
        </w:rPr>
        <w:t>voir dire</w:t>
      </w:r>
      <w:r w:rsidRPr="00EE0DCD">
        <w:rPr>
          <w:color w:val="000000"/>
          <w:sz w:val="20"/>
          <w:szCs w:val="20"/>
        </w:rPr>
        <w:t>, the trial judge admitted evidence of a previous sexual encounter on August 24, 2019.</w:t>
      </w:r>
    </w:p>
    <w:p w:rsidR="0003550C" w:rsidRPr="00EE0DCD" w:rsidRDefault="0003550C" w:rsidP="0003550C">
      <w:pPr>
        <w:widowControl w:val="0"/>
        <w:tabs>
          <w:tab w:val="left" w:pos="938"/>
        </w:tabs>
        <w:jc w:val="both"/>
        <w:rPr>
          <w:color w:val="000000"/>
          <w:sz w:val="20"/>
          <w:szCs w:val="20"/>
        </w:rPr>
      </w:pPr>
    </w:p>
    <w:p w:rsidR="0003550C" w:rsidRPr="00EE0DCD" w:rsidRDefault="0003550C" w:rsidP="0003550C">
      <w:pPr>
        <w:widowControl w:val="0"/>
        <w:tabs>
          <w:tab w:val="left" w:pos="938"/>
        </w:tabs>
        <w:jc w:val="both"/>
        <w:rPr>
          <w:color w:val="000000"/>
          <w:sz w:val="20"/>
        </w:rPr>
      </w:pPr>
      <w:r w:rsidRPr="00EE0DCD">
        <w:rPr>
          <w:color w:val="000000"/>
          <w:sz w:val="20"/>
          <w:szCs w:val="20"/>
        </w:rPr>
        <w:t>The trial judge found there was an air of reality to the appellant’s defence of honest but mistaken belief in communicated consent. She concluded that the Crown had failed to prove the necessary </w:t>
      </w:r>
      <w:r w:rsidRPr="00EE0DCD">
        <w:rPr>
          <w:i/>
          <w:iCs/>
          <w:color w:val="000000"/>
          <w:sz w:val="20"/>
          <w:szCs w:val="20"/>
        </w:rPr>
        <w:t>mens rea</w:t>
      </w:r>
      <w:r w:rsidRPr="00EE0DCD">
        <w:rPr>
          <w:color w:val="000000"/>
          <w:sz w:val="20"/>
          <w:szCs w:val="20"/>
        </w:rPr>
        <w:t xml:space="preserve"> and acquitted him. The Court of Appeal unanimously allowed the appeal, quashed the acquittal and entered a conviction for sexual assault. It found the trial judge erred in law both by admitting the evidence of previous sexual conduct and by finding there was an air of reality to the defence of honest but mistaken </w:t>
      </w:r>
      <w:r w:rsidRPr="00EE0DCD">
        <w:rPr>
          <w:color w:val="000000"/>
          <w:sz w:val="20"/>
        </w:rPr>
        <w:t>belief in communicated consent.</w:t>
      </w:r>
    </w:p>
    <w:p w:rsidR="0003550C" w:rsidRPr="00EE0DCD" w:rsidRDefault="0003550C" w:rsidP="0003550C">
      <w:pPr>
        <w:widowControl w:val="0"/>
        <w:tabs>
          <w:tab w:val="left" w:pos="938"/>
        </w:tabs>
        <w:jc w:val="both"/>
        <w:rPr>
          <w:color w:val="000000"/>
          <w:sz w:val="20"/>
        </w:rPr>
      </w:pPr>
    </w:p>
    <w:p w:rsidR="0003550C" w:rsidRPr="00EE0DCD" w:rsidRDefault="00962BCB" w:rsidP="0003550C">
      <w:pPr>
        <w:widowControl w:val="0"/>
        <w:tabs>
          <w:tab w:val="left" w:pos="938"/>
        </w:tabs>
        <w:jc w:val="both"/>
        <w:rPr>
          <w:color w:val="000000"/>
          <w:sz w:val="20"/>
        </w:rPr>
      </w:pPr>
      <w:r w:rsidRPr="00EE0DCD">
        <w:rPr>
          <w:sz w:val="20"/>
        </w:rPr>
        <w:pict>
          <v:rect id="_x0000_i1058" style="width:2in;height:1pt" o:hrpct="0" o:hralign="center" o:hrstd="t" o:hrnoshade="t" o:hr="t" fillcolor="black [3213]" stroked="f"/>
        </w:pict>
      </w:r>
    </w:p>
    <w:p w:rsidR="0003550C" w:rsidRPr="00EE0DCD" w:rsidRDefault="0003550C" w:rsidP="0003550C">
      <w:pPr>
        <w:widowControl w:val="0"/>
        <w:tabs>
          <w:tab w:val="left" w:pos="938"/>
        </w:tabs>
        <w:jc w:val="both"/>
        <w:rPr>
          <w:sz w:val="20"/>
          <w:szCs w:val="20"/>
        </w:rPr>
      </w:pPr>
    </w:p>
    <w:p w:rsidR="0003550C" w:rsidRPr="00EE0DCD" w:rsidRDefault="0003550C" w:rsidP="0003550C">
      <w:pPr>
        <w:widowControl w:val="0"/>
        <w:tabs>
          <w:tab w:val="left" w:pos="720"/>
        </w:tabs>
        <w:ind w:left="1440" w:hanging="1440"/>
        <w:jc w:val="both"/>
        <w:rPr>
          <w:b/>
          <w:i/>
          <w:sz w:val="20"/>
          <w:szCs w:val="20"/>
          <w:lang w:val="fr-CA"/>
        </w:rPr>
      </w:pPr>
      <w:r w:rsidRPr="00EE0DCD">
        <w:rPr>
          <w:b/>
          <w:sz w:val="20"/>
          <w:szCs w:val="20"/>
        </w:rPr>
        <w:fldChar w:fldCharType="begin"/>
      </w:r>
      <w:r w:rsidRPr="00EE0DCD">
        <w:rPr>
          <w:b/>
          <w:sz w:val="20"/>
          <w:szCs w:val="20"/>
          <w:lang w:val="fr-CA"/>
        </w:rPr>
        <w:instrText xml:space="preserve"> SEQ CHAPTER \h \r 1</w:instrText>
      </w:r>
      <w:r w:rsidRPr="00EE0DCD">
        <w:rPr>
          <w:b/>
          <w:sz w:val="20"/>
          <w:szCs w:val="20"/>
        </w:rPr>
        <w:fldChar w:fldCharType="end"/>
      </w:r>
      <w:r w:rsidRPr="00EE0DCD">
        <w:rPr>
          <w:b/>
          <w:sz w:val="20"/>
          <w:szCs w:val="20"/>
          <w:lang w:val="fr-CA"/>
        </w:rPr>
        <w:t>40316</w:t>
      </w:r>
      <w:r w:rsidRPr="00EE0DCD">
        <w:rPr>
          <w:sz w:val="20"/>
          <w:szCs w:val="20"/>
          <w:lang w:val="fr-CA"/>
        </w:rPr>
        <w:tab/>
      </w:r>
      <w:r w:rsidRPr="00EE0DCD">
        <w:rPr>
          <w:b/>
          <w:i/>
          <w:sz w:val="20"/>
          <w:szCs w:val="20"/>
          <w:lang w:val="fr-CA"/>
        </w:rPr>
        <w:t>Jason Donald Hay c. Sa Majesté le Roi</w:t>
      </w:r>
    </w:p>
    <w:p w:rsidR="0003550C" w:rsidRPr="00EE0DCD" w:rsidRDefault="0003550C" w:rsidP="0003550C">
      <w:pPr>
        <w:widowControl w:val="0"/>
        <w:tabs>
          <w:tab w:val="left" w:pos="720"/>
        </w:tabs>
        <w:ind w:left="1440" w:hanging="1440"/>
        <w:jc w:val="both"/>
        <w:rPr>
          <w:sz w:val="20"/>
          <w:szCs w:val="20"/>
          <w:lang w:val="fr-CA"/>
        </w:rPr>
      </w:pPr>
      <w:r w:rsidRPr="00EE0DCD">
        <w:rPr>
          <w:sz w:val="20"/>
          <w:szCs w:val="20"/>
          <w:lang w:val="fr-CA"/>
        </w:rPr>
        <w:tab/>
        <w:t>(Alb.) (Crim</w:t>
      </w:r>
      <w:r w:rsidRPr="00EE0DCD">
        <w:rPr>
          <w:sz w:val="20"/>
          <w:lang w:val="fr-CA"/>
        </w:rPr>
        <w:t>inelle</w:t>
      </w:r>
      <w:r w:rsidRPr="00EE0DCD">
        <w:rPr>
          <w:sz w:val="20"/>
          <w:szCs w:val="20"/>
          <w:lang w:val="fr-CA"/>
        </w:rPr>
        <w:t>) (De plein droit)</w:t>
      </w:r>
    </w:p>
    <w:p w:rsidR="0003550C" w:rsidRPr="00EE0DCD" w:rsidRDefault="0003550C" w:rsidP="0003550C">
      <w:pPr>
        <w:jc w:val="both"/>
        <w:rPr>
          <w:sz w:val="20"/>
          <w:szCs w:val="20"/>
          <w:lang w:val="fr-CA"/>
        </w:rPr>
      </w:pPr>
    </w:p>
    <w:p w:rsidR="0003550C" w:rsidRPr="00EE0DCD" w:rsidRDefault="0003550C" w:rsidP="0003550C">
      <w:pPr>
        <w:widowControl w:val="0"/>
        <w:jc w:val="both"/>
        <w:rPr>
          <w:sz w:val="20"/>
          <w:szCs w:val="20"/>
          <w:lang w:val="fr-CA"/>
        </w:rPr>
      </w:pPr>
      <w:r w:rsidRPr="00EE0DCD">
        <w:rPr>
          <w:sz w:val="20"/>
          <w:szCs w:val="20"/>
          <w:lang w:val="fr-CA"/>
        </w:rPr>
        <w:t>(O</w:t>
      </w:r>
      <w:r w:rsidRPr="00EE0DCD">
        <w:rPr>
          <w:smallCaps/>
          <w:sz w:val="20"/>
          <w:szCs w:val="20"/>
          <w:lang w:val="fr-CA"/>
        </w:rPr>
        <w:t>rdonnance de non-publication dans le dossier</w:t>
      </w:r>
      <w:r w:rsidRPr="00EE0DCD">
        <w:rPr>
          <w:sz w:val="20"/>
          <w:szCs w:val="20"/>
          <w:lang w:val="fr-CA"/>
        </w:rPr>
        <w:t xml:space="preserve">) </w:t>
      </w:r>
    </w:p>
    <w:p w:rsidR="0003550C" w:rsidRPr="00EE0DCD" w:rsidRDefault="0003550C" w:rsidP="0003550C">
      <w:pPr>
        <w:widowControl w:val="0"/>
        <w:jc w:val="both"/>
        <w:rPr>
          <w:sz w:val="20"/>
          <w:szCs w:val="20"/>
          <w:lang w:val="fr-CA"/>
        </w:rPr>
      </w:pPr>
    </w:p>
    <w:p w:rsidR="0003550C" w:rsidRPr="00EE0DCD" w:rsidRDefault="0003550C" w:rsidP="0003550C">
      <w:pPr>
        <w:widowControl w:val="0"/>
        <w:jc w:val="both"/>
        <w:rPr>
          <w:sz w:val="20"/>
          <w:szCs w:val="20"/>
          <w:lang w:val="fr-CA"/>
        </w:rPr>
      </w:pPr>
      <w:r w:rsidRPr="00EE0DCD">
        <w:rPr>
          <w:sz w:val="20"/>
          <w:szCs w:val="20"/>
          <w:lang w:val="fr-CA"/>
        </w:rPr>
        <w:t xml:space="preserve">Droit criminel – Infractions – Agression sexuelle – Consentement – Preuve – Défense – La Cour d’appel de l’Alberta a-t-elle commis une erreur en infirmant la décision de la juge du procès de permettre, en vertu de l’art. 276 du </w:t>
      </w:r>
      <w:r w:rsidRPr="00EE0DCD">
        <w:rPr>
          <w:i/>
          <w:sz w:val="20"/>
          <w:szCs w:val="20"/>
          <w:lang w:val="fr-CA"/>
        </w:rPr>
        <w:t>Code criminel</w:t>
      </w:r>
      <w:r w:rsidRPr="00EE0DCD">
        <w:rPr>
          <w:sz w:val="20"/>
          <w:szCs w:val="20"/>
          <w:lang w:val="fr-CA"/>
        </w:rPr>
        <w:t>, la preuve d’actes sexuels antérieurs dans la défense de l’appelant? – La Cour d’appel a-t-elle fait erreur en intégrant l’exigence de consentement dans le moyen de défense fondé sur la croyance erronée au consentement communiqué? – La Cour d’appel a-t-elle fait erreur en inversant la norme de preuve requise en matière criminelle pour imposer à l’appelant le fardeau d’établir son innocence? – La Cour d’appel a-t-elle commis une erreur en substituant sa propre opinion des faits, allant ainsi à l’encontre des conclusions de la juge du procès concernant le témoignage de l’appelant? – La Cour d’appel a-t-elle eu tort d’exiger la preuve d’un consentement explicite en tant que condition préalable à l’application du moyen de défense fondé sur la croyance erronée au consentement communiqué?</w:t>
      </w:r>
    </w:p>
    <w:p w:rsidR="0003550C" w:rsidRPr="00EE0DCD" w:rsidRDefault="0003550C" w:rsidP="0003550C">
      <w:pPr>
        <w:widowControl w:val="0"/>
        <w:jc w:val="both"/>
        <w:rPr>
          <w:sz w:val="20"/>
          <w:szCs w:val="20"/>
          <w:lang w:val="fr-CA"/>
        </w:rPr>
      </w:pPr>
    </w:p>
    <w:p w:rsidR="0003550C" w:rsidRPr="00EE0DCD" w:rsidRDefault="0003550C">
      <w:pPr>
        <w:rPr>
          <w:sz w:val="20"/>
          <w:szCs w:val="20"/>
          <w:lang w:val="fr-CA"/>
        </w:rPr>
      </w:pPr>
      <w:r w:rsidRPr="00EE0DCD">
        <w:rPr>
          <w:sz w:val="20"/>
          <w:szCs w:val="20"/>
          <w:lang w:val="fr-CA"/>
        </w:rPr>
        <w:br w:type="page"/>
      </w:r>
    </w:p>
    <w:p w:rsidR="0003550C" w:rsidRPr="00EE0DCD" w:rsidRDefault="0003550C" w:rsidP="0003550C">
      <w:pPr>
        <w:widowControl w:val="0"/>
        <w:tabs>
          <w:tab w:val="left" w:pos="938"/>
        </w:tabs>
        <w:jc w:val="both"/>
        <w:rPr>
          <w:color w:val="000000"/>
          <w:sz w:val="20"/>
          <w:szCs w:val="20"/>
          <w:lang w:val="fr-CA"/>
        </w:rPr>
      </w:pPr>
      <w:r w:rsidRPr="00EE0DCD">
        <w:rPr>
          <w:sz w:val="20"/>
          <w:szCs w:val="20"/>
          <w:lang w:val="fr-CA"/>
        </w:rPr>
        <w:t xml:space="preserve">Au terme d’un procès devant juge seul, l’appelant, M. Hay, a été acquitté d’un chef d’accusation d’agression sexuelle, une infraction à l’art. 271 du </w:t>
      </w:r>
      <w:r w:rsidRPr="00EE0DCD">
        <w:rPr>
          <w:i/>
          <w:sz w:val="20"/>
          <w:szCs w:val="20"/>
          <w:lang w:val="fr-CA"/>
        </w:rPr>
        <w:t>Code criminel</w:t>
      </w:r>
      <w:r w:rsidRPr="00EE0DCD">
        <w:rPr>
          <w:sz w:val="20"/>
          <w:szCs w:val="20"/>
          <w:lang w:val="fr-CA"/>
        </w:rPr>
        <w:t xml:space="preserve">, L.R.C. 1985, c. C-46. L’appelant a concédé que la plaignante n’avait pas consenti à une relation sexuelle anale le 13 septembre </w:t>
      </w:r>
      <w:r w:rsidRPr="00EE0DCD">
        <w:rPr>
          <w:color w:val="000000"/>
          <w:sz w:val="20"/>
          <w:szCs w:val="20"/>
          <w:lang w:val="fr-CA"/>
        </w:rPr>
        <w:t>2019. La seule question à trancher en appel était de savoir si M. Hay avait une croyance sincère mais erronée au consentement communiqué de la plaignante. À la suite d’un voir-dire tenu en application de l’art. 276, la juge du procès a admis la preuve d’une rencontre à caractère sexuel qui a eu lieu le 24 août 2019.</w:t>
      </w:r>
    </w:p>
    <w:p w:rsidR="0003550C" w:rsidRPr="00EE0DCD" w:rsidRDefault="0003550C" w:rsidP="0003550C">
      <w:pPr>
        <w:widowControl w:val="0"/>
        <w:tabs>
          <w:tab w:val="left" w:pos="938"/>
        </w:tabs>
        <w:jc w:val="both"/>
        <w:rPr>
          <w:color w:val="000000"/>
          <w:sz w:val="20"/>
          <w:szCs w:val="20"/>
          <w:lang w:val="fr-CA"/>
        </w:rPr>
      </w:pPr>
    </w:p>
    <w:p w:rsidR="0003550C" w:rsidRPr="00EE0DCD" w:rsidRDefault="0003550C" w:rsidP="0003550C">
      <w:pPr>
        <w:widowControl w:val="0"/>
        <w:tabs>
          <w:tab w:val="left" w:pos="938"/>
        </w:tabs>
        <w:jc w:val="both"/>
        <w:rPr>
          <w:sz w:val="20"/>
          <w:szCs w:val="20"/>
          <w:lang w:val="fr-CA"/>
        </w:rPr>
      </w:pPr>
      <w:r w:rsidRPr="00EE0DCD">
        <w:rPr>
          <w:color w:val="000000"/>
          <w:sz w:val="20"/>
          <w:szCs w:val="20"/>
          <w:lang w:val="fr-CA"/>
        </w:rPr>
        <w:t xml:space="preserve">Selon la juge du procès, la défense de l’appelant fondée sur la croyance sincère mais erronée au consentement communiqué était vraisemblable. Elle a conclu que la Couronne n’avait pas prouvé la </w:t>
      </w:r>
      <w:r w:rsidRPr="00EE0DCD">
        <w:rPr>
          <w:i/>
          <w:iCs/>
          <w:color w:val="000000"/>
          <w:sz w:val="20"/>
          <w:szCs w:val="20"/>
          <w:lang w:val="fr-CA"/>
        </w:rPr>
        <w:t>mens rea</w:t>
      </w:r>
      <w:r w:rsidRPr="00EE0DCD">
        <w:rPr>
          <w:color w:val="000000"/>
          <w:sz w:val="20"/>
          <w:szCs w:val="20"/>
          <w:lang w:val="fr-CA"/>
        </w:rPr>
        <w:t xml:space="preserve"> requise, et a acquitté l’appelant. La Cour d’appel a accueilli l’appel, cassé l’acquittement et inscrit une déclaration de culpabilité pour agression sexuelle. D’après la Cour d’appel, la juge du procès a commis une erreur de droit en admettant la preuve relative au comportement sexuel antérieur et en concluant à la vraisemblance du moyen de défense fondé sur la croyance sincère mais erronée au consentement communiqué.</w:t>
      </w:r>
    </w:p>
    <w:p w:rsidR="0003550C" w:rsidRPr="00EE0DCD" w:rsidRDefault="0003550C" w:rsidP="00102792">
      <w:pPr>
        <w:rPr>
          <w:color w:val="000000"/>
          <w:sz w:val="20"/>
          <w:szCs w:val="20"/>
          <w:lang w:val="fr-CA"/>
        </w:rPr>
      </w:pPr>
    </w:p>
    <w:p w:rsidR="0003550C" w:rsidRPr="00EE0DCD" w:rsidRDefault="00962BCB" w:rsidP="00102792">
      <w:pPr>
        <w:rPr>
          <w:color w:val="000000"/>
          <w:sz w:val="20"/>
          <w:szCs w:val="20"/>
          <w:lang w:val="fr-CA"/>
        </w:rPr>
      </w:pPr>
      <w:r w:rsidRPr="00EE0DCD">
        <w:rPr>
          <w:sz w:val="20"/>
        </w:rPr>
        <w:pict>
          <v:rect id="_x0000_i1059" style="width:2in;height:1pt" o:hrpct="0" o:hralign="center" o:hrstd="t" o:hrnoshade="t" o:hr="t" fillcolor="black [3213]" stroked="f"/>
        </w:pict>
      </w:r>
    </w:p>
    <w:p w:rsidR="00102792" w:rsidRPr="00EE0DCD" w:rsidRDefault="00102792" w:rsidP="00782AE4">
      <w:pPr>
        <w:jc w:val="both"/>
        <w:rPr>
          <w:sz w:val="20"/>
          <w:szCs w:val="20"/>
          <w:lang w:val="fr-CA"/>
        </w:rPr>
      </w:pPr>
    </w:p>
    <w:p w:rsidR="00172473" w:rsidRPr="00EE0DCD" w:rsidRDefault="00172473" w:rsidP="00782AE4">
      <w:pPr>
        <w:jc w:val="both"/>
        <w:rPr>
          <w:sz w:val="20"/>
          <w:szCs w:val="20"/>
          <w:lang w:val="fr-CA"/>
        </w:rPr>
      </w:pPr>
    </w:p>
    <w:p w:rsidR="00102792" w:rsidRPr="00EE0DCD" w:rsidRDefault="00102792" w:rsidP="00782AE4">
      <w:pPr>
        <w:jc w:val="both"/>
        <w:rPr>
          <w:sz w:val="20"/>
          <w:szCs w:val="20"/>
          <w:lang w:val="fr-CA"/>
        </w:rPr>
      </w:pPr>
    </w:p>
    <w:p w:rsidR="0022323B" w:rsidRPr="00EE0DCD" w:rsidRDefault="0022323B" w:rsidP="00782AE4">
      <w:pPr>
        <w:jc w:val="both"/>
        <w:rPr>
          <w:sz w:val="20"/>
          <w:szCs w:val="20"/>
          <w:lang w:val="fr-CA"/>
        </w:rPr>
        <w:sectPr w:rsidR="0022323B" w:rsidRPr="00EE0DCD" w:rsidSect="0022323B">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3C291C" w:rsidRPr="00EE0DCD" w:rsidRDefault="003C291C" w:rsidP="003C291C">
      <w:pPr>
        <w:tabs>
          <w:tab w:val="center" w:pos="5220"/>
          <w:tab w:val="right" w:pos="10800"/>
        </w:tabs>
        <w:jc w:val="center"/>
        <w:rPr>
          <w:rFonts w:ascii="Arial" w:hAnsi="Arial" w:cs="Arial"/>
          <w:szCs w:val="24"/>
          <w:lang w:val="fr-CA"/>
        </w:rPr>
      </w:pPr>
      <w:bookmarkStart w:id="10" w:name="1"/>
      <w:bookmarkStart w:id="11" w:name="QuickMark"/>
      <w:bookmarkEnd w:id="10"/>
      <w:bookmarkEnd w:id="11"/>
      <w:r w:rsidRPr="00EE0DCD">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EE0DCD"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lang w:val="fr-FR"/>
              </w:rPr>
            </w:pPr>
            <w:r w:rsidRPr="00EE0DCD">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lang w:val="fr-FR"/>
              </w:rPr>
            </w:pPr>
            <w:r w:rsidRPr="00EE0DCD">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lang w:val="fr-FR"/>
              </w:rPr>
            </w:pPr>
            <w:r w:rsidRPr="00EE0DCD">
              <w:rPr>
                <w:rFonts w:ascii="Arial" w:eastAsia="Arial" w:hAnsi="Arial"/>
                <w:b/>
                <w:color w:val="000000"/>
                <w:sz w:val="13"/>
              </w:rPr>
              <w:t>DECEMBER – DÉCEMBRE</w:t>
            </w:r>
          </w:p>
        </w:tc>
      </w:tr>
      <w:tr w:rsidR="003C291C" w:rsidRPr="00EE0DCD"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S</w:t>
            </w:r>
          </w:p>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M</w:t>
            </w:r>
          </w:p>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T</w:t>
            </w:r>
          </w:p>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W</w:t>
            </w:r>
          </w:p>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T</w:t>
            </w:r>
          </w:p>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F</w:t>
            </w:r>
          </w:p>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S</w:t>
            </w:r>
          </w:p>
          <w:p w:rsidR="003C291C" w:rsidRPr="00EE0DCD" w:rsidRDefault="003C291C" w:rsidP="00FC7090">
            <w:pPr>
              <w:jc w:val="center"/>
              <w:textAlignment w:val="baseline"/>
              <w:rPr>
                <w:rFonts w:ascii="Arial" w:eastAsia="Arial" w:hAnsi="Arial"/>
                <w:b/>
                <w:color w:val="000000"/>
                <w:sz w:val="13"/>
                <w:szCs w:val="13"/>
              </w:rPr>
            </w:pPr>
            <w:r w:rsidRPr="00EE0DCD">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S</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M</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T</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W</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T</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F</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S</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S</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M</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T</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W</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T</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F</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S</w:t>
            </w:r>
          </w:p>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S</w:t>
            </w:r>
          </w:p>
        </w:tc>
      </w:tr>
      <w:tr w:rsidR="003C291C" w:rsidRPr="00EE0DCD"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E0DCD"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3</w:t>
            </w:r>
          </w:p>
        </w:tc>
      </w:tr>
      <w:tr w:rsidR="003C291C" w:rsidRPr="00EE0DCD"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CC</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YK</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H</w:t>
            </w:r>
          </w:p>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10</w:t>
            </w:r>
          </w:p>
        </w:tc>
      </w:tr>
      <w:tr w:rsidR="003C291C" w:rsidRPr="00EE0DCD"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H</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17</w:t>
            </w:r>
          </w:p>
        </w:tc>
      </w:tr>
      <w:tr w:rsidR="003C291C" w:rsidRPr="00EE0DCD"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24</w:t>
            </w:r>
          </w:p>
        </w:tc>
      </w:tr>
      <w:tr w:rsidR="003C291C" w:rsidRPr="00EE0DCD"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 xml:space="preserve">  23 /</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 xml:space="preserve">  24 /</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b/>
                <w:color w:val="000000"/>
                <w:sz w:val="13"/>
                <w:szCs w:val="13"/>
              </w:rPr>
              <w:t>CC</w:t>
            </w:r>
            <w:r w:rsidRPr="00EE0DCD">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rPr>
            </w:pPr>
            <w:r w:rsidRPr="00EE0DCD">
              <w:rPr>
                <w:rFonts w:ascii="Arial" w:eastAsia="Arial" w:hAnsi="Arial" w:cs="Arial"/>
                <w:b/>
                <w:color w:val="000000"/>
                <w:sz w:val="13"/>
              </w:rPr>
              <w:t>CC</w:t>
            </w:r>
          </w:p>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rPr>
            </w:pPr>
            <w:r w:rsidRPr="00EE0DCD">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b/>
                <w:sz w:val="13"/>
                <w:szCs w:val="13"/>
              </w:rPr>
            </w:pPr>
            <w:r w:rsidRPr="00EE0DCD">
              <w:rPr>
                <w:rFonts w:ascii="Arial" w:hAnsi="Arial" w:cs="Arial"/>
                <w:b/>
                <w:sz w:val="13"/>
                <w:szCs w:val="13"/>
              </w:rPr>
              <w:t>H</w:t>
            </w:r>
          </w:p>
          <w:p w:rsidR="003C291C" w:rsidRPr="00EE0DCD" w:rsidRDefault="003C291C" w:rsidP="00FC7090">
            <w:pPr>
              <w:jc w:val="center"/>
              <w:rPr>
                <w:rFonts w:ascii="Arial" w:hAnsi="Arial" w:cs="Arial"/>
                <w:sz w:val="13"/>
                <w:szCs w:val="13"/>
              </w:rPr>
            </w:pPr>
            <w:r w:rsidRPr="00EE0DCD">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b/>
                <w:sz w:val="13"/>
                <w:szCs w:val="13"/>
              </w:rPr>
            </w:pPr>
            <w:r w:rsidRPr="00EE0DCD">
              <w:rPr>
                <w:rFonts w:ascii="Arial" w:hAnsi="Arial" w:cs="Arial"/>
                <w:b/>
                <w:sz w:val="13"/>
                <w:szCs w:val="13"/>
              </w:rPr>
              <w:t>H</w:t>
            </w:r>
          </w:p>
          <w:p w:rsidR="003C291C" w:rsidRPr="00EE0DCD" w:rsidRDefault="003C291C" w:rsidP="00FC7090">
            <w:pPr>
              <w:jc w:val="center"/>
              <w:rPr>
                <w:rFonts w:ascii="Arial" w:hAnsi="Arial" w:cs="Arial"/>
                <w:sz w:val="13"/>
                <w:szCs w:val="13"/>
              </w:rPr>
            </w:pPr>
            <w:r w:rsidRPr="00EE0DCD">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rPr>
                <w:rFonts w:ascii="Arial" w:hAnsi="Arial" w:cs="Arial"/>
                <w:sz w:val="13"/>
                <w:szCs w:val="13"/>
              </w:rPr>
            </w:pPr>
            <w:r w:rsidRPr="00EE0DCD">
              <w:rPr>
                <w:rFonts w:ascii="Arial" w:hAnsi="Arial" w:cs="Arial"/>
                <w:sz w:val="13"/>
                <w:szCs w:val="13"/>
              </w:rPr>
              <w:t>31</w:t>
            </w:r>
          </w:p>
        </w:tc>
      </w:tr>
    </w:tbl>
    <w:p w:rsidR="003C291C" w:rsidRPr="00EE0DCD" w:rsidRDefault="003C291C" w:rsidP="003C291C">
      <w:pPr>
        <w:tabs>
          <w:tab w:val="center" w:pos="5220"/>
          <w:tab w:val="right" w:pos="10440"/>
        </w:tabs>
        <w:spacing w:before="120"/>
        <w:jc w:val="center"/>
        <w:rPr>
          <w:rFonts w:ascii="Arial" w:hAnsi="Arial" w:cs="Arial"/>
          <w:szCs w:val="24"/>
        </w:rPr>
      </w:pPr>
      <w:r w:rsidRPr="00EE0DCD">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EE0DCD"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MARCH – MARS</w:t>
            </w:r>
          </w:p>
        </w:tc>
      </w:tr>
      <w:tr w:rsidR="003C291C" w:rsidRPr="00EE0DCD"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W</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F</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W</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F</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W</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F</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tc>
      </w:tr>
      <w:tr w:rsidR="003C291C" w:rsidRPr="00EE0DC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spacing w:before="91" w:line="148" w:lineRule="exact"/>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H</w:t>
            </w:r>
          </w:p>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4</w:t>
            </w:r>
          </w:p>
        </w:tc>
      </w:tr>
      <w:tr w:rsidR="003C291C" w:rsidRPr="00EE0DC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spacing w:before="241" w:after="34" w:line="147" w:lineRule="exact"/>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spacing w:before="91" w:line="148" w:lineRule="exact"/>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CC</w:t>
            </w:r>
          </w:p>
          <w:p w:rsidR="003C291C" w:rsidRPr="00EE0DCD" w:rsidRDefault="003C291C" w:rsidP="00FC7090">
            <w:pPr>
              <w:spacing w:before="2" w:after="34" w:line="147" w:lineRule="exact"/>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CC</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11</w:t>
            </w:r>
          </w:p>
        </w:tc>
      </w:tr>
      <w:tr w:rsidR="003C291C" w:rsidRPr="00EE0DC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spacing w:before="240" w:after="30" w:line="147" w:lineRule="exact"/>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spacing w:before="1" w:after="30" w:line="147" w:lineRule="exact"/>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CC</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18</w:t>
            </w:r>
          </w:p>
        </w:tc>
      </w:tr>
      <w:tr w:rsidR="003C291C" w:rsidRPr="00EE0DC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spacing w:before="212" w:after="30" w:line="147" w:lineRule="exact"/>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spacing w:before="212" w:after="30" w:line="147" w:lineRule="exact"/>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25</w:t>
            </w:r>
          </w:p>
        </w:tc>
      </w:tr>
      <w:tr w:rsidR="003C291C" w:rsidRPr="00EE0DCD"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spacing w:before="39" w:after="30" w:line="147" w:lineRule="exact"/>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spacing w:before="39" w:after="30" w:line="147" w:lineRule="exact"/>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r>
      <w:tr w:rsidR="003C291C" w:rsidRPr="00EE0DCD"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JUNE – JUIN</w:t>
            </w:r>
          </w:p>
        </w:tc>
      </w:tr>
      <w:tr w:rsidR="003C291C" w:rsidRPr="00EE0DCD"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W</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F</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W</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F</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W</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F</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tc>
      </w:tr>
      <w:tr w:rsidR="003C291C" w:rsidRPr="00EE0DC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3</w:t>
            </w:r>
          </w:p>
        </w:tc>
      </w:tr>
      <w:tr w:rsidR="003C291C" w:rsidRPr="00EE0DC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E0DCD" w:rsidRDefault="003C291C" w:rsidP="00FC7090">
            <w:pPr>
              <w:spacing w:before="91" w:line="148" w:lineRule="exact"/>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H</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CC</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b/>
                <w:color w:val="000000"/>
                <w:sz w:val="13"/>
              </w:rPr>
            </w:pPr>
            <w:r w:rsidRPr="00EE0DCD">
              <w:rPr>
                <w:rFonts w:ascii="Arial" w:eastAsia="Arial" w:hAnsi="Arial"/>
                <w:b/>
                <w:color w:val="000000"/>
                <w:sz w:val="13"/>
              </w:rPr>
              <w:t>CC</w:t>
            </w:r>
          </w:p>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10</w:t>
            </w:r>
          </w:p>
        </w:tc>
      </w:tr>
      <w:tr w:rsidR="003C291C" w:rsidRPr="00EE0DC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H</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CC</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OR</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OR</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17</w:t>
            </w:r>
          </w:p>
        </w:tc>
      </w:tr>
      <w:tr w:rsidR="003C291C" w:rsidRPr="00EE0DC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OR</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OR</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H</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24</w:t>
            </w:r>
          </w:p>
        </w:tc>
      </w:tr>
      <w:tr w:rsidR="003C291C" w:rsidRPr="00EE0DCD"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 xml:space="preserve">  23 /</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olor w:val="000000"/>
                <w:sz w:val="13"/>
              </w:rPr>
            </w:pPr>
            <w:r w:rsidRPr="00EE0DCD">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eastAsia="Times New Roman"/>
                <w:color w:val="000000"/>
              </w:rPr>
            </w:pPr>
          </w:p>
        </w:tc>
      </w:tr>
      <w:tr w:rsidR="003C291C" w:rsidRPr="00EE0DCD"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SEPTEMBER – SEPTEMBRE</w:t>
            </w:r>
          </w:p>
        </w:tc>
      </w:tr>
      <w:tr w:rsidR="003C291C" w:rsidRPr="00EE0DCD"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6"/>
                <w:szCs w:val="16"/>
              </w:rPr>
            </w:pPr>
            <w:r w:rsidRPr="00EE0DC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W</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F</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W</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F</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E0DC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W</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T</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F</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p w:rsidR="003C291C" w:rsidRPr="00EE0DCD" w:rsidRDefault="003C291C" w:rsidP="00FC7090">
            <w:pPr>
              <w:tabs>
                <w:tab w:val="center" w:pos="5220"/>
                <w:tab w:val="right" w:pos="10440"/>
              </w:tabs>
              <w:jc w:val="center"/>
              <w:rPr>
                <w:rFonts w:ascii="Arial" w:hAnsi="Arial" w:cs="Arial"/>
                <w:b/>
                <w:sz w:val="13"/>
                <w:szCs w:val="13"/>
              </w:rPr>
            </w:pPr>
            <w:r w:rsidRPr="00EE0DCD">
              <w:rPr>
                <w:rFonts w:ascii="Arial" w:hAnsi="Arial" w:cs="Arial"/>
                <w:b/>
                <w:sz w:val="13"/>
                <w:szCs w:val="13"/>
              </w:rPr>
              <w:t>S</w:t>
            </w:r>
          </w:p>
        </w:tc>
      </w:tr>
      <w:tr w:rsidR="003C291C" w:rsidRPr="00EE0DC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EE0DC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w:t>
            </w:r>
          </w:p>
        </w:tc>
      </w:tr>
      <w:tr w:rsidR="003C291C" w:rsidRPr="00EE0DC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H</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H</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H</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9</w:t>
            </w:r>
          </w:p>
        </w:tc>
      </w:tr>
      <w:tr w:rsidR="003C291C" w:rsidRPr="00EE0DC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RH</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16</w:t>
            </w:r>
          </w:p>
        </w:tc>
      </w:tr>
      <w:tr w:rsidR="003C291C" w:rsidRPr="00EE0DC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RH</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23</w:t>
            </w:r>
          </w:p>
        </w:tc>
      </w:tr>
      <w:tr w:rsidR="003C291C" w:rsidRPr="00EE0DCD"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 xml:space="preserve">  23 /</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 xml:space="preserve">  24 /</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EE0DC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E0DC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b/>
                <w:color w:val="000000"/>
                <w:sz w:val="13"/>
                <w:szCs w:val="13"/>
              </w:rPr>
            </w:pPr>
            <w:r w:rsidRPr="00EE0DCD">
              <w:rPr>
                <w:rFonts w:ascii="Arial" w:eastAsia="Arial" w:hAnsi="Arial" w:cs="Arial"/>
                <w:b/>
                <w:color w:val="000000"/>
                <w:sz w:val="13"/>
                <w:szCs w:val="13"/>
              </w:rPr>
              <w:t>YK</w:t>
            </w:r>
          </w:p>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Arial" w:hAnsi="Arial" w:cs="Arial"/>
                <w:color w:val="000000"/>
                <w:sz w:val="13"/>
                <w:szCs w:val="13"/>
              </w:rPr>
            </w:pPr>
            <w:r w:rsidRPr="00EE0DCD">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EE0DCD" w:rsidRDefault="003C291C" w:rsidP="00FC7090">
            <w:pPr>
              <w:jc w:val="center"/>
              <w:textAlignment w:val="baseline"/>
              <w:rPr>
                <w:rFonts w:ascii="Arial" w:eastAsia="Times New Roman" w:hAnsi="Arial" w:cs="Arial"/>
                <w:color w:val="000000"/>
                <w:sz w:val="13"/>
                <w:szCs w:val="13"/>
              </w:rPr>
            </w:pPr>
            <w:r w:rsidRPr="00EE0DCD">
              <w:rPr>
                <w:rFonts w:ascii="Arial" w:eastAsia="Times New Roman" w:hAnsi="Arial" w:cs="Arial"/>
                <w:color w:val="000000"/>
                <w:sz w:val="13"/>
                <w:szCs w:val="13"/>
              </w:rPr>
              <w:t>30</w:t>
            </w:r>
          </w:p>
        </w:tc>
      </w:tr>
      <w:tr w:rsidR="003C291C" w:rsidRPr="00EE0DCD"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EE0DCD" w:rsidRDefault="003C291C" w:rsidP="00FC7090">
            <w:pPr>
              <w:spacing w:before="40"/>
              <w:jc w:val="right"/>
              <w:rPr>
                <w:rFonts w:ascii="Arial" w:hAnsi="Arial" w:cs="Arial"/>
                <w:b/>
                <w:sz w:val="13"/>
                <w:szCs w:val="13"/>
              </w:rPr>
            </w:pPr>
            <w:r w:rsidRPr="00EE0DCD">
              <w:rPr>
                <w:rFonts w:ascii="Arial" w:hAnsi="Arial" w:cs="Arial"/>
                <w:b/>
                <w:sz w:val="13"/>
                <w:szCs w:val="13"/>
              </w:rPr>
              <w:t>Sitting of the Court /</w:t>
            </w:r>
          </w:p>
          <w:p w:rsidR="003C291C" w:rsidRPr="00EE0DCD" w:rsidRDefault="003C291C" w:rsidP="00FC7090">
            <w:pPr>
              <w:jc w:val="right"/>
              <w:rPr>
                <w:rFonts w:ascii="Arial" w:hAnsi="Arial" w:cs="Arial"/>
                <w:b/>
                <w:sz w:val="13"/>
                <w:szCs w:val="13"/>
              </w:rPr>
            </w:pPr>
            <w:r w:rsidRPr="00EE0DCD">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EE0DCD"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EE0DCD" w:rsidRDefault="003C291C" w:rsidP="00FC7090">
            <w:pPr>
              <w:tabs>
                <w:tab w:val="left" w:pos="203"/>
              </w:tabs>
              <w:spacing w:before="40" w:after="120"/>
              <w:rPr>
                <w:rFonts w:ascii="Arial" w:hAnsi="Arial" w:cs="Arial"/>
                <w:b/>
                <w:sz w:val="13"/>
                <w:szCs w:val="13"/>
                <w:lang w:val="fr-CA"/>
              </w:rPr>
            </w:pPr>
            <w:r w:rsidRPr="00EE0DCD">
              <w:rPr>
                <w:rFonts w:ascii="Arial" w:hAnsi="Arial" w:cs="Arial"/>
                <w:b/>
                <w:sz w:val="13"/>
                <w:szCs w:val="13"/>
                <w:lang w:val="fr-CA"/>
              </w:rPr>
              <w:t>18</w:t>
            </w:r>
            <w:r w:rsidRPr="00EE0DCD">
              <w:rPr>
                <w:rFonts w:ascii="Arial" w:hAnsi="Arial" w:cs="Arial"/>
                <w:b/>
                <w:sz w:val="13"/>
                <w:szCs w:val="13"/>
                <w:lang w:val="fr-CA"/>
              </w:rPr>
              <w:tab/>
              <w:t xml:space="preserve"> sitting weeks / semaines séances de la Cour</w:t>
            </w:r>
          </w:p>
          <w:p w:rsidR="003C291C" w:rsidRPr="00EE0DCD" w:rsidRDefault="003C291C" w:rsidP="00FC7090">
            <w:pPr>
              <w:tabs>
                <w:tab w:val="left" w:pos="203"/>
              </w:tabs>
              <w:rPr>
                <w:rFonts w:ascii="Arial" w:hAnsi="Arial" w:cs="Arial"/>
                <w:b/>
                <w:sz w:val="13"/>
                <w:szCs w:val="13"/>
                <w:lang w:val="fr-CA"/>
              </w:rPr>
            </w:pPr>
            <w:r w:rsidRPr="00EE0DCD">
              <w:rPr>
                <w:rFonts w:ascii="Arial" w:hAnsi="Arial" w:cs="Arial"/>
                <w:b/>
                <w:sz w:val="13"/>
                <w:szCs w:val="13"/>
                <w:lang w:val="fr-CA"/>
              </w:rPr>
              <w:t>87</w:t>
            </w:r>
            <w:r w:rsidRPr="00EE0DCD">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EE0DCD" w:rsidRDefault="003C291C" w:rsidP="00FC7090">
            <w:pPr>
              <w:spacing w:before="40" w:after="120"/>
              <w:jc w:val="right"/>
              <w:rPr>
                <w:rFonts w:ascii="Arial" w:hAnsi="Arial" w:cs="Arial"/>
                <w:b/>
                <w:sz w:val="13"/>
                <w:szCs w:val="13"/>
                <w:lang w:val="fr-FR"/>
              </w:rPr>
            </w:pPr>
            <w:r w:rsidRPr="00EE0DCD">
              <w:rPr>
                <w:rFonts w:ascii="Arial" w:hAnsi="Arial" w:cs="Arial"/>
                <w:b/>
                <w:sz w:val="13"/>
                <w:szCs w:val="13"/>
                <w:lang w:val="fr-FR"/>
              </w:rPr>
              <w:t>Rosh Hashanah / Nouvel An juif</w:t>
            </w:r>
          </w:p>
          <w:p w:rsidR="003C291C" w:rsidRPr="00EE0DCD" w:rsidRDefault="003C291C" w:rsidP="00FC7090">
            <w:pPr>
              <w:jc w:val="right"/>
              <w:rPr>
                <w:rFonts w:ascii="Arial" w:hAnsi="Arial" w:cs="Arial"/>
                <w:b/>
                <w:sz w:val="13"/>
                <w:szCs w:val="13"/>
                <w:lang w:val="fr-CA"/>
              </w:rPr>
            </w:pPr>
            <w:r w:rsidRPr="00EE0DCD">
              <w:rPr>
                <w:rFonts w:ascii="Arial" w:hAnsi="Arial" w:cs="Arial"/>
                <w:b/>
                <w:sz w:val="13"/>
                <w:szCs w:val="13"/>
                <w:lang w:val="fr-FR"/>
              </w:rPr>
              <w:t xml:space="preserve">Yom </w:t>
            </w:r>
            <w:proofErr w:type="spellStart"/>
            <w:r w:rsidRPr="00EE0DCD">
              <w:rPr>
                <w:rFonts w:ascii="Arial" w:hAnsi="Arial" w:cs="Arial"/>
                <w:b/>
                <w:sz w:val="13"/>
                <w:szCs w:val="13"/>
                <w:lang w:val="fr-FR"/>
              </w:rPr>
              <w:t>Kippur</w:t>
            </w:r>
            <w:proofErr w:type="spellEnd"/>
            <w:r w:rsidRPr="00EE0DCD">
              <w:rPr>
                <w:rFonts w:ascii="Arial" w:hAnsi="Arial" w:cs="Arial"/>
                <w:b/>
                <w:sz w:val="13"/>
                <w:szCs w:val="13"/>
                <w:lang w:val="fr-FR"/>
              </w:rPr>
              <w:t xml:space="preserve"> / Yom Kippour</w:t>
            </w:r>
          </w:p>
        </w:tc>
        <w:tc>
          <w:tcPr>
            <w:tcW w:w="271" w:type="pct"/>
            <w:gridSpan w:val="2"/>
            <w:hideMark/>
          </w:tcPr>
          <w:p w:rsidR="003C291C" w:rsidRPr="00EE0DCD" w:rsidRDefault="003C291C" w:rsidP="00FC7090">
            <w:pPr>
              <w:spacing w:before="40" w:after="120"/>
              <w:jc w:val="center"/>
              <w:rPr>
                <w:rFonts w:ascii="Arial" w:hAnsi="Arial" w:cs="Arial"/>
                <w:b/>
                <w:sz w:val="13"/>
                <w:szCs w:val="13"/>
                <w:lang w:val="fr-CA"/>
              </w:rPr>
            </w:pPr>
            <w:r w:rsidRPr="00EE0DCD">
              <w:rPr>
                <w:rFonts w:ascii="Arial" w:hAnsi="Arial" w:cs="Arial"/>
                <w:b/>
                <w:sz w:val="13"/>
                <w:szCs w:val="13"/>
                <w:lang w:val="fr-CA"/>
              </w:rPr>
              <w:t>RH</w:t>
            </w:r>
          </w:p>
          <w:p w:rsidR="003C291C" w:rsidRPr="00EE0DCD" w:rsidRDefault="003C291C" w:rsidP="00FC7090">
            <w:pPr>
              <w:jc w:val="center"/>
              <w:rPr>
                <w:rFonts w:ascii="Arial" w:hAnsi="Arial" w:cs="Arial"/>
                <w:b/>
                <w:sz w:val="13"/>
                <w:szCs w:val="13"/>
                <w:lang w:val="fr-CA"/>
              </w:rPr>
            </w:pPr>
            <w:r w:rsidRPr="00EE0DCD">
              <w:rPr>
                <w:rFonts w:ascii="Arial" w:hAnsi="Arial" w:cs="Arial"/>
                <w:b/>
                <w:sz w:val="13"/>
                <w:szCs w:val="13"/>
                <w:lang w:val="fr-CA"/>
              </w:rPr>
              <w:t>YK</w:t>
            </w:r>
          </w:p>
        </w:tc>
      </w:tr>
      <w:tr w:rsidR="003C291C" w:rsidRPr="00EE0DCD"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EE0DCD" w:rsidRDefault="003C291C" w:rsidP="00FC7090">
            <w:pPr>
              <w:jc w:val="right"/>
              <w:rPr>
                <w:rFonts w:ascii="Arial" w:hAnsi="Arial" w:cs="Arial"/>
                <w:b/>
                <w:sz w:val="13"/>
                <w:szCs w:val="13"/>
                <w:lang w:val="fr-CA"/>
              </w:rPr>
            </w:pPr>
            <w:r w:rsidRPr="00EE0DCD">
              <w:rPr>
                <w:rFonts w:ascii="Arial" w:hAnsi="Arial" w:cs="Arial"/>
                <w:b/>
                <w:sz w:val="13"/>
                <w:szCs w:val="13"/>
                <w:lang w:val="fr-CA"/>
              </w:rPr>
              <w:t>Court conference /</w:t>
            </w:r>
          </w:p>
          <w:p w:rsidR="003C291C" w:rsidRPr="00EE0DCD" w:rsidRDefault="003C291C" w:rsidP="00FC7090">
            <w:pPr>
              <w:jc w:val="right"/>
              <w:rPr>
                <w:rFonts w:ascii="Arial" w:hAnsi="Arial" w:cs="Arial"/>
                <w:b/>
                <w:sz w:val="13"/>
                <w:szCs w:val="13"/>
                <w:lang w:val="fr-CA"/>
              </w:rPr>
            </w:pPr>
            <w:r w:rsidRPr="00EE0DCD">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EE0DCD" w:rsidRDefault="003C291C" w:rsidP="00FC7090">
            <w:pPr>
              <w:jc w:val="center"/>
              <w:rPr>
                <w:rFonts w:ascii="Arial" w:hAnsi="Arial" w:cs="Arial"/>
                <w:b/>
                <w:sz w:val="13"/>
                <w:szCs w:val="13"/>
                <w:lang w:val="fr-FR"/>
              </w:rPr>
            </w:pPr>
            <w:r w:rsidRPr="00EE0DCD">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EE0DCD" w:rsidRDefault="003C291C" w:rsidP="00FC7090">
            <w:pPr>
              <w:tabs>
                <w:tab w:val="left" w:pos="203"/>
              </w:tabs>
              <w:rPr>
                <w:rFonts w:ascii="Arial" w:hAnsi="Arial" w:cs="Arial"/>
                <w:b/>
                <w:sz w:val="13"/>
                <w:szCs w:val="13"/>
                <w:lang w:val="fr-CA"/>
              </w:rPr>
            </w:pPr>
            <w:r w:rsidRPr="00EE0DCD">
              <w:rPr>
                <w:rFonts w:ascii="Arial" w:hAnsi="Arial" w:cs="Arial"/>
                <w:b/>
                <w:sz w:val="13"/>
                <w:szCs w:val="13"/>
                <w:lang w:val="fr-CA"/>
              </w:rPr>
              <w:t>9</w:t>
            </w:r>
            <w:r w:rsidRPr="00EE0DCD">
              <w:rPr>
                <w:rFonts w:ascii="Arial" w:hAnsi="Arial" w:cs="Arial"/>
                <w:b/>
                <w:sz w:val="13"/>
                <w:szCs w:val="13"/>
                <w:lang w:val="fr-CA"/>
              </w:rPr>
              <w:tab/>
              <w:t>Court conference days /</w:t>
            </w:r>
          </w:p>
          <w:p w:rsidR="003C291C" w:rsidRPr="00EE0DCD" w:rsidRDefault="003C291C" w:rsidP="00FC7090">
            <w:pPr>
              <w:tabs>
                <w:tab w:val="left" w:pos="203"/>
              </w:tabs>
              <w:rPr>
                <w:rFonts w:ascii="Arial" w:hAnsi="Arial" w:cs="Arial"/>
                <w:b/>
                <w:sz w:val="13"/>
                <w:szCs w:val="13"/>
                <w:lang w:val="fr-CA"/>
              </w:rPr>
            </w:pPr>
            <w:r w:rsidRPr="00EE0DCD">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EE0DCD" w:rsidRDefault="003C291C" w:rsidP="00FC7090">
            <w:pPr>
              <w:rPr>
                <w:rFonts w:ascii="Arial" w:hAnsi="Arial" w:cs="Arial"/>
                <w:b/>
                <w:sz w:val="13"/>
                <w:szCs w:val="13"/>
                <w:lang w:val="fr-CA"/>
              </w:rPr>
            </w:pPr>
          </w:p>
        </w:tc>
        <w:tc>
          <w:tcPr>
            <w:tcW w:w="271" w:type="pct"/>
            <w:gridSpan w:val="2"/>
          </w:tcPr>
          <w:p w:rsidR="003C291C" w:rsidRPr="00EE0DCD"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EE0DCD" w:rsidRDefault="003C291C" w:rsidP="00FC7090">
            <w:pPr>
              <w:jc w:val="right"/>
              <w:rPr>
                <w:rFonts w:ascii="Arial" w:hAnsi="Arial" w:cs="Arial"/>
                <w:b/>
                <w:sz w:val="13"/>
                <w:szCs w:val="13"/>
              </w:rPr>
            </w:pPr>
            <w:r w:rsidRPr="00EE0DCD">
              <w:rPr>
                <w:rFonts w:ascii="Arial" w:hAnsi="Arial" w:cs="Arial"/>
                <w:b/>
                <w:sz w:val="13"/>
                <w:szCs w:val="13"/>
              </w:rPr>
              <w:t xml:space="preserve">Holiday / </w:t>
            </w:r>
            <w:r w:rsidRPr="00EE0DCD">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EE0DCD" w:rsidRDefault="003C291C" w:rsidP="00FC7090">
            <w:pPr>
              <w:jc w:val="center"/>
              <w:rPr>
                <w:rFonts w:ascii="Arial" w:hAnsi="Arial" w:cs="Arial"/>
                <w:b/>
                <w:sz w:val="13"/>
                <w:szCs w:val="13"/>
              </w:rPr>
            </w:pPr>
            <w:r w:rsidRPr="00EE0DCD">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EE0DCD" w:rsidRDefault="003C291C" w:rsidP="00FC7090">
            <w:pPr>
              <w:tabs>
                <w:tab w:val="left" w:pos="203"/>
              </w:tabs>
              <w:rPr>
                <w:rFonts w:ascii="Arial" w:hAnsi="Arial" w:cs="Arial"/>
                <w:b/>
                <w:sz w:val="13"/>
                <w:szCs w:val="13"/>
              </w:rPr>
            </w:pPr>
            <w:r w:rsidRPr="00EE0DCD">
              <w:rPr>
                <w:rFonts w:ascii="Arial" w:hAnsi="Arial" w:cs="Arial"/>
                <w:b/>
                <w:sz w:val="13"/>
                <w:szCs w:val="13"/>
              </w:rPr>
              <w:t>3</w:t>
            </w:r>
            <w:r w:rsidRPr="00EE0DCD">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EE0DCD">
              <w:rPr>
                <w:rFonts w:ascii="Arial" w:hAnsi="Arial" w:cs="Arial"/>
                <w:b/>
                <w:sz w:val="13"/>
                <w:szCs w:val="13"/>
              </w:rPr>
              <w:tab/>
            </w:r>
            <w:r w:rsidRPr="00EE0DCD">
              <w:rPr>
                <w:rFonts w:ascii="Arial" w:hAnsi="Arial" w:cs="Arial"/>
                <w:b/>
                <w:sz w:val="13"/>
                <w:szCs w:val="13"/>
                <w:lang w:val="fr-CA"/>
              </w:rPr>
              <w:t>jours fériés durant les séances</w:t>
            </w:r>
            <w:bookmarkStart w:id="12" w:name="_GoBack"/>
            <w:bookmarkEnd w:id="12"/>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57"/>
      <w:footerReference w:type="default" r:id="rId5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CB" w:rsidRDefault="00962BCB" w:rsidP="00A87207">
      <w:r>
        <w:separator/>
      </w:r>
    </w:p>
  </w:endnote>
  <w:endnote w:type="continuationSeparator" w:id="0">
    <w:p w:rsidR="00962BCB" w:rsidRDefault="00962BC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rsidP="00A87207">
    <w:pPr>
      <w:pStyle w:val="Footer"/>
    </w:pPr>
    <w:r>
      <w:pict>
        <v:rect id="_x0000_i1026" style="width:480.95pt;height:1pt" o:hralign="center" o:hrstd="t" o:hrnoshade="t" o:hr="t" fillcolor="black [3213]" stroked="f"/>
      </w:pict>
    </w:r>
  </w:p>
  <w:p w:rsidR="00962BCB" w:rsidRPr="00B7374B" w:rsidRDefault="00962BC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E0DCD">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962BCB" w:rsidRDefault="00962BC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rsidP="00782AE4">
    <w:pPr>
      <w:tabs>
        <w:tab w:val="center" w:pos="4680"/>
      </w:tabs>
    </w:pPr>
    <w:r>
      <w:pict>
        <v:rect id="_x0000_i1046" style="width:480.95pt;height:1pt" o:hralign="center" o:hrstd="t" o:hrnoshade="t" o:hr="t" fillcolor="black [3213]" stroked="f"/>
      </w:pict>
    </w:r>
  </w:p>
  <w:p w:rsidR="00962BCB" w:rsidRDefault="00962BC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E0DCD">
      <w:rPr>
        <w:noProof/>
        <w:szCs w:val="24"/>
      </w:rPr>
      <w:t>10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962BCB" w:rsidRDefault="00962BC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962BCB" w:rsidRDefault="00962BCB">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rsidP="0022323B">
    <w:r>
      <w:pict>
        <v:rect id="_x0000_i1060" style="width:480.95pt;height:1pt" o:hralign="center" o:hrstd="t" o:hrnoshade="t" o:hr="t" fillcolor="black [3213]" stroked="f"/>
      </w:pict>
    </w:r>
  </w:p>
  <w:p w:rsidR="00962BCB" w:rsidRDefault="00962BCB">
    <w:pPr>
      <w:tabs>
        <w:tab w:val="center" w:pos="4740"/>
      </w:tabs>
      <w:spacing w:line="0" w:lineRule="atLeast"/>
    </w:pPr>
    <w:r>
      <w:tab/>
      <w:t xml:space="preserve">- </w:t>
    </w:r>
    <w:r>
      <w:fldChar w:fldCharType="begin"/>
    </w:r>
    <w:r>
      <w:instrText xml:space="preserve"> PAGE   \* MERGEFORMAT </w:instrText>
    </w:r>
    <w:r>
      <w:fldChar w:fldCharType="separate"/>
    </w:r>
    <w:r w:rsidR="00EE0DCD">
      <w:rPr>
        <w:noProof/>
      </w:rPr>
      <w:t>17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rsidP="0022323B">
    <w:r>
      <w:pict>
        <v:rect id="_x0000_i1061" style="width:480.95pt;height:1pt" o:hralign="center" o:hrstd="t" o:hrnoshade="t" o:hr="t" fillcolor="black [3213]" stroked="f"/>
      </w:pict>
    </w:r>
  </w:p>
  <w:p w:rsidR="00962BCB" w:rsidRDefault="00962BCB" w:rsidP="0022323B">
    <w:pPr>
      <w:tabs>
        <w:tab w:val="center" w:pos="4740"/>
      </w:tabs>
      <w:spacing w:line="0" w:lineRule="atLeast"/>
    </w:pPr>
    <w:r>
      <w:tab/>
      <w:t xml:space="preserve">- </w:t>
    </w:r>
    <w:r>
      <w:fldChar w:fldCharType="begin"/>
    </w:r>
    <w:r>
      <w:instrText xml:space="preserve"> PAGE   \* MERGEFORMAT </w:instrText>
    </w:r>
    <w:r>
      <w:fldChar w:fldCharType="separate"/>
    </w:r>
    <w:r w:rsidR="00EE0DCD">
      <w:rPr>
        <w:noProof/>
      </w:rPr>
      <w:t>11</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Pr="00924065" w:rsidRDefault="00962BC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rsidP="00755F22">
    <w:pPr>
      <w:tabs>
        <w:tab w:val="left" w:pos="-1440"/>
        <w:tab w:val="left" w:pos="-720"/>
      </w:tabs>
    </w:pPr>
    <w:r>
      <w:pict>
        <v:rect id="_x0000_i1027" style="width:480.95pt;height:1pt" o:hralign="center" o:hrstd="t" o:hrnoshade="t" o:hr="t" fillcolor="black [3213]" stroked="f"/>
      </w:pict>
    </w:r>
  </w:p>
  <w:p w:rsidR="00962BCB" w:rsidRPr="00954D22" w:rsidRDefault="00962BC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E0DCD">
      <w:rPr>
        <w:noProof/>
        <w:szCs w:val="24"/>
      </w:rPr>
      <w:t>1</w:t>
    </w:r>
    <w:r>
      <w:rPr>
        <w:szCs w:val="24"/>
      </w:rPr>
      <w:fldChar w:fldCharType="end"/>
    </w:r>
    <w:r w:rsidRPr="00954D22">
      <w:rPr>
        <w:szCs w:val="24"/>
      </w:rPr>
      <w:t xml:space="preserve"> -</w:t>
    </w:r>
  </w:p>
  <w:p w:rsidR="00962BCB" w:rsidRDefault="00962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2BCB" w:rsidRDefault="00962BC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4" style="width:480.95pt;height:1pt" o:hralign="center" o:hrstd="t" o:hrnoshade="t" o:hr="t" fillcolor="black [3213]" stroked="f"/>
      </w:pict>
    </w:r>
  </w:p>
  <w:p w:rsidR="00962BCB" w:rsidRPr="0009648D" w:rsidRDefault="00962BCB" w:rsidP="00ED7E83">
    <w:pPr>
      <w:tabs>
        <w:tab w:val="center" w:pos="4680"/>
      </w:tabs>
    </w:pPr>
    <w:r>
      <w:tab/>
    </w:r>
    <w:r w:rsidRPr="0009648D">
      <w:t xml:space="preserve">- </w:t>
    </w:r>
    <w:r>
      <w:fldChar w:fldCharType="begin"/>
    </w:r>
    <w:r>
      <w:instrText xml:space="preserve"> PAGE   \* MERGEFORMAT </w:instrText>
    </w:r>
    <w:r>
      <w:fldChar w:fldCharType="separate"/>
    </w:r>
    <w:r w:rsidR="00EE0DCD">
      <w:rPr>
        <w:noProof/>
      </w:rPr>
      <w:t>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pStyle w:val="Footer"/>
      <w:rPr>
        <w:lang w:val="fr-CA"/>
      </w:rPr>
    </w:pPr>
    <w:r>
      <w:rPr>
        <w:lang w:val="fr-CA"/>
      </w:rPr>
      <w:pict>
        <v:rect id="_x0000_i1035" style="width:480.95pt;height:1pt" o:hralign="center" o:hrstd="t" o:hrnoshade="t" o:hr="t" fillcolor="black [3213]" stroked="f"/>
      </w:pict>
    </w:r>
  </w:p>
  <w:p w:rsidR="00962BCB" w:rsidRDefault="00962BCB" w:rsidP="00245129">
    <w:pPr>
      <w:tabs>
        <w:tab w:val="center" w:pos="4680"/>
      </w:tabs>
    </w:pPr>
    <w:r>
      <w:tab/>
    </w:r>
    <w:r w:rsidRPr="0009648D">
      <w:t xml:space="preserve">- </w:t>
    </w:r>
    <w:r>
      <w:fldChar w:fldCharType="begin"/>
    </w:r>
    <w:r>
      <w:instrText xml:space="preserve"> PAGE   \* MERGEFORMAT </w:instrText>
    </w:r>
    <w:r>
      <w:fldChar w:fldCharType="separate"/>
    </w:r>
    <w:r w:rsidR="00EE0DCD">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2BCB" w:rsidRDefault="00962BC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2" style="width:480.95pt;height:1pt" o:hralign="center" o:hrstd="t" o:hrnoshade="t" o:hr="t" fillcolor="black [3213]" stroked="f"/>
      </w:pict>
    </w:r>
  </w:p>
  <w:p w:rsidR="00962BCB" w:rsidRDefault="00962BC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pStyle w:val="Footer"/>
      <w:rPr>
        <w:lang w:val="fr-CA"/>
      </w:rPr>
    </w:pPr>
    <w:r>
      <w:rPr>
        <w:lang w:val="fr-CA"/>
      </w:rPr>
      <w:pict>
        <v:rect id="_x0000_i1043" style="width:480.95pt;height:1pt" o:hralign="center" o:hrstd="t" o:hrnoshade="t" o:hr="t" fillcolor="black [3213]" stroked="f"/>
      </w:pict>
    </w:r>
  </w:p>
  <w:p w:rsidR="00962BCB" w:rsidRDefault="00962BCB" w:rsidP="00EB2B90">
    <w:pPr>
      <w:tabs>
        <w:tab w:val="center" w:pos="4680"/>
      </w:tabs>
    </w:pPr>
    <w:r>
      <w:tab/>
      <w:t xml:space="preserve">- </w:t>
    </w:r>
    <w:r>
      <w:fldChar w:fldCharType="begin"/>
    </w:r>
    <w:r>
      <w:instrText xml:space="preserve"> PAGE   \* MERGEFORMAT </w:instrText>
    </w:r>
    <w:r>
      <w:fldChar w:fldCharType="separate"/>
    </w:r>
    <w:r w:rsidR="00EE0DCD">
      <w:rPr>
        <w:noProof/>
      </w:rPr>
      <w:t>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2BCB" w:rsidRDefault="00962BC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CB" w:rsidRDefault="00962BCB" w:rsidP="00A87207">
      <w:r>
        <w:separator/>
      </w:r>
    </w:p>
  </w:footnote>
  <w:footnote w:type="continuationSeparator" w:id="0">
    <w:p w:rsidR="00962BCB" w:rsidRDefault="00962BC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62BCB" w:rsidRPr="0044776A" w:rsidTr="00245129">
      <w:tc>
        <w:tcPr>
          <w:tcW w:w="4290" w:type="dxa"/>
          <w:tcMar>
            <w:left w:w="0" w:type="dxa"/>
            <w:right w:w="0" w:type="dxa"/>
          </w:tcMar>
        </w:tcPr>
        <w:p w:rsidR="00962BCB" w:rsidRPr="00D31809" w:rsidRDefault="00962BCB" w:rsidP="00D31809">
          <w:pPr>
            <w:keepNext/>
            <w:keepLines/>
            <w:rPr>
              <w:sz w:val="20"/>
              <w:szCs w:val="20"/>
              <w:lang w:val="en-US"/>
            </w:rPr>
          </w:pPr>
          <w:r w:rsidRPr="00D31809">
            <w:rPr>
              <w:sz w:val="20"/>
              <w:szCs w:val="20"/>
              <w:lang w:val="en-US"/>
            </w:rPr>
            <w:t>Applications for leave to appeal filed</w:t>
          </w:r>
        </w:p>
        <w:p w:rsidR="00962BCB" w:rsidRPr="00D31809" w:rsidRDefault="00962BCB" w:rsidP="00D31809">
          <w:pPr>
            <w:keepNext/>
            <w:keepLines/>
            <w:rPr>
              <w:sz w:val="20"/>
              <w:szCs w:val="20"/>
            </w:rPr>
          </w:pPr>
        </w:p>
      </w:tc>
      <w:tc>
        <w:tcPr>
          <w:tcW w:w="1200" w:type="dxa"/>
          <w:tcMar>
            <w:left w:w="0" w:type="dxa"/>
            <w:right w:w="0" w:type="dxa"/>
          </w:tcMar>
        </w:tcPr>
        <w:p w:rsidR="00962BCB" w:rsidRPr="00D31809" w:rsidRDefault="00962BCB" w:rsidP="002E2327">
          <w:pPr>
            <w:keepNext/>
            <w:keepLines/>
            <w:tabs>
              <w:tab w:val="left" w:pos="-1440"/>
              <w:tab w:val="left" w:pos="-720"/>
            </w:tabs>
            <w:jc w:val="center"/>
            <w:rPr>
              <w:sz w:val="20"/>
              <w:szCs w:val="20"/>
            </w:rPr>
          </w:pPr>
        </w:p>
      </w:tc>
      <w:tc>
        <w:tcPr>
          <w:tcW w:w="4320" w:type="dxa"/>
          <w:tcMar>
            <w:left w:w="0" w:type="dxa"/>
            <w:right w:w="0" w:type="dxa"/>
          </w:tcMar>
        </w:tcPr>
        <w:p w:rsidR="00962BCB" w:rsidRPr="00D31809" w:rsidRDefault="00962BCB" w:rsidP="002E2327">
          <w:pPr>
            <w:keepLines/>
            <w:rPr>
              <w:sz w:val="20"/>
              <w:szCs w:val="20"/>
              <w:lang w:val="fr-CA"/>
            </w:rPr>
          </w:pPr>
          <w:r w:rsidRPr="00D31809">
            <w:rPr>
              <w:sz w:val="20"/>
              <w:szCs w:val="20"/>
              <w:lang w:val="fr-CA"/>
            </w:rPr>
            <w:t>Demandes d’autorisation d’appel déposées</w:t>
          </w:r>
        </w:p>
      </w:tc>
    </w:tr>
  </w:tbl>
  <w:p w:rsidR="00962BCB" w:rsidRDefault="00962B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62BCB" w:rsidRPr="00782AE4" w:rsidTr="00245129">
      <w:tc>
        <w:tcPr>
          <w:tcW w:w="4230" w:type="dxa"/>
          <w:tcMar>
            <w:left w:w="0" w:type="dxa"/>
            <w:right w:w="0" w:type="dxa"/>
          </w:tcMar>
        </w:tcPr>
        <w:p w:rsidR="00962BCB" w:rsidRPr="00782AE4" w:rsidRDefault="00962BCB" w:rsidP="00102926">
          <w:pPr>
            <w:keepNext/>
            <w:keepLines/>
            <w:tabs>
              <w:tab w:val="left" w:pos="-1440"/>
              <w:tab w:val="left" w:pos="-720"/>
            </w:tabs>
            <w:rPr>
              <w:sz w:val="20"/>
              <w:szCs w:val="20"/>
            </w:rPr>
          </w:pPr>
          <w:r w:rsidRPr="00782AE4">
            <w:rPr>
              <w:sz w:val="20"/>
              <w:szCs w:val="20"/>
            </w:rPr>
            <w:t xml:space="preserve">HEADNOTES OF RECENT </w:t>
          </w:r>
        </w:p>
        <w:p w:rsidR="00962BCB" w:rsidRPr="00782AE4"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62BCB" w:rsidRDefault="00962BCB" w:rsidP="00102926">
          <w:pPr>
            <w:keepNext/>
            <w:keepLines/>
            <w:tabs>
              <w:tab w:val="left" w:pos="-1440"/>
              <w:tab w:val="left" w:pos="-720"/>
            </w:tabs>
            <w:jc w:val="center"/>
            <w:rPr>
              <w:sz w:val="20"/>
              <w:szCs w:val="20"/>
            </w:rPr>
          </w:pPr>
        </w:p>
        <w:p w:rsidR="00962BCB" w:rsidRDefault="00962BCB" w:rsidP="00102926">
          <w:pPr>
            <w:keepNext/>
            <w:keepLines/>
            <w:tabs>
              <w:tab w:val="left" w:pos="-1440"/>
              <w:tab w:val="left" w:pos="-720"/>
            </w:tabs>
            <w:jc w:val="center"/>
            <w:rPr>
              <w:sz w:val="20"/>
              <w:szCs w:val="20"/>
            </w:rPr>
          </w:pPr>
        </w:p>
        <w:p w:rsidR="00962BCB" w:rsidRPr="00782AE4" w:rsidRDefault="00962BCB" w:rsidP="00102926">
          <w:pPr>
            <w:keepNext/>
            <w:keepLines/>
            <w:tabs>
              <w:tab w:val="left" w:pos="-1440"/>
              <w:tab w:val="left" w:pos="-720"/>
            </w:tabs>
            <w:jc w:val="center"/>
            <w:rPr>
              <w:sz w:val="20"/>
              <w:szCs w:val="20"/>
            </w:rPr>
          </w:pPr>
        </w:p>
      </w:tc>
      <w:tc>
        <w:tcPr>
          <w:tcW w:w="4080" w:type="dxa"/>
          <w:tcMar>
            <w:left w:w="0" w:type="dxa"/>
            <w:right w:w="0" w:type="dxa"/>
          </w:tcMar>
        </w:tcPr>
        <w:p w:rsidR="00962BCB" w:rsidRPr="00102926"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62BCB" w:rsidRPr="00782AE4" w:rsidRDefault="00962BCB" w:rsidP="00102926">
          <w:pPr>
            <w:keepLines/>
            <w:tabs>
              <w:tab w:val="left" w:pos="-1440"/>
              <w:tab w:val="left" w:pos="-720"/>
            </w:tabs>
            <w:rPr>
              <w:sz w:val="20"/>
              <w:szCs w:val="20"/>
            </w:rPr>
          </w:pPr>
          <w:r w:rsidRPr="00102926">
            <w:rPr>
              <w:sz w:val="20"/>
              <w:szCs w:val="20"/>
              <w:lang w:val="fr-CA"/>
            </w:rPr>
            <w:t>RÉCENTS</w:t>
          </w:r>
        </w:p>
      </w:tc>
    </w:tr>
  </w:tbl>
  <w:p w:rsidR="00962BCB" w:rsidRDefault="00962BC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2BCB">
      <w:tc>
        <w:tcPr>
          <w:tcW w:w="4200" w:type="dxa"/>
          <w:tcMar>
            <w:left w:w="0" w:type="dxa"/>
            <w:right w:w="0" w:type="dxa"/>
          </w:tcMar>
        </w:tcPr>
        <w:p w:rsidR="00962BCB" w:rsidRDefault="00962BC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962BCB" w:rsidRDefault="00962BC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962BCB" w:rsidRDefault="00962BC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962BCB" w:rsidRDefault="00962BC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962BCB" w:rsidRDefault="00962BC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962BCB" w:rsidRDefault="00962BC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2BCB" w:rsidRPr="00962BCB" w:rsidTr="00245129">
      <w:tc>
        <w:tcPr>
          <w:tcW w:w="4200" w:type="dxa"/>
          <w:tcMar>
            <w:left w:w="0" w:type="dxa"/>
            <w:right w:w="0" w:type="dxa"/>
          </w:tcMar>
        </w:tcPr>
        <w:p w:rsidR="00962BCB" w:rsidRPr="00102792" w:rsidRDefault="00962BCB" w:rsidP="00673569">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May</w:t>
          </w:r>
          <w:r w:rsidRPr="00102792">
            <w:rPr>
              <w:szCs w:val="24"/>
            </w:rPr>
            <w:t xml:space="preserve"> 20</w:t>
          </w:r>
          <w:r>
            <w:rPr>
              <w:szCs w:val="24"/>
            </w:rPr>
            <w:t>23</w:t>
          </w:r>
        </w:p>
      </w:tc>
      <w:tc>
        <w:tcPr>
          <w:tcW w:w="1200" w:type="dxa"/>
          <w:tcMar>
            <w:left w:w="0" w:type="dxa"/>
            <w:right w:w="0" w:type="dxa"/>
          </w:tcMar>
        </w:tcPr>
        <w:p w:rsidR="00962BCB" w:rsidRDefault="00962BCB" w:rsidP="00102792">
          <w:pPr>
            <w:keepNext/>
            <w:keepLines/>
            <w:jc w:val="center"/>
            <w:rPr>
              <w:szCs w:val="24"/>
            </w:rPr>
          </w:pPr>
        </w:p>
        <w:p w:rsidR="00962BCB" w:rsidRPr="00102792" w:rsidRDefault="00962BCB" w:rsidP="00102792">
          <w:pPr>
            <w:keepNext/>
            <w:keepLines/>
            <w:jc w:val="center"/>
            <w:rPr>
              <w:szCs w:val="24"/>
            </w:rPr>
          </w:pPr>
        </w:p>
        <w:p w:rsidR="00962BCB" w:rsidRPr="00102792" w:rsidRDefault="00962BCB" w:rsidP="00102792">
          <w:pPr>
            <w:keepNext/>
            <w:keepLines/>
            <w:jc w:val="center"/>
            <w:rPr>
              <w:szCs w:val="24"/>
            </w:rPr>
          </w:pPr>
        </w:p>
      </w:tc>
      <w:tc>
        <w:tcPr>
          <w:tcW w:w="4080" w:type="dxa"/>
          <w:tcMar>
            <w:left w:w="0" w:type="dxa"/>
            <w:right w:w="0" w:type="dxa"/>
          </w:tcMar>
        </w:tcPr>
        <w:p w:rsidR="00962BCB" w:rsidRPr="00102792" w:rsidRDefault="00962BCB" w:rsidP="00673569">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mai</w:t>
          </w:r>
          <w:r w:rsidRPr="00102792">
            <w:rPr>
              <w:szCs w:val="24"/>
              <w:lang w:val="fr-CA"/>
            </w:rPr>
            <w:t xml:space="preserve"> 20</w:t>
          </w:r>
          <w:r>
            <w:rPr>
              <w:szCs w:val="24"/>
              <w:lang w:val="fr-CA"/>
            </w:rPr>
            <w:t>23</w:t>
          </w:r>
        </w:p>
      </w:tc>
    </w:tr>
  </w:tbl>
  <w:p w:rsidR="00962BCB" w:rsidRPr="00567602" w:rsidRDefault="00962BCB"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2BCB" w:rsidRPr="00962BCB">
      <w:tc>
        <w:tcPr>
          <w:tcW w:w="4200" w:type="dxa"/>
          <w:tcMar>
            <w:left w:w="0" w:type="dxa"/>
            <w:right w:w="0" w:type="dxa"/>
          </w:tcMar>
        </w:tcPr>
        <w:p w:rsidR="00962BCB"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62BCB"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62BCB" w:rsidRDefault="00962B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2BCB" w:rsidRPr="00FF6BA5" w:rsidRDefault="00962B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62BCB" w:rsidRPr="00FF6BA5"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62BCB" w:rsidRPr="00FF6BA5"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62BCB" w:rsidRPr="00FF6BA5"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2BCB" w:rsidRPr="00962BCB" w:rsidTr="00245129">
      <w:tc>
        <w:tcPr>
          <w:tcW w:w="4200" w:type="dxa"/>
          <w:tcMar>
            <w:left w:w="0" w:type="dxa"/>
            <w:right w:w="0" w:type="dxa"/>
          </w:tcMar>
        </w:tcPr>
        <w:p w:rsidR="00962BCB" w:rsidRPr="00634F42" w:rsidRDefault="00962BC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62BCB" w:rsidRPr="00755F22" w:rsidRDefault="00962BC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62BCB" w:rsidRPr="00755F22" w:rsidRDefault="00962BC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62BCB" w:rsidRPr="00755F22" w:rsidRDefault="00962B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62BCB" w:rsidRPr="00FF6BA5" w:rsidRDefault="00962BC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2BCB" w:rsidRPr="00962BCB">
      <w:tc>
        <w:tcPr>
          <w:tcW w:w="4200" w:type="dxa"/>
          <w:tcMar>
            <w:left w:w="0" w:type="dxa"/>
            <w:right w:w="0" w:type="dxa"/>
          </w:tcMar>
        </w:tcPr>
        <w:p w:rsidR="00962BCB"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62BCB"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2BCB" w:rsidRPr="00B01A03" w:rsidRDefault="00962B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62BCB" w:rsidRPr="00B01A03"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62BCB" w:rsidRPr="00B01A03"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62BCB" w:rsidRPr="00962BCB" w:rsidTr="00245129">
      <w:tc>
        <w:tcPr>
          <w:tcW w:w="4200" w:type="dxa"/>
          <w:tcMar>
            <w:left w:w="0" w:type="dxa"/>
            <w:right w:w="0" w:type="dxa"/>
          </w:tcMar>
        </w:tcPr>
        <w:p w:rsidR="00962BCB" w:rsidRPr="00F40249" w:rsidRDefault="00962BC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62BCB" w:rsidRDefault="00962BCB" w:rsidP="00102926">
          <w:pPr>
            <w:keepNext/>
            <w:keepLines/>
            <w:tabs>
              <w:tab w:val="left" w:pos="-1440"/>
              <w:tab w:val="left" w:pos="-720"/>
            </w:tabs>
            <w:jc w:val="center"/>
            <w:rPr>
              <w:sz w:val="20"/>
              <w:szCs w:val="20"/>
            </w:rPr>
          </w:pPr>
        </w:p>
        <w:p w:rsidR="00962BCB" w:rsidRDefault="00962BCB" w:rsidP="00102926">
          <w:pPr>
            <w:keepNext/>
            <w:keepLines/>
            <w:tabs>
              <w:tab w:val="left" w:pos="-1440"/>
              <w:tab w:val="left" w:pos="-720"/>
            </w:tabs>
            <w:jc w:val="center"/>
            <w:rPr>
              <w:sz w:val="20"/>
              <w:szCs w:val="20"/>
            </w:rPr>
          </w:pPr>
        </w:p>
        <w:p w:rsidR="00962BCB" w:rsidRPr="00F40249" w:rsidRDefault="00962BCB" w:rsidP="00102926">
          <w:pPr>
            <w:keepNext/>
            <w:keepLines/>
            <w:tabs>
              <w:tab w:val="left" w:pos="-1440"/>
              <w:tab w:val="left" w:pos="-720"/>
            </w:tabs>
            <w:jc w:val="center"/>
            <w:rPr>
              <w:sz w:val="20"/>
              <w:szCs w:val="20"/>
            </w:rPr>
          </w:pPr>
        </w:p>
      </w:tc>
      <w:tc>
        <w:tcPr>
          <w:tcW w:w="4230" w:type="dxa"/>
          <w:tcMar>
            <w:left w:w="0" w:type="dxa"/>
            <w:right w:w="0" w:type="dxa"/>
          </w:tcMar>
        </w:tcPr>
        <w:p w:rsidR="00962BCB" w:rsidRPr="00F40249" w:rsidRDefault="00962BC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62BCB" w:rsidRPr="00B01A03" w:rsidRDefault="00962BC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CB" w:rsidRDefault="00962B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62BCB">
      <w:tc>
        <w:tcPr>
          <w:tcW w:w="4230" w:type="dxa"/>
          <w:tcMar>
            <w:left w:w="0" w:type="dxa"/>
            <w:right w:w="0" w:type="dxa"/>
          </w:tcMar>
        </w:tcPr>
        <w:p w:rsidR="00962BCB"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62BCB"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62BCB"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62BCB"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2BCB" w:rsidRDefault="00962B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62BCB" w:rsidRDefault="00962B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62BCB" w:rsidRDefault="0096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B9"/>
    <w:rsid w:val="00002704"/>
    <w:rsid w:val="00020DC3"/>
    <w:rsid w:val="0003223B"/>
    <w:rsid w:val="000327B2"/>
    <w:rsid w:val="00033A57"/>
    <w:rsid w:val="0003550C"/>
    <w:rsid w:val="0004528B"/>
    <w:rsid w:val="00045DE3"/>
    <w:rsid w:val="00064FBA"/>
    <w:rsid w:val="000905D7"/>
    <w:rsid w:val="00091BA6"/>
    <w:rsid w:val="00091FA6"/>
    <w:rsid w:val="0009686C"/>
    <w:rsid w:val="00096BD9"/>
    <w:rsid w:val="000B3C9A"/>
    <w:rsid w:val="000B40A2"/>
    <w:rsid w:val="000B4624"/>
    <w:rsid w:val="000C0ACD"/>
    <w:rsid w:val="000C0D2A"/>
    <w:rsid w:val="000C1D9D"/>
    <w:rsid w:val="000C38B9"/>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A5272"/>
    <w:rsid w:val="001B157C"/>
    <w:rsid w:val="001B1994"/>
    <w:rsid w:val="001B39D1"/>
    <w:rsid w:val="001B4006"/>
    <w:rsid w:val="001B5C23"/>
    <w:rsid w:val="001D0D5F"/>
    <w:rsid w:val="001D6B8C"/>
    <w:rsid w:val="001D6F72"/>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47D3F"/>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D6F59"/>
    <w:rsid w:val="003E1D4C"/>
    <w:rsid w:val="003E5B23"/>
    <w:rsid w:val="003E5F3E"/>
    <w:rsid w:val="003F414B"/>
    <w:rsid w:val="00407C5D"/>
    <w:rsid w:val="0041245B"/>
    <w:rsid w:val="004137A0"/>
    <w:rsid w:val="00420A01"/>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0A01"/>
    <w:rsid w:val="004E1E0A"/>
    <w:rsid w:val="004E44A7"/>
    <w:rsid w:val="004E5524"/>
    <w:rsid w:val="004F090E"/>
    <w:rsid w:val="00501F3C"/>
    <w:rsid w:val="00506BE1"/>
    <w:rsid w:val="00520F9E"/>
    <w:rsid w:val="0052229C"/>
    <w:rsid w:val="00527CC7"/>
    <w:rsid w:val="00555319"/>
    <w:rsid w:val="00560DF1"/>
    <w:rsid w:val="0056248C"/>
    <w:rsid w:val="00564B09"/>
    <w:rsid w:val="00567602"/>
    <w:rsid w:val="00567680"/>
    <w:rsid w:val="00571CA4"/>
    <w:rsid w:val="00573AF2"/>
    <w:rsid w:val="00582136"/>
    <w:rsid w:val="005967EF"/>
    <w:rsid w:val="005B2EA9"/>
    <w:rsid w:val="005B6826"/>
    <w:rsid w:val="005C0476"/>
    <w:rsid w:val="005C6840"/>
    <w:rsid w:val="005F1ED8"/>
    <w:rsid w:val="005F263E"/>
    <w:rsid w:val="00600252"/>
    <w:rsid w:val="00612A40"/>
    <w:rsid w:val="0062714A"/>
    <w:rsid w:val="00634F42"/>
    <w:rsid w:val="00645947"/>
    <w:rsid w:val="006615F4"/>
    <w:rsid w:val="00673569"/>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7B8E"/>
    <w:rsid w:val="00842B6B"/>
    <w:rsid w:val="00844E40"/>
    <w:rsid w:val="00845C2A"/>
    <w:rsid w:val="00850E1F"/>
    <w:rsid w:val="0085476B"/>
    <w:rsid w:val="0086340B"/>
    <w:rsid w:val="00873743"/>
    <w:rsid w:val="00877592"/>
    <w:rsid w:val="00883BFC"/>
    <w:rsid w:val="00883FA9"/>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1450E"/>
    <w:rsid w:val="00924065"/>
    <w:rsid w:val="00930B8A"/>
    <w:rsid w:val="00930D68"/>
    <w:rsid w:val="00932DB4"/>
    <w:rsid w:val="00941A4B"/>
    <w:rsid w:val="00946242"/>
    <w:rsid w:val="0095096B"/>
    <w:rsid w:val="00955827"/>
    <w:rsid w:val="00957556"/>
    <w:rsid w:val="00961C83"/>
    <w:rsid w:val="00962BCB"/>
    <w:rsid w:val="00970CD3"/>
    <w:rsid w:val="009723FA"/>
    <w:rsid w:val="00984546"/>
    <w:rsid w:val="009921E9"/>
    <w:rsid w:val="00996510"/>
    <w:rsid w:val="009A75CF"/>
    <w:rsid w:val="009B36BA"/>
    <w:rsid w:val="009B6B5A"/>
    <w:rsid w:val="009C4E23"/>
    <w:rsid w:val="009D1F15"/>
    <w:rsid w:val="009D555E"/>
    <w:rsid w:val="009E5C22"/>
    <w:rsid w:val="009F3024"/>
    <w:rsid w:val="009F39BA"/>
    <w:rsid w:val="00A0355E"/>
    <w:rsid w:val="00A067B5"/>
    <w:rsid w:val="00A234E1"/>
    <w:rsid w:val="00A242F4"/>
    <w:rsid w:val="00A375D1"/>
    <w:rsid w:val="00A41D2B"/>
    <w:rsid w:val="00A51D10"/>
    <w:rsid w:val="00A52A83"/>
    <w:rsid w:val="00A61252"/>
    <w:rsid w:val="00A6385A"/>
    <w:rsid w:val="00A6552C"/>
    <w:rsid w:val="00A744AF"/>
    <w:rsid w:val="00A760C7"/>
    <w:rsid w:val="00A81DCF"/>
    <w:rsid w:val="00A87207"/>
    <w:rsid w:val="00A935AA"/>
    <w:rsid w:val="00A956D3"/>
    <w:rsid w:val="00AB2201"/>
    <w:rsid w:val="00AB3440"/>
    <w:rsid w:val="00AC3CBD"/>
    <w:rsid w:val="00AD1D34"/>
    <w:rsid w:val="00AD3259"/>
    <w:rsid w:val="00AE043C"/>
    <w:rsid w:val="00AF1715"/>
    <w:rsid w:val="00AF3904"/>
    <w:rsid w:val="00B00A0B"/>
    <w:rsid w:val="00B010C0"/>
    <w:rsid w:val="00B028A0"/>
    <w:rsid w:val="00B15CBE"/>
    <w:rsid w:val="00B40FD9"/>
    <w:rsid w:val="00B4618C"/>
    <w:rsid w:val="00B4740D"/>
    <w:rsid w:val="00B61629"/>
    <w:rsid w:val="00B6297F"/>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5D02"/>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4032A"/>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0E25"/>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E0DCD"/>
    <w:rsid w:val="00EE43EF"/>
    <w:rsid w:val="00EF4B63"/>
    <w:rsid w:val="00F0068D"/>
    <w:rsid w:val="00F0576D"/>
    <w:rsid w:val="00F138C1"/>
    <w:rsid w:val="00F14E6D"/>
    <w:rsid w:val="00F15EA8"/>
    <w:rsid w:val="00F16063"/>
    <w:rsid w:val="00F163E8"/>
    <w:rsid w:val="00F16C8D"/>
    <w:rsid w:val="00F253CC"/>
    <w:rsid w:val="00F26C61"/>
    <w:rsid w:val="00F33CCE"/>
    <w:rsid w:val="00F40249"/>
    <w:rsid w:val="00F462AA"/>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SCCSsocChar0">
    <w:name w:val="SCC.Ssoc Char"/>
    <w:basedOn w:val="DefaultParagraphFont"/>
    <w:link w:val="SCCSsoc"/>
    <w:locked/>
    <w:rsid w:val="00673569"/>
    <w:rPr>
      <w:i/>
      <w:iCs/>
    </w:rPr>
  </w:style>
  <w:style w:type="paragraph" w:customStyle="1" w:styleId="SCCSsoc">
    <w:name w:val="SCC.Ssoc"/>
    <w:basedOn w:val="Normal"/>
    <w:link w:val="SCCSsocChar0"/>
    <w:rsid w:val="00673569"/>
    <w:rPr>
      <w:i/>
      <w:iCs/>
      <w:lang w:val="en-US"/>
    </w:rPr>
  </w:style>
  <w:style w:type="character" w:customStyle="1" w:styleId="ParaNoNdepar-AltNChar">
    <w:name w:val="Para. No. / Nº de par. - Alt N Char"/>
    <w:basedOn w:val="DefaultParagraphFont"/>
    <w:link w:val="ParaNoNdepar-AltN"/>
    <w:rsid w:val="00673569"/>
    <w:rPr>
      <w:rFonts w:eastAsiaTheme="minorEastAsia"/>
      <w:lang w:val="fr-CA"/>
    </w:rPr>
  </w:style>
  <w:style w:type="paragraph" w:customStyle="1" w:styleId="felskynumbering12">
    <w:name w:val="felskynumbering12"/>
    <w:basedOn w:val="Normal"/>
    <w:rsid w:val="003E5B23"/>
    <w:pPr>
      <w:spacing w:before="100" w:beforeAutospacing="1" w:after="100" w:afterAutospacing="1"/>
    </w:pPr>
    <w:rPr>
      <w:rFonts w:eastAsia="Times New Roman" w:cs="Times New Roman"/>
      <w:szCs w:val="24"/>
      <w:lang w:eastAsia="en-CA"/>
    </w:rPr>
  </w:style>
  <w:style w:type="paragraph" w:customStyle="1" w:styleId="SCCBanSummary0">
    <w:name w:val="SCC.BanSummary"/>
    <w:basedOn w:val="Normal"/>
    <w:next w:val="Normal"/>
    <w:link w:val="SCCBanSummaryChar"/>
    <w:rsid w:val="0003550C"/>
    <w:pPr>
      <w:jc w:val="both"/>
    </w:pPr>
    <w:rPr>
      <w:rFonts w:eastAsia="Calibri" w:cs="Times New Roman"/>
      <w:smallCaps/>
    </w:rPr>
  </w:style>
  <w:style w:type="character" w:customStyle="1" w:styleId="SCCBanSummaryChar">
    <w:name w:val="SCC.BanSummary Char"/>
    <w:link w:val="SCCBanSummary0"/>
    <w:rsid w:val="0003550C"/>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2/2022qcca1105/2022qcca1105.html?autocompleteStr=2022%20QCCA%201105&amp;autocompletePos=1" TargetMode="External"/><Relationship Id="rId26" Type="http://schemas.openxmlformats.org/officeDocument/2006/relationships/header" Target="header4.xml"/><Relationship Id="rId39" Type="http://schemas.openxmlformats.org/officeDocument/2006/relationships/header" Target="header9.xml"/><Relationship Id="rId21" Type="http://schemas.openxmlformats.org/officeDocument/2006/relationships/hyperlink" Target="https://canlii.ca/t/jdqpf" TargetMode="Externa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hyperlink" Target="https://www.scc-csc.ca/case-dossier/info/sum-som-eng.aspx?cas=40223" TargetMode="External"/><Relationship Id="rId50" Type="http://schemas.openxmlformats.org/officeDocument/2006/relationships/hyperlink" Target="https://www.scc-csc.ca/case-dossier/info/sum-som-eng.aspx?cas=40316" TargetMode="Externa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fr/qc/qccs/doc/2019/2019qccs3181/2019qccs3181.html?autocompleteStr=2019%20QCCS%203181&amp;autocompletePos=1"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yperlink" Target="https://decisions.scc-csc.ca/scc-csc/scc-csc/fr/item/19851/index.do" TargetMode="External"/><Relationship Id="rId46" Type="http://schemas.openxmlformats.org/officeDocument/2006/relationships/hyperlink" Target="https://www.scc-csc.ca/case-dossier/info/sum-som-fra.aspx?cas=40175"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fr/qc/qcca/doc/2022/2022qcca1105/2022qcca1105.html?autocompleteStr=2022%20QCCA%201105&amp;autocompletePos=1" TargetMode="External"/><Relationship Id="rId20" Type="http://schemas.openxmlformats.org/officeDocument/2006/relationships/hyperlink" Target="https://canlii.ca/t/jrg0h" TargetMode="External"/><Relationship Id="rId29" Type="http://schemas.openxmlformats.org/officeDocument/2006/relationships/header" Target="header5.xml"/><Relationship Id="rId41" Type="http://schemas.openxmlformats.org/officeDocument/2006/relationships/footer" Target="footer9.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mb/mbca/doc/2022/2022mbca70/2022mbca70.html" TargetMode="External"/><Relationship Id="rId32" Type="http://schemas.openxmlformats.org/officeDocument/2006/relationships/header" Target="header7.xml"/><Relationship Id="rId37" Type="http://schemas.openxmlformats.org/officeDocument/2006/relationships/hyperlink" Target="https://decisions.scc-csc.ca/scc-csc/scc-csc/en/item/19851/index.do" TargetMode="External"/><Relationship Id="rId40" Type="http://schemas.openxmlformats.org/officeDocument/2006/relationships/header" Target="header10.xml"/><Relationship Id="rId45" Type="http://schemas.openxmlformats.org/officeDocument/2006/relationships/hyperlink" Target="https://www.scc-csc.ca/case-dossier/info/sum-som-eng.aspx?cas=40117" TargetMode="External"/><Relationship Id="rId53" Type="http://schemas.openxmlformats.org/officeDocument/2006/relationships/footer" Target="footer12.xml"/><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www.canlii.org/fr/qc/qccs/doc/2019/2019qccs3181/2019qccs3181.html?autocompleteStr=2019%20QCCS%203181&amp;autocompletePos=1" TargetMode="External"/><Relationship Id="rId23" Type="http://schemas.openxmlformats.org/officeDocument/2006/relationships/hyperlink" Target="https://www.canlii.org/en/mb/mbca/doc/2022/2022mbca70/2022mbca70.html" TargetMode="Externa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yperlink" Target="https://www.scc-csc.ca/case-dossier/info/sum-som-eng.aspx?cas=40447" TargetMode="External"/><Relationship Id="rId57" Type="http://schemas.openxmlformats.org/officeDocument/2006/relationships/header" Target="header15.xml"/><Relationship Id="rId10" Type="http://schemas.openxmlformats.org/officeDocument/2006/relationships/hyperlink" Target="https://www.scc-csc.ca" TargetMode="External"/><Relationship Id="rId19" Type="http://schemas.openxmlformats.org/officeDocument/2006/relationships/hyperlink" Target="https://canlii.ca/t/jdqpf" TargetMode="External"/><Relationship Id="rId31" Type="http://schemas.openxmlformats.org/officeDocument/2006/relationships/header" Target="header6.xml"/><Relationship Id="rId44" Type="http://schemas.openxmlformats.org/officeDocument/2006/relationships/footer" Target="footer11.xml"/><Relationship Id="rId52" Type="http://schemas.openxmlformats.org/officeDocument/2006/relationships/header" Target="header1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jrg0h"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1.xml"/><Relationship Id="rId48" Type="http://schemas.openxmlformats.org/officeDocument/2006/relationships/hyperlink" Target="https://www.scc-csc.ca/case-dossier/info/sum-som-eng.aspx?cas=40095" TargetMode="External"/><Relationship Id="rId56"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FFA3-C905-4826-AE98-8DFEBBBD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20</Pages>
  <Words>7635</Words>
  <Characters>43522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2023-03-28T18:50:00Z</dcterms:created>
  <dcterms:modified xsi:type="dcterms:W3CDTF">2023-04-27T18:31:00Z</dcterms:modified>
</cp:coreProperties>
</file>