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AF481B" w:rsidTr="00F138C1">
        <w:tc>
          <w:tcPr>
            <w:tcW w:w="9648" w:type="dxa"/>
            <w:gridSpan w:val="3"/>
          </w:tcPr>
          <w:p w:rsidR="008C2D9E" w:rsidRPr="00AF481B" w:rsidRDefault="008C2D9E" w:rsidP="00F138C1">
            <w:pPr>
              <w:tabs>
                <w:tab w:val="left" w:pos="6075"/>
              </w:tabs>
              <w:jc w:val="center"/>
              <w:rPr>
                <w:b/>
                <w:sz w:val="32"/>
                <w:szCs w:val="32"/>
                <w:lang w:val="fr-CA"/>
              </w:rPr>
            </w:pPr>
            <w:r w:rsidRPr="00AF481B">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AF481B" w:rsidRDefault="008C2D9E" w:rsidP="00F138C1">
            <w:pPr>
              <w:tabs>
                <w:tab w:val="left" w:pos="6075"/>
              </w:tabs>
              <w:jc w:val="center"/>
              <w:rPr>
                <w:b/>
                <w:sz w:val="32"/>
                <w:szCs w:val="32"/>
                <w:lang w:val="fr-CA"/>
              </w:rPr>
            </w:pPr>
          </w:p>
        </w:tc>
      </w:tr>
      <w:tr w:rsidR="00F138C1" w:rsidRPr="00AF481B" w:rsidTr="00F138C1">
        <w:tc>
          <w:tcPr>
            <w:tcW w:w="4599" w:type="dxa"/>
            <w:tcMar>
              <w:top w:w="284" w:type="dxa"/>
            </w:tcMar>
          </w:tcPr>
          <w:p w:rsidR="00F138C1" w:rsidRPr="00AF481B" w:rsidRDefault="00F138C1" w:rsidP="00F138C1">
            <w:pPr>
              <w:tabs>
                <w:tab w:val="left" w:pos="6075"/>
              </w:tabs>
              <w:jc w:val="center"/>
              <w:rPr>
                <w:b/>
                <w:sz w:val="32"/>
                <w:szCs w:val="32"/>
              </w:rPr>
            </w:pPr>
            <w:r w:rsidRPr="00AF481B">
              <w:rPr>
                <w:b/>
                <w:sz w:val="32"/>
                <w:szCs w:val="32"/>
              </w:rPr>
              <w:t>SUPREME COURT OF CANADA</w:t>
            </w:r>
          </w:p>
        </w:tc>
        <w:tc>
          <w:tcPr>
            <w:tcW w:w="483" w:type="dxa"/>
          </w:tcPr>
          <w:p w:rsidR="00F138C1" w:rsidRPr="00AF481B" w:rsidRDefault="00F138C1" w:rsidP="00F138C1">
            <w:pPr>
              <w:tabs>
                <w:tab w:val="left" w:pos="6075"/>
              </w:tabs>
              <w:jc w:val="center"/>
              <w:rPr>
                <w:sz w:val="32"/>
                <w:szCs w:val="32"/>
              </w:rPr>
            </w:pPr>
          </w:p>
        </w:tc>
        <w:tc>
          <w:tcPr>
            <w:tcW w:w="4566" w:type="dxa"/>
            <w:tcMar>
              <w:top w:w="284" w:type="dxa"/>
            </w:tcMar>
          </w:tcPr>
          <w:p w:rsidR="00F138C1" w:rsidRPr="00AF481B" w:rsidRDefault="00F138C1" w:rsidP="00F138C1">
            <w:pPr>
              <w:tabs>
                <w:tab w:val="left" w:pos="6075"/>
              </w:tabs>
              <w:jc w:val="center"/>
              <w:rPr>
                <w:b/>
                <w:sz w:val="32"/>
                <w:szCs w:val="32"/>
                <w:lang w:val="fr-CA"/>
              </w:rPr>
            </w:pPr>
            <w:r w:rsidRPr="00AF481B">
              <w:rPr>
                <w:b/>
                <w:sz w:val="32"/>
                <w:szCs w:val="32"/>
                <w:lang w:val="fr-CA"/>
              </w:rPr>
              <w:t>COUR SUPRÊME DU CANADA</w:t>
            </w:r>
          </w:p>
        </w:tc>
      </w:tr>
      <w:tr w:rsidR="00F138C1" w:rsidRPr="00AF481B" w:rsidTr="00F138C1">
        <w:tc>
          <w:tcPr>
            <w:tcW w:w="4599" w:type="dxa"/>
            <w:tcMar>
              <w:top w:w="567" w:type="dxa"/>
            </w:tcMar>
          </w:tcPr>
          <w:p w:rsidR="00F138C1" w:rsidRPr="00AF481B" w:rsidRDefault="00F138C1" w:rsidP="00F138C1">
            <w:pPr>
              <w:tabs>
                <w:tab w:val="left" w:pos="6075"/>
              </w:tabs>
              <w:jc w:val="center"/>
              <w:rPr>
                <w:sz w:val="28"/>
                <w:szCs w:val="28"/>
              </w:rPr>
            </w:pPr>
            <w:r w:rsidRPr="00AF481B">
              <w:rPr>
                <w:sz w:val="28"/>
                <w:szCs w:val="28"/>
              </w:rPr>
              <w:t>BULLETIN OF</w:t>
            </w:r>
            <w:r w:rsidRPr="00AF481B">
              <w:rPr>
                <w:sz w:val="28"/>
                <w:szCs w:val="28"/>
              </w:rPr>
              <w:br/>
              <w:t xml:space="preserve"> PROCEEDINGS</w:t>
            </w:r>
          </w:p>
        </w:tc>
        <w:tc>
          <w:tcPr>
            <w:tcW w:w="483" w:type="dxa"/>
          </w:tcPr>
          <w:p w:rsidR="00F138C1" w:rsidRPr="00AF481B" w:rsidRDefault="00F138C1" w:rsidP="00F138C1">
            <w:pPr>
              <w:tabs>
                <w:tab w:val="left" w:pos="6075"/>
              </w:tabs>
            </w:pPr>
          </w:p>
        </w:tc>
        <w:tc>
          <w:tcPr>
            <w:tcW w:w="4566" w:type="dxa"/>
            <w:tcMar>
              <w:top w:w="567" w:type="dxa"/>
            </w:tcMar>
          </w:tcPr>
          <w:p w:rsidR="00F138C1" w:rsidRPr="00AF481B" w:rsidRDefault="00F138C1" w:rsidP="00F138C1">
            <w:pPr>
              <w:tabs>
                <w:tab w:val="left" w:pos="6075"/>
              </w:tabs>
              <w:jc w:val="center"/>
              <w:rPr>
                <w:sz w:val="28"/>
                <w:szCs w:val="28"/>
                <w:lang w:val="fr-CA"/>
              </w:rPr>
            </w:pPr>
            <w:r w:rsidRPr="00AF481B">
              <w:rPr>
                <w:sz w:val="28"/>
                <w:szCs w:val="28"/>
                <w:lang w:val="fr-CA"/>
              </w:rPr>
              <w:t>BULLETIN DES</w:t>
            </w:r>
            <w:r w:rsidRPr="00AF481B">
              <w:rPr>
                <w:sz w:val="28"/>
                <w:szCs w:val="28"/>
                <w:lang w:val="fr-CA"/>
              </w:rPr>
              <w:br/>
              <w:t xml:space="preserve"> PROCÉDURES</w:t>
            </w:r>
          </w:p>
        </w:tc>
      </w:tr>
      <w:tr w:rsidR="00F138C1" w:rsidRPr="00AF481B" w:rsidTr="00F138C1">
        <w:tc>
          <w:tcPr>
            <w:tcW w:w="4599" w:type="dxa"/>
            <w:tcMar>
              <w:top w:w="567" w:type="dxa"/>
            </w:tcMar>
          </w:tcPr>
          <w:p w:rsidR="00F138C1" w:rsidRPr="00AF481B" w:rsidRDefault="00F138C1" w:rsidP="00F138C1">
            <w:pPr>
              <w:tabs>
                <w:tab w:val="left" w:pos="6075"/>
              </w:tabs>
              <w:jc w:val="both"/>
              <w:rPr>
                <w:rFonts w:ascii="Arial" w:hAnsi="Arial" w:cs="Arial"/>
                <w:i/>
                <w:sz w:val="20"/>
                <w:szCs w:val="20"/>
              </w:rPr>
            </w:pPr>
            <w:r w:rsidRPr="00AF481B">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AF481B"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F481B" w:rsidRDefault="00F138C1" w:rsidP="00F138C1">
            <w:pPr>
              <w:tabs>
                <w:tab w:val="left" w:pos="6075"/>
              </w:tabs>
              <w:jc w:val="both"/>
              <w:rPr>
                <w:rFonts w:ascii="Arial" w:hAnsi="Arial" w:cs="Arial"/>
                <w:i/>
                <w:sz w:val="20"/>
                <w:szCs w:val="20"/>
                <w:lang w:val="fr-CA"/>
              </w:rPr>
            </w:pPr>
            <w:r w:rsidRPr="00AF481B">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AF481B" w:rsidTr="00F138C1">
        <w:tc>
          <w:tcPr>
            <w:tcW w:w="4599" w:type="dxa"/>
            <w:tcMar>
              <w:top w:w="567" w:type="dxa"/>
            </w:tcMar>
          </w:tcPr>
          <w:p w:rsidR="00F138C1" w:rsidRPr="00AF481B" w:rsidRDefault="00F138C1" w:rsidP="00F138C1">
            <w:pPr>
              <w:tabs>
                <w:tab w:val="left" w:pos="6075"/>
              </w:tabs>
              <w:jc w:val="both"/>
              <w:rPr>
                <w:rFonts w:ascii="Arial" w:hAnsi="Arial" w:cs="Arial"/>
                <w:i/>
                <w:sz w:val="20"/>
                <w:szCs w:val="20"/>
              </w:rPr>
            </w:pPr>
            <w:r w:rsidRPr="00AF481B">
              <w:rPr>
                <w:rFonts w:ascii="Arial" w:hAnsi="Arial" w:cs="Arial"/>
                <w:i/>
                <w:sz w:val="20"/>
                <w:szCs w:val="20"/>
              </w:rPr>
              <w:t>During Court sessions, the Bulletin is usually issued weekly.</w:t>
            </w:r>
          </w:p>
        </w:tc>
        <w:tc>
          <w:tcPr>
            <w:tcW w:w="483" w:type="dxa"/>
          </w:tcPr>
          <w:p w:rsidR="00F138C1" w:rsidRPr="00AF481B"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F481B" w:rsidRDefault="00F138C1" w:rsidP="00F138C1">
            <w:pPr>
              <w:tabs>
                <w:tab w:val="left" w:pos="6075"/>
              </w:tabs>
              <w:jc w:val="both"/>
              <w:rPr>
                <w:rFonts w:ascii="Arial" w:hAnsi="Arial" w:cs="Arial"/>
                <w:i/>
                <w:sz w:val="20"/>
                <w:szCs w:val="20"/>
                <w:lang w:val="fr-CA"/>
              </w:rPr>
            </w:pPr>
            <w:r w:rsidRPr="00AF481B">
              <w:rPr>
                <w:rFonts w:ascii="Arial" w:hAnsi="Arial" w:cs="Arial"/>
                <w:i/>
                <w:sz w:val="20"/>
                <w:szCs w:val="20"/>
                <w:lang w:val="fr-CA"/>
              </w:rPr>
              <w:t>Le Bulletin paraît en principe toutes les semaines pendant les sessions de la Cour.</w:t>
            </w:r>
          </w:p>
        </w:tc>
      </w:tr>
      <w:tr w:rsidR="00F138C1" w:rsidRPr="00AF481B" w:rsidTr="00F138C1">
        <w:tc>
          <w:tcPr>
            <w:tcW w:w="4599" w:type="dxa"/>
            <w:tcMar>
              <w:top w:w="567" w:type="dxa"/>
            </w:tcMar>
          </w:tcPr>
          <w:p w:rsidR="00F138C1" w:rsidRPr="00AF481B" w:rsidRDefault="00F138C1" w:rsidP="00F138C1">
            <w:pPr>
              <w:tabs>
                <w:tab w:val="left" w:pos="6075"/>
              </w:tabs>
              <w:jc w:val="both"/>
              <w:rPr>
                <w:rFonts w:ascii="Arial" w:hAnsi="Arial" w:cs="Arial"/>
                <w:i/>
                <w:sz w:val="20"/>
                <w:szCs w:val="20"/>
              </w:rPr>
            </w:pPr>
            <w:r w:rsidRPr="00AF481B">
              <w:rPr>
                <w:rFonts w:ascii="Arial" w:hAnsi="Arial" w:cs="Arial"/>
                <w:i/>
                <w:sz w:val="20"/>
                <w:szCs w:val="20"/>
              </w:rPr>
              <w:fldChar w:fldCharType="begin"/>
            </w:r>
            <w:r w:rsidRPr="00AF481B">
              <w:rPr>
                <w:rFonts w:ascii="Arial" w:hAnsi="Arial" w:cs="Arial"/>
                <w:i/>
                <w:sz w:val="20"/>
                <w:szCs w:val="20"/>
              </w:rPr>
              <w:instrText xml:space="preserve"> SEQ CHAPTER \h \r 1</w:instrText>
            </w:r>
            <w:r w:rsidRPr="00AF481B">
              <w:rPr>
                <w:rFonts w:ascii="Arial" w:hAnsi="Arial" w:cs="Arial"/>
                <w:i/>
                <w:sz w:val="20"/>
                <w:szCs w:val="20"/>
              </w:rPr>
              <w:fldChar w:fldCharType="end"/>
            </w:r>
            <w:r w:rsidR="00AB2F8C" w:rsidRPr="00AF481B">
              <w:rPr>
                <w:rFonts w:ascii="Arial" w:hAnsi="Arial" w:cs="Arial"/>
                <w:i/>
                <w:sz w:val="20"/>
                <w:szCs w:val="20"/>
              </w:rPr>
              <w:t xml:space="preserve">To get copies of any document referred to in the Bulletin please click on this link: </w:t>
            </w:r>
            <w:hyperlink r:id="rId9" w:history="1">
              <w:r w:rsidR="00AB2F8C" w:rsidRPr="00AF481B">
                <w:rPr>
                  <w:rStyle w:val="Hyperlink"/>
                  <w:rFonts w:ascii="Arial" w:hAnsi="Arial" w:cs="Arial"/>
                  <w:i/>
                  <w:sz w:val="20"/>
                  <w:szCs w:val="20"/>
                </w:rPr>
                <w:t>https://www.scc-csc.ca/case-dossier/rec-doc/request-demande-eng.aspx</w:t>
              </w:r>
            </w:hyperlink>
            <w:r w:rsidR="00AB2F8C" w:rsidRPr="00AF481B">
              <w:rPr>
                <w:rFonts w:ascii="Arial" w:hAnsi="Arial" w:cs="Arial"/>
                <w:i/>
                <w:sz w:val="20"/>
                <w:szCs w:val="20"/>
              </w:rPr>
              <w:t>.</w:t>
            </w:r>
          </w:p>
        </w:tc>
        <w:tc>
          <w:tcPr>
            <w:tcW w:w="483" w:type="dxa"/>
          </w:tcPr>
          <w:p w:rsidR="00F138C1" w:rsidRPr="00AF481B"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F481B" w:rsidRDefault="00F138C1" w:rsidP="00F138C1">
            <w:pPr>
              <w:tabs>
                <w:tab w:val="left" w:pos="6075"/>
              </w:tabs>
              <w:jc w:val="both"/>
              <w:rPr>
                <w:rFonts w:ascii="Arial" w:hAnsi="Arial" w:cs="Arial"/>
                <w:i/>
                <w:sz w:val="20"/>
                <w:szCs w:val="20"/>
                <w:lang w:val="fr-CA"/>
              </w:rPr>
            </w:pPr>
            <w:r w:rsidRPr="00AF481B">
              <w:rPr>
                <w:rFonts w:ascii="Arial" w:hAnsi="Arial" w:cs="Arial"/>
                <w:i/>
                <w:sz w:val="20"/>
                <w:szCs w:val="20"/>
                <w:lang w:val="fr-CA"/>
              </w:rPr>
              <w:fldChar w:fldCharType="begin"/>
            </w:r>
            <w:r w:rsidRPr="00AF481B">
              <w:rPr>
                <w:rFonts w:ascii="Arial" w:hAnsi="Arial" w:cs="Arial"/>
                <w:i/>
                <w:sz w:val="20"/>
                <w:szCs w:val="20"/>
                <w:lang w:val="fr-CA"/>
              </w:rPr>
              <w:instrText xml:space="preserve"> SEQ CHAPTER \h \r 1</w:instrText>
            </w:r>
            <w:r w:rsidRPr="00AF481B">
              <w:rPr>
                <w:rFonts w:ascii="Arial" w:hAnsi="Arial" w:cs="Arial"/>
                <w:i/>
                <w:sz w:val="20"/>
                <w:szCs w:val="20"/>
                <w:lang w:val="fr-CA"/>
              </w:rPr>
              <w:fldChar w:fldCharType="end"/>
            </w:r>
            <w:r w:rsidR="00AB2F8C" w:rsidRPr="00AF481B">
              <w:rPr>
                <w:rFonts w:ascii="Arial" w:hAnsi="Arial" w:cs="Arial"/>
                <w:i/>
                <w:sz w:val="20"/>
                <w:szCs w:val="20"/>
                <w:lang w:val="fr-CA"/>
              </w:rPr>
              <w:t>Pour obtenir des copies de tout document mentionné dans le bulletin, veuillez cliquer sur ce lien : </w:t>
            </w:r>
            <w:hyperlink r:id="rId10" w:history="1">
              <w:r w:rsidR="00AB2F8C" w:rsidRPr="00AF481B">
                <w:rPr>
                  <w:rStyle w:val="Hyperlink"/>
                  <w:rFonts w:ascii="Arial" w:hAnsi="Arial" w:cs="Arial"/>
                  <w:i/>
                  <w:sz w:val="20"/>
                  <w:szCs w:val="20"/>
                  <w:lang w:val="fr-CA"/>
                </w:rPr>
                <w:t>https://www.scc-csc.ca/case-dossier/rec-doc/request-demande-fra.aspx</w:t>
              </w:r>
            </w:hyperlink>
            <w:r w:rsidR="00AB2F8C" w:rsidRPr="00AF481B">
              <w:rPr>
                <w:rFonts w:ascii="Arial" w:hAnsi="Arial" w:cs="Arial"/>
                <w:i/>
                <w:sz w:val="20"/>
                <w:szCs w:val="20"/>
                <w:lang w:val="fr-CA"/>
              </w:rPr>
              <w:t>.</w:t>
            </w:r>
          </w:p>
        </w:tc>
      </w:tr>
      <w:tr w:rsidR="00F138C1" w:rsidRPr="00AF481B" w:rsidTr="00F138C1">
        <w:tc>
          <w:tcPr>
            <w:tcW w:w="4599" w:type="dxa"/>
            <w:tcMar>
              <w:top w:w="567" w:type="dxa"/>
            </w:tcMar>
          </w:tcPr>
          <w:p w:rsidR="00F138C1" w:rsidRPr="00AF481B" w:rsidRDefault="00F138C1" w:rsidP="00F138C1">
            <w:pPr>
              <w:tabs>
                <w:tab w:val="left" w:pos="6075"/>
              </w:tabs>
              <w:jc w:val="both"/>
              <w:rPr>
                <w:rFonts w:ascii="Arial" w:hAnsi="Arial" w:cs="Arial"/>
                <w:i/>
                <w:sz w:val="20"/>
                <w:szCs w:val="20"/>
              </w:rPr>
            </w:pPr>
            <w:r w:rsidRPr="00AF481B">
              <w:rPr>
                <w:rFonts w:ascii="Arial" w:hAnsi="Arial" w:cs="Arial"/>
                <w:i/>
                <w:sz w:val="20"/>
                <w:szCs w:val="20"/>
                <w:lang w:val="en-US"/>
              </w:rPr>
              <w:t>Please c</w:t>
            </w:r>
            <w:r w:rsidRPr="00AF481B">
              <w:rPr>
                <w:rFonts w:ascii="Arial" w:hAnsi="Arial" w:cs="Arial"/>
                <w:i/>
                <w:sz w:val="20"/>
                <w:szCs w:val="20"/>
              </w:rPr>
              <w:t xml:space="preserve">onsult the Supreme Court of Canada website at </w:t>
            </w:r>
            <w:hyperlink r:id="rId11" w:history="1">
              <w:r w:rsidRPr="00AF481B">
                <w:rPr>
                  <w:rStyle w:val="Hyperlink"/>
                  <w:rFonts w:ascii="Arial" w:hAnsi="Arial" w:cs="Arial"/>
                  <w:i/>
                  <w:sz w:val="20"/>
                  <w:szCs w:val="20"/>
                </w:rPr>
                <w:t>www.scc-csc.ca</w:t>
              </w:r>
            </w:hyperlink>
            <w:r w:rsidRPr="00AF481B">
              <w:rPr>
                <w:rFonts w:ascii="Arial" w:hAnsi="Arial" w:cs="Arial"/>
                <w:i/>
                <w:sz w:val="20"/>
                <w:szCs w:val="20"/>
              </w:rPr>
              <w:t xml:space="preserve"> for more information.</w:t>
            </w:r>
          </w:p>
        </w:tc>
        <w:tc>
          <w:tcPr>
            <w:tcW w:w="483" w:type="dxa"/>
          </w:tcPr>
          <w:p w:rsidR="00F138C1" w:rsidRPr="00AF481B"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AF481B" w:rsidRDefault="00F138C1" w:rsidP="00F138C1">
            <w:pPr>
              <w:tabs>
                <w:tab w:val="left" w:pos="6075"/>
              </w:tabs>
              <w:jc w:val="both"/>
              <w:rPr>
                <w:rFonts w:ascii="Arial" w:hAnsi="Arial" w:cs="Arial"/>
                <w:i/>
                <w:sz w:val="20"/>
                <w:szCs w:val="20"/>
                <w:lang w:val="fr-CA"/>
              </w:rPr>
            </w:pPr>
            <w:r w:rsidRPr="00AF481B">
              <w:rPr>
                <w:rFonts w:ascii="Arial" w:hAnsi="Arial" w:cs="Arial"/>
                <w:i/>
                <w:sz w:val="20"/>
                <w:szCs w:val="20"/>
                <w:lang w:val="fr-CA"/>
              </w:rPr>
              <w:t xml:space="preserve">Pour de plus amples informations, veuillez consulter le site Web de la Cour suprême du Canada à l’adresse suivante : </w:t>
            </w:r>
            <w:hyperlink r:id="rId12" w:history="1">
              <w:r w:rsidRPr="00AF481B">
                <w:rPr>
                  <w:rStyle w:val="Hyperlink"/>
                  <w:rFonts w:ascii="Arial" w:hAnsi="Arial" w:cs="Arial"/>
                  <w:i/>
                  <w:sz w:val="20"/>
                  <w:szCs w:val="20"/>
                  <w:lang w:val="fr-CA"/>
                </w:rPr>
                <w:t>www.scc-csc.ca</w:t>
              </w:r>
            </w:hyperlink>
            <w:r w:rsidRPr="00AF481B">
              <w:rPr>
                <w:rFonts w:ascii="Arial" w:hAnsi="Arial" w:cs="Arial"/>
                <w:i/>
                <w:sz w:val="20"/>
                <w:szCs w:val="20"/>
                <w:lang w:val="fr-CA"/>
              </w:rPr>
              <w:t xml:space="preserve"> </w:t>
            </w:r>
          </w:p>
        </w:tc>
      </w:tr>
    </w:tbl>
    <w:p w:rsidR="00F138C1" w:rsidRPr="00AF481B"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AF481B" w:rsidTr="00F138C1">
        <w:tc>
          <w:tcPr>
            <w:tcW w:w="2250" w:type="pct"/>
            <w:tcBorders>
              <w:top w:val="single" w:sz="4" w:space="0" w:color="auto"/>
            </w:tcBorders>
            <w:tcMar>
              <w:top w:w="284" w:type="dxa"/>
              <w:bottom w:w="284" w:type="dxa"/>
            </w:tcMar>
          </w:tcPr>
          <w:p w:rsidR="00F138C1" w:rsidRPr="00AF481B" w:rsidRDefault="00855D26" w:rsidP="00B133C1">
            <w:pPr>
              <w:tabs>
                <w:tab w:val="left" w:pos="6075"/>
              </w:tabs>
              <w:rPr>
                <w:rFonts w:ascii="Arial" w:hAnsi="Arial" w:cs="Arial"/>
                <w:i/>
                <w:sz w:val="20"/>
                <w:szCs w:val="20"/>
              </w:rPr>
            </w:pPr>
            <w:r w:rsidRPr="00AF481B">
              <w:rPr>
                <w:lang w:val="fr-CA"/>
              </w:rPr>
              <w:t>March</w:t>
            </w:r>
            <w:r w:rsidR="00F138C1" w:rsidRPr="00AF481B">
              <w:rPr>
                <w:lang w:val="fr-CA"/>
              </w:rPr>
              <w:t xml:space="preserve"> </w:t>
            </w:r>
            <w:r w:rsidR="00B133C1" w:rsidRPr="00AF481B">
              <w:rPr>
                <w:lang w:val="fr-CA"/>
              </w:rPr>
              <w:t>22</w:t>
            </w:r>
            <w:r w:rsidR="00F138C1" w:rsidRPr="00AF481B">
              <w:rPr>
                <w:lang w:val="fr-CA"/>
              </w:rPr>
              <w:t>, 20</w:t>
            </w:r>
            <w:r w:rsidR="009B36BA" w:rsidRPr="00AF481B">
              <w:rPr>
                <w:lang w:val="fr-CA"/>
              </w:rPr>
              <w:t>2</w:t>
            </w:r>
            <w:r w:rsidR="00345645" w:rsidRPr="00AF481B">
              <w:rPr>
                <w:lang w:val="fr-CA"/>
              </w:rPr>
              <w:t>4</w:t>
            </w:r>
          </w:p>
        </w:tc>
        <w:tc>
          <w:tcPr>
            <w:tcW w:w="500" w:type="pct"/>
            <w:tcBorders>
              <w:top w:val="single" w:sz="4" w:space="0" w:color="auto"/>
            </w:tcBorders>
            <w:tcMar>
              <w:top w:w="284" w:type="dxa"/>
              <w:bottom w:w="284" w:type="dxa"/>
            </w:tcMar>
          </w:tcPr>
          <w:p w:rsidR="00F138C1" w:rsidRPr="00AF481B" w:rsidRDefault="00F138C1" w:rsidP="003266B8">
            <w:pPr>
              <w:tabs>
                <w:tab w:val="left" w:pos="6075"/>
              </w:tabs>
              <w:jc w:val="center"/>
              <w:rPr>
                <w:rFonts w:ascii="Arial" w:hAnsi="Arial" w:cs="Arial"/>
                <w:i/>
                <w:sz w:val="20"/>
                <w:szCs w:val="20"/>
              </w:rPr>
            </w:pPr>
            <w:r w:rsidRPr="00AF481B">
              <w:rPr>
                <w:lang w:val="fr-CA"/>
              </w:rPr>
              <w:t xml:space="preserve">1 - </w:t>
            </w:r>
            <w:r w:rsidR="003266B8" w:rsidRPr="00AF481B">
              <w:rPr>
                <w:lang w:val="fr-CA"/>
              </w:rPr>
              <w:t>1</w:t>
            </w:r>
            <w:r w:rsidR="002C13E1" w:rsidRPr="00AF481B">
              <w:rPr>
                <w:lang w:val="fr-CA"/>
              </w:rPr>
              <w:t>2</w:t>
            </w:r>
          </w:p>
        </w:tc>
        <w:tc>
          <w:tcPr>
            <w:tcW w:w="2250" w:type="pct"/>
            <w:tcBorders>
              <w:top w:val="single" w:sz="4" w:space="0" w:color="auto"/>
            </w:tcBorders>
            <w:tcMar>
              <w:top w:w="284" w:type="dxa"/>
              <w:bottom w:w="284" w:type="dxa"/>
            </w:tcMar>
          </w:tcPr>
          <w:p w:rsidR="00F138C1" w:rsidRPr="00AF481B" w:rsidRDefault="00F138C1" w:rsidP="00B133C1">
            <w:pPr>
              <w:tabs>
                <w:tab w:val="left" w:pos="6075"/>
              </w:tabs>
              <w:jc w:val="right"/>
              <w:rPr>
                <w:rFonts w:ascii="Arial" w:hAnsi="Arial" w:cs="Arial"/>
                <w:i/>
                <w:sz w:val="20"/>
                <w:szCs w:val="20"/>
                <w:lang w:val="fr-CA"/>
              </w:rPr>
            </w:pPr>
            <w:r w:rsidRPr="00AF481B">
              <w:rPr>
                <w:lang w:val="fr-CA"/>
              </w:rPr>
              <w:t xml:space="preserve">Le </w:t>
            </w:r>
            <w:r w:rsidR="00B133C1" w:rsidRPr="00AF481B">
              <w:rPr>
                <w:lang w:val="fr-CA"/>
              </w:rPr>
              <w:t>22</w:t>
            </w:r>
            <w:r w:rsidRPr="00AF481B">
              <w:rPr>
                <w:lang w:val="fr-CA"/>
              </w:rPr>
              <w:t xml:space="preserve"> </w:t>
            </w:r>
            <w:r w:rsidR="00855D26" w:rsidRPr="00AF481B">
              <w:rPr>
                <w:lang w:val="fr-CA"/>
              </w:rPr>
              <w:t>mars</w:t>
            </w:r>
            <w:r w:rsidR="00BE5B3E" w:rsidRPr="00AF481B">
              <w:rPr>
                <w:lang w:val="fr-CA"/>
              </w:rPr>
              <w:t xml:space="preserve"> </w:t>
            </w:r>
            <w:r w:rsidRPr="00AF481B">
              <w:rPr>
                <w:lang w:val="fr-CA"/>
              </w:rPr>
              <w:t>202</w:t>
            </w:r>
            <w:r w:rsidR="00345645" w:rsidRPr="00AF481B">
              <w:rPr>
                <w:lang w:val="fr-CA"/>
              </w:rPr>
              <w:t>4</w:t>
            </w:r>
          </w:p>
        </w:tc>
      </w:tr>
      <w:tr w:rsidR="00F138C1" w:rsidRPr="00AF481B" w:rsidTr="00F138C1">
        <w:tc>
          <w:tcPr>
            <w:tcW w:w="2250" w:type="pct"/>
            <w:tcBorders>
              <w:bottom w:val="single" w:sz="4" w:space="0" w:color="auto"/>
            </w:tcBorders>
            <w:tcMar>
              <w:top w:w="284" w:type="dxa"/>
              <w:bottom w:w="284" w:type="dxa"/>
            </w:tcMar>
          </w:tcPr>
          <w:p w:rsidR="00F138C1" w:rsidRPr="00AF481B" w:rsidRDefault="00F138C1" w:rsidP="00345645">
            <w:pPr>
              <w:tabs>
                <w:tab w:val="left" w:pos="6075"/>
              </w:tabs>
              <w:rPr>
                <w:rFonts w:ascii="Arial" w:hAnsi="Arial" w:cs="Arial"/>
                <w:i/>
                <w:sz w:val="20"/>
                <w:szCs w:val="20"/>
              </w:rPr>
            </w:pPr>
            <w:r w:rsidRPr="00AF481B">
              <w:rPr>
                <w:sz w:val="18"/>
                <w:szCs w:val="18"/>
                <w:lang w:val="en-US"/>
              </w:rPr>
              <w:t>© Supreme Court of Canada (202</w:t>
            </w:r>
            <w:r w:rsidR="00345645" w:rsidRPr="00AF481B">
              <w:rPr>
                <w:sz w:val="18"/>
                <w:szCs w:val="18"/>
                <w:lang w:val="en-US"/>
              </w:rPr>
              <w:t>4</w:t>
            </w:r>
            <w:r w:rsidRPr="00AF481B">
              <w:rPr>
                <w:sz w:val="18"/>
                <w:szCs w:val="18"/>
                <w:lang w:val="en-US"/>
              </w:rPr>
              <w:t>)</w:t>
            </w:r>
            <w:r w:rsidRPr="00AF481B">
              <w:rPr>
                <w:sz w:val="18"/>
                <w:szCs w:val="18"/>
                <w:lang w:val="en-US"/>
              </w:rPr>
              <w:br/>
              <w:t>ISSN 1918-8358 (Online)</w:t>
            </w:r>
          </w:p>
        </w:tc>
        <w:tc>
          <w:tcPr>
            <w:tcW w:w="500" w:type="pct"/>
            <w:tcBorders>
              <w:bottom w:val="single" w:sz="4" w:space="0" w:color="auto"/>
            </w:tcBorders>
            <w:tcMar>
              <w:top w:w="284" w:type="dxa"/>
              <w:bottom w:w="284" w:type="dxa"/>
            </w:tcMar>
          </w:tcPr>
          <w:p w:rsidR="00F138C1" w:rsidRPr="00AF481B"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AF481B" w:rsidRDefault="00F138C1" w:rsidP="00345645">
            <w:pPr>
              <w:tabs>
                <w:tab w:val="left" w:pos="6075"/>
              </w:tabs>
              <w:jc w:val="right"/>
              <w:rPr>
                <w:rFonts w:ascii="Arial" w:hAnsi="Arial" w:cs="Arial"/>
                <w:i/>
                <w:sz w:val="20"/>
                <w:szCs w:val="20"/>
                <w:lang w:val="fr-CA"/>
              </w:rPr>
            </w:pPr>
            <w:r w:rsidRPr="00AF481B">
              <w:rPr>
                <w:sz w:val="18"/>
                <w:szCs w:val="18"/>
                <w:lang w:val="fr-CA"/>
              </w:rPr>
              <w:t>© Cour suprême du Canada (202</w:t>
            </w:r>
            <w:r w:rsidR="00345645" w:rsidRPr="00AF481B">
              <w:rPr>
                <w:sz w:val="18"/>
                <w:szCs w:val="18"/>
                <w:lang w:val="fr-CA"/>
              </w:rPr>
              <w:t>4</w:t>
            </w:r>
            <w:proofErr w:type="gramStart"/>
            <w:r w:rsidRPr="00AF481B">
              <w:rPr>
                <w:sz w:val="18"/>
                <w:szCs w:val="18"/>
                <w:lang w:val="fr-CA"/>
              </w:rPr>
              <w:t>)</w:t>
            </w:r>
            <w:proofErr w:type="gramEnd"/>
            <w:r w:rsidRPr="00AF481B">
              <w:rPr>
                <w:sz w:val="18"/>
                <w:szCs w:val="18"/>
                <w:lang w:val="fr-CA"/>
              </w:rPr>
              <w:br/>
              <w:t>ISSN 1918-8358 (En ligne)</w:t>
            </w:r>
          </w:p>
        </w:tc>
      </w:tr>
    </w:tbl>
    <w:p w:rsidR="0030050B" w:rsidRPr="00AF481B" w:rsidRDefault="0030050B" w:rsidP="00F138C1">
      <w:pPr>
        <w:tabs>
          <w:tab w:val="left" w:pos="6075"/>
        </w:tabs>
        <w:rPr>
          <w:lang w:val="fr-CA"/>
        </w:rPr>
      </w:pPr>
    </w:p>
    <w:p w:rsidR="00560DF1" w:rsidRPr="00AF481B" w:rsidRDefault="00560DF1" w:rsidP="0095096B">
      <w:pPr>
        <w:tabs>
          <w:tab w:val="right" w:pos="9360"/>
        </w:tabs>
        <w:rPr>
          <w:lang w:val="fr-CA"/>
        </w:rPr>
      </w:pPr>
    </w:p>
    <w:p w:rsidR="00F138C1" w:rsidRPr="00AF481B"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AF481B" w:rsidRDefault="00DC6B2E" w:rsidP="00693C38">
          <w:pPr>
            <w:pStyle w:val="Title"/>
            <w:jc w:val="center"/>
            <w:rPr>
              <w:rFonts w:ascii="Times New Roman" w:hAnsi="Times New Roman" w:cs="Times New Roman"/>
              <w:b/>
              <w:sz w:val="24"/>
              <w:szCs w:val="28"/>
              <w:lang w:val="fr-CA"/>
            </w:rPr>
          </w:pPr>
          <w:r w:rsidRPr="00AF481B">
            <w:rPr>
              <w:rFonts w:ascii="Times New Roman" w:hAnsi="Times New Roman" w:cs="Times New Roman"/>
              <w:b/>
              <w:sz w:val="24"/>
              <w:szCs w:val="28"/>
              <w:lang w:val="fr-CA"/>
            </w:rPr>
            <w:t>Contents</w:t>
          </w:r>
        </w:p>
        <w:p w:rsidR="00693C38" w:rsidRPr="00AF481B" w:rsidRDefault="00DC6B2E" w:rsidP="00693C38">
          <w:pPr>
            <w:jc w:val="center"/>
            <w:rPr>
              <w:b/>
              <w:szCs w:val="28"/>
              <w:lang w:val="fr-CA"/>
            </w:rPr>
          </w:pPr>
          <w:r w:rsidRPr="00AF481B">
            <w:rPr>
              <w:b/>
              <w:szCs w:val="28"/>
              <w:lang w:val="fr-CA"/>
            </w:rPr>
            <w:t>Table des matières</w:t>
          </w:r>
        </w:p>
        <w:p w:rsidR="00693C38" w:rsidRPr="00AF481B" w:rsidRDefault="00693C38" w:rsidP="00693C38">
          <w:pPr>
            <w:rPr>
              <w:lang w:val="fr-CA"/>
            </w:rPr>
          </w:pPr>
        </w:p>
        <w:p w:rsidR="003266B8" w:rsidRPr="00AF481B" w:rsidRDefault="00DC6B2E">
          <w:pPr>
            <w:pStyle w:val="TOC1"/>
            <w:tabs>
              <w:tab w:val="right" w:leader="dot" w:pos="9638"/>
            </w:tabs>
            <w:rPr>
              <w:rFonts w:asciiTheme="minorHAnsi" w:eastAsiaTheme="minorEastAsia" w:hAnsiTheme="minorHAnsi"/>
              <w:noProof/>
              <w:sz w:val="22"/>
              <w:lang w:eastAsia="en-CA"/>
            </w:rPr>
          </w:pPr>
          <w:r w:rsidRPr="00AF481B">
            <w:rPr>
              <w:b/>
              <w:bCs/>
              <w:noProof/>
            </w:rPr>
            <w:fldChar w:fldCharType="begin"/>
          </w:r>
          <w:r w:rsidRPr="00AF481B">
            <w:rPr>
              <w:b/>
              <w:bCs/>
              <w:noProof/>
            </w:rPr>
            <w:instrText xml:space="preserve"> TOC \o "1-3" \h \z \u </w:instrText>
          </w:r>
          <w:r w:rsidRPr="00AF481B">
            <w:rPr>
              <w:b/>
              <w:bCs/>
              <w:noProof/>
            </w:rPr>
            <w:fldChar w:fldCharType="separate"/>
          </w:r>
          <w:hyperlink w:anchor="_Toc161904152" w:history="1">
            <w:r w:rsidR="003266B8" w:rsidRPr="00AF481B">
              <w:rPr>
                <w:rStyle w:val="Hyperlink"/>
                <w:noProof/>
                <w:lang w:val="fr-CA"/>
              </w:rPr>
              <w:t>Judgments on applications for leave /  Jugements rendus sur les demandes d’autorisation</w:t>
            </w:r>
            <w:r w:rsidR="003266B8" w:rsidRPr="00AF481B">
              <w:rPr>
                <w:noProof/>
                <w:webHidden/>
              </w:rPr>
              <w:tab/>
            </w:r>
            <w:r w:rsidR="003266B8" w:rsidRPr="00AF481B">
              <w:rPr>
                <w:noProof/>
                <w:webHidden/>
              </w:rPr>
              <w:fldChar w:fldCharType="begin"/>
            </w:r>
            <w:r w:rsidR="003266B8" w:rsidRPr="00AF481B">
              <w:rPr>
                <w:noProof/>
                <w:webHidden/>
              </w:rPr>
              <w:instrText xml:space="preserve"> PAGEREF _Toc161904152 \h </w:instrText>
            </w:r>
            <w:r w:rsidR="003266B8" w:rsidRPr="00AF481B">
              <w:rPr>
                <w:noProof/>
                <w:webHidden/>
              </w:rPr>
            </w:r>
            <w:r w:rsidR="003266B8" w:rsidRPr="00AF481B">
              <w:rPr>
                <w:noProof/>
                <w:webHidden/>
              </w:rPr>
              <w:fldChar w:fldCharType="separate"/>
            </w:r>
            <w:r w:rsidR="003266B8" w:rsidRPr="00AF481B">
              <w:rPr>
                <w:noProof/>
                <w:webHidden/>
              </w:rPr>
              <w:t>1</w:t>
            </w:r>
            <w:r w:rsidR="003266B8" w:rsidRPr="00AF481B">
              <w:rPr>
                <w:noProof/>
                <w:webHidden/>
              </w:rPr>
              <w:fldChar w:fldCharType="end"/>
            </w:r>
          </w:hyperlink>
        </w:p>
        <w:p w:rsidR="003266B8" w:rsidRPr="00AF481B" w:rsidRDefault="00AF481B">
          <w:pPr>
            <w:pStyle w:val="TOC1"/>
            <w:tabs>
              <w:tab w:val="right" w:leader="dot" w:pos="9638"/>
            </w:tabs>
            <w:rPr>
              <w:rFonts w:asciiTheme="minorHAnsi" w:eastAsiaTheme="minorEastAsia" w:hAnsiTheme="minorHAnsi"/>
              <w:noProof/>
              <w:sz w:val="22"/>
              <w:lang w:eastAsia="en-CA"/>
            </w:rPr>
          </w:pPr>
          <w:hyperlink w:anchor="_Toc161904153" w:history="1">
            <w:r w:rsidR="003266B8" w:rsidRPr="00AF481B">
              <w:rPr>
                <w:rStyle w:val="Hyperlink"/>
                <w:noProof/>
                <w:lang w:val="fr-CA"/>
              </w:rPr>
              <w:t>Motions /  Requêtes</w:t>
            </w:r>
            <w:r w:rsidR="003266B8" w:rsidRPr="00AF481B">
              <w:rPr>
                <w:noProof/>
                <w:webHidden/>
              </w:rPr>
              <w:tab/>
            </w:r>
            <w:r w:rsidR="003266B8" w:rsidRPr="00AF481B">
              <w:rPr>
                <w:noProof/>
                <w:webHidden/>
              </w:rPr>
              <w:fldChar w:fldCharType="begin"/>
            </w:r>
            <w:r w:rsidR="003266B8" w:rsidRPr="00AF481B">
              <w:rPr>
                <w:noProof/>
                <w:webHidden/>
              </w:rPr>
              <w:instrText xml:space="preserve"> PAGEREF _Toc161904153 \h </w:instrText>
            </w:r>
            <w:r w:rsidR="003266B8" w:rsidRPr="00AF481B">
              <w:rPr>
                <w:noProof/>
                <w:webHidden/>
              </w:rPr>
            </w:r>
            <w:r w:rsidR="003266B8" w:rsidRPr="00AF481B">
              <w:rPr>
                <w:noProof/>
                <w:webHidden/>
              </w:rPr>
              <w:fldChar w:fldCharType="separate"/>
            </w:r>
            <w:r w:rsidR="003266B8" w:rsidRPr="00AF481B">
              <w:rPr>
                <w:noProof/>
                <w:webHidden/>
              </w:rPr>
              <w:t>7</w:t>
            </w:r>
            <w:r w:rsidR="003266B8" w:rsidRPr="00AF481B">
              <w:rPr>
                <w:noProof/>
                <w:webHidden/>
              </w:rPr>
              <w:fldChar w:fldCharType="end"/>
            </w:r>
          </w:hyperlink>
        </w:p>
        <w:p w:rsidR="003266B8" w:rsidRPr="00AF481B" w:rsidRDefault="00AF481B">
          <w:pPr>
            <w:pStyle w:val="TOC1"/>
            <w:tabs>
              <w:tab w:val="right" w:leader="dot" w:pos="9638"/>
            </w:tabs>
            <w:rPr>
              <w:rFonts w:asciiTheme="minorHAnsi" w:eastAsiaTheme="minorEastAsia" w:hAnsiTheme="minorHAnsi"/>
              <w:noProof/>
              <w:sz w:val="22"/>
              <w:lang w:eastAsia="en-CA"/>
            </w:rPr>
          </w:pPr>
          <w:hyperlink w:anchor="_Toc161904154" w:history="1">
            <w:r w:rsidR="003266B8" w:rsidRPr="00AF481B">
              <w:rPr>
                <w:rStyle w:val="Hyperlink"/>
                <w:noProof/>
              </w:rPr>
              <w:t xml:space="preserve">Notices of appeal filed since the last issue /  </w:t>
            </w:r>
            <w:r w:rsidR="003266B8" w:rsidRPr="00AF481B">
              <w:rPr>
                <w:rStyle w:val="Hyperlink"/>
                <w:noProof/>
                <w:lang w:val="fr-CA"/>
              </w:rPr>
              <w:t>Avis d’appel déposés depuis la dernière parution</w:t>
            </w:r>
            <w:r w:rsidR="003266B8" w:rsidRPr="00AF481B">
              <w:rPr>
                <w:noProof/>
                <w:webHidden/>
              </w:rPr>
              <w:tab/>
            </w:r>
            <w:r w:rsidR="003266B8" w:rsidRPr="00AF481B">
              <w:rPr>
                <w:noProof/>
                <w:webHidden/>
              </w:rPr>
              <w:fldChar w:fldCharType="begin"/>
            </w:r>
            <w:r w:rsidR="003266B8" w:rsidRPr="00AF481B">
              <w:rPr>
                <w:noProof/>
                <w:webHidden/>
              </w:rPr>
              <w:instrText xml:space="preserve"> PAGEREF _Toc161904154 \h </w:instrText>
            </w:r>
            <w:r w:rsidR="003266B8" w:rsidRPr="00AF481B">
              <w:rPr>
                <w:noProof/>
                <w:webHidden/>
              </w:rPr>
            </w:r>
            <w:r w:rsidR="003266B8" w:rsidRPr="00AF481B">
              <w:rPr>
                <w:noProof/>
                <w:webHidden/>
              </w:rPr>
              <w:fldChar w:fldCharType="separate"/>
            </w:r>
            <w:r w:rsidR="003266B8" w:rsidRPr="00AF481B">
              <w:rPr>
                <w:noProof/>
                <w:webHidden/>
              </w:rPr>
              <w:t>10</w:t>
            </w:r>
            <w:r w:rsidR="003266B8" w:rsidRPr="00AF481B">
              <w:rPr>
                <w:noProof/>
                <w:webHidden/>
              </w:rPr>
              <w:fldChar w:fldCharType="end"/>
            </w:r>
          </w:hyperlink>
        </w:p>
        <w:p w:rsidR="003266B8" w:rsidRPr="00AF481B" w:rsidRDefault="00AF481B">
          <w:pPr>
            <w:pStyle w:val="TOC1"/>
            <w:tabs>
              <w:tab w:val="right" w:leader="dot" w:pos="9638"/>
            </w:tabs>
            <w:rPr>
              <w:rFonts w:asciiTheme="minorHAnsi" w:eastAsiaTheme="minorEastAsia" w:hAnsiTheme="minorHAnsi"/>
              <w:noProof/>
              <w:sz w:val="22"/>
              <w:lang w:eastAsia="en-CA"/>
            </w:rPr>
          </w:pPr>
          <w:hyperlink w:anchor="_Toc161904155" w:history="1">
            <w:r w:rsidR="003266B8" w:rsidRPr="00AF481B">
              <w:rPr>
                <w:rStyle w:val="Hyperlink"/>
                <w:noProof/>
                <w:lang w:val="fr-CA"/>
              </w:rPr>
              <w:t>Appeals heard since the last issue and disposition /  Appels entendus depuis la dernière parution et résultat</w:t>
            </w:r>
            <w:r w:rsidR="003266B8" w:rsidRPr="00AF481B">
              <w:rPr>
                <w:noProof/>
                <w:webHidden/>
              </w:rPr>
              <w:tab/>
            </w:r>
            <w:r w:rsidR="003266B8" w:rsidRPr="00AF481B">
              <w:rPr>
                <w:noProof/>
                <w:webHidden/>
              </w:rPr>
              <w:fldChar w:fldCharType="begin"/>
            </w:r>
            <w:r w:rsidR="003266B8" w:rsidRPr="00AF481B">
              <w:rPr>
                <w:noProof/>
                <w:webHidden/>
              </w:rPr>
              <w:instrText xml:space="preserve"> PAGEREF _Toc161904155 \h </w:instrText>
            </w:r>
            <w:r w:rsidR="003266B8" w:rsidRPr="00AF481B">
              <w:rPr>
                <w:noProof/>
                <w:webHidden/>
              </w:rPr>
            </w:r>
            <w:r w:rsidR="003266B8" w:rsidRPr="00AF481B">
              <w:rPr>
                <w:noProof/>
                <w:webHidden/>
              </w:rPr>
              <w:fldChar w:fldCharType="separate"/>
            </w:r>
            <w:r w:rsidR="003266B8" w:rsidRPr="00AF481B">
              <w:rPr>
                <w:noProof/>
                <w:webHidden/>
              </w:rPr>
              <w:t>11</w:t>
            </w:r>
            <w:r w:rsidR="003266B8" w:rsidRPr="00AF481B">
              <w:rPr>
                <w:noProof/>
                <w:webHidden/>
              </w:rPr>
              <w:fldChar w:fldCharType="end"/>
            </w:r>
          </w:hyperlink>
        </w:p>
        <w:p w:rsidR="00560DF1" w:rsidRPr="00AF481B" w:rsidRDefault="00DC6B2E">
          <w:r w:rsidRPr="00AF481B">
            <w:rPr>
              <w:b/>
              <w:bCs/>
              <w:noProof/>
              <w:sz w:val="20"/>
            </w:rPr>
            <w:fldChar w:fldCharType="end"/>
          </w:r>
        </w:p>
      </w:sdtContent>
    </w:sdt>
    <w:p w:rsidR="00560DF1" w:rsidRPr="00AF481B"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AF481B" w:rsidTr="00F138C1">
        <w:trPr>
          <w:jc w:val="center"/>
        </w:trPr>
        <w:tc>
          <w:tcPr>
            <w:tcW w:w="9638" w:type="dxa"/>
          </w:tcPr>
          <w:p w:rsidR="00F138C1" w:rsidRPr="00AF481B" w:rsidRDefault="00F138C1" w:rsidP="00F138C1">
            <w:pPr>
              <w:keepNext/>
              <w:tabs>
                <w:tab w:val="right" w:pos="9360"/>
              </w:tabs>
              <w:spacing w:after="120"/>
              <w:jc w:val="center"/>
              <w:rPr>
                <w:szCs w:val="24"/>
              </w:rPr>
            </w:pPr>
            <w:r w:rsidRPr="00AF481B">
              <w:rPr>
                <w:szCs w:val="24"/>
              </w:rPr>
              <w:t>NOTICE</w:t>
            </w:r>
          </w:p>
          <w:p w:rsidR="00F138C1" w:rsidRPr="00AF481B" w:rsidRDefault="00F138C1" w:rsidP="00F138C1">
            <w:pPr>
              <w:keepNext/>
              <w:tabs>
                <w:tab w:val="right" w:pos="9360"/>
              </w:tabs>
              <w:spacing w:after="120"/>
              <w:jc w:val="both"/>
              <w:rPr>
                <w:szCs w:val="24"/>
              </w:rPr>
            </w:pPr>
            <w:r w:rsidRPr="00AF481B">
              <w:rPr>
                <w:szCs w:val="24"/>
              </w:rPr>
              <w:t>Case summaries included in the Bulletin are prepared by the Office of the Registrar of the Supreme Court of Canada (Law Branch) for information purposes only.</w:t>
            </w:r>
          </w:p>
          <w:p w:rsidR="00F138C1" w:rsidRPr="00AF481B" w:rsidRDefault="00F138C1" w:rsidP="00F138C1">
            <w:pPr>
              <w:keepNext/>
              <w:tabs>
                <w:tab w:val="right" w:pos="9360"/>
              </w:tabs>
              <w:spacing w:after="120"/>
              <w:jc w:val="center"/>
              <w:rPr>
                <w:szCs w:val="24"/>
                <w:lang w:val="fr-CA"/>
              </w:rPr>
            </w:pPr>
            <w:r w:rsidRPr="00AF481B">
              <w:rPr>
                <w:szCs w:val="24"/>
                <w:lang w:val="fr-CA"/>
              </w:rPr>
              <w:t>AVIS</w:t>
            </w:r>
          </w:p>
          <w:p w:rsidR="00F138C1" w:rsidRPr="00AF481B" w:rsidRDefault="00F138C1" w:rsidP="00F138C1">
            <w:pPr>
              <w:keepNext/>
              <w:tabs>
                <w:tab w:val="right" w:pos="9360"/>
              </w:tabs>
              <w:spacing w:after="120"/>
              <w:jc w:val="both"/>
              <w:rPr>
                <w:sz w:val="20"/>
                <w:szCs w:val="20"/>
                <w:lang w:val="fr-CA"/>
              </w:rPr>
            </w:pPr>
            <w:r w:rsidRPr="00AF481B">
              <w:rPr>
                <w:szCs w:val="24"/>
                <w:lang w:val="fr-CA"/>
              </w:rPr>
              <w:t>Les résumés des causes publiés dans le bulletin sont préparés par le Bureau du registraire (Direction générale du droit) uniquement à titre d’information.</w:t>
            </w:r>
          </w:p>
        </w:tc>
      </w:tr>
    </w:tbl>
    <w:p w:rsidR="00F138C1" w:rsidRPr="00AF481B" w:rsidRDefault="00F138C1" w:rsidP="00F138C1">
      <w:pPr>
        <w:tabs>
          <w:tab w:val="right" w:pos="9360"/>
        </w:tabs>
        <w:rPr>
          <w:lang w:val="fr-CA"/>
        </w:rPr>
      </w:pPr>
    </w:p>
    <w:p w:rsidR="00F138C1" w:rsidRPr="00AF481B" w:rsidRDefault="00F138C1" w:rsidP="00F138C1">
      <w:pPr>
        <w:tabs>
          <w:tab w:val="right" w:pos="9360"/>
        </w:tabs>
        <w:rPr>
          <w:lang w:val="fr-CA"/>
        </w:rPr>
      </w:pPr>
    </w:p>
    <w:p w:rsidR="00C01FCB" w:rsidRPr="00AF481B" w:rsidRDefault="00C01FCB" w:rsidP="0095096B">
      <w:pPr>
        <w:tabs>
          <w:tab w:val="right" w:pos="9360"/>
        </w:tabs>
        <w:rPr>
          <w:lang w:val="fr-CA"/>
        </w:rPr>
      </w:pPr>
    </w:p>
    <w:p w:rsidR="00A87207" w:rsidRPr="00AF481B" w:rsidRDefault="00A87207" w:rsidP="0095096B">
      <w:pPr>
        <w:tabs>
          <w:tab w:val="right" w:pos="9360"/>
        </w:tabs>
        <w:rPr>
          <w:lang w:val="fr-CA"/>
        </w:rPr>
        <w:sectPr w:rsidR="00A87207" w:rsidRPr="00AF481B" w:rsidSect="0044776A">
          <w:pgSz w:w="12240" w:h="15840"/>
          <w:pgMar w:top="720" w:right="1152" w:bottom="1080" w:left="1440" w:header="706" w:footer="706" w:gutter="0"/>
          <w:cols w:space="708"/>
          <w:titlePg/>
          <w:docGrid w:linePitch="360"/>
        </w:sectPr>
      </w:pPr>
    </w:p>
    <w:p w:rsidR="00693C38" w:rsidRPr="00AF481B" w:rsidRDefault="00DD0BDC" w:rsidP="00567602">
      <w:pPr>
        <w:pStyle w:val="Header1StyleE"/>
        <w:pBdr>
          <w:bottom w:val="single" w:sz="12" w:space="1" w:color="auto"/>
        </w:pBdr>
        <w:rPr>
          <w:lang w:val="fr-CA"/>
        </w:rPr>
      </w:pPr>
      <w:bookmarkStart w:id="0" w:name="QuickMark_1"/>
      <w:bookmarkStart w:id="1" w:name="_Toc161904152"/>
      <w:bookmarkEnd w:id="0"/>
      <w:r w:rsidRPr="00AF481B">
        <w:rPr>
          <w:lang w:val="fr-CA"/>
        </w:rPr>
        <w:lastRenderedPageBreak/>
        <w:t>Judgments on applications</w:t>
      </w:r>
      <w:r w:rsidR="000C1D9D" w:rsidRPr="00AF481B">
        <w:rPr>
          <w:lang w:val="fr-CA"/>
        </w:rPr>
        <w:t xml:space="preserve"> </w:t>
      </w:r>
      <w:r w:rsidRPr="00AF481B">
        <w:rPr>
          <w:lang w:val="fr-CA"/>
        </w:rPr>
        <w:t>for leave</w:t>
      </w:r>
      <w:r w:rsidR="00693C38" w:rsidRPr="00AF481B">
        <w:rPr>
          <w:noProof/>
          <w:sz w:val="20"/>
          <w:lang w:val="fr-CA"/>
        </w:rPr>
        <w:t xml:space="preserve"> </w:t>
      </w:r>
      <w:r w:rsidR="00271E1E" w:rsidRPr="00AF481B">
        <w:rPr>
          <w:noProof/>
          <w:sz w:val="20"/>
          <w:lang w:val="fr-CA"/>
        </w:rPr>
        <w:t xml:space="preserve">/ </w:t>
      </w:r>
      <w:r w:rsidR="00693C38" w:rsidRPr="00AF481B">
        <w:rPr>
          <w:noProof/>
          <w:sz w:val="20"/>
          <w:lang w:val="fr-CA"/>
        </w:rPr>
        <w:br/>
      </w:r>
      <w:r w:rsidRPr="00AF481B">
        <w:rPr>
          <w:lang w:val="fr-CA"/>
        </w:rPr>
        <w:t>Jugements rendus sur les demandes d’autorisation</w:t>
      </w:r>
      <w:bookmarkEnd w:id="1"/>
    </w:p>
    <w:p w:rsidR="00FB1DB6" w:rsidRPr="00AF481B" w:rsidRDefault="00FB1DB6" w:rsidP="00693C38">
      <w:pPr>
        <w:rPr>
          <w:sz w:val="20"/>
          <w:szCs w:val="20"/>
          <w:lang w:val="fr-CA"/>
        </w:rPr>
      </w:pPr>
    </w:p>
    <w:p w:rsidR="00F16063" w:rsidRPr="00AF481B" w:rsidRDefault="004323F7" w:rsidP="00F16063">
      <w:pPr>
        <w:rPr>
          <w:b/>
          <w:sz w:val="20"/>
          <w:szCs w:val="20"/>
        </w:rPr>
      </w:pPr>
      <w:r w:rsidRPr="00AF481B">
        <w:rPr>
          <w:b/>
          <w:sz w:val="20"/>
          <w:szCs w:val="20"/>
        </w:rPr>
        <w:t>MARCH</w:t>
      </w:r>
      <w:r w:rsidR="00F16063" w:rsidRPr="00AF481B">
        <w:rPr>
          <w:b/>
          <w:sz w:val="20"/>
          <w:szCs w:val="20"/>
        </w:rPr>
        <w:t xml:space="preserve"> </w:t>
      </w:r>
      <w:r w:rsidRPr="00AF481B">
        <w:rPr>
          <w:b/>
          <w:sz w:val="20"/>
          <w:szCs w:val="20"/>
        </w:rPr>
        <w:t>2</w:t>
      </w:r>
      <w:r w:rsidR="00345645" w:rsidRPr="00AF481B">
        <w:rPr>
          <w:b/>
          <w:sz w:val="20"/>
          <w:szCs w:val="20"/>
        </w:rPr>
        <w:t>1</w:t>
      </w:r>
      <w:r w:rsidR="00F16063" w:rsidRPr="00AF481B">
        <w:rPr>
          <w:b/>
          <w:sz w:val="20"/>
          <w:szCs w:val="20"/>
        </w:rPr>
        <w:t xml:space="preserve">, </w:t>
      </w:r>
      <w:r w:rsidR="0034657E" w:rsidRPr="00AF481B">
        <w:rPr>
          <w:b/>
          <w:sz w:val="20"/>
          <w:szCs w:val="20"/>
        </w:rPr>
        <w:t>20</w:t>
      </w:r>
      <w:r w:rsidR="005967EF" w:rsidRPr="00AF481B">
        <w:rPr>
          <w:b/>
          <w:sz w:val="20"/>
          <w:szCs w:val="20"/>
        </w:rPr>
        <w:t>2</w:t>
      </w:r>
      <w:r w:rsidR="00345645" w:rsidRPr="00AF481B">
        <w:rPr>
          <w:b/>
          <w:sz w:val="20"/>
          <w:szCs w:val="20"/>
        </w:rPr>
        <w:t>4</w:t>
      </w:r>
    </w:p>
    <w:p w:rsidR="00F16063" w:rsidRPr="00AF481B" w:rsidRDefault="00F16063" w:rsidP="00F16063">
      <w:pPr>
        <w:rPr>
          <w:sz w:val="20"/>
          <w:szCs w:val="20"/>
        </w:rPr>
      </w:pPr>
    </w:p>
    <w:p w:rsidR="00D2683C" w:rsidRPr="00AF481B" w:rsidRDefault="00D2683C" w:rsidP="00F16063">
      <w:pPr>
        <w:rPr>
          <w:sz w:val="20"/>
          <w:szCs w:val="20"/>
        </w:rPr>
      </w:pPr>
    </w:p>
    <w:p w:rsidR="004323F7" w:rsidRPr="00AF481B" w:rsidRDefault="004323F7" w:rsidP="004323F7">
      <w:pPr>
        <w:jc w:val="both"/>
        <w:rPr>
          <w:b/>
          <w:sz w:val="22"/>
        </w:rPr>
      </w:pPr>
      <w:r w:rsidRPr="00AF481B">
        <w:rPr>
          <w:b/>
          <w:sz w:val="22"/>
        </w:rPr>
        <w:t>DISMISSED</w:t>
      </w:r>
    </w:p>
    <w:p w:rsidR="004323F7" w:rsidRPr="00AF481B" w:rsidRDefault="004323F7" w:rsidP="004323F7">
      <w:pPr>
        <w:jc w:val="both"/>
        <w:rPr>
          <w:sz w:val="20"/>
        </w:rPr>
      </w:pPr>
    </w:p>
    <w:p w:rsidR="004323F7" w:rsidRPr="00AF481B" w:rsidRDefault="004323F7" w:rsidP="004323F7">
      <w:pPr>
        <w:rPr>
          <w:sz w:val="22"/>
        </w:rPr>
      </w:pPr>
      <w:r w:rsidRPr="00AF481B">
        <w:rPr>
          <w:i/>
          <w:sz w:val="22"/>
        </w:rPr>
        <w:t xml:space="preserve">Simeon Harty v. His Majesty the King </w:t>
      </w:r>
      <w:r w:rsidRPr="00AF481B">
        <w:rPr>
          <w:sz w:val="22"/>
        </w:rPr>
        <w:t>(Ont.) (Criminal) (By Leave) (</w:t>
      </w:r>
      <w:hyperlink r:id="rId13" w:history="1">
        <w:r w:rsidRPr="00AF481B">
          <w:rPr>
            <w:rStyle w:val="Hyperlink"/>
            <w:sz w:val="22"/>
          </w:rPr>
          <w:t>40963</w:t>
        </w:r>
      </w:hyperlink>
      <w:r w:rsidRPr="00AF481B">
        <w:rPr>
          <w:sz w:val="22"/>
        </w:rPr>
        <w:t>)</w:t>
      </w:r>
    </w:p>
    <w:p w:rsidR="004323F7" w:rsidRPr="00AF481B" w:rsidRDefault="004323F7" w:rsidP="004323F7">
      <w:pPr>
        <w:widowControl w:val="0"/>
        <w:rPr>
          <w:sz w:val="20"/>
        </w:rPr>
      </w:pPr>
    </w:p>
    <w:p w:rsidR="004323F7" w:rsidRPr="00AF481B" w:rsidRDefault="004323F7" w:rsidP="004323F7">
      <w:pPr>
        <w:jc w:val="both"/>
        <w:rPr>
          <w:sz w:val="20"/>
        </w:rPr>
      </w:pPr>
      <w:r w:rsidRPr="00AF481B">
        <w:rPr>
          <w:sz w:val="20"/>
        </w:rPr>
        <w:t>The motion for an extension of time to serve and file the application for leave to appeal is granted. The motion for an extension of time to serve and file the response is granted. The application for leave to appeal from the judgment of the</w:t>
      </w:r>
      <w:bookmarkStart w:id="2" w:name="BM_1_"/>
      <w:bookmarkEnd w:id="2"/>
      <w:r w:rsidRPr="00AF481B">
        <w:rPr>
          <w:sz w:val="20"/>
        </w:rPr>
        <w:t xml:space="preserve"> Court of Appeal for Ontario, Number C67527, 2023 ONCA 340, dated May 12, 2023, is dismissed.</w:t>
      </w:r>
    </w:p>
    <w:p w:rsidR="004323F7" w:rsidRPr="00AF481B" w:rsidRDefault="004323F7" w:rsidP="004323F7">
      <w:pPr>
        <w:jc w:val="both"/>
        <w:rPr>
          <w:sz w:val="20"/>
        </w:rPr>
      </w:pPr>
    </w:p>
    <w:p w:rsidR="004323F7" w:rsidRPr="00AF481B" w:rsidRDefault="00AF481B" w:rsidP="004323F7">
      <w:pPr>
        <w:contextualSpacing/>
        <w:jc w:val="both"/>
        <w:rPr>
          <w:sz w:val="20"/>
          <w:lang w:val="fr-CA"/>
        </w:rPr>
      </w:pPr>
      <w:r w:rsidRPr="00AF481B">
        <w:rPr>
          <w:sz w:val="20"/>
        </w:rPr>
        <w:pict>
          <v:rect id="_x0000_i1025"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rPr>
        <w:t xml:space="preserve">Jasper Atienza v. His Majesty the King </w:t>
      </w:r>
      <w:r w:rsidRPr="00AF481B">
        <w:rPr>
          <w:sz w:val="22"/>
        </w:rPr>
        <w:t>(Ont.) (Criminal) (By Leave) (</w:t>
      </w:r>
      <w:hyperlink r:id="rId14" w:history="1">
        <w:r w:rsidRPr="00AF481B">
          <w:rPr>
            <w:rStyle w:val="Hyperlink"/>
            <w:sz w:val="22"/>
          </w:rPr>
          <w:t>41033</w:t>
        </w:r>
      </w:hyperlink>
      <w:r w:rsidRPr="00AF481B">
        <w:rPr>
          <w:sz w:val="22"/>
        </w:rPr>
        <w:t>)</w:t>
      </w:r>
    </w:p>
    <w:p w:rsidR="004323F7" w:rsidRPr="00AF481B" w:rsidRDefault="004323F7" w:rsidP="004323F7">
      <w:pPr>
        <w:ind w:left="357" w:hanging="357"/>
        <w:rPr>
          <w:sz w:val="22"/>
          <w:lang w:val="fr-CA"/>
        </w:rPr>
      </w:pPr>
    </w:p>
    <w:p w:rsidR="004323F7" w:rsidRPr="00AF481B" w:rsidRDefault="004323F7" w:rsidP="004323F7">
      <w:pPr>
        <w:jc w:val="both"/>
        <w:rPr>
          <w:sz w:val="20"/>
          <w:lang w:val="fr-CA"/>
        </w:rPr>
      </w:pPr>
      <w:r w:rsidRPr="00AF481B">
        <w:rPr>
          <w:sz w:val="20"/>
        </w:rPr>
        <w:t>The motion for an extension of time to serve and file the application for leave to appeal is granted. The application for leave to appeal from the judgment of the Court of Appeal for Ontario, Number C68389, 2023 ONCA 537, dated August 11, 2023, is dismissed.</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26"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lang w:val="fr-CA"/>
        </w:rPr>
        <w:t xml:space="preserve">Maritime Employers Association, Montreal Port Authority and Quebec Employers Council v. Syndicat des débardeurs, section locale 375 du Syndicat canadien de la fonction publique - and - Shipping Federation of Canada, Fédération des chambres de commerce du Québec, Chambre de commerce de l’Est de Montréal and International Longshoremen’s Association - and between - Shipping Federation of Canada v. Syndicat des débardeurs, section locale 375 du Syndicat canadien de la fonction publique, International Longshoremen’s Association, Chambre de commerce de l’Est de Montréal, Fédération des chambres de commerce du Québec and Quebec Employers Council - and - Maritime Employers Association and Montreal Port Authority </w:t>
      </w:r>
      <w:r w:rsidRPr="00AF481B">
        <w:rPr>
          <w:sz w:val="22"/>
        </w:rPr>
        <w:t>(Fed.) (Civil) (By Leave) (</w:t>
      </w:r>
      <w:hyperlink r:id="rId15" w:history="1">
        <w:r w:rsidRPr="00AF481B">
          <w:rPr>
            <w:rStyle w:val="Hyperlink"/>
            <w:sz w:val="22"/>
          </w:rPr>
          <w:t>40828</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applications for leave to appeal from the judgment of the Federal Court of Appeal, Number A-162-20, 2023 FCA 93, dated May 5, 2023, are dismissed with costs.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27"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rPr>
        <w:t xml:space="preserve">His Majesty the King v. Shawn Sommerville Milne </w:t>
      </w:r>
      <w:r w:rsidRPr="00AF481B">
        <w:rPr>
          <w:sz w:val="22"/>
        </w:rPr>
        <w:t>(Fed.) (Civil) (By Leave) (</w:t>
      </w:r>
      <w:hyperlink r:id="rId16" w:history="1">
        <w:r w:rsidRPr="00AF481B">
          <w:rPr>
            <w:rStyle w:val="Hyperlink"/>
            <w:sz w:val="22"/>
          </w:rPr>
          <w:t>40895</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application for leave to appeal from the judgment of the Federal Court of Appeal, Number A-44-22, 2023 FCA 138, dated June 13, 2023, is dismissed with costs on a solicitor-client basis.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28"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rPr>
        <w:t xml:space="preserve">Mina Esteghamat-Ardakani, also known as Mina Estegahamat-Ardakani v. Mehran Taherkhani and Rosa Donna Este, also known as Rosa Donna Taherkhani also known as Donna Este - and between - Mina Esteghamat-Ardakani also known as Mina Estegahamat-Ardakani in her Personal Capacity and As Trustee of The Mina Esteghamat-Ardakani Alter Ego Trust No. 1 and Vitality Holdings Corp. v. Mehran Taherkhani, Rosa Donna Este also known as Rosa Donna Taherkhani also known as Donna Este and 0831295 B.C. Ltd. </w:t>
      </w:r>
      <w:r w:rsidRPr="00AF481B">
        <w:rPr>
          <w:sz w:val="22"/>
        </w:rPr>
        <w:t>(B.C.) (Civil) (By Leave) (</w:t>
      </w:r>
      <w:hyperlink r:id="rId17" w:history="1">
        <w:r w:rsidRPr="00AF481B">
          <w:rPr>
            <w:rStyle w:val="Hyperlink"/>
            <w:sz w:val="22"/>
          </w:rPr>
          <w:t>40928</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application for leave to appeal from the judgment of the Court of Appeal for British Columbia (Vancouver), Numbers CA46711, CA46688, CA47643, CA47644, 2023 BCCA 290, dated July 17, 2023, is dismissed with costs.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lastRenderedPageBreak/>
        <w:pict>
          <v:rect id="_x0000_i1029"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rPr>
        <w:t>Ousseynou Gueye v. Anna DiNino</w:t>
      </w:r>
      <w:r w:rsidRPr="00AF481B">
        <w:rPr>
          <w:sz w:val="22"/>
        </w:rPr>
        <w:t xml:space="preserve"> (Ont.) (Civil) (By Leave) (</w:t>
      </w:r>
      <w:hyperlink r:id="rId18" w:history="1">
        <w:r w:rsidRPr="00AF481B">
          <w:rPr>
            <w:rStyle w:val="Hyperlink"/>
            <w:sz w:val="22"/>
          </w:rPr>
          <w:t>40938</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motion for an extension of time to serve and file the application for leave to appeal is granted. The application for leave to appeal from the judgment of the Court of Appeal for Ontario, Numbers C70320 and  M54087, 2023 ONCA 342, dated May 11, 2023, is dismissed.</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0"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rPr>
        <w:t>R. Maxine Collins v. His Majesty the King in Right of Ontario</w:t>
      </w:r>
      <w:r w:rsidRPr="00AF481B">
        <w:rPr>
          <w:sz w:val="22"/>
        </w:rPr>
        <w:t xml:space="preserve"> (Ont.) (Civil) (By Leave) (</w:t>
      </w:r>
      <w:hyperlink r:id="rId19" w:history="1">
        <w:r w:rsidRPr="00AF481B">
          <w:rPr>
            <w:rStyle w:val="Hyperlink"/>
            <w:sz w:val="22"/>
          </w:rPr>
          <w:t>40994</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 xml:space="preserve">Pursuant to Rule 6(1) of the </w:t>
      </w:r>
      <w:r w:rsidRPr="00AF481B">
        <w:rPr>
          <w:i/>
          <w:sz w:val="20"/>
        </w:rPr>
        <w:t>Rules of the Supreme Court of Canada</w:t>
      </w:r>
      <w:r w:rsidRPr="00AF481B">
        <w:rPr>
          <w:sz w:val="20"/>
        </w:rPr>
        <w:t>, an extension of time to file the printed copies of the application for leave to appeal as required by Rule 19(5) is granted to the Applicant. The motion to the Registrar for directions is dismissed. The application for leave to appeal from the judgment of the Court of Appeal for Ontario, Number COA-23-CV-0394, 2023 ONCA 646, dated September 29, 2023, is dismissed with costs.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1"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Floriano Sylvester Daponte v. His Majesty the King</w:t>
      </w:r>
      <w:r w:rsidRPr="00AF481B">
        <w:rPr>
          <w:sz w:val="22"/>
        </w:rPr>
        <w:t xml:space="preserve"> (Ont.) (Criminal) (By Leave) (</w:t>
      </w:r>
      <w:hyperlink r:id="rId20" w:history="1">
        <w:r w:rsidRPr="00AF481B">
          <w:rPr>
            <w:rStyle w:val="Hyperlink"/>
            <w:sz w:val="22"/>
          </w:rPr>
          <w:t>40971</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motion for an extension of time to serve and file the application for leave to appeal is granted. The application for leave to appeal from the judgment of the Court of Appeal for Ontario, Number C68691, 2023 ONCA 572, dated April 13, 2023, is dismissed.</w:t>
      </w:r>
    </w:p>
    <w:p w:rsidR="004323F7" w:rsidRPr="00AF481B" w:rsidRDefault="004323F7" w:rsidP="004323F7">
      <w:pPr>
        <w:jc w:val="both"/>
        <w:rPr>
          <w:sz w:val="20"/>
        </w:rPr>
      </w:pPr>
    </w:p>
    <w:p w:rsidR="004323F7" w:rsidRPr="00AF481B" w:rsidRDefault="004323F7" w:rsidP="004323F7">
      <w:pPr>
        <w:jc w:val="both"/>
        <w:rPr>
          <w:sz w:val="20"/>
        </w:rPr>
      </w:pPr>
      <w:r w:rsidRPr="00AF481B">
        <w:rPr>
          <w:sz w:val="20"/>
        </w:rPr>
        <w:t>Jamal J. took no part in the judgment.</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2"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Loukia Georgiou v. Attorney General of Canada</w:t>
      </w:r>
      <w:r w:rsidRPr="00AF481B">
        <w:rPr>
          <w:sz w:val="22"/>
        </w:rPr>
        <w:t xml:space="preserve"> (Ont.) (Criminal) (By Leave) (</w:t>
      </w:r>
      <w:hyperlink r:id="rId21" w:history="1">
        <w:r w:rsidRPr="00AF481B">
          <w:rPr>
            <w:rStyle w:val="Hyperlink"/>
            <w:sz w:val="22"/>
          </w:rPr>
          <w:t>41057</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motion for an extension of time to serve and file the application for leave to appeal is granted. The application for leave to appeal from the judgment of the Court of Appeal for Ontario, Number COA-23-OM-0016, 2023 ONCA 495, dated July 19, 2023, is dismissed.</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3"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 xml:space="preserve">Lili Lorenzana-Bilodeau and Joanne Bilodeau v. Pierre-Antoine Rivard, Yolande Samson and Pierre Rivard </w:t>
      </w:r>
      <w:r w:rsidRPr="00AF481B">
        <w:rPr>
          <w:sz w:val="22"/>
        </w:rPr>
        <w:t>(Que.) (Civil) (By Leave) (</w:t>
      </w:r>
      <w:hyperlink r:id="rId22" w:history="1">
        <w:r w:rsidRPr="00AF481B">
          <w:rPr>
            <w:rStyle w:val="Hyperlink"/>
            <w:sz w:val="22"/>
          </w:rPr>
          <w:t>40860</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application for leave to appeal from the judgment of the Court of Appeal of Quebec (Québec), Number 200-09-010516-224, 2023 QCCA 689, dated May 29, 2023, is dismissed with costs.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4"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 xml:space="preserve">Diane Lafond v. Samy Elnemr, in his capacity as assistant syndic of the Barreau du Québec - and - Catherine Ouimet, in her capacity as secretary of the Disciplinary Council of the Barreau du Québec and Professions Tribunal </w:t>
      </w:r>
      <w:r w:rsidRPr="00AF481B">
        <w:rPr>
          <w:sz w:val="22"/>
        </w:rPr>
        <w:t>(Que.) (Civil) (By Leave) (</w:t>
      </w:r>
      <w:hyperlink r:id="rId23" w:history="1">
        <w:r w:rsidRPr="00AF481B">
          <w:rPr>
            <w:rStyle w:val="Hyperlink"/>
            <w:sz w:val="22"/>
          </w:rPr>
          <w:t>40953</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application for leave to appeal from the judgment of the Court of Appeal of Quebec (Montréal), Number 500-09-030629-232, 2023 QCCA 1062, dated August 18, 2023, is dismissed with costs to the respondent.</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5"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Webber Academy Foundation v. Alberta Human Rights Commission (Director), Alberta Human Rights Commission (Tribunal), Sarmad Amir and Naman Siddique</w:t>
      </w:r>
      <w:r w:rsidRPr="00AF481B">
        <w:rPr>
          <w:sz w:val="22"/>
        </w:rPr>
        <w:t xml:space="preserve"> (Alta.) (Civil) (By Leave) (</w:t>
      </w:r>
      <w:hyperlink r:id="rId24" w:history="1">
        <w:r w:rsidRPr="00AF481B">
          <w:rPr>
            <w:rStyle w:val="Hyperlink"/>
            <w:sz w:val="22"/>
          </w:rPr>
          <w:t>40907</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application for leave to appeal from the judgment of the Court of Appeal of Alberta (Calgary), Number 2101-0220AC, 2023 ABCA 194, dated June 19, 2023, is dismissed with costs to the respondent, Alberta Human Rights Commission (Director).</w:t>
      </w:r>
    </w:p>
    <w:p w:rsidR="004323F7" w:rsidRPr="00AF481B" w:rsidRDefault="004323F7" w:rsidP="004323F7">
      <w:pPr>
        <w:jc w:val="both"/>
        <w:rPr>
          <w:sz w:val="20"/>
        </w:rPr>
      </w:pPr>
    </w:p>
    <w:p w:rsidR="004323F7" w:rsidRPr="00AF481B" w:rsidRDefault="004323F7" w:rsidP="004323F7">
      <w:pPr>
        <w:jc w:val="both"/>
        <w:rPr>
          <w:sz w:val="20"/>
        </w:rPr>
      </w:pPr>
      <w:r w:rsidRPr="00AF481B">
        <w:rPr>
          <w:sz w:val="20"/>
        </w:rPr>
        <w:t>Martin J. took no part in the judgment.</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6"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Dominique Martineau v. Municipalité de Sainte-Christine D’Auvergne, Municipalité de Saint-Raymond de Portneuf, Société de l’assurance automobile du Québec, Tribunal administratif du Québec and Sûreté du Québec</w:t>
      </w:r>
      <w:r w:rsidRPr="00AF481B">
        <w:rPr>
          <w:sz w:val="22"/>
        </w:rPr>
        <w:t xml:space="preserve"> (Que.) (Civil) (By Leave) (</w:t>
      </w:r>
      <w:hyperlink r:id="rId25" w:history="1">
        <w:r w:rsidRPr="00AF481B">
          <w:rPr>
            <w:rStyle w:val="Hyperlink"/>
            <w:sz w:val="22"/>
          </w:rPr>
          <w:t>40848</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motion for an extension of time to serve and file the application for leave to appeal is granted. The motion for an extension of time to serve and file the replies is granted. The application for leave to appeal from the judgment of the Court of Appeal of Quebec (Québec), Number 200-09-010563-226, 2023 QCCA 620, dated May 5, 2023, is dismissed.</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7"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Sean Morriss v. His Majesty the King in Right of the Province of British Columbia</w:t>
      </w:r>
      <w:r w:rsidRPr="00AF481B">
        <w:rPr>
          <w:sz w:val="22"/>
        </w:rPr>
        <w:t xml:space="preserve"> (B.C.) (Civil) (By Leave) (</w:t>
      </w:r>
      <w:hyperlink r:id="rId26" w:history="1">
        <w:r w:rsidRPr="00AF481B">
          <w:rPr>
            <w:rStyle w:val="Hyperlink"/>
            <w:sz w:val="22"/>
          </w:rPr>
          <w:t>41023</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motion for an extension of time to serve and file the application for leave to appeal is granted. The application for leave to appeal from the judgment of the Court of Appeal for British Columbia (Vancouver), Number CA47773, 2021 BCCA 451, dated November 26, 2021, is dismissed.</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38"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0"/>
          <w:szCs w:val="20"/>
        </w:rPr>
      </w:pPr>
      <w:r w:rsidRPr="00AF481B">
        <w:rPr>
          <w:i/>
          <w:sz w:val="20"/>
          <w:szCs w:val="20"/>
        </w:rPr>
        <w:t xml:space="preserve">Sean Morriss v. His Majesty the King </w:t>
      </w:r>
      <w:r w:rsidRPr="00AF481B">
        <w:rPr>
          <w:sz w:val="20"/>
          <w:szCs w:val="20"/>
        </w:rPr>
        <w:t xml:space="preserve">(Fed.) (Civil) (By Leave) </w:t>
      </w:r>
      <w:r w:rsidRPr="00AF481B">
        <w:rPr>
          <w:sz w:val="20"/>
        </w:rPr>
        <w:t>(</w:t>
      </w:r>
      <w:hyperlink r:id="rId27" w:history="1">
        <w:r w:rsidRPr="00AF481B">
          <w:rPr>
            <w:rStyle w:val="Hyperlink"/>
            <w:sz w:val="20"/>
          </w:rPr>
          <w:t>41024</w:t>
        </w:r>
      </w:hyperlink>
      <w:r w:rsidRPr="00AF481B">
        <w:rPr>
          <w:sz w:val="20"/>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The motion for an extension of time to serve and file the application for leave to appeal is granted. The application for leave to appeal from the judgment of the Federal Court of Appeal, Number A-162-21, dated July 5, 2022, is dismissed with costs.</w:t>
      </w:r>
    </w:p>
    <w:p w:rsidR="00E06F20" w:rsidRPr="00AF481B" w:rsidRDefault="00E06F20" w:rsidP="00102792">
      <w:pPr>
        <w:jc w:val="both"/>
        <w:rPr>
          <w:sz w:val="20"/>
          <w:szCs w:val="20"/>
        </w:rPr>
      </w:pPr>
    </w:p>
    <w:p w:rsidR="00D2683C" w:rsidRPr="00AF481B" w:rsidRDefault="00D2683C" w:rsidP="00102792">
      <w:pPr>
        <w:jc w:val="both"/>
        <w:rPr>
          <w:sz w:val="20"/>
          <w:szCs w:val="20"/>
        </w:rPr>
      </w:pPr>
    </w:p>
    <w:p w:rsidR="00D2683C" w:rsidRPr="00AF481B" w:rsidRDefault="00AF481B" w:rsidP="00102792">
      <w:pPr>
        <w:jc w:val="both"/>
        <w:rPr>
          <w:sz w:val="20"/>
          <w:szCs w:val="20"/>
        </w:rPr>
      </w:pPr>
      <w:r w:rsidRPr="00AF481B">
        <w:rPr>
          <w:sz w:val="18"/>
          <w:szCs w:val="18"/>
        </w:rPr>
        <w:pict>
          <v:rect id="_x0000_i1039" style="width:272.25pt;height:1.5pt" o:hrpct="0" o:hralign="center" o:hrstd="t" o:hrnoshade="t" o:hr="t" fillcolor="black [3213]" stroked="f"/>
        </w:pict>
      </w:r>
    </w:p>
    <w:p w:rsidR="00D2683C" w:rsidRPr="00AF481B" w:rsidRDefault="00D2683C" w:rsidP="00102792">
      <w:pPr>
        <w:jc w:val="both"/>
        <w:rPr>
          <w:sz w:val="20"/>
          <w:szCs w:val="20"/>
        </w:rPr>
      </w:pPr>
    </w:p>
    <w:p w:rsidR="004323F7" w:rsidRPr="00AF481B" w:rsidRDefault="004323F7" w:rsidP="00102792">
      <w:pPr>
        <w:jc w:val="both"/>
        <w:rPr>
          <w:sz w:val="20"/>
          <w:szCs w:val="20"/>
        </w:rPr>
      </w:pPr>
    </w:p>
    <w:p w:rsidR="00D2683C" w:rsidRPr="00AF481B" w:rsidRDefault="00D2683C" w:rsidP="00D2683C">
      <w:pPr>
        <w:rPr>
          <w:b/>
          <w:sz w:val="20"/>
          <w:szCs w:val="20"/>
        </w:rPr>
      </w:pPr>
      <w:r w:rsidRPr="00AF481B">
        <w:rPr>
          <w:b/>
          <w:sz w:val="20"/>
          <w:szCs w:val="20"/>
        </w:rPr>
        <w:t>Le</w:t>
      </w:r>
      <w:r w:rsidR="00345645" w:rsidRPr="00AF481B">
        <w:rPr>
          <w:b/>
          <w:sz w:val="20"/>
          <w:szCs w:val="20"/>
        </w:rPr>
        <w:t xml:space="preserve"> </w:t>
      </w:r>
      <w:r w:rsidR="004323F7" w:rsidRPr="00AF481B">
        <w:rPr>
          <w:b/>
          <w:sz w:val="20"/>
          <w:szCs w:val="20"/>
        </w:rPr>
        <w:t>2</w:t>
      </w:r>
      <w:r w:rsidR="00345645" w:rsidRPr="00AF481B">
        <w:rPr>
          <w:b/>
          <w:sz w:val="20"/>
          <w:szCs w:val="20"/>
        </w:rPr>
        <w:t>1</w:t>
      </w:r>
      <w:r w:rsidRPr="00AF481B">
        <w:rPr>
          <w:b/>
          <w:sz w:val="20"/>
          <w:szCs w:val="20"/>
        </w:rPr>
        <w:t xml:space="preserve"> </w:t>
      </w:r>
      <w:r w:rsidR="004323F7" w:rsidRPr="00AF481B">
        <w:rPr>
          <w:b/>
          <w:sz w:val="20"/>
          <w:szCs w:val="20"/>
        </w:rPr>
        <w:t>MARS</w:t>
      </w:r>
      <w:r w:rsidRPr="00AF481B">
        <w:rPr>
          <w:b/>
          <w:sz w:val="20"/>
          <w:szCs w:val="20"/>
        </w:rPr>
        <w:t xml:space="preserve"> 202</w:t>
      </w:r>
      <w:r w:rsidR="00345645" w:rsidRPr="00AF481B">
        <w:rPr>
          <w:b/>
          <w:sz w:val="20"/>
          <w:szCs w:val="20"/>
        </w:rPr>
        <w:t>4</w:t>
      </w:r>
    </w:p>
    <w:p w:rsidR="00D2683C" w:rsidRPr="00AF481B" w:rsidRDefault="00D2683C" w:rsidP="00102792">
      <w:pPr>
        <w:jc w:val="both"/>
        <w:rPr>
          <w:sz w:val="20"/>
          <w:szCs w:val="20"/>
        </w:rPr>
      </w:pPr>
    </w:p>
    <w:p w:rsidR="00D2683C" w:rsidRPr="00AF481B" w:rsidRDefault="00D2683C" w:rsidP="00102792">
      <w:pPr>
        <w:jc w:val="both"/>
        <w:rPr>
          <w:sz w:val="20"/>
          <w:szCs w:val="20"/>
        </w:rPr>
      </w:pPr>
    </w:p>
    <w:p w:rsidR="004323F7" w:rsidRPr="00AF481B" w:rsidRDefault="004323F7" w:rsidP="004323F7">
      <w:pPr>
        <w:jc w:val="both"/>
        <w:rPr>
          <w:b/>
          <w:sz w:val="22"/>
          <w:lang w:val="fr-CA"/>
        </w:rPr>
      </w:pPr>
      <w:r w:rsidRPr="00AF481B">
        <w:rPr>
          <w:b/>
          <w:sz w:val="22"/>
          <w:lang w:val="fr-CA"/>
        </w:rPr>
        <w:t>REJETÉES</w:t>
      </w:r>
    </w:p>
    <w:p w:rsidR="004323F7" w:rsidRPr="00AF481B" w:rsidRDefault="004323F7" w:rsidP="004323F7">
      <w:pPr>
        <w:jc w:val="both"/>
        <w:rPr>
          <w:sz w:val="20"/>
          <w:lang w:val="fr-CA"/>
        </w:rPr>
      </w:pPr>
    </w:p>
    <w:p w:rsidR="004323F7" w:rsidRPr="00AF481B" w:rsidRDefault="004323F7" w:rsidP="004323F7">
      <w:pPr>
        <w:rPr>
          <w:sz w:val="22"/>
        </w:rPr>
      </w:pPr>
      <w:r w:rsidRPr="00AF481B">
        <w:rPr>
          <w:i/>
          <w:sz w:val="22"/>
        </w:rPr>
        <w:t xml:space="preserve">Simeon Harty c. Sa Majesté le Roi </w:t>
      </w:r>
      <w:r w:rsidRPr="00AF481B">
        <w:rPr>
          <w:sz w:val="22"/>
        </w:rPr>
        <w:t>(Ont.) (Criminelle) (Autorisation) (</w:t>
      </w:r>
      <w:hyperlink r:id="rId28" w:history="1">
        <w:r w:rsidRPr="00AF481B">
          <w:rPr>
            <w:rStyle w:val="Hyperlink"/>
            <w:sz w:val="22"/>
          </w:rPr>
          <w:t>40963</w:t>
        </w:r>
      </w:hyperlink>
      <w:r w:rsidRPr="00AF481B">
        <w:rPr>
          <w:sz w:val="22"/>
        </w:rPr>
        <w:t>)</w:t>
      </w:r>
    </w:p>
    <w:p w:rsidR="004323F7" w:rsidRPr="00AF481B" w:rsidRDefault="004323F7" w:rsidP="004323F7">
      <w:pPr>
        <w:widowControl w:val="0"/>
        <w:rPr>
          <w:sz w:val="20"/>
          <w:lang w:val="fr-CA"/>
        </w:rPr>
      </w:pPr>
    </w:p>
    <w:p w:rsidR="004323F7" w:rsidRPr="00AF481B" w:rsidRDefault="004323F7" w:rsidP="004323F7">
      <w:pPr>
        <w:widowControl w:val="0"/>
        <w:jc w:val="both"/>
        <w:rPr>
          <w:sz w:val="20"/>
          <w:lang w:val="fr-CA"/>
        </w:rPr>
      </w:pPr>
      <w:r w:rsidRPr="00AF481B">
        <w:rPr>
          <w:sz w:val="20"/>
          <w:lang w:val="fr-CA"/>
        </w:rPr>
        <w:t>La requête en prorogation du délai de signification et de dépôt de la demande d’autorisation d’appel est accueillie. La requête en prorogation du délai de signification et de dépôt de la réponse est accueillie. La demande d’autorisation d’appel de l’arrêt de la Cour d’appel de l’Ontario, numéro C67527, 2023 ONCA 340, daté du 12 mai 2023, est rejetée.</w:t>
      </w:r>
    </w:p>
    <w:p w:rsidR="004323F7" w:rsidRPr="00AF481B" w:rsidRDefault="004323F7" w:rsidP="004323F7">
      <w:pPr>
        <w:widowControl w:val="0"/>
        <w:rPr>
          <w:sz w:val="20"/>
          <w:lang w:val="fr-CA"/>
        </w:rPr>
      </w:pPr>
    </w:p>
    <w:p w:rsidR="004323F7" w:rsidRPr="00AF481B" w:rsidRDefault="00AF481B" w:rsidP="004323F7">
      <w:pPr>
        <w:widowControl w:val="0"/>
        <w:rPr>
          <w:sz w:val="20"/>
          <w:lang w:val="fr-CA"/>
        </w:rPr>
      </w:pPr>
      <w:r w:rsidRPr="00AF481B">
        <w:rPr>
          <w:sz w:val="20"/>
        </w:rPr>
        <w:pict>
          <v:rect id="_x0000_i1040"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pPr>
        <w:rPr>
          <w:i/>
          <w:sz w:val="22"/>
        </w:rPr>
      </w:pPr>
      <w:r w:rsidRPr="00AF481B">
        <w:rPr>
          <w:i/>
          <w:sz w:val="22"/>
        </w:rPr>
        <w:br w:type="page"/>
      </w:r>
    </w:p>
    <w:p w:rsidR="004323F7" w:rsidRPr="00AF481B" w:rsidRDefault="004323F7" w:rsidP="004323F7">
      <w:pPr>
        <w:rPr>
          <w:sz w:val="22"/>
        </w:rPr>
      </w:pPr>
      <w:r w:rsidRPr="00AF481B">
        <w:rPr>
          <w:i/>
          <w:sz w:val="22"/>
        </w:rPr>
        <w:t xml:space="preserve">Jasper Atienza c. Sa Majesté le Roi </w:t>
      </w:r>
      <w:r w:rsidRPr="00AF481B">
        <w:rPr>
          <w:sz w:val="22"/>
        </w:rPr>
        <w:t>(Ont.) (Criminelle) (Autorisation) (</w:t>
      </w:r>
      <w:hyperlink r:id="rId29" w:history="1">
        <w:r w:rsidRPr="00AF481B">
          <w:rPr>
            <w:rStyle w:val="Hyperlink"/>
            <w:sz w:val="22"/>
          </w:rPr>
          <w:t>41033</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lang w:val="fr-CA"/>
        </w:rPr>
        <w:t>La requête en prorogation du délai de signification et de dépôt de la demande d’autorisation d’appel est accueillie. La demande d’autorisation d’appel de l’arrêt de la Cour d’appel de l’Ontario, numéro C68389, 2023 ONCA 537, daté du 11 août 2023, est rejetée.</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1"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lang w:val="fr-CA"/>
        </w:rPr>
        <w:t xml:space="preserve">Association des employeurs maritimes, Administration portuaire de Montréal et  Conseil du patronat du Québec c. Syndicat des débardeurs, section locale 375 du Syndicat canadien de la fonction publique - et - Fédération maritime du Canada, Fédération des chambres de commerce du Québec, la Chambre de commerce de l’Est de Montréal et Association internationale des débardeurs - et entre - Fédération Maritime du Canada c. Syndicat des débardeurs, section locale 375 du Syndicat canadien de la fonction publique, Association internationale des débardeurs, Chambre de commerce de l’Est de Montréal, Fédération des chambres de commerce du Québec et Conseil du patronat du Québec - et - Association des employeurs maritimes et Administration portuaire de Montréal </w:t>
      </w:r>
      <w:r w:rsidRPr="00AF481B">
        <w:rPr>
          <w:sz w:val="22"/>
        </w:rPr>
        <w:t>(Féd.) (Civile) (Autorisation) (</w:t>
      </w:r>
      <w:hyperlink r:id="rId30" w:history="1">
        <w:r w:rsidRPr="00AF481B">
          <w:rPr>
            <w:rStyle w:val="Hyperlink"/>
            <w:sz w:val="22"/>
          </w:rPr>
          <w:t>40828</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Les demandes d’autorisation d’appel de l’arrêt de la Cour d’appel fédérale, numéro A-162-20, 2023 CAF 93, daté du 5 mai 2023, sont rejetées avec dépens.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2"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rPr>
        <w:t xml:space="preserve">Sa Majesté le Roi c. Shawn Sommerville Milne </w:t>
      </w:r>
      <w:r w:rsidRPr="00AF481B">
        <w:rPr>
          <w:sz w:val="22"/>
        </w:rPr>
        <w:t>(Féd.) (Civile) (Autorisation) (</w:t>
      </w:r>
      <w:hyperlink r:id="rId31" w:history="1">
        <w:r w:rsidRPr="00AF481B">
          <w:rPr>
            <w:rStyle w:val="Hyperlink"/>
            <w:sz w:val="22"/>
          </w:rPr>
          <w:t>40895</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lang w:val="fr-CA"/>
        </w:rPr>
        <w:t>La demande d’autorisation d’appel de l’arrêt de la Cour d’appel fédérale, numéro A-44-22, 2023 FCA 138, daté du 13 juin 2023, est rejetée avec dépens sur la base procureur-client.</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3"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rPr>
        <w:t xml:space="preserve">Mina Esteghamat-Ardakani, également connue sous le nom de Mina Estegahamat-Ardakani c. Mehran Taherkhani et Rosa Donna Este également connue sous le nom de Rosa Donna Taherkhani également connue sous le nom de Donna Este - et entre - Mina Esteghamat-Ardakani également connue sous le nom de Mina Estegahamat-Ardakani en sa qualité personnelle et de fiduciaire du Mina Esteghamat-Ardakani Alter Ego Trust No. 1 et Vitality Holdings Corp. c. Mehran Taherkhani, Rosa Donna Este également connue sous le nom de Rosa Donna Taherkhani également connue sous le nom de Donna Este et 0831295 B.C. Ltd. </w:t>
      </w:r>
      <w:r w:rsidRPr="00AF481B">
        <w:rPr>
          <w:sz w:val="22"/>
        </w:rPr>
        <w:t>(C.-B.) (Civile) (Autorisation) (</w:t>
      </w:r>
      <w:hyperlink r:id="rId32" w:history="1">
        <w:r w:rsidRPr="00AF481B">
          <w:rPr>
            <w:rStyle w:val="Hyperlink"/>
            <w:sz w:val="22"/>
          </w:rPr>
          <w:t>40928</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lang w:val="fr-CA"/>
        </w:rPr>
        <w:t>La demande d’autorisation d’appel de l’arrêt de la Cour d’appel de la Colombie-Britannique (Vancouver), numéros CA46711, CA46688, CA47643, CA47644, 2023 BCCA 290, daté du 17 juillet 2023, est rejetée avec dépens.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4"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rPr>
          <w:sz w:val="22"/>
        </w:rPr>
      </w:pPr>
      <w:r w:rsidRPr="00AF481B">
        <w:rPr>
          <w:i/>
          <w:sz w:val="22"/>
        </w:rPr>
        <w:t>Ousseynou Gueye c. Anna DiNino</w:t>
      </w:r>
      <w:r w:rsidRPr="00AF481B">
        <w:rPr>
          <w:sz w:val="22"/>
        </w:rPr>
        <w:t xml:space="preserve"> (Ont.) (Civile) (Autorisation) (</w:t>
      </w:r>
      <w:hyperlink r:id="rId33" w:history="1">
        <w:r w:rsidRPr="00AF481B">
          <w:rPr>
            <w:rStyle w:val="Hyperlink"/>
            <w:sz w:val="22"/>
          </w:rPr>
          <w:t>40938</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lang w:val="fr-CA"/>
        </w:rPr>
        <w:t>La requête en prorogation du délai de signification et de dépôt de la demande d’autorisation d’appel est accueillie. La demande d’autorisation d’appel de l’arrêt de la Cour d’appel de l’Ontario, numéros  C70320 et M54087, 2023 ONCA 342, daté du 11 mai 2023, est rejetée.</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5"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pPr>
        <w:rPr>
          <w:i/>
          <w:sz w:val="22"/>
        </w:rPr>
      </w:pPr>
      <w:r w:rsidRPr="00AF481B">
        <w:rPr>
          <w:i/>
          <w:sz w:val="22"/>
        </w:rPr>
        <w:br w:type="page"/>
      </w:r>
    </w:p>
    <w:p w:rsidR="004323F7" w:rsidRPr="00AF481B" w:rsidRDefault="004323F7" w:rsidP="004323F7">
      <w:pPr>
        <w:rPr>
          <w:sz w:val="22"/>
        </w:rPr>
      </w:pPr>
      <w:r w:rsidRPr="00AF481B">
        <w:rPr>
          <w:i/>
          <w:sz w:val="22"/>
        </w:rPr>
        <w:t>R. Maxine Collins c. Sa Majesté le Roi du chef de l’Ontario</w:t>
      </w:r>
      <w:r w:rsidRPr="00AF481B">
        <w:rPr>
          <w:sz w:val="22"/>
        </w:rPr>
        <w:t xml:space="preserve"> (Ont.) (Civile) (Autorisation) (</w:t>
      </w:r>
      <w:hyperlink r:id="rId34" w:history="1">
        <w:r w:rsidRPr="00AF481B">
          <w:rPr>
            <w:rStyle w:val="Hyperlink"/>
            <w:sz w:val="22"/>
          </w:rPr>
          <w:t>40994</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lang w:val="fr-CA"/>
        </w:rPr>
        <w:t xml:space="preserve">Conformément à la règle 6(1) des </w:t>
      </w:r>
      <w:r w:rsidRPr="00AF481B">
        <w:rPr>
          <w:i/>
          <w:sz w:val="20"/>
          <w:lang w:val="fr-CA"/>
        </w:rPr>
        <w:t>Règles de la Cour suprême du Canada</w:t>
      </w:r>
      <w:r w:rsidRPr="00AF481B">
        <w:rPr>
          <w:sz w:val="20"/>
          <w:lang w:val="fr-CA"/>
        </w:rPr>
        <w:t>, une prorogation du délai de dépôt des copies imprimées de la demande d’autorisation d’appel tel qu’exigé par la règle 19(5) est accordée à la demanderesse. La requête à la Registraire pour directives est rejetée. La demande d’autorisation d’appel de l’arrêt de la Cour d’appel de l’Ontario, numéro COA-23-CV-0394, 2023 ONCA 646, daté du 29 septembre 2023, est rejetée avec dépens.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6"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Floriano Sylvester Daponte c. Sa Majesté le Roi</w:t>
      </w:r>
      <w:r w:rsidRPr="00AF481B">
        <w:rPr>
          <w:sz w:val="22"/>
        </w:rPr>
        <w:t xml:space="preserve"> (Ont.) (Criminelle) (Autorisation) (</w:t>
      </w:r>
      <w:hyperlink r:id="rId35" w:history="1">
        <w:r w:rsidRPr="00AF481B">
          <w:rPr>
            <w:rStyle w:val="Hyperlink"/>
            <w:sz w:val="22"/>
          </w:rPr>
          <w:t>40971</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lang w:val="fr-CA"/>
        </w:rPr>
      </w:pPr>
      <w:r w:rsidRPr="00AF481B">
        <w:rPr>
          <w:sz w:val="20"/>
          <w:lang w:val="fr-CA"/>
        </w:rPr>
        <w:t>La requête en prorogation du délai de signification et de dépôt de la demande d’autorisation d’appel est accueillie. La demande d’autorisation d’appel de l’arrêt de la Cour d’appel de l’Ontario, numéro C68691, 2023 ONCA 572, daté du 13 avril 2023, est rejetée.</w:t>
      </w:r>
    </w:p>
    <w:p w:rsidR="004323F7" w:rsidRPr="00AF481B" w:rsidRDefault="004323F7" w:rsidP="004323F7">
      <w:pPr>
        <w:jc w:val="both"/>
        <w:rPr>
          <w:sz w:val="20"/>
          <w:lang w:val="fr-CA"/>
        </w:rPr>
      </w:pPr>
    </w:p>
    <w:p w:rsidR="004323F7" w:rsidRPr="00AF481B" w:rsidRDefault="004323F7" w:rsidP="004323F7">
      <w:pPr>
        <w:jc w:val="both"/>
        <w:rPr>
          <w:sz w:val="20"/>
          <w:lang w:val="fr-CA"/>
        </w:rPr>
      </w:pPr>
      <w:r w:rsidRPr="00AF481B">
        <w:rPr>
          <w:sz w:val="20"/>
          <w:lang w:val="fr-CA"/>
        </w:rPr>
        <w:t>Le juge Jamal n’a pas participé au jugement.</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7"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Loukia Georgiou c. Procureur général du Canada</w:t>
      </w:r>
      <w:r w:rsidRPr="00AF481B">
        <w:rPr>
          <w:sz w:val="22"/>
        </w:rPr>
        <w:t xml:space="preserve"> (Ont.) (Criminelle) (Autorisation) (</w:t>
      </w:r>
      <w:hyperlink r:id="rId36" w:history="1">
        <w:r w:rsidRPr="00AF481B">
          <w:rPr>
            <w:rStyle w:val="Hyperlink"/>
            <w:sz w:val="22"/>
          </w:rPr>
          <w:t>41057</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lang w:val="fr-CA"/>
        </w:rPr>
        <w:t>La requête en prorogation du délai de signification et de dépôt de la demande d’autorisation d’appel est accueillie. La demande d’autorisation d’appel de l’arrêt de la Cour d’appel de l’Ontario, numéro COA-23-OM-0016, 2023 ONCA 495, daté du 19 juillet 2023, est rejetée.</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8"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 xml:space="preserve">Lili Lorenzana-Bilodeau et Joanne Bilodeau c. Pierre-Antoine Rivard, Yolande Samson et Pierre Rivard </w:t>
      </w:r>
      <w:r w:rsidRPr="00AF481B">
        <w:rPr>
          <w:sz w:val="22"/>
        </w:rPr>
        <w:t>(Qc) (Civile) (Autorisation) (</w:t>
      </w:r>
      <w:hyperlink r:id="rId37" w:history="1">
        <w:r w:rsidRPr="00AF481B">
          <w:rPr>
            <w:rStyle w:val="Hyperlink"/>
            <w:sz w:val="22"/>
          </w:rPr>
          <w:t>40860</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 xml:space="preserve">La demande d’autorisation d’appel de l’arrêt de la Cour d’appel du Québec (Québec), numéro 200-09-010516-224, 2023 QCCA 689, daté du 29 mai 2023, </w:t>
      </w:r>
      <w:proofErr w:type="gramStart"/>
      <w:r w:rsidRPr="00AF481B">
        <w:rPr>
          <w:sz w:val="20"/>
        </w:rPr>
        <w:t>est</w:t>
      </w:r>
      <w:proofErr w:type="gramEnd"/>
      <w:r w:rsidRPr="00AF481B">
        <w:rPr>
          <w:sz w:val="20"/>
        </w:rPr>
        <w:t xml:space="preserve"> rejetée avec dépens.</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49"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 xml:space="preserve">Diane Lafond c. Me Samy Elnemr, en sa qualité de syndic adjoint du Barreau du Québec - et - Catherine Ouimet, en sa qualité de secrétaire du Conseil de discipline du Barreau du Québec et Tribunal des professions </w:t>
      </w:r>
      <w:r w:rsidRPr="00AF481B">
        <w:rPr>
          <w:sz w:val="22"/>
        </w:rPr>
        <w:t>(Qc) (Civile) (Autorisation) (</w:t>
      </w:r>
      <w:hyperlink r:id="rId38" w:history="1">
        <w:r w:rsidRPr="00AF481B">
          <w:rPr>
            <w:rStyle w:val="Hyperlink"/>
            <w:sz w:val="22"/>
          </w:rPr>
          <w:t>40953</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La demande d’autorisation d’appel de l’arrêt de la Cour d’appel du Québec (Montréal), numéro 500-09-030629-232, 2023 QCCA 1062, daté du 18 août 2023, est rejetée avec dépens en faveur de l’intimé.</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50"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Webber Academy Foundation c. Alberta Human Rights Commission (Director), Alberta Human Rights Commission (Tribunal), Sarmad Amir et Naman Siddique</w:t>
      </w:r>
      <w:r w:rsidRPr="00AF481B">
        <w:rPr>
          <w:sz w:val="22"/>
        </w:rPr>
        <w:t xml:space="preserve"> (Alb.) (Civile) (Autorisation) (</w:t>
      </w:r>
      <w:hyperlink r:id="rId39" w:history="1">
        <w:r w:rsidRPr="00AF481B">
          <w:rPr>
            <w:rStyle w:val="Hyperlink"/>
            <w:sz w:val="22"/>
          </w:rPr>
          <w:t>40907</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lang w:val="fr-CA"/>
        </w:rPr>
      </w:pPr>
      <w:r w:rsidRPr="00AF481B">
        <w:rPr>
          <w:sz w:val="20"/>
          <w:lang w:val="fr-CA"/>
        </w:rPr>
        <w:t>La demande d’autorisation d’appel de l’arrêt de la Cour d’appel de l’Alberta (Calgary), numéro 2101-0220AC, 2023 ABCA 194, daté du 19 juin 2023, est rejetée avec dépens en faveur de l’intimée, Alberta Human Rights Commission (Director).</w:t>
      </w:r>
    </w:p>
    <w:p w:rsidR="004323F7" w:rsidRPr="00AF481B" w:rsidRDefault="004323F7" w:rsidP="004323F7">
      <w:pPr>
        <w:jc w:val="both"/>
        <w:rPr>
          <w:sz w:val="20"/>
          <w:lang w:val="fr-CA"/>
        </w:rPr>
      </w:pPr>
    </w:p>
    <w:p w:rsidR="004323F7" w:rsidRPr="00AF481B" w:rsidRDefault="004323F7" w:rsidP="004323F7">
      <w:pPr>
        <w:ind w:left="357" w:hanging="357"/>
        <w:jc w:val="both"/>
        <w:rPr>
          <w:sz w:val="20"/>
        </w:rPr>
      </w:pPr>
      <w:r w:rsidRPr="00AF481B">
        <w:rPr>
          <w:sz w:val="20"/>
          <w:lang w:val="fr-CA"/>
        </w:rPr>
        <w:t>La juge Martin n’a pas participé au jugement.</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51"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Dominique Martineau c. Municipalité de Sainte-Christine D’Auvergne, Municipalité de Saint-Raymond de Portneuf, Société de l’assurance automobile du Québec, Tribunal administratif du Québec et Sûreté du Québec</w:t>
      </w:r>
      <w:r w:rsidRPr="00AF481B">
        <w:rPr>
          <w:sz w:val="22"/>
        </w:rPr>
        <w:t xml:space="preserve"> (Qc) (Civile) (Autorisation) (</w:t>
      </w:r>
      <w:hyperlink r:id="rId40" w:history="1">
        <w:r w:rsidRPr="00AF481B">
          <w:rPr>
            <w:rStyle w:val="Hyperlink"/>
            <w:sz w:val="22"/>
          </w:rPr>
          <w:t>40848</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rPr>
        <w:t xml:space="preserve">La requête en prorogation du délai de signification </w:t>
      </w:r>
      <w:proofErr w:type="gramStart"/>
      <w:r w:rsidRPr="00AF481B">
        <w:rPr>
          <w:sz w:val="20"/>
        </w:rPr>
        <w:t>et</w:t>
      </w:r>
      <w:proofErr w:type="gramEnd"/>
      <w:r w:rsidRPr="00AF481B">
        <w:rPr>
          <w:sz w:val="20"/>
        </w:rPr>
        <w:t xml:space="preserve"> de dépôt de la demande d’autorisation d’appel est accueillie. </w:t>
      </w:r>
      <w:r w:rsidRPr="00AF481B">
        <w:rPr>
          <w:color w:val="000000"/>
          <w:sz w:val="20"/>
        </w:rPr>
        <w:t xml:space="preserve">La requête en prorogation du délai de signification </w:t>
      </w:r>
      <w:proofErr w:type="gramStart"/>
      <w:r w:rsidRPr="00AF481B">
        <w:rPr>
          <w:color w:val="000000"/>
          <w:sz w:val="20"/>
        </w:rPr>
        <w:t>et</w:t>
      </w:r>
      <w:proofErr w:type="gramEnd"/>
      <w:r w:rsidRPr="00AF481B">
        <w:rPr>
          <w:color w:val="000000"/>
          <w:sz w:val="20"/>
        </w:rPr>
        <w:t xml:space="preserve"> de dépôt des répliques est accueillie.</w:t>
      </w:r>
      <w:r w:rsidRPr="00AF481B">
        <w:rPr>
          <w:sz w:val="20"/>
        </w:rPr>
        <w:t xml:space="preserve"> La demande d’autorisation d’appel de l’arrêt de la Cour d’appel du Québec (Québec), numéro 200-09-010563-226, 2023 QCCA 620, daté du 5 mai 2023, </w:t>
      </w:r>
      <w:proofErr w:type="gramStart"/>
      <w:r w:rsidRPr="00AF481B">
        <w:rPr>
          <w:sz w:val="20"/>
        </w:rPr>
        <w:t>est</w:t>
      </w:r>
      <w:proofErr w:type="gramEnd"/>
      <w:r w:rsidRPr="00AF481B">
        <w:rPr>
          <w:sz w:val="20"/>
        </w:rPr>
        <w:t xml:space="preserve"> rejetée.</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52"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Sean Morriss c. Sa Majesté le Roi du chef de la province de la Colombie-Britannique</w:t>
      </w:r>
      <w:r w:rsidRPr="00AF481B">
        <w:rPr>
          <w:sz w:val="22"/>
        </w:rPr>
        <w:t xml:space="preserve"> (C.-B.) (Civile) (Autorisation) (</w:t>
      </w:r>
      <w:hyperlink r:id="rId41" w:history="1">
        <w:r w:rsidRPr="00AF481B">
          <w:rPr>
            <w:rStyle w:val="Hyperlink"/>
            <w:sz w:val="22"/>
          </w:rPr>
          <w:t>41023</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lang w:val="fr-CA"/>
        </w:rPr>
        <w:t>La requête en prorogation du délai de signification et de dépôt de la demande d’autorisation d’appel est accueillie. La demande d’autorisation d’appel de l’arrêt de la Cour d’appel de la Colombie-Britannique (Vancouver), numéro CA47773, 2021 BCCA 451, daté du 26 novembre 2021, est rejetée.</w:t>
      </w:r>
    </w:p>
    <w:p w:rsidR="004323F7" w:rsidRPr="00AF481B" w:rsidRDefault="004323F7" w:rsidP="004323F7">
      <w:pPr>
        <w:ind w:left="357" w:hanging="357"/>
        <w:rPr>
          <w:sz w:val="20"/>
        </w:rPr>
      </w:pPr>
    </w:p>
    <w:p w:rsidR="004323F7" w:rsidRPr="00AF481B" w:rsidRDefault="00AF481B" w:rsidP="004323F7">
      <w:pPr>
        <w:rPr>
          <w:sz w:val="20"/>
        </w:rPr>
      </w:pPr>
      <w:r w:rsidRPr="00AF481B">
        <w:rPr>
          <w:sz w:val="20"/>
        </w:rPr>
        <w:pict>
          <v:rect id="_x0000_i1053" style="width:2in;height:1pt" o:hrpct="0" o:hralign="center" o:hrstd="t" o:hrnoshade="t" o:hr="t" fillcolor="black [3213]" stroked="f"/>
        </w:pict>
      </w:r>
    </w:p>
    <w:p w:rsidR="004323F7" w:rsidRPr="00AF481B" w:rsidRDefault="004323F7" w:rsidP="004323F7">
      <w:pPr>
        <w:ind w:left="357" w:hanging="357"/>
        <w:rPr>
          <w:sz w:val="20"/>
        </w:rPr>
      </w:pPr>
    </w:p>
    <w:p w:rsidR="004323F7" w:rsidRPr="00AF481B" w:rsidRDefault="004323F7" w:rsidP="004323F7">
      <w:pPr>
        <w:pStyle w:val="SCCLsocParty"/>
        <w:jc w:val="left"/>
        <w:rPr>
          <w:i/>
          <w:sz w:val="22"/>
        </w:rPr>
      </w:pPr>
      <w:r w:rsidRPr="00AF481B">
        <w:rPr>
          <w:i/>
          <w:sz w:val="22"/>
        </w:rPr>
        <w:t xml:space="preserve">Sean Morriss c. Sa Majesté le Roi </w:t>
      </w:r>
      <w:r w:rsidRPr="00AF481B">
        <w:rPr>
          <w:sz w:val="22"/>
        </w:rPr>
        <w:t>(Féd.) (Civile) (Autorisation) (</w:t>
      </w:r>
      <w:hyperlink r:id="rId42" w:history="1">
        <w:r w:rsidRPr="00AF481B">
          <w:rPr>
            <w:rStyle w:val="Hyperlink"/>
            <w:sz w:val="22"/>
          </w:rPr>
          <w:t>41024</w:t>
        </w:r>
      </w:hyperlink>
      <w:r w:rsidRPr="00AF481B">
        <w:rPr>
          <w:sz w:val="22"/>
        </w:rPr>
        <w:t>)</w:t>
      </w:r>
    </w:p>
    <w:p w:rsidR="004323F7" w:rsidRPr="00AF481B" w:rsidRDefault="004323F7" w:rsidP="004323F7">
      <w:pPr>
        <w:ind w:left="357" w:hanging="357"/>
        <w:rPr>
          <w:sz w:val="20"/>
        </w:rPr>
      </w:pPr>
    </w:p>
    <w:p w:rsidR="004323F7" w:rsidRPr="00AF481B" w:rsidRDefault="004323F7" w:rsidP="004323F7">
      <w:pPr>
        <w:jc w:val="both"/>
        <w:rPr>
          <w:sz w:val="20"/>
        </w:rPr>
      </w:pPr>
      <w:r w:rsidRPr="00AF481B">
        <w:rPr>
          <w:sz w:val="20"/>
          <w:lang w:val="fr-CA"/>
        </w:rPr>
        <w:t>La requête en prorogation du délai de signification et de dépôt de la demande d’autorisation d’appel est accueillie. La demande d’autorisation d’appel de l’arrêt de la Cour d’appel fédérale, numéro A-162-21, daté du 5 juillet 2022, est rejetée avec dépens.</w:t>
      </w:r>
    </w:p>
    <w:p w:rsidR="004B2E86" w:rsidRPr="00AF481B" w:rsidRDefault="004B2E86" w:rsidP="004B2E86">
      <w:pPr>
        <w:jc w:val="both"/>
        <w:rPr>
          <w:sz w:val="20"/>
          <w:szCs w:val="20"/>
          <w:lang w:val="fr-CA"/>
        </w:rPr>
      </w:pPr>
    </w:p>
    <w:p w:rsidR="00102792" w:rsidRPr="00AF481B" w:rsidRDefault="00AF481B" w:rsidP="004B2E86">
      <w:pPr>
        <w:jc w:val="both"/>
        <w:rPr>
          <w:sz w:val="20"/>
          <w:szCs w:val="20"/>
          <w:lang w:val="fr-CA"/>
        </w:rPr>
      </w:pPr>
      <w:r w:rsidRPr="00AF481B">
        <w:rPr>
          <w:sz w:val="20"/>
          <w:szCs w:val="20"/>
        </w:rPr>
        <w:pict>
          <v:rect id="_x0000_i1054" style="width:2in;height:1pt" o:hrpct="0" o:hralign="center" o:hrstd="t" o:hrnoshade="t" o:hr="t" fillcolor="black" stroked="f"/>
        </w:pict>
      </w:r>
    </w:p>
    <w:p w:rsidR="00E06F20" w:rsidRPr="00AF481B" w:rsidRDefault="00E06F20" w:rsidP="00102792">
      <w:pPr>
        <w:jc w:val="both"/>
        <w:rPr>
          <w:sz w:val="20"/>
          <w:lang w:val="fr-CA"/>
        </w:rPr>
      </w:pPr>
    </w:p>
    <w:p w:rsidR="004323F7" w:rsidRPr="00AF481B" w:rsidRDefault="004323F7" w:rsidP="00102792">
      <w:pPr>
        <w:jc w:val="both"/>
        <w:rPr>
          <w:sz w:val="20"/>
          <w:lang w:val="fr-CA"/>
        </w:rPr>
      </w:pPr>
    </w:p>
    <w:p w:rsidR="00890FEB" w:rsidRPr="00AF481B" w:rsidRDefault="00890FEB" w:rsidP="008D292F">
      <w:pPr>
        <w:rPr>
          <w:sz w:val="20"/>
          <w:szCs w:val="20"/>
          <w:lang w:val="fr-CA"/>
        </w:rPr>
      </w:pPr>
    </w:p>
    <w:p w:rsidR="00890FEB" w:rsidRPr="00AF481B" w:rsidRDefault="00890FEB" w:rsidP="008D292F">
      <w:pPr>
        <w:rPr>
          <w:b/>
          <w:sz w:val="20"/>
          <w:szCs w:val="20"/>
          <w:lang w:val="fr-CA"/>
        </w:rPr>
        <w:sectPr w:rsidR="00890FEB" w:rsidRPr="00AF481B" w:rsidSect="003266B8">
          <w:headerReference w:type="even" r:id="rId43"/>
          <w:headerReference w:type="default" r:id="rId44"/>
          <w:footerReference w:type="even" r:id="rId45"/>
          <w:footerReference w:type="default" r:id="rId46"/>
          <w:headerReference w:type="first" r:id="rId47"/>
          <w:footerReference w:type="first" r:id="rId48"/>
          <w:pgSz w:w="12240" w:h="15840"/>
          <w:pgMar w:top="720" w:right="965" w:bottom="1080" w:left="1656" w:header="720" w:footer="965" w:gutter="0"/>
          <w:pgNumType w:start="1"/>
          <w:cols w:space="720"/>
          <w:titlePg/>
          <w:docGrid w:linePitch="326"/>
        </w:sectPr>
      </w:pPr>
    </w:p>
    <w:p w:rsidR="00693C38" w:rsidRPr="00AF481B" w:rsidRDefault="00DD0BDC" w:rsidP="00567602">
      <w:pPr>
        <w:pStyle w:val="Header1StyleE"/>
        <w:pBdr>
          <w:bottom w:val="single" w:sz="12" w:space="1" w:color="auto"/>
        </w:pBdr>
        <w:rPr>
          <w:lang w:val="fr-CA"/>
        </w:rPr>
      </w:pPr>
      <w:bookmarkStart w:id="3" w:name="_Toc161904153"/>
      <w:r w:rsidRPr="00AF481B">
        <w:rPr>
          <w:lang w:val="fr-CA"/>
        </w:rPr>
        <w:t>Motions</w:t>
      </w:r>
      <w:r w:rsidR="00271E1E" w:rsidRPr="00AF481B">
        <w:rPr>
          <w:lang w:val="fr-CA"/>
        </w:rPr>
        <w:t xml:space="preserve"> / </w:t>
      </w:r>
      <w:r w:rsidR="00693C38" w:rsidRPr="00AF481B">
        <w:rPr>
          <w:lang w:val="fr-CA"/>
        </w:rPr>
        <w:br/>
      </w:r>
      <w:r w:rsidRPr="00AF481B">
        <w:rPr>
          <w:lang w:val="fr-CA"/>
        </w:rPr>
        <w:t>Requêtes</w:t>
      </w:r>
      <w:bookmarkEnd w:id="3"/>
    </w:p>
    <w:p w:rsidR="00890FEB" w:rsidRPr="00AF481B" w:rsidRDefault="00890FEB" w:rsidP="00890FEB">
      <w:pPr>
        <w:rPr>
          <w:sz w:val="20"/>
          <w:szCs w:val="20"/>
          <w:lang w:val="fr-CA"/>
        </w:rPr>
      </w:pPr>
    </w:p>
    <w:p w:rsidR="008859F1" w:rsidRPr="00AF481B" w:rsidRDefault="004474B1" w:rsidP="008859F1">
      <w:pPr>
        <w:rPr>
          <w:b/>
          <w:sz w:val="20"/>
          <w:szCs w:val="20"/>
          <w:lang w:val="fr-CA"/>
        </w:rPr>
      </w:pPr>
      <w:r w:rsidRPr="00AF481B">
        <w:rPr>
          <w:b/>
          <w:sz w:val="20"/>
          <w:szCs w:val="20"/>
          <w:lang w:val="fr-CA"/>
        </w:rPr>
        <w:t>MARCH</w:t>
      </w:r>
      <w:r w:rsidR="008859F1" w:rsidRPr="00AF481B">
        <w:rPr>
          <w:b/>
          <w:sz w:val="20"/>
          <w:szCs w:val="20"/>
          <w:lang w:val="fr-CA"/>
        </w:rPr>
        <w:t xml:space="preserve"> </w:t>
      </w:r>
      <w:r w:rsidR="002C13E1" w:rsidRPr="00AF481B">
        <w:rPr>
          <w:b/>
          <w:sz w:val="20"/>
          <w:szCs w:val="20"/>
          <w:lang w:val="fr-CA"/>
        </w:rPr>
        <w:t>2</w:t>
      </w:r>
      <w:r w:rsidRPr="00AF481B">
        <w:rPr>
          <w:b/>
          <w:sz w:val="20"/>
          <w:szCs w:val="20"/>
          <w:lang w:val="fr-CA"/>
        </w:rPr>
        <w:t>0</w:t>
      </w:r>
      <w:r w:rsidR="008859F1" w:rsidRPr="00AF481B">
        <w:rPr>
          <w:b/>
          <w:sz w:val="20"/>
          <w:szCs w:val="20"/>
          <w:lang w:val="fr-CA"/>
        </w:rPr>
        <w:t>, 20</w:t>
      </w:r>
      <w:r w:rsidR="005967EF" w:rsidRPr="00AF481B">
        <w:rPr>
          <w:b/>
          <w:sz w:val="20"/>
          <w:szCs w:val="20"/>
          <w:lang w:val="fr-CA"/>
        </w:rPr>
        <w:t>2</w:t>
      </w:r>
      <w:r w:rsidR="00345645" w:rsidRPr="00AF481B">
        <w:rPr>
          <w:b/>
          <w:sz w:val="20"/>
          <w:szCs w:val="20"/>
          <w:lang w:val="fr-CA"/>
        </w:rPr>
        <w:t>4</w:t>
      </w:r>
      <w:r w:rsidR="008859F1" w:rsidRPr="00AF481B">
        <w:rPr>
          <w:b/>
          <w:sz w:val="20"/>
          <w:szCs w:val="20"/>
          <w:lang w:val="fr-CA"/>
        </w:rPr>
        <w:t xml:space="preserve"> / LE </w:t>
      </w:r>
      <w:r w:rsidR="002C13E1" w:rsidRPr="00AF481B">
        <w:rPr>
          <w:b/>
          <w:sz w:val="20"/>
          <w:szCs w:val="20"/>
          <w:lang w:val="fr-CA"/>
        </w:rPr>
        <w:t>2</w:t>
      </w:r>
      <w:r w:rsidRPr="00AF481B">
        <w:rPr>
          <w:b/>
          <w:sz w:val="20"/>
          <w:szCs w:val="20"/>
          <w:lang w:val="fr-CA"/>
        </w:rPr>
        <w:t>0</w:t>
      </w:r>
      <w:r w:rsidR="008859F1" w:rsidRPr="00AF481B">
        <w:rPr>
          <w:b/>
          <w:sz w:val="20"/>
          <w:szCs w:val="20"/>
          <w:lang w:val="fr-CA"/>
        </w:rPr>
        <w:t xml:space="preserve"> </w:t>
      </w:r>
      <w:r w:rsidRPr="00AF481B">
        <w:rPr>
          <w:b/>
          <w:sz w:val="20"/>
          <w:szCs w:val="20"/>
          <w:lang w:val="fr-CA"/>
        </w:rPr>
        <w:t>MARS</w:t>
      </w:r>
      <w:r w:rsidR="008859F1" w:rsidRPr="00AF481B">
        <w:rPr>
          <w:b/>
          <w:sz w:val="20"/>
          <w:szCs w:val="20"/>
          <w:lang w:val="fr-CA"/>
        </w:rPr>
        <w:t xml:space="preserve"> 20</w:t>
      </w:r>
      <w:r w:rsidR="005967EF" w:rsidRPr="00AF481B">
        <w:rPr>
          <w:b/>
          <w:sz w:val="20"/>
          <w:szCs w:val="20"/>
          <w:lang w:val="fr-CA"/>
        </w:rPr>
        <w:t>2</w:t>
      </w:r>
      <w:r w:rsidR="00345645" w:rsidRPr="00AF481B">
        <w:rPr>
          <w:b/>
          <w:sz w:val="20"/>
          <w:szCs w:val="20"/>
          <w:lang w:val="fr-CA"/>
        </w:rPr>
        <w:t>4</w:t>
      </w:r>
    </w:p>
    <w:p w:rsidR="00102792" w:rsidRPr="00AF481B"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AF481B" w:rsidTr="00691D1D">
        <w:tc>
          <w:tcPr>
            <w:tcW w:w="4410" w:type="dxa"/>
            <w:tcBorders>
              <w:top w:val="nil"/>
              <w:left w:val="nil"/>
              <w:bottom w:val="nil"/>
              <w:right w:val="nil"/>
            </w:tcBorders>
          </w:tcPr>
          <w:p w:rsidR="00D93A6C" w:rsidRPr="00AF481B" w:rsidRDefault="00D93A6C" w:rsidP="004474B1">
            <w:pPr>
              <w:jc w:val="both"/>
              <w:rPr>
                <w:rFonts w:cs="Times New Roman"/>
                <w:b/>
                <w:bCs/>
                <w:sz w:val="20"/>
                <w:szCs w:val="20"/>
                <w:lang w:val="en-US"/>
              </w:rPr>
            </w:pPr>
            <w:r w:rsidRPr="00AF481B">
              <w:rPr>
                <w:rFonts w:eastAsia="Times New Roman" w:cs="Times New Roman"/>
                <w:b/>
                <w:sz w:val="20"/>
                <w:szCs w:val="20"/>
                <w:lang w:val="en-US" w:eastAsia="en-CA"/>
              </w:rPr>
              <w:t xml:space="preserve">Motion </w:t>
            </w:r>
            <w:r w:rsidR="004474B1" w:rsidRPr="00AF481B">
              <w:rPr>
                <w:rFonts w:eastAsia="Times New Roman" w:cs="Times New Roman"/>
                <w:b/>
                <w:sz w:val="20"/>
                <w:szCs w:val="20"/>
                <w:lang w:val="en-US" w:eastAsia="en-CA"/>
              </w:rPr>
              <w:t>for leave to intervene</w:t>
            </w:r>
          </w:p>
        </w:tc>
        <w:tc>
          <w:tcPr>
            <w:tcW w:w="810" w:type="dxa"/>
            <w:tcBorders>
              <w:top w:val="nil"/>
              <w:left w:val="nil"/>
              <w:bottom w:val="nil"/>
              <w:right w:val="nil"/>
            </w:tcBorders>
          </w:tcPr>
          <w:p w:rsidR="00D93A6C" w:rsidRPr="00AF481B"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AF481B" w:rsidRDefault="00D93A6C" w:rsidP="00691D1D">
            <w:pPr>
              <w:jc w:val="both"/>
              <w:rPr>
                <w:rFonts w:cs="Times New Roman"/>
                <w:b/>
                <w:bCs/>
                <w:sz w:val="20"/>
                <w:szCs w:val="20"/>
                <w:lang w:val="fr-CA"/>
              </w:rPr>
            </w:pPr>
            <w:r w:rsidRPr="00AF481B">
              <w:rPr>
                <w:rFonts w:eastAsia="Times New Roman" w:cs="Times New Roman"/>
                <w:b/>
                <w:sz w:val="20"/>
                <w:szCs w:val="20"/>
                <w:lang w:val="fr-CA" w:eastAsia="en-CA"/>
              </w:rPr>
              <w:t xml:space="preserve">Requête </w:t>
            </w:r>
            <w:r w:rsidR="004474B1" w:rsidRPr="00AF481B">
              <w:rPr>
                <w:rFonts w:eastAsia="Times New Roman" w:cs="Times New Roman"/>
                <w:b/>
                <w:sz w:val="20"/>
                <w:szCs w:val="20"/>
                <w:lang w:val="fr-CA" w:eastAsia="en-CA"/>
              </w:rPr>
              <w:t>en autorisation d’intervention</w:t>
            </w:r>
          </w:p>
        </w:tc>
      </w:tr>
    </w:tbl>
    <w:p w:rsidR="00D93A6C" w:rsidRPr="00AF481B" w:rsidRDefault="00D93A6C" w:rsidP="00102792">
      <w:pPr>
        <w:tabs>
          <w:tab w:val="left" w:pos="-1440"/>
          <w:tab w:val="left" w:pos="-720"/>
        </w:tabs>
        <w:jc w:val="both"/>
        <w:rPr>
          <w:rFonts w:eastAsia="Times New Roman" w:cs="Times New Roman"/>
          <w:sz w:val="20"/>
          <w:szCs w:val="20"/>
          <w:lang w:val="fr-CA" w:eastAsia="en-CA"/>
        </w:rPr>
      </w:pPr>
    </w:p>
    <w:p w:rsidR="00D93A6C" w:rsidRPr="00AF481B" w:rsidRDefault="00D93A6C" w:rsidP="00102792">
      <w:pPr>
        <w:tabs>
          <w:tab w:val="left" w:pos="-1440"/>
          <w:tab w:val="left" w:pos="-720"/>
        </w:tabs>
        <w:jc w:val="both"/>
        <w:rPr>
          <w:rFonts w:eastAsia="Times New Roman" w:cs="Times New Roman"/>
          <w:sz w:val="20"/>
          <w:szCs w:val="20"/>
          <w:lang w:val="fr-CA" w:eastAsia="en-CA"/>
        </w:rPr>
      </w:pPr>
    </w:p>
    <w:p w:rsidR="004474B1" w:rsidRPr="00AF481B" w:rsidRDefault="004474B1" w:rsidP="004474B1">
      <w:pPr>
        <w:widowControl w:val="0"/>
        <w:tabs>
          <w:tab w:val="left" w:pos="2160"/>
        </w:tabs>
        <w:jc w:val="both"/>
        <w:rPr>
          <w:i/>
          <w:sz w:val="20"/>
          <w:szCs w:val="20"/>
        </w:rPr>
      </w:pPr>
      <w:r w:rsidRPr="00AF481B">
        <w:rPr>
          <w:b/>
          <w:sz w:val="20"/>
          <w:szCs w:val="20"/>
        </w:rPr>
        <w:t>ROLAND NIKOLAUS AUER</w:t>
      </w:r>
      <w:r w:rsidRPr="00AF481B">
        <w:rPr>
          <w:i/>
          <w:sz w:val="20"/>
          <w:szCs w:val="20"/>
        </w:rPr>
        <w:t xml:space="preserve"> </w:t>
      </w:r>
      <w:r w:rsidRPr="00AF481B">
        <w:rPr>
          <w:b/>
          <w:sz w:val="20"/>
          <w:szCs w:val="20"/>
        </w:rPr>
        <w:t>v.</w:t>
      </w:r>
      <w:r w:rsidRPr="00AF481B">
        <w:rPr>
          <w:i/>
          <w:sz w:val="20"/>
          <w:szCs w:val="20"/>
        </w:rPr>
        <w:t xml:space="preserve"> </w:t>
      </w:r>
      <w:r w:rsidRPr="00AF481B">
        <w:rPr>
          <w:b/>
          <w:sz w:val="20"/>
          <w:szCs w:val="20"/>
        </w:rPr>
        <w:t>AYSEL IGOREVNA AUER AND ATTORNEY GENERAL OF CANADA</w:t>
      </w:r>
    </w:p>
    <w:p w:rsidR="004474B1" w:rsidRPr="00AF481B" w:rsidRDefault="004474B1" w:rsidP="004474B1">
      <w:pPr>
        <w:widowControl w:val="0"/>
        <w:tabs>
          <w:tab w:val="left" w:pos="2160"/>
        </w:tabs>
        <w:rPr>
          <w:sz w:val="20"/>
          <w:szCs w:val="20"/>
        </w:rPr>
      </w:pPr>
      <w:r w:rsidRPr="00AF481B">
        <w:rPr>
          <w:sz w:val="20"/>
          <w:szCs w:val="20"/>
        </w:rPr>
        <w:t>(Alta.) (40582)</w:t>
      </w:r>
    </w:p>
    <w:p w:rsidR="004474B1" w:rsidRPr="00AF481B" w:rsidRDefault="004474B1" w:rsidP="004474B1">
      <w:pPr>
        <w:widowControl w:val="0"/>
        <w:tabs>
          <w:tab w:val="left" w:pos="2160"/>
        </w:tabs>
        <w:rPr>
          <w:sz w:val="20"/>
          <w:szCs w:val="20"/>
        </w:rPr>
      </w:pPr>
    </w:p>
    <w:p w:rsidR="004474B1" w:rsidRPr="00AF481B" w:rsidRDefault="004474B1" w:rsidP="004474B1">
      <w:pPr>
        <w:widowControl w:val="0"/>
        <w:tabs>
          <w:tab w:val="left" w:pos="2160"/>
        </w:tabs>
        <w:rPr>
          <w:b/>
          <w:sz w:val="20"/>
          <w:szCs w:val="20"/>
        </w:rPr>
      </w:pPr>
      <w:r w:rsidRPr="00AF481B">
        <w:rPr>
          <w:b/>
          <w:sz w:val="20"/>
          <w:szCs w:val="20"/>
        </w:rPr>
        <w:t>-AND-</w:t>
      </w:r>
    </w:p>
    <w:p w:rsidR="004474B1" w:rsidRPr="00AF481B" w:rsidRDefault="004474B1" w:rsidP="004474B1">
      <w:pPr>
        <w:widowControl w:val="0"/>
        <w:tabs>
          <w:tab w:val="left" w:pos="2160"/>
        </w:tabs>
        <w:rPr>
          <w:sz w:val="20"/>
          <w:szCs w:val="20"/>
        </w:rPr>
      </w:pPr>
    </w:p>
    <w:p w:rsidR="004474B1" w:rsidRPr="00AF481B" w:rsidRDefault="004474B1" w:rsidP="004474B1">
      <w:pPr>
        <w:widowControl w:val="0"/>
        <w:tabs>
          <w:tab w:val="left" w:pos="2160"/>
        </w:tabs>
        <w:rPr>
          <w:b/>
          <w:sz w:val="20"/>
          <w:szCs w:val="20"/>
        </w:rPr>
      </w:pPr>
      <w:r w:rsidRPr="00AF481B">
        <w:rPr>
          <w:b/>
          <w:sz w:val="20"/>
          <w:szCs w:val="20"/>
        </w:rPr>
        <w:t>TRANSALTA</w:t>
      </w:r>
      <w:r w:rsidRPr="00AF481B">
        <w:rPr>
          <w:sz w:val="20"/>
          <w:szCs w:val="20"/>
        </w:rPr>
        <w:t xml:space="preserve"> </w:t>
      </w:r>
      <w:r w:rsidRPr="00AF481B">
        <w:rPr>
          <w:b/>
          <w:sz w:val="20"/>
          <w:szCs w:val="20"/>
        </w:rPr>
        <w:t>GENERATION PARTNERSHIP AND TRANSALTA GENERATION (KEEPHILLS 3) v. HIS MAJESTY THE KING IN RIGHT OF THE PROVINCE OF ALBERTA AND THE MINISTER OF MUNICIPAL AFFAIRS FOR THE PROVINCE OF ALBERTA</w:t>
      </w:r>
    </w:p>
    <w:p w:rsidR="004474B1" w:rsidRPr="00AF481B" w:rsidRDefault="004474B1" w:rsidP="004474B1">
      <w:pPr>
        <w:widowControl w:val="0"/>
        <w:tabs>
          <w:tab w:val="left" w:pos="2160"/>
        </w:tabs>
        <w:rPr>
          <w:sz w:val="20"/>
          <w:szCs w:val="20"/>
        </w:rPr>
      </w:pPr>
      <w:r w:rsidRPr="00AF481B">
        <w:rPr>
          <w:sz w:val="20"/>
          <w:szCs w:val="20"/>
        </w:rPr>
        <w:t xml:space="preserve">(Alta.) (40570) </w:t>
      </w:r>
    </w:p>
    <w:p w:rsidR="004474B1" w:rsidRPr="00AF481B" w:rsidRDefault="004474B1" w:rsidP="004474B1">
      <w:pPr>
        <w:rPr>
          <w:sz w:val="20"/>
          <w:szCs w:val="20"/>
        </w:rPr>
      </w:pPr>
    </w:p>
    <w:p w:rsidR="004474B1" w:rsidRPr="00AF481B" w:rsidRDefault="004474B1" w:rsidP="004474B1">
      <w:pPr>
        <w:jc w:val="both"/>
        <w:rPr>
          <w:sz w:val="20"/>
          <w:szCs w:val="20"/>
        </w:rPr>
      </w:pPr>
      <w:r w:rsidRPr="00AF481B">
        <w:rPr>
          <w:b/>
          <w:bCs/>
          <w:caps/>
          <w:sz w:val="20"/>
          <w:szCs w:val="20"/>
          <w:u w:val="single"/>
        </w:rPr>
        <w:t>MARTIN J.</w:t>
      </w:r>
      <w:r w:rsidRPr="00AF481B">
        <w:rPr>
          <w:b/>
          <w:bCs/>
          <w:sz w:val="20"/>
          <w:szCs w:val="20"/>
        </w:rPr>
        <w:t>:</w:t>
      </w:r>
    </w:p>
    <w:p w:rsidR="004474B1" w:rsidRPr="00AF481B" w:rsidRDefault="004474B1" w:rsidP="004474B1">
      <w:pPr>
        <w:jc w:val="both"/>
        <w:rPr>
          <w:sz w:val="20"/>
          <w:szCs w:val="20"/>
        </w:rPr>
      </w:pPr>
    </w:p>
    <w:p w:rsidR="004474B1" w:rsidRPr="00AF481B" w:rsidRDefault="004474B1" w:rsidP="004474B1">
      <w:pPr>
        <w:widowControl w:val="0"/>
        <w:tabs>
          <w:tab w:val="left" w:pos="529"/>
        </w:tabs>
        <w:jc w:val="both"/>
        <w:rPr>
          <w:sz w:val="20"/>
          <w:szCs w:val="20"/>
        </w:rPr>
      </w:pPr>
      <w:r w:rsidRPr="00AF481B">
        <w:rPr>
          <w:b/>
          <w:bCs/>
          <w:sz w:val="20"/>
          <w:szCs w:val="20"/>
        </w:rPr>
        <w:t xml:space="preserve">UPON APPLICATIONS </w:t>
      </w:r>
      <w:r w:rsidRPr="00AF481B">
        <w:rPr>
          <w:bCs/>
          <w:sz w:val="20"/>
          <w:szCs w:val="20"/>
        </w:rPr>
        <w:t xml:space="preserve">by the </w:t>
      </w:r>
      <w:r w:rsidRPr="00AF481B">
        <w:rPr>
          <w:sz w:val="20"/>
          <w:szCs w:val="20"/>
        </w:rPr>
        <w:t xml:space="preserve">Attorney General of Ontario; Attorney General of British Columbia; Attorney General of Quebec; Attorney General of Saskatchewan; Advocates for the Rule of Law; Canadian Association of Refugee Lawyers; Workers’ Compensation Board of British Columbia; Association québécoise des avocats et avocates en droit de l’immigration; Chicken Farmers of Canada, Egg Farmers of Canada, Turkey Farmers of Canada, and Canadian Hatching Egg Producers (jointly); The National Association of Pharmacy Regulatory Authorities; HIV &amp; AIDS Legal Clinic Ontario and Health Justice Program (jointly); and Trial Lawyers Association of British Columbia </w:t>
      </w:r>
      <w:r w:rsidRPr="00AF481B">
        <w:rPr>
          <w:bCs/>
          <w:sz w:val="20"/>
          <w:szCs w:val="20"/>
        </w:rPr>
        <w:t>f</w:t>
      </w:r>
      <w:r w:rsidRPr="00AF481B">
        <w:rPr>
          <w:sz w:val="20"/>
          <w:szCs w:val="20"/>
        </w:rPr>
        <w:t xml:space="preserve">or leave to intervene in the appeals </w:t>
      </w:r>
      <w:r w:rsidRPr="00AF481B">
        <w:rPr>
          <w:i/>
          <w:sz w:val="20"/>
          <w:szCs w:val="20"/>
        </w:rPr>
        <w:t xml:space="preserve">Roland Nikolaus Auer v. Aysel Igorevna Auer et al. </w:t>
      </w:r>
      <w:r w:rsidRPr="00AF481B">
        <w:rPr>
          <w:sz w:val="20"/>
          <w:szCs w:val="20"/>
        </w:rPr>
        <w:t xml:space="preserve">(40582) and </w:t>
      </w:r>
      <w:r w:rsidRPr="00AF481B">
        <w:rPr>
          <w:i/>
          <w:sz w:val="20"/>
          <w:szCs w:val="20"/>
        </w:rPr>
        <w:t xml:space="preserve">TransAlta Generation Partnership et al. v. His Majesty </w:t>
      </w:r>
      <w:proofErr w:type="gramStart"/>
      <w:r w:rsidRPr="00AF481B">
        <w:rPr>
          <w:i/>
          <w:sz w:val="20"/>
          <w:szCs w:val="20"/>
        </w:rPr>
        <w:t>The</w:t>
      </w:r>
      <w:proofErr w:type="gramEnd"/>
      <w:r w:rsidRPr="00AF481B">
        <w:rPr>
          <w:i/>
          <w:sz w:val="20"/>
          <w:szCs w:val="20"/>
        </w:rPr>
        <w:t xml:space="preserve"> King in Right of the Province of Alberta et al.</w:t>
      </w:r>
      <w:r w:rsidRPr="00AF481B">
        <w:rPr>
          <w:sz w:val="20"/>
          <w:szCs w:val="20"/>
        </w:rPr>
        <w:t xml:space="preserve"> (40570);</w:t>
      </w:r>
    </w:p>
    <w:p w:rsidR="004474B1" w:rsidRPr="00AF481B" w:rsidRDefault="004474B1" w:rsidP="004474B1">
      <w:pPr>
        <w:jc w:val="both"/>
        <w:rPr>
          <w:sz w:val="20"/>
          <w:szCs w:val="20"/>
        </w:rPr>
      </w:pPr>
    </w:p>
    <w:p w:rsidR="004474B1" w:rsidRPr="00AF481B" w:rsidRDefault="004474B1" w:rsidP="004474B1">
      <w:pPr>
        <w:jc w:val="both"/>
        <w:rPr>
          <w:bCs/>
          <w:sz w:val="20"/>
          <w:szCs w:val="20"/>
        </w:rPr>
      </w:pPr>
      <w:r w:rsidRPr="00AF481B">
        <w:rPr>
          <w:b/>
          <w:sz w:val="20"/>
          <w:szCs w:val="20"/>
        </w:rPr>
        <w:t xml:space="preserve">AND </w:t>
      </w:r>
      <w:r w:rsidRPr="00AF481B">
        <w:rPr>
          <w:b/>
          <w:bCs/>
          <w:sz w:val="20"/>
          <w:szCs w:val="20"/>
        </w:rPr>
        <w:t xml:space="preserve">UPON APPLICATIONS </w:t>
      </w:r>
      <w:r w:rsidRPr="00AF481B">
        <w:rPr>
          <w:sz w:val="20"/>
          <w:szCs w:val="20"/>
        </w:rPr>
        <w:t xml:space="preserve">by </w:t>
      </w:r>
      <w:bookmarkStart w:id="4" w:name="_Hlk161150294"/>
      <w:r w:rsidRPr="00AF481B">
        <w:rPr>
          <w:sz w:val="20"/>
          <w:szCs w:val="20"/>
        </w:rPr>
        <w:t>Ecojustice Canada Society, The City of Calgary, and Canadian Council for Refugees</w:t>
      </w:r>
      <w:bookmarkEnd w:id="4"/>
      <w:r w:rsidRPr="00AF481B">
        <w:rPr>
          <w:sz w:val="20"/>
          <w:szCs w:val="20"/>
        </w:rPr>
        <w:t xml:space="preserve"> </w:t>
      </w:r>
      <w:r w:rsidRPr="00AF481B">
        <w:rPr>
          <w:bCs/>
          <w:sz w:val="20"/>
          <w:szCs w:val="20"/>
        </w:rPr>
        <w:t xml:space="preserve">for leave to intervene in the appeal </w:t>
      </w:r>
      <w:r w:rsidRPr="00AF481B">
        <w:rPr>
          <w:i/>
          <w:sz w:val="20"/>
          <w:szCs w:val="20"/>
        </w:rPr>
        <w:t xml:space="preserve">Roland Nikolaus Auer v. Aysel Igorevna Auer et al. </w:t>
      </w:r>
      <w:r w:rsidRPr="00AF481B">
        <w:rPr>
          <w:sz w:val="20"/>
          <w:szCs w:val="20"/>
        </w:rPr>
        <w:t>(40582)</w:t>
      </w:r>
      <w:r w:rsidRPr="00AF481B">
        <w:rPr>
          <w:bCs/>
          <w:sz w:val="20"/>
          <w:szCs w:val="20"/>
        </w:rPr>
        <w:t>;</w:t>
      </w:r>
    </w:p>
    <w:p w:rsidR="004474B1" w:rsidRPr="00AF481B" w:rsidRDefault="004474B1" w:rsidP="004474B1">
      <w:pPr>
        <w:jc w:val="both"/>
        <w:rPr>
          <w:sz w:val="20"/>
          <w:szCs w:val="20"/>
        </w:rPr>
      </w:pPr>
    </w:p>
    <w:p w:rsidR="004474B1" w:rsidRPr="00AF481B" w:rsidRDefault="004474B1" w:rsidP="004474B1">
      <w:pPr>
        <w:jc w:val="both"/>
        <w:rPr>
          <w:sz w:val="20"/>
          <w:szCs w:val="20"/>
        </w:rPr>
      </w:pPr>
      <w:r w:rsidRPr="00AF481B">
        <w:rPr>
          <w:b/>
          <w:sz w:val="20"/>
          <w:szCs w:val="20"/>
        </w:rPr>
        <w:t>AND UPON REQUESTS</w:t>
      </w:r>
      <w:r w:rsidRPr="00AF481B">
        <w:rPr>
          <w:sz w:val="20"/>
          <w:szCs w:val="20"/>
        </w:rPr>
        <w:t xml:space="preserve"> by the appellant, Roland Nikolaus Auer (40582); the appellants TransAlta Generation Partnership and TransAlta Generation (Keephills 3)</w:t>
      </w:r>
      <w:r w:rsidRPr="00AF481B">
        <w:rPr>
          <w:i/>
          <w:sz w:val="20"/>
          <w:szCs w:val="20"/>
        </w:rPr>
        <w:t xml:space="preserve"> </w:t>
      </w:r>
      <w:r w:rsidRPr="00AF481B">
        <w:rPr>
          <w:sz w:val="20"/>
          <w:szCs w:val="20"/>
        </w:rPr>
        <w:t>(40570); and the respondents His Majesty The King in Right of the Province of Alberta and the Minister of Municipal Affairs for the Province of Alberta (40570) to serve and file a factum in reply to the interventions in their respective appeals;</w:t>
      </w:r>
    </w:p>
    <w:p w:rsidR="004474B1" w:rsidRPr="00AF481B" w:rsidRDefault="004474B1" w:rsidP="004474B1">
      <w:pPr>
        <w:jc w:val="both"/>
        <w:rPr>
          <w:bCs/>
          <w:sz w:val="20"/>
          <w:szCs w:val="20"/>
        </w:rPr>
      </w:pPr>
    </w:p>
    <w:p w:rsidR="004474B1" w:rsidRPr="00AF481B" w:rsidRDefault="004474B1" w:rsidP="004474B1">
      <w:pPr>
        <w:jc w:val="both"/>
        <w:rPr>
          <w:b/>
          <w:bCs/>
          <w:sz w:val="20"/>
          <w:szCs w:val="20"/>
        </w:rPr>
      </w:pPr>
      <w:r w:rsidRPr="00AF481B">
        <w:rPr>
          <w:b/>
          <w:bCs/>
          <w:sz w:val="20"/>
          <w:szCs w:val="20"/>
        </w:rPr>
        <w:t>AND HAVING REGARD TO</w:t>
      </w:r>
      <w:r w:rsidRPr="00AF481B">
        <w:rPr>
          <w:bCs/>
          <w:sz w:val="20"/>
          <w:szCs w:val="20"/>
        </w:rPr>
        <w:t xml:space="preserve"> </w:t>
      </w:r>
      <w:r w:rsidRPr="00AF481B">
        <w:rPr>
          <w:sz w:val="20"/>
          <w:szCs w:val="20"/>
        </w:rPr>
        <w:t>the Notice to the Profession of November 2021 concerning interventions;</w:t>
      </w:r>
    </w:p>
    <w:p w:rsidR="004474B1" w:rsidRPr="00AF481B" w:rsidRDefault="004474B1" w:rsidP="004474B1">
      <w:pPr>
        <w:jc w:val="both"/>
        <w:rPr>
          <w:bCs/>
          <w:sz w:val="20"/>
          <w:szCs w:val="20"/>
        </w:rPr>
      </w:pPr>
    </w:p>
    <w:p w:rsidR="004474B1" w:rsidRPr="00AF481B" w:rsidRDefault="004474B1" w:rsidP="004474B1">
      <w:pPr>
        <w:jc w:val="both"/>
        <w:rPr>
          <w:sz w:val="20"/>
          <w:szCs w:val="20"/>
        </w:rPr>
      </w:pPr>
      <w:r w:rsidRPr="00AF481B">
        <w:rPr>
          <w:b/>
          <w:bCs/>
          <w:sz w:val="20"/>
          <w:szCs w:val="20"/>
        </w:rPr>
        <w:t>AND THE MATERIAL FILED</w:t>
      </w:r>
      <w:r w:rsidRPr="00AF481B">
        <w:rPr>
          <w:sz w:val="20"/>
          <w:szCs w:val="20"/>
        </w:rPr>
        <w:t xml:space="preserve"> having been read;</w:t>
      </w:r>
    </w:p>
    <w:p w:rsidR="004474B1" w:rsidRPr="00AF481B" w:rsidRDefault="004474B1" w:rsidP="004474B1">
      <w:pPr>
        <w:jc w:val="both"/>
        <w:rPr>
          <w:sz w:val="20"/>
          <w:szCs w:val="20"/>
        </w:rPr>
      </w:pPr>
    </w:p>
    <w:p w:rsidR="004474B1" w:rsidRPr="00AF481B" w:rsidRDefault="004474B1" w:rsidP="004474B1">
      <w:pPr>
        <w:jc w:val="both"/>
        <w:rPr>
          <w:b/>
          <w:bCs/>
          <w:sz w:val="20"/>
          <w:szCs w:val="20"/>
        </w:rPr>
      </w:pPr>
      <w:r w:rsidRPr="00AF481B">
        <w:rPr>
          <w:b/>
          <w:bCs/>
          <w:sz w:val="20"/>
          <w:szCs w:val="20"/>
        </w:rPr>
        <w:t>IT IS HEREBY ORDERED THAT:</w:t>
      </w:r>
    </w:p>
    <w:p w:rsidR="004474B1" w:rsidRPr="00AF481B" w:rsidRDefault="004474B1" w:rsidP="004474B1">
      <w:pPr>
        <w:jc w:val="both"/>
        <w:rPr>
          <w:sz w:val="20"/>
          <w:szCs w:val="20"/>
        </w:rPr>
      </w:pPr>
    </w:p>
    <w:p w:rsidR="004474B1" w:rsidRPr="00AF481B" w:rsidRDefault="004474B1" w:rsidP="004474B1">
      <w:pPr>
        <w:jc w:val="both"/>
        <w:rPr>
          <w:sz w:val="20"/>
          <w:szCs w:val="20"/>
        </w:rPr>
      </w:pPr>
      <w:r w:rsidRPr="00AF481B">
        <w:rPr>
          <w:sz w:val="20"/>
          <w:szCs w:val="20"/>
        </w:rPr>
        <w:t xml:space="preserve">The motion for leave to intervene by the Association québécoise des avocats </w:t>
      </w:r>
      <w:proofErr w:type="gramStart"/>
      <w:r w:rsidRPr="00AF481B">
        <w:rPr>
          <w:sz w:val="20"/>
          <w:szCs w:val="20"/>
        </w:rPr>
        <w:t>et</w:t>
      </w:r>
      <w:proofErr w:type="gramEnd"/>
      <w:r w:rsidRPr="00AF481B">
        <w:rPr>
          <w:sz w:val="20"/>
          <w:szCs w:val="20"/>
        </w:rPr>
        <w:t xml:space="preserve"> avocates en droit de l’immigration is dismissed;</w:t>
      </w:r>
    </w:p>
    <w:p w:rsidR="004474B1" w:rsidRPr="00AF481B" w:rsidRDefault="004474B1" w:rsidP="004474B1">
      <w:pPr>
        <w:spacing w:line="0" w:lineRule="atLeast"/>
        <w:jc w:val="both"/>
        <w:rPr>
          <w:sz w:val="20"/>
          <w:szCs w:val="20"/>
        </w:rPr>
      </w:pPr>
    </w:p>
    <w:p w:rsidR="004474B1" w:rsidRPr="00AF481B" w:rsidRDefault="004474B1" w:rsidP="004474B1">
      <w:pPr>
        <w:spacing w:line="0" w:lineRule="atLeast"/>
        <w:jc w:val="both"/>
        <w:rPr>
          <w:sz w:val="20"/>
          <w:szCs w:val="20"/>
        </w:rPr>
      </w:pPr>
      <w:r w:rsidRPr="00AF481B">
        <w:rPr>
          <w:sz w:val="20"/>
          <w:szCs w:val="20"/>
        </w:rPr>
        <w:t xml:space="preserve">The motions for leave to intervene by Attorney General of Ontario; Attorney General of British Columbia; Attorney General of Quebec; Attorney General of Saskatchewan; Advocates for the Rule of Law; Canadian Association of Refugee Lawyers; Workers’ Compensation Board of British Columbia; Chicken Farmers of Canada, Egg Farmers of Canada, Turkey Farmers of Canada, and Canadian Hatching Egg Producers (jointly); The National Association of Pharmacy Regulatory Authorities; HIV &amp; AIDS Legal Clinic Ontario and Health Justice Program (jointly); and Trial Lawyers Association of British Columbia are granted and the said interveners or groups of interveners shall be entitled to each serve and file a single factum common to both appeals not to exceed ten (10) pages in length on or before the </w:t>
      </w:r>
      <w:r w:rsidRPr="00AF481B">
        <w:rPr>
          <w:b/>
          <w:i/>
          <w:sz w:val="20"/>
          <w:szCs w:val="20"/>
          <w:u w:val="single"/>
        </w:rPr>
        <w:t>amended date</w:t>
      </w:r>
      <w:r w:rsidRPr="00AF481B">
        <w:rPr>
          <w:sz w:val="20"/>
          <w:szCs w:val="20"/>
        </w:rPr>
        <w:t xml:space="preserve"> April 8, 2024. </w:t>
      </w:r>
    </w:p>
    <w:p w:rsidR="004474B1" w:rsidRPr="00AF481B" w:rsidRDefault="004474B1" w:rsidP="004474B1">
      <w:pPr>
        <w:spacing w:line="0" w:lineRule="atLeast"/>
        <w:jc w:val="both"/>
        <w:rPr>
          <w:sz w:val="20"/>
          <w:szCs w:val="20"/>
        </w:rPr>
      </w:pPr>
    </w:p>
    <w:p w:rsidR="003266B8" w:rsidRPr="00AF481B" w:rsidRDefault="003266B8">
      <w:pPr>
        <w:rPr>
          <w:sz w:val="20"/>
          <w:szCs w:val="20"/>
        </w:rPr>
      </w:pPr>
      <w:r w:rsidRPr="00AF481B">
        <w:rPr>
          <w:sz w:val="20"/>
          <w:szCs w:val="20"/>
        </w:rPr>
        <w:br w:type="page"/>
      </w:r>
    </w:p>
    <w:p w:rsidR="004474B1" w:rsidRPr="00AF481B" w:rsidRDefault="004474B1" w:rsidP="004474B1">
      <w:pPr>
        <w:spacing w:line="0" w:lineRule="atLeast"/>
        <w:jc w:val="both"/>
        <w:rPr>
          <w:sz w:val="20"/>
          <w:szCs w:val="20"/>
        </w:rPr>
      </w:pPr>
      <w:r w:rsidRPr="00AF481B">
        <w:rPr>
          <w:sz w:val="20"/>
          <w:szCs w:val="20"/>
        </w:rPr>
        <w:t xml:space="preserve">The motions for leave to intervene of Ecojustice Canada Society; The City of Calgary; and Canadian Council for Refugees are granted and the said interveners shall be entitled to each serve and file a single factum not to exceed ten (10) pages in length on or before the </w:t>
      </w:r>
      <w:r w:rsidRPr="00AF481B">
        <w:rPr>
          <w:b/>
          <w:i/>
          <w:sz w:val="20"/>
          <w:szCs w:val="20"/>
          <w:u w:val="single"/>
        </w:rPr>
        <w:t>amended date</w:t>
      </w:r>
      <w:r w:rsidRPr="00AF481B">
        <w:rPr>
          <w:sz w:val="20"/>
          <w:szCs w:val="20"/>
        </w:rPr>
        <w:t xml:space="preserve">, April 8, 2024, in the appeal </w:t>
      </w:r>
      <w:r w:rsidRPr="00AF481B">
        <w:rPr>
          <w:i/>
          <w:sz w:val="20"/>
          <w:szCs w:val="20"/>
        </w:rPr>
        <w:t>Roland Nikolaus Auer v. Aysel Igorevna Auer et al.</w:t>
      </w:r>
      <w:r w:rsidRPr="00AF481B">
        <w:rPr>
          <w:sz w:val="20"/>
          <w:szCs w:val="20"/>
        </w:rPr>
        <w:t xml:space="preserve"> (40582).</w:t>
      </w:r>
    </w:p>
    <w:p w:rsidR="004474B1" w:rsidRPr="00AF481B" w:rsidRDefault="004474B1" w:rsidP="004474B1">
      <w:pPr>
        <w:jc w:val="both"/>
        <w:rPr>
          <w:sz w:val="20"/>
          <w:szCs w:val="20"/>
        </w:rPr>
      </w:pPr>
    </w:p>
    <w:p w:rsidR="004474B1" w:rsidRPr="00AF481B" w:rsidRDefault="004474B1" w:rsidP="004474B1">
      <w:pPr>
        <w:jc w:val="both"/>
        <w:rPr>
          <w:sz w:val="20"/>
          <w:szCs w:val="20"/>
        </w:rPr>
      </w:pPr>
      <w:r w:rsidRPr="00AF481B">
        <w:rPr>
          <w:sz w:val="20"/>
          <w:szCs w:val="20"/>
        </w:rPr>
        <w:t>The said interveners</w:t>
      </w:r>
      <w:r w:rsidRPr="00AF481B">
        <w:rPr>
          <w:sz w:val="20"/>
          <w:szCs w:val="20"/>
          <w:lang w:eastAsia="fr-FR"/>
        </w:rPr>
        <w:t xml:space="preserve"> or groups of interveners  </w:t>
      </w:r>
      <w:r w:rsidRPr="00AF481B">
        <w:rPr>
          <w:sz w:val="20"/>
          <w:szCs w:val="20"/>
        </w:rPr>
        <w:t xml:space="preserve"> are each granted permission to present oral argument not exceeding five (5) minutes at the hearing of the appeals.</w:t>
      </w:r>
    </w:p>
    <w:p w:rsidR="004474B1" w:rsidRPr="00AF481B" w:rsidRDefault="004474B1" w:rsidP="004474B1">
      <w:pPr>
        <w:jc w:val="both"/>
        <w:rPr>
          <w:sz w:val="20"/>
          <w:szCs w:val="20"/>
        </w:rPr>
      </w:pPr>
    </w:p>
    <w:p w:rsidR="004474B1" w:rsidRPr="00AF481B" w:rsidRDefault="004474B1" w:rsidP="004474B1">
      <w:pPr>
        <w:spacing w:line="0" w:lineRule="atLeast"/>
        <w:jc w:val="both"/>
        <w:rPr>
          <w:sz w:val="20"/>
          <w:szCs w:val="20"/>
        </w:rPr>
      </w:pPr>
      <w:r w:rsidRPr="00AF481B">
        <w:rPr>
          <w:sz w:val="20"/>
          <w:szCs w:val="20"/>
        </w:rPr>
        <w:t xml:space="preserve">The appellant Roland Nikolaus Auer (40582) is granted permission to serve and file a single reply factum, not exceeding ten (10) pages, in response to all interveners or groups of interveners on or before the </w:t>
      </w:r>
      <w:r w:rsidRPr="00AF481B">
        <w:rPr>
          <w:b/>
          <w:i/>
          <w:sz w:val="20"/>
          <w:szCs w:val="20"/>
          <w:u w:val="single"/>
        </w:rPr>
        <w:t>amended date,</w:t>
      </w:r>
      <w:r w:rsidRPr="00AF481B">
        <w:rPr>
          <w:sz w:val="20"/>
          <w:szCs w:val="20"/>
        </w:rPr>
        <w:t xml:space="preserve"> April 10, 2024.</w:t>
      </w:r>
    </w:p>
    <w:p w:rsidR="004474B1" w:rsidRPr="00AF481B" w:rsidRDefault="004474B1" w:rsidP="004474B1">
      <w:pPr>
        <w:spacing w:line="0" w:lineRule="atLeast"/>
        <w:jc w:val="both"/>
        <w:rPr>
          <w:sz w:val="20"/>
          <w:szCs w:val="20"/>
        </w:rPr>
      </w:pPr>
    </w:p>
    <w:p w:rsidR="004474B1" w:rsidRPr="00AF481B" w:rsidRDefault="004474B1" w:rsidP="004474B1">
      <w:pPr>
        <w:spacing w:line="0" w:lineRule="atLeast"/>
        <w:jc w:val="both"/>
        <w:rPr>
          <w:sz w:val="20"/>
          <w:szCs w:val="20"/>
        </w:rPr>
      </w:pPr>
      <w:r w:rsidRPr="00AF481B">
        <w:rPr>
          <w:sz w:val="20"/>
          <w:szCs w:val="20"/>
        </w:rPr>
        <w:t xml:space="preserve">The appellants TransAlta Generation Partnership and TransAlta Generation (Keephills 3) (40570) jointly, and the respondents His Majesty The King in Right of the Province of Alberta and the Minister of Municipal Affairs for the Province of Alberta (40570) jointly, are granted permission to each serve and file a single reply factum, not exceeding  ten (10) pages, in response to interveners Attorney General of Ontario; Attorney General of British Columbia; Attorney General of Quebec; Attorney General of Saskatchewan; Advocates for the Rule of Law; Canadian Association of Refugee Lawyers; Workers’ Compensation Board of British Columbia; Chicken Farmers of Canada, Egg Farmers of Canada, Turkey Farmers of Canada, and Canadian Hatching Egg Producers (jointly); The National Association of Pharmacy Regulatory Authorities; HIV &amp; AIDS Legal Clinic Ontario and Health Justice Program (jointly); and Trial Lawyers Association of British Columbia on or before on or before the </w:t>
      </w:r>
      <w:r w:rsidRPr="00AF481B">
        <w:rPr>
          <w:b/>
          <w:i/>
          <w:sz w:val="20"/>
          <w:szCs w:val="20"/>
          <w:u w:val="single"/>
        </w:rPr>
        <w:t>amended date,</w:t>
      </w:r>
      <w:r w:rsidRPr="00AF481B">
        <w:rPr>
          <w:sz w:val="20"/>
          <w:szCs w:val="20"/>
        </w:rPr>
        <w:t xml:space="preserve"> April 10, 2024.</w:t>
      </w:r>
    </w:p>
    <w:p w:rsidR="004474B1" w:rsidRPr="00AF481B" w:rsidRDefault="004474B1" w:rsidP="004474B1">
      <w:pPr>
        <w:jc w:val="both"/>
        <w:rPr>
          <w:sz w:val="20"/>
          <w:szCs w:val="20"/>
        </w:rPr>
      </w:pPr>
    </w:p>
    <w:p w:rsidR="004474B1" w:rsidRPr="00AF481B" w:rsidRDefault="004474B1" w:rsidP="004474B1">
      <w:pPr>
        <w:jc w:val="both"/>
        <w:rPr>
          <w:b/>
          <w:sz w:val="20"/>
          <w:szCs w:val="20"/>
        </w:rPr>
      </w:pPr>
      <w:r w:rsidRPr="00AF481B">
        <w:rPr>
          <w:b/>
          <w:sz w:val="20"/>
          <w:szCs w:val="20"/>
          <w:lang w:val="fr-CA"/>
        </w:rPr>
        <w:fldChar w:fldCharType="begin"/>
      </w:r>
      <w:r w:rsidRPr="00AF481B">
        <w:rPr>
          <w:b/>
          <w:sz w:val="20"/>
          <w:szCs w:val="20"/>
        </w:rPr>
        <w:instrText xml:space="preserve"> SEQ CHAPTER \h \r 1</w:instrText>
      </w:r>
      <w:r w:rsidRPr="00AF481B">
        <w:rPr>
          <w:b/>
          <w:sz w:val="20"/>
          <w:szCs w:val="20"/>
          <w:lang w:val="fr-CA"/>
        </w:rPr>
        <w:fldChar w:fldCharType="end"/>
      </w:r>
      <w:r w:rsidRPr="00AF481B">
        <w:rPr>
          <w:b/>
          <w:sz w:val="20"/>
          <w:szCs w:val="20"/>
        </w:rPr>
        <w:t>The interveners or groups of interveners are not entitled to raise new issues or to adduce further evidence or otherwise to supplement the record of the parties.</w:t>
      </w:r>
    </w:p>
    <w:p w:rsidR="004474B1" w:rsidRPr="00AF481B" w:rsidRDefault="004474B1" w:rsidP="004474B1">
      <w:pPr>
        <w:jc w:val="both"/>
        <w:rPr>
          <w:sz w:val="20"/>
          <w:szCs w:val="20"/>
        </w:rPr>
      </w:pPr>
    </w:p>
    <w:p w:rsidR="004474B1" w:rsidRPr="00AF481B" w:rsidRDefault="004474B1" w:rsidP="004474B1">
      <w:pPr>
        <w:spacing w:line="0" w:lineRule="atLeast"/>
        <w:jc w:val="both"/>
        <w:rPr>
          <w:sz w:val="20"/>
          <w:szCs w:val="20"/>
        </w:rPr>
      </w:pPr>
      <w:r w:rsidRPr="00AF481B">
        <w:rPr>
          <w:sz w:val="20"/>
          <w:szCs w:val="20"/>
        </w:rPr>
        <w:t>Pursuant to Rule 59(1</w:t>
      </w:r>
      <w:proofErr w:type="gramStart"/>
      <w:r w:rsidRPr="00AF481B">
        <w:rPr>
          <w:sz w:val="20"/>
          <w:szCs w:val="20"/>
        </w:rPr>
        <w:t>)(</w:t>
      </w:r>
      <w:proofErr w:type="gramEnd"/>
      <w:r w:rsidRPr="00AF481B">
        <w:rPr>
          <w:i/>
          <w:iCs/>
          <w:sz w:val="20"/>
          <w:szCs w:val="20"/>
        </w:rPr>
        <w:t>a</w:t>
      </w:r>
      <w:r w:rsidRPr="00AF481B">
        <w:rPr>
          <w:sz w:val="20"/>
          <w:szCs w:val="20"/>
        </w:rPr>
        <w:t xml:space="preserve">) of the </w:t>
      </w:r>
      <w:r w:rsidRPr="00AF481B">
        <w:rPr>
          <w:i/>
          <w:iCs/>
          <w:sz w:val="20"/>
          <w:szCs w:val="20"/>
        </w:rPr>
        <w:t>Rules of the Supreme Court of Canada</w:t>
      </w:r>
      <w:r w:rsidRPr="00AF481B">
        <w:rPr>
          <w:sz w:val="20"/>
          <w:szCs w:val="20"/>
        </w:rPr>
        <w:t>, the interveners or groups of interveners shall pay to the appellants and the respondents any additional disbursements resulting from their interventions.</w:t>
      </w:r>
    </w:p>
    <w:p w:rsidR="00102792" w:rsidRPr="00AF481B" w:rsidRDefault="00102792" w:rsidP="00102792">
      <w:pPr>
        <w:spacing w:line="228" w:lineRule="auto"/>
        <w:rPr>
          <w:sz w:val="20"/>
          <w:szCs w:val="20"/>
        </w:rPr>
      </w:pPr>
    </w:p>
    <w:p w:rsidR="005967EF" w:rsidRPr="00AF481B" w:rsidRDefault="005967EF" w:rsidP="00102792">
      <w:pPr>
        <w:spacing w:line="228" w:lineRule="auto"/>
        <w:rPr>
          <w:sz w:val="20"/>
          <w:szCs w:val="20"/>
        </w:rPr>
      </w:pPr>
    </w:p>
    <w:p w:rsidR="003266B8" w:rsidRPr="00AF481B" w:rsidRDefault="003266B8" w:rsidP="003266B8">
      <w:pPr>
        <w:widowControl w:val="0"/>
        <w:tabs>
          <w:tab w:val="left" w:pos="529"/>
        </w:tabs>
        <w:jc w:val="both"/>
        <w:rPr>
          <w:sz w:val="20"/>
          <w:szCs w:val="20"/>
          <w:lang w:val="fr-CA"/>
        </w:rPr>
      </w:pPr>
      <w:r w:rsidRPr="00AF481B">
        <w:rPr>
          <w:b/>
          <w:bCs/>
          <w:sz w:val="20"/>
          <w:szCs w:val="20"/>
          <w:lang w:val="fr-CA"/>
        </w:rPr>
        <w:t xml:space="preserve">À LA SUITE DES DEMANDES </w:t>
      </w:r>
      <w:r w:rsidRPr="00AF481B">
        <w:rPr>
          <w:sz w:val="20"/>
          <w:szCs w:val="20"/>
          <w:lang w:val="fr-CA"/>
        </w:rPr>
        <w:t>présentées par</w:t>
      </w:r>
      <w:r w:rsidRPr="00AF481B">
        <w:rPr>
          <w:bCs/>
          <w:sz w:val="20"/>
          <w:szCs w:val="20"/>
          <w:lang w:val="fr-CA"/>
        </w:rPr>
        <w:t xml:space="preserve"> le Procureur général de l'Ontario; le procureur général de la Colombie-Britannique; le procureur général du Québec; le procureur général de la Saskatchewan; Advocates for the Rule of Law; Association canadienne des avocats et avocates en droit des réfugiés; Workers’ Compensation Board of British Columbia; Association québécoise des avocats et avocates en droit de l’immigration; Les Producteurs de poulet du Canada, Les Producteurs d’oeufs du Canada, Les Éleveurs de dindon du Canada et Les Producteurs d'oeufs d'incubation du Canada (conjointement); Association nationale des organismes de règlementation de la pharmacie, </w:t>
      </w:r>
      <w:r w:rsidRPr="00AF481B">
        <w:rPr>
          <w:sz w:val="20"/>
          <w:szCs w:val="20"/>
          <w:lang w:val="fr-CA"/>
        </w:rPr>
        <w:t>HIV &amp; AIDS Legal Clinic Ontario and Health Justice Program (conjointement); et Trial Lawyers Association of British Columbia</w:t>
      </w:r>
      <w:r w:rsidRPr="00AF481B">
        <w:rPr>
          <w:bCs/>
          <w:sz w:val="20"/>
          <w:szCs w:val="20"/>
          <w:lang w:val="fr-CA"/>
        </w:rPr>
        <w:t xml:space="preserve"> </w:t>
      </w:r>
      <w:r w:rsidRPr="00AF481B">
        <w:rPr>
          <w:sz w:val="20"/>
          <w:szCs w:val="20"/>
          <w:lang w:val="fr-CA"/>
        </w:rPr>
        <w:t xml:space="preserve">en vue d’obtenir la permission d’intervenir dans l’appel </w:t>
      </w:r>
      <w:r w:rsidRPr="00AF481B">
        <w:rPr>
          <w:i/>
          <w:sz w:val="20"/>
          <w:szCs w:val="20"/>
          <w:lang w:val="fr-CA"/>
        </w:rPr>
        <w:t xml:space="preserve">Roland Nikolaus Auer c. Aysel Igorevna Auer et al. </w:t>
      </w:r>
      <w:r w:rsidRPr="00AF481B">
        <w:rPr>
          <w:sz w:val="20"/>
          <w:szCs w:val="20"/>
          <w:lang w:val="fr-CA"/>
        </w:rPr>
        <w:t xml:space="preserve">(40582) and </w:t>
      </w:r>
      <w:r w:rsidRPr="00AF481B">
        <w:rPr>
          <w:i/>
          <w:sz w:val="20"/>
          <w:szCs w:val="20"/>
          <w:lang w:val="fr-CA"/>
        </w:rPr>
        <w:t>TransAlta Generation Partnership et al. c. Sa Majesté le Roi du chef de la province d’Alberta et al.</w:t>
      </w:r>
      <w:r w:rsidRPr="00AF481B">
        <w:rPr>
          <w:sz w:val="20"/>
          <w:szCs w:val="20"/>
          <w:lang w:val="fr-CA"/>
        </w:rPr>
        <w:t xml:space="preserve"> (40570);</w:t>
      </w:r>
    </w:p>
    <w:p w:rsidR="003266B8" w:rsidRPr="00AF481B" w:rsidRDefault="003266B8" w:rsidP="003266B8">
      <w:pPr>
        <w:jc w:val="both"/>
        <w:rPr>
          <w:sz w:val="20"/>
          <w:szCs w:val="20"/>
          <w:lang w:val="fr-CA"/>
        </w:rPr>
      </w:pPr>
    </w:p>
    <w:p w:rsidR="003266B8" w:rsidRPr="00AF481B" w:rsidRDefault="003266B8" w:rsidP="003266B8">
      <w:pPr>
        <w:jc w:val="both"/>
        <w:rPr>
          <w:bCs/>
          <w:sz w:val="20"/>
          <w:szCs w:val="20"/>
          <w:lang w:val="fr-CA"/>
        </w:rPr>
      </w:pPr>
      <w:r w:rsidRPr="00AF481B">
        <w:rPr>
          <w:b/>
          <w:bCs/>
          <w:sz w:val="20"/>
          <w:szCs w:val="20"/>
          <w:lang w:val="fr-CA"/>
        </w:rPr>
        <w:t xml:space="preserve">ET À LA SUITE DE LA DEMANDE </w:t>
      </w:r>
      <w:r w:rsidRPr="00AF481B">
        <w:rPr>
          <w:sz w:val="20"/>
          <w:szCs w:val="20"/>
          <w:lang w:val="fr-CA"/>
        </w:rPr>
        <w:t xml:space="preserve">présentée par Ecojustice Canada Society, The City of Calgary et Conseil canadien pour les réfugiés en vue d’obtenir la permission d’intervenir dans l’appel </w:t>
      </w:r>
      <w:r w:rsidRPr="00AF481B">
        <w:rPr>
          <w:i/>
          <w:sz w:val="20"/>
          <w:szCs w:val="20"/>
          <w:lang w:val="fr-CA"/>
        </w:rPr>
        <w:t xml:space="preserve">Roland Nikolaus Auer c. Aysel Igorevna Auer et al. </w:t>
      </w:r>
      <w:r w:rsidRPr="00AF481B">
        <w:rPr>
          <w:sz w:val="20"/>
          <w:szCs w:val="20"/>
          <w:lang w:val="fr-CA"/>
        </w:rPr>
        <w:t>(40582)</w:t>
      </w:r>
      <w:r w:rsidRPr="00AF481B">
        <w:rPr>
          <w:bCs/>
          <w:sz w:val="20"/>
          <w:szCs w:val="20"/>
          <w:lang w:val="fr-CA"/>
        </w:rPr>
        <w:t>;</w:t>
      </w:r>
    </w:p>
    <w:p w:rsidR="003266B8" w:rsidRPr="00AF481B" w:rsidRDefault="003266B8" w:rsidP="003266B8">
      <w:pPr>
        <w:jc w:val="both"/>
        <w:rPr>
          <w:sz w:val="20"/>
          <w:szCs w:val="20"/>
          <w:lang w:val="fr-CA"/>
        </w:rPr>
      </w:pPr>
    </w:p>
    <w:p w:rsidR="003266B8" w:rsidRPr="00AF481B" w:rsidRDefault="003266B8" w:rsidP="003266B8">
      <w:pPr>
        <w:jc w:val="both"/>
        <w:rPr>
          <w:bCs/>
          <w:sz w:val="20"/>
          <w:szCs w:val="20"/>
          <w:lang w:val="fr-CA"/>
        </w:rPr>
      </w:pPr>
      <w:r w:rsidRPr="00AF481B">
        <w:rPr>
          <w:b/>
          <w:bCs/>
          <w:sz w:val="20"/>
          <w:szCs w:val="20"/>
          <w:lang w:val="fr-CA"/>
        </w:rPr>
        <w:t xml:space="preserve">ET SUR LES DEMANDES </w:t>
      </w:r>
      <w:r w:rsidRPr="00AF481B">
        <w:rPr>
          <w:bCs/>
          <w:sz w:val="20"/>
          <w:szCs w:val="20"/>
          <w:lang w:val="fr-CA"/>
        </w:rPr>
        <w:t>de l’appelant Roland Nikolaus Auer (40582); des appelants TransAlta Generation Partnership et TransAlta Generation (Keephills 3) (40570) et des intimés Sa Majesté le roi du chef de la province de l'Alberta et le ministre des Affaires municipales de la province de l’Alberta (40570) de signifier et de déposer un mémoire en réponse aux interventions dans leurs appels respectifs;</w:t>
      </w:r>
    </w:p>
    <w:p w:rsidR="003266B8" w:rsidRPr="00AF481B" w:rsidRDefault="003266B8" w:rsidP="003266B8">
      <w:pPr>
        <w:rPr>
          <w:bCs/>
          <w:sz w:val="20"/>
          <w:szCs w:val="20"/>
          <w:lang w:val="fr-CA"/>
        </w:rPr>
      </w:pPr>
    </w:p>
    <w:p w:rsidR="003266B8" w:rsidRPr="00AF481B" w:rsidRDefault="003266B8" w:rsidP="003266B8">
      <w:pPr>
        <w:jc w:val="both"/>
        <w:rPr>
          <w:bCs/>
          <w:sz w:val="20"/>
          <w:szCs w:val="20"/>
          <w:lang w:val="fr-CA"/>
        </w:rPr>
      </w:pPr>
      <w:r w:rsidRPr="00AF481B">
        <w:rPr>
          <w:b/>
          <w:bCs/>
          <w:sz w:val="20"/>
          <w:szCs w:val="20"/>
          <w:lang w:val="fr-CA"/>
        </w:rPr>
        <w:t>ET CONSIDÉRANT</w:t>
      </w:r>
      <w:r w:rsidRPr="00AF481B">
        <w:rPr>
          <w:bCs/>
          <w:sz w:val="20"/>
          <w:szCs w:val="20"/>
          <w:lang w:val="fr-CA"/>
        </w:rPr>
        <w:t xml:space="preserve"> l’Avis à la profession de novembre 2021 concernant les interventions;</w:t>
      </w:r>
    </w:p>
    <w:p w:rsidR="003266B8" w:rsidRPr="00AF481B" w:rsidRDefault="003266B8" w:rsidP="003266B8">
      <w:pPr>
        <w:jc w:val="both"/>
        <w:rPr>
          <w:bCs/>
          <w:sz w:val="20"/>
          <w:szCs w:val="20"/>
          <w:lang w:val="fr-CA"/>
        </w:rPr>
      </w:pPr>
    </w:p>
    <w:p w:rsidR="003266B8" w:rsidRPr="00AF481B" w:rsidRDefault="003266B8" w:rsidP="003266B8">
      <w:pPr>
        <w:jc w:val="both"/>
        <w:rPr>
          <w:sz w:val="20"/>
          <w:szCs w:val="20"/>
          <w:lang w:val="fr-CA"/>
        </w:rPr>
      </w:pPr>
      <w:r w:rsidRPr="00AF481B">
        <w:rPr>
          <w:b/>
          <w:bCs/>
          <w:sz w:val="20"/>
          <w:szCs w:val="20"/>
          <w:lang w:val="fr-CA"/>
        </w:rPr>
        <w:t xml:space="preserve">ET APRÈS EXAMEN </w:t>
      </w:r>
      <w:r w:rsidRPr="00AF481B">
        <w:rPr>
          <w:bCs/>
          <w:sz w:val="20"/>
          <w:szCs w:val="20"/>
          <w:lang w:val="fr-CA"/>
        </w:rPr>
        <w:t>des documents déposés</w:t>
      </w:r>
      <w:r w:rsidRPr="00AF481B">
        <w:rPr>
          <w:sz w:val="20"/>
          <w:szCs w:val="20"/>
          <w:lang w:val="fr-CA"/>
        </w:rPr>
        <w:t>;</w:t>
      </w:r>
    </w:p>
    <w:p w:rsidR="003266B8" w:rsidRPr="00AF481B" w:rsidRDefault="003266B8" w:rsidP="003266B8">
      <w:pPr>
        <w:tabs>
          <w:tab w:val="left" w:pos="-1440"/>
        </w:tabs>
        <w:jc w:val="both"/>
        <w:rPr>
          <w:sz w:val="20"/>
          <w:szCs w:val="20"/>
          <w:lang w:val="fr-CA"/>
        </w:rPr>
      </w:pPr>
    </w:p>
    <w:p w:rsidR="003266B8" w:rsidRPr="00AF481B" w:rsidRDefault="003266B8" w:rsidP="003266B8">
      <w:pPr>
        <w:tabs>
          <w:tab w:val="left" w:pos="-1440"/>
        </w:tabs>
        <w:ind w:left="720" w:hanging="720"/>
        <w:jc w:val="both"/>
        <w:rPr>
          <w:b/>
          <w:sz w:val="20"/>
          <w:szCs w:val="20"/>
          <w:lang w:val="fr-CA"/>
        </w:rPr>
      </w:pPr>
      <w:r w:rsidRPr="00AF481B">
        <w:rPr>
          <w:b/>
          <w:sz w:val="20"/>
          <w:szCs w:val="20"/>
          <w:lang w:val="fr-CA"/>
        </w:rPr>
        <w:t xml:space="preserve">IL EST ORDONNÉ CE QUI SUIT : </w:t>
      </w:r>
    </w:p>
    <w:p w:rsidR="003266B8" w:rsidRPr="00AF481B" w:rsidRDefault="003266B8" w:rsidP="003266B8">
      <w:pPr>
        <w:tabs>
          <w:tab w:val="left" w:pos="-1440"/>
        </w:tabs>
        <w:ind w:left="720" w:hanging="720"/>
        <w:jc w:val="both"/>
        <w:rPr>
          <w:sz w:val="20"/>
          <w:szCs w:val="20"/>
          <w:lang w:val="fr-CA"/>
        </w:rPr>
      </w:pPr>
    </w:p>
    <w:p w:rsidR="003266B8" w:rsidRPr="00AF481B" w:rsidRDefault="003266B8" w:rsidP="003266B8">
      <w:pPr>
        <w:jc w:val="both"/>
        <w:rPr>
          <w:sz w:val="20"/>
          <w:szCs w:val="20"/>
          <w:lang w:val="fr-CA"/>
        </w:rPr>
      </w:pPr>
      <w:r w:rsidRPr="00AF481B">
        <w:rPr>
          <w:sz w:val="20"/>
          <w:szCs w:val="20"/>
          <w:lang w:val="fr-CA"/>
        </w:rPr>
        <w:t xml:space="preserve">La </w:t>
      </w:r>
      <w:r w:rsidRPr="00AF481B">
        <w:rPr>
          <w:bCs/>
          <w:sz w:val="20"/>
          <w:szCs w:val="20"/>
          <w:lang w:val="fr-CA"/>
        </w:rPr>
        <w:t xml:space="preserve">requête en autorisation d’intervenir présentée par  </w:t>
      </w:r>
      <w:r w:rsidRPr="00AF481B">
        <w:rPr>
          <w:sz w:val="20"/>
          <w:szCs w:val="20"/>
          <w:lang w:val="fr-CA"/>
        </w:rPr>
        <w:t>l’Association québécoise des avocats et avocates en droit de l’immigration est rejetée;</w:t>
      </w:r>
    </w:p>
    <w:p w:rsidR="003266B8" w:rsidRPr="00AF481B" w:rsidRDefault="003266B8" w:rsidP="003266B8">
      <w:pPr>
        <w:jc w:val="both"/>
        <w:rPr>
          <w:bCs/>
          <w:sz w:val="20"/>
          <w:szCs w:val="20"/>
          <w:lang w:val="fr-CA"/>
        </w:rPr>
      </w:pPr>
    </w:p>
    <w:p w:rsidR="003266B8" w:rsidRPr="00AF481B" w:rsidRDefault="003266B8" w:rsidP="003266B8">
      <w:pPr>
        <w:jc w:val="both"/>
        <w:rPr>
          <w:bCs/>
          <w:sz w:val="20"/>
          <w:szCs w:val="20"/>
          <w:lang w:val="fr-CA"/>
        </w:rPr>
      </w:pPr>
      <w:r w:rsidRPr="00AF481B">
        <w:rPr>
          <w:bCs/>
          <w:sz w:val="20"/>
          <w:szCs w:val="20"/>
          <w:lang w:val="fr-CA"/>
        </w:rPr>
        <w:t xml:space="preserve">Les requêtes en intervention présentées par le procureur général de l’Ontario; le procureur général de la Colombie-Britannique; le procureur général du Québec; le procureur général de la Saskatchewan;, Advocates for the Rule of Law; l’Association canadienne des avocats spécialisés en droit des réfugiés; Workers' Compensation Board of British Columbia; Les Producteurs de poulet du Canada, Les Producteurs d'œufs du Canada, Les Éleveurs de dindon du Canada et Les Producteurs d'œufs d'incubation du Canada (conjointement); l’Association nationale des organismes de réglementation de la pharmacie; HIV &amp; AIDS Legal Clinic Ontario et Health Justice Program (conjointement) et Trial Lawyers Association of British Columbia sont accueillies et lesdits intervenants ou groupes d’intervenants ont chacun le droit de signifier et de déposer un seul mémoire commun aux deux appels ne dépassant pas dix (10) pages au plus tard à la </w:t>
      </w:r>
      <w:r w:rsidRPr="00AF481B">
        <w:rPr>
          <w:b/>
          <w:bCs/>
          <w:i/>
          <w:sz w:val="20"/>
          <w:szCs w:val="20"/>
          <w:u w:val="single"/>
          <w:lang w:val="fr-CA"/>
        </w:rPr>
        <w:t>date modifiée</w:t>
      </w:r>
      <w:r w:rsidRPr="00AF481B">
        <w:rPr>
          <w:bCs/>
          <w:sz w:val="20"/>
          <w:szCs w:val="20"/>
          <w:lang w:val="fr-CA"/>
        </w:rPr>
        <w:t xml:space="preserve"> le 8 avril 2024.</w:t>
      </w:r>
    </w:p>
    <w:p w:rsidR="003266B8" w:rsidRPr="00AF481B" w:rsidRDefault="003266B8" w:rsidP="003266B8">
      <w:pPr>
        <w:jc w:val="both"/>
        <w:rPr>
          <w:sz w:val="20"/>
          <w:szCs w:val="20"/>
          <w:lang w:val="fr-CA"/>
        </w:rPr>
      </w:pPr>
    </w:p>
    <w:p w:rsidR="003266B8" w:rsidRPr="00AF481B" w:rsidRDefault="003266B8" w:rsidP="003266B8">
      <w:pPr>
        <w:jc w:val="both"/>
        <w:rPr>
          <w:sz w:val="20"/>
          <w:szCs w:val="20"/>
          <w:lang w:val="fr-CA"/>
        </w:rPr>
      </w:pPr>
      <w:r w:rsidRPr="00AF481B">
        <w:rPr>
          <w:sz w:val="20"/>
          <w:szCs w:val="20"/>
          <w:lang w:val="fr-CA"/>
        </w:rPr>
        <w:t xml:space="preserve">Les requêtes en intervention </w:t>
      </w:r>
      <w:r w:rsidRPr="00AF481B">
        <w:rPr>
          <w:bCs/>
          <w:sz w:val="20"/>
          <w:szCs w:val="20"/>
          <w:lang w:val="fr-CA"/>
        </w:rPr>
        <w:t xml:space="preserve">présentées par </w:t>
      </w:r>
      <w:r w:rsidRPr="00AF481B">
        <w:rPr>
          <w:sz w:val="20"/>
          <w:szCs w:val="20"/>
          <w:lang w:val="fr-CA"/>
        </w:rPr>
        <w:t xml:space="preserve">Ecojustice Canada Society; The City of Calgary; et Conseil canadien pour les réfugiés sont accueillies et lesdits intervenants ont chacun le droit de signifier et de déposer un seul mémoire ne dépassant pas dix (10) pages au plus tard à la </w:t>
      </w:r>
      <w:r w:rsidRPr="00AF481B">
        <w:rPr>
          <w:b/>
          <w:i/>
          <w:sz w:val="20"/>
          <w:szCs w:val="20"/>
          <w:u w:val="single"/>
          <w:lang w:val="fr-CA"/>
        </w:rPr>
        <w:t>date modifiée</w:t>
      </w:r>
      <w:r w:rsidRPr="00AF481B">
        <w:rPr>
          <w:sz w:val="20"/>
          <w:szCs w:val="20"/>
          <w:lang w:val="fr-CA"/>
        </w:rPr>
        <w:t xml:space="preserve">, le 8 avril 2024, dans l'appel </w:t>
      </w:r>
      <w:r w:rsidRPr="00AF481B">
        <w:rPr>
          <w:i/>
          <w:sz w:val="20"/>
          <w:szCs w:val="20"/>
          <w:lang w:val="fr-CA"/>
        </w:rPr>
        <w:t>Roland Nikolaus Auer v. Aysel Igorevna Auer et al.</w:t>
      </w:r>
      <w:r w:rsidRPr="00AF481B">
        <w:rPr>
          <w:sz w:val="20"/>
          <w:szCs w:val="20"/>
          <w:lang w:val="fr-CA"/>
        </w:rPr>
        <w:t xml:space="preserve"> (40582).</w:t>
      </w:r>
    </w:p>
    <w:p w:rsidR="003266B8" w:rsidRPr="00AF481B" w:rsidRDefault="003266B8" w:rsidP="003266B8">
      <w:pPr>
        <w:jc w:val="both"/>
        <w:rPr>
          <w:sz w:val="20"/>
          <w:szCs w:val="20"/>
          <w:lang w:val="fr-CA"/>
        </w:rPr>
      </w:pPr>
    </w:p>
    <w:p w:rsidR="003266B8" w:rsidRPr="00AF481B" w:rsidRDefault="003266B8" w:rsidP="003266B8">
      <w:pPr>
        <w:tabs>
          <w:tab w:val="left" w:pos="-1440"/>
        </w:tabs>
        <w:ind w:left="22" w:hanging="22"/>
        <w:jc w:val="both"/>
        <w:rPr>
          <w:sz w:val="20"/>
          <w:szCs w:val="20"/>
          <w:lang w:val="fr-CA"/>
        </w:rPr>
      </w:pPr>
      <w:r w:rsidRPr="00AF481B">
        <w:rPr>
          <w:sz w:val="20"/>
          <w:szCs w:val="20"/>
          <w:lang w:val="fr-CA"/>
        </w:rPr>
        <w:t>Lesdits intervenants ou groupes d’intervenants sont chacun autorisés à présenter une plaidoirie orale d’au plus cinq (5) minutes lors de l’audition des appels.</w:t>
      </w:r>
    </w:p>
    <w:p w:rsidR="003266B8" w:rsidRPr="00AF481B" w:rsidRDefault="003266B8" w:rsidP="003266B8">
      <w:pPr>
        <w:jc w:val="both"/>
        <w:rPr>
          <w:sz w:val="20"/>
          <w:szCs w:val="20"/>
          <w:lang w:val="fr-CA"/>
        </w:rPr>
      </w:pPr>
    </w:p>
    <w:p w:rsidR="003266B8" w:rsidRPr="00AF481B" w:rsidRDefault="003266B8" w:rsidP="003266B8">
      <w:pPr>
        <w:jc w:val="both"/>
        <w:rPr>
          <w:sz w:val="20"/>
          <w:szCs w:val="20"/>
          <w:lang w:val="fr-CA"/>
        </w:rPr>
      </w:pPr>
      <w:r w:rsidRPr="00AF481B">
        <w:rPr>
          <w:sz w:val="20"/>
          <w:szCs w:val="20"/>
          <w:lang w:val="fr-CA"/>
        </w:rPr>
        <w:t xml:space="preserve">L’appelant Roland Nikolaus Auer (40582)  est autorisé à signifier et à déposer un seul mémoire en réplique, ne dépassant pas dix (10) pages, en réponse à tous les intervenants ou groupes d’intervenants au plus tard à la </w:t>
      </w:r>
      <w:r w:rsidRPr="00AF481B">
        <w:rPr>
          <w:b/>
          <w:i/>
          <w:sz w:val="20"/>
          <w:szCs w:val="20"/>
          <w:u w:val="single"/>
          <w:lang w:val="fr-CA"/>
        </w:rPr>
        <w:t>date modifiée</w:t>
      </w:r>
      <w:r w:rsidRPr="00AF481B">
        <w:rPr>
          <w:sz w:val="20"/>
          <w:szCs w:val="20"/>
          <w:lang w:val="fr-CA"/>
        </w:rPr>
        <w:t>, le 10 avril 2024.</w:t>
      </w:r>
    </w:p>
    <w:p w:rsidR="003266B8" w:rsidRPr="00AF481B" w:rsidRDefault="003266B8" w:rsidP="003266B8">
      <w:pPr>
        <w:jc w:val="both"/>
        <w:rPr>
          <w:sz w:val="20"/>
          <w:szCs w:val="20"/>
          <w:lang w:val="fr-CA"/>
        </w:rPr>
      </w:pPr>
    </w:p>
    <w:p w:rsidR="003266B8" w:rsidRPr="00AF481B" w:rsidRDefault="003266B8" w:rsidP="003266B8">
      <w:pPr>
        <w:jc w:val="both"/>
        <w:rPr>
          <w:sz w:val="20"/>
          <w:szCs w:val="20"/>
          <w:lang w:val="fr-CA"/>
        </w:rPr>
      </w:pPr>
      <w:r w:rsidRPr="00AF481B">
        <w:rPr>
          <w:sz w:val="20"/>
          <w:szCs w:val="20"/>
          <w:lang w:val="fr-CA"/>
        </w:rPr>
        <w:t>Les appelants TransAlta Generation Partnership et TransAlta Generation (Keephills 3) (40570) conjointement, et les intimés Sa Majesté le roi du chef de la province de l’Alberta et le ministre des Affaires municipales de la province de l’Alberta (40570) conjointement, sont chacun autorisés à signifier et à déposer un seul mémoire en réplique, ne dépassant pas dix (10) pages, en réponse aux intervenants</w:t>
      </w:r>
      <w:r w:rsidRPr="00AF481B">
        <w:rPr>
          <w:bCs/>
          <w:sz w:val="20"/>
          <w:szCs w:val="20"/>
          <w:lang w:val="fr-CA"/>
        </w:rPr>
        <w:t xml:space="preserve"> procureur général de l’Ontario; procureur général de la Colombie-Britannique; procureur général du Québec; procureur général de la Saskatchewan;  Advocates for the Rule of Law; l'Association canadienne des avocats spécialisés en droit des réfugiés; Workers' Compensation Board of British Columbia; Les Producteurs de poulet du Canada, Les Producteurs d'œufs du Canada, Les Éleveurs de dindon du Canada et Les Producteurs d'œufs d'incubation du Canada (conjointement); l’Association nationale des organismes de réglementation de la pharmacie; HIV &amp; AIDS Legal Clinic Ontario et Health Justice Program (conjointement) et Trial Lawyers Association of British Columbia </w:t>
      </w:r>
      <w:r w:rsidRPr="00AF481B">
        <w:rPr>
          <w:sz w:val="20"/>
          <w:szCs w:val="20"/>
          <w:lang w:val="fr-CA"/>
        </w:rPr>
        <w:t xml:space="preserve">au plus tard à la </w:t>
      </w:r>
      <w:r w:rsidRPr="00AF481B">
        <w:rPr>
          <w:b/>
          <w:i/>
          <w:sz w:val="20"/>
          <w:szCs w:val="20"/>
          <w:u w:val="single"/>
          <w:lang w:val="fr-CA"/>
        </w:rPr>
        <w:t>date modifiée</w:t>
      </w:r>
      <w:r w:rsidRPr="00AF481B">
        <w:rPr>
          <w:sz w:val="20"/>
          <w:szCs w:val="20"/>
          <w:lang w:val="fr-CA"/>
        </w:rPr>
        <w:t>, le 10 avril 2024.</w:t>
      </w:r>
    </w:p>
    <w:p w:rsidR="003266B8" w:rsidRPr="00AF481B" w:rsidRDefault="003266B8" w:rsidP="003266B8">
      <w:pPr>
        <w:jc w:val="both"/>
        <w:rPr>
          <w:sz w:val="20"/>
          <w:szCs w:val="20"/>
          <w:lang w:val="fr-CA"/>
        </w:rPr>
      </w:pPr>
    </w:p>
    <w:p w:rsidR="003266B8" w:rsidRPr="00AF481B" w:rsidRDefault="003266B8" w:rsidP="003266B8">
      <w:pPr>
        <w:jc w:val="both"/>
        <w:rPr>
          <w:b/>
          <w:sz w:val="20"/>
          <w:szCs w:val="20"/>
          <w:lang w:val="fr-CA"/>
        </w:rPr>
      </w:pPr>
      <w:r w:rsidRPr="00AF481B">
        <w:rPr>
          <w:b/>
          <w:sz w:val="20"/>
          <w:szCs w:val="20"/>
          <w:lang w:val="fr-CA"/>
        </w:rPr>
        <w:t xml:space="preserve">Les intervenants ou groupes d’intervenants n’ont pas le droit de soulever de nouvelles questions, de produire d’autres éléments de preuve ni de compléter de quelque autre façon le dossier des </w:t>
      </w:r>
      <w:r w:rsidRPr="00AF481B">
        <w:rPr>
          <w:b/>
          <w:sz w:val="20"/>
          <w:szCs w:val="20"/>
        </w:rPr>
        <w:fldChar w:fldCharType="begin"/>
      </w:r>
      <w:r w:rsidRPr="00AF481B">
        <w:rPr>
          <w:b/>
          <w:sz w:val="20"/>
          <w:szCs w:val="20"/>
          <w:lang w:val="fr-CA"/>
        </w:rPr>
        <w:instrText xml:space="preserve"> SEQ CHAPTER \h \r 1</w:instrText>
      </w:r>
      <w:r w:rsidRPr="00AF481B">
        <w:rPr>
          <w:b/>
          <w:sz w:val="20"/>
          <w:szCs w:val="20"/>
        </w:rPr>
        <w:fldChar w:fldCharType="end"/>
      </w:r>
      <w:r w:rsidRPr="00AF481B">
        <w:rPr>
          <w:b/>
          <w:sz w:val="20"/>
          <w:szCs w:val="20"/>
          <w:lang w:val="fr-CA"/>
        </w:rPr>
        <w:t>parties.</w:t>
      </w:r>
    </w:p>
    <w:p w:rsidR="003266B8" w:rsidRPr="00AF481B" w:rsidRDefault="003266B8" w:rsidP="003266B8">
      <w:pPr>
        <w:jc w:val="both"/>
        <w:rPr>
          <w:sz w:val="20"/>
          <w:szCs w:val="20"/>
          <w:lang w:val="fr-CA"/>
        </w:rPr>
      </w:pPr>
    </w:p>
    <w:p w:rsidR="003266B8" w:rsidRPr="00AF481B" w:rsidRDefault="003266B8" w:rsidP="003266B8">
      <w:pPr>
        <w:jc w:val="both"/>
        <w:rPr>
          <w:sz w:val="20"/>
          <w:szCs w:val="20"/>
          <w:lang w:val="fr-CA"/>
        </w:rPr>
      </w:pPr>
      <w:r w:rsidRPr="00AF481B">
        <w:rPr>
          <w:sz w:val="20"/>
          <w:szCs w:val="20"/>
          <w:lang w:val="fr-FR"/>
        </w:rPr>
        <w:t>Conformément à l’alinéa 59(1)</w:t>
      </w:r>
      <w:r w:rsidRPr="00AF481B">
        <w:rPr>
          <w:i/>
          <w:sz w:val="20"/>
          <w:szCs w:val="20"/>
          <w:lang w:val="fr-FR"/>
        </w:rPr>
        <w:t>a</w:t>
      </w:r>
      <w:r w:rsidRPr="00AF481B">
        <w:rPr>
          <w:sz w:val="20"/>
          <w:szCs w:val="20"/>
          <w:lang w:val="fr-FR"/>
        </w:rPr>
        <w:t xml:space="preserve">) des </w:t>
      </w:r>
      <w:r w:rsidRPr="00AF481B">
        <w:rPr>
          <w:i/>
          <w:sz w:val="20"/>
          <w:szCs w:val="20"/>
          <w:lang w:val="fr-FR"/>
        </w:rPr>
        <w:t>Règles de la Cour suprême du Canada</w:t>
      </w:r>
      <w:r w:rsidRPr="00AF481B">
        <w:rPr>
          <w:sz w:val="20"/>
          <w:szCs w:val="20"/>
          <w:lang w:val="fr-FR"/>
        </w:rPr>
        <w:t>, les intervenants ou groupes d’intervenants paieront aux appelants et aux l’intimés tous débours supplémentaires résultant de leurs interventions.</w:t>
      </w:r>
    </w:p>
    <w:p w:rsidR="00102792" w:rsidRPr="00AF481B" w:rsidRDefault="00102792" w:rsidP="00102792">
      <w:pPr>
        <w:spacing w:line="232" w:lineRule="auto"/>
        <w:rPr>
          <w:rFonts w:cs="Times New Roman"/>
          <w:sz w:val="20"/>
          <w:lang w:val="fr-CA"/>
        </w:rPr>
      </w:pPr>
    </w:p>
    <w:p w:rsidR="00102792" w:rsidRPr="00AF481B" w:rsidRDefault="00AF481B" w:rsidP="00102792">
      <w:pPr>
        <w:widowControl w:val="0"/>
        <w:rPr>
          <w:rFonts w:eastAsia="Times New Roman" w:cs="Times New Roman"/>
          <w:sz w:val="20"/>
          <w:szCs w:val="20"/>
          <w:lang w:val="fr-CA" w:eastAsia="en-CA"/>
        </w:rPr>
      </w:pPr>
      <w:r w:rsidRPr="00AF481B">
        <w:rPr>
          <w:rFonts w:eastAsia="Times New Roman" w:cs="Times New Roman"/>
          <w:sz w:val="20"/>
          <w:szCs w:val="20"/>
          <w:lang w:val="fr-CA" w:eastAsia="en-CA"/>
        </w:rPr>
        <w:pict>
          <v:rect id="_x0000_i1057" style="width:2in;height:1pt" o:hrpct="0" o:hralign="center" o:hrstd="t" o:hrnoshade="t" o:hr="t" fillcolor="black [3213]" stroked="f"/>
        </w:pict>
      </w:r>
    </w:p>
    <w:p w:rsidR="005967EF" w:rsidRPr="00AF481B" w:rsidRDefault="005967EF" w:rsidP="00102792">
      <w:pPr>
        <w:rPr>
          <w:rFonts w:eastAsia="Times New Roman" w:cs="Times New Roman"/>
          <w:sz w:val="20"/>
          <w:szCs w:val="20"/>
          <w:lang w:val="fr-CA" w:eastAsia="en-CA"/>
        </w:rPr>
      </w:pPr>
    </w:p>
    <w:p w:rsidR="00CA2DEA" w:rsidRPr="00AF481B" w:rsidRDefault="00CA2DEA" w:rsidP="0010587F">
      <w:pPr>
        <w:tabs>
          <w:tab w:val="left" w:pos="-1440"/>
          <w:tab w:val="left" w:pos="-720"/>
        </w:tabs>
        <w:jc w:val="both"/>
        <w:rPr>
          <w:sz w:val="20"/>
          <w:szCs w:val="20"/>
          <w:lang w:val="fr-CA"/>
        </w:rPr>
      </w:pPr>
    </w:p>
    <w:p w:rsidR="00890FEB" w:rsidRPr="00AF481B" w:rsidRDefault="00890FEB" w:rsidP="00831CA9">
      <w:pPr>
        <w:jc w:val="both"/>
        <w:rPr>
          <w:sz w:val="20"/>
          <w:szCs w:val="20"/>
          <w:lang w:val="fr-CA"/>
        </w:rPr>
      </w:pPr>
    </w:p>
    <w:p w:rsidR="00831CA9" w:rsidRPr="00AF481B" w:rsidRDefault="00831CA9" w:rsidP="00831CA9">
      <w:pPr>
        <w:jc w:val="both"/>
        <w:rPr>
          <w:sz w:val="20"/>
          <w:szCs w:val="20"/>
          <w:lang w:val="fr-CA"/>
        </w:rPr>
        <w:sectPr w:rsidR="00831CA9" w:rsidRPr="00AF481B" w:rsidSect="00831CA9">
          <w:headerReference w:type="even" r:id="rId49"/>
          <w:headerReference w:type="default" r:id="rId50"/>
          <w:footerReference w:type="even" r:id="rId51"/>
          <w:footerReference w:type="default" r:id="rId52"/>
          <w:headerReference w:type="first" r:id="rId53"/>
          <w:footerReference w:type="first" r:id="rId54"/>
          <w:pgSz w:w="12240" w:h="15840"/>
          <w:pgMar w:top="720" w:right="965" w:bottom="1080" w:left="1656" w:header="720" w:footer="965" w:gutter="0"/>
          <w:cols w:space="720"/>
          <w:titlePg/>
          <w:docGrid w:linePitch="326"/>
        </w:sectPr>
      </w:pPr>
    </w:p>
    <w:p w:rsidR="00567602" w:rsidRPr="00AF481B" w:rsidRDefault="001434B9" w:rsidP="00567602">
      <w:pPr>
        <w:pStyle w:val="Header1StyleE"/>
        <w:pBdr>
          <w:bottom w:val="single" w:sz="12" w:space="1" w:color="auto"/>
        </w:pBdr>
        <w:rPr>
          <w:sz w:val="20"/>
          <w:lang w:val="en-US"/>
        </w:rPr>
      </w:pPr>
      <w:bookmarkStart w:id="5" w:name="_Toc161904154"/>
      <w:r w:rsidRPr="00AF481B">
        <w:t>Notices of appeal filed since the last issue</w:t>
      </w:r>
      <w:r w:rsidR="00271E1E" w:rsidRPr="00AF481B">
        <w:t xml:space="preserve"> / </w:t>
      </w:r>
      <w:r w:rsidR="00567602" w:rsidRPr="00AF481B">
        <w:br/>
      </w:r>
      <w:r w:rsidRPr="00AF481B">
        <w:rPr>
          <w:lang w:val="fr-CA"/>
        </w:rPr>
        <w:t>Avis d’appel déposés depuis la dernière parution</w:t>
      </w:r>
      <w:bookmarkEnd w:id="5"/>
    </w:p>
    <w:p w:rsidR="00FB1DB6" w:rsidRPr="00AF481B"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AF481B" w:rsidTr="005F1ED8">
        <w:trPr>
          <w:cantSplit/>
        </w:trPr>
        <w:tc>
          <w:tcPr>
            <w:tcW w:w="2206" w:type="pct"/>
            <w:tcMar>
              <w:left w:w="0" w:type="dxa"/>
              <w:right w:w="0" w:type="dxa"/>
            </w:tcMar>
          </w:tcPr>
          <w:p w:rsidR="0086340B" w:rsidRPr="00AF481B" w:rsidRDefault="004474B1" w:rsidP="005F1ED8">
            <w:pPr>
              <w:rPr>
                <w:sz w:val="20"/>
                <w:szCs w:val="20"/>
              </w:rPr>
            </w:pPr>
            <w:r w:rsidRPr="00AF481B">
              <w:rPr>
                <w:sz w:val="20"/>
                <w:szCs w:val="20"/>
              </w:rPr>
              <w:t>March</w:t>
            </w:r>
            <w:r w:rsidR="008859F1" w:rsidRPr="00AF481B">
              <w:rPr>
                <w:sz w:val="20"/>
                <w:szCs w:val="20"/>
              </w:rPr>
              <w:t xml:space="preserve"> </w:t>
            </w:r>
            <w:r w:rsidR="009B36BA" w:rsidRPr="00AF481B">
              <w:rPr>
                <w:sz w:val="20"/>
                <w:szCs w:val="20"/>
              </w:rPr>
              <w:t>1</w:t>
            </w:r>
            <w:r w:rsidRPr="00AF481B">
              <w:rPr>
                <w:sz w:val="20"/>
                <w:szCs w:val="20"/>
              </w:rPr>
              <w:t>8</w:t>
            </w:r>
            <w:r w:rsidR="008859F1" w:rsidRPr="00AF481B">
              <w:rPr>
                <w:sz w:val="20"/>
                <w:szCs w:val="20"/>
              </w:rPr>
              <w:t>, 20</w:t>
            </w:r>
            <w:r w:rsidR="005967EF" w:rsidRPr="00AF481B">
              <w:rPr>
                <w:sz w:val="20"/>
                <w:szCs w:val="20"/>
              </w:rPr>
              <w:t>2</w:t>
            </w:r>
            <w:r w:rsidR="00345645" w:rsidRPr="00AF481B">
              <w:rPr>
                <w:sz w:val="20"/>
                <w:szCs w:val="20"/>
              </w:rPr>
              <w:t>4</w:t>
            </w:r>
          </w:p>
          <w:p w:rsidR="0034657E" w:rsidRPr="00AF481B" w:rsidRDefault="0034657E" w:rsidP="005F1ED8">
            <w:pPr>
              <w:rPr>
                <w:sz w:val="20"/>
                <w:szCs w:val="20"/>
              </w:rPr>
            </w:pPr>
          </w:p>
          <w:p w:rsidR="0086340B" w:rsidRPr="00AF481B" w:rsidRDefault="004474B1" w:rsidP="005F1ED8">
            <w:pPr>
              <w:rPr>
                <w:b/>
                <w:sz w:val="20"/>
                <w:szCs w:val="20"/>
              </w:rPr>
            </w:pPr>
            <w:r w:rsidRPr="00AF481B">
              <w:rPr>
                <w:b/>
                <w:sz w:val="20"/>
                <w:szCs w:val="20"/>
              </w:rPr>
              <w:t>J.W.</w:t>
            </w:r>
          </w:p>
          <w:p w:rsidR="0086340B" w:rsidRPr="00AF481B" w:rsidRDefault="0086340B" w:rsidP="005F1ED8">
            <w:pPr>
              <w:rPr>
                <w:sz w:val="20"/>
                <w:szCs w:val="20"/>
              </w:rPr>
            </w:pPr>
          </w:p>
          <w:p w:rsidR="0086340B" w:rsidRPr="00AF481B" w:rsidRDefault="0086340B" w:rsidP="005F1ED8">
            <w:pPr>
              <w:rPr>
                <w:b/>
                <w:sz w:val="20"/>
                <w:szCs w:val="20"/>
              </w:rPr>
            </w:pPr>
            <w:r w:rsidRPr="00AF481B">
              <w:rPr>
                <w:b/>
                <w:sz w:val="20"/>
                <w:szCs w:val="20"/>
              </w:rPr>
              <w:tab/>
              <w:t>v. (4</w:t>
            </w:r>
            <w:r w:rsidR="004474B1" w:rsidRPr="00AF481B">
              <w:rPr>
                <w:b/>
                <w:sz w:val="20"/>
                <w:szCs w:val="20"/>
              </w:rPr>
              <w:t>0</w:t>
            </w:r>
            <w:r w:rsidRPr="00AF481B">
              <w:rPr>
                <w:b/>
                <w:sz w:val="20"/>
                <w:szCs w:val="20"/>
              </w:rPr>
              <w:t>9</w:t>
            </w:r>
            <w:r w:rsidR="004474B1" w:rsidRPr="00AF481B">
              <w:rPr>
                <w:b/>
                <w:sz w:val="20"/>
                <w:szCs w:val="20"/>
              </w:rPr>
              <w:t>56</w:t>
            </w:r>
            <w:r w:rsidRPr="00AF481B">
              <w:rPr>
                <w:b/>
                <w:sz w:val="20"/>
                <w:szCs w:val="20"/>
              </w:rPr>
              <w:t>)</w:t>
            </w:r>
          </w:p>
          <w:p w:rsidR="0086340B" w:rsidRPr="00AF481B" w:rsidRDefault="0086340B" w:rsidP="005F1ED8">
            <w:pPr>
              <w:rPr>
                <w:sz w:val="20"/>
                <w:szCs w:val="20"/>
              </w:rPr>
            </w:pPr>
          </w:p>
          <w:p w:rsidR="0086340B" w:rsidRPr="00AF481B" w:rsidRDefault="004474B1" w:rsidP="005F1ED8">
            <w:pPr>
              <w:rPr>
                <w:b/>
                <w:sz w:val="20"/>
                <w:szCs w:val="20"/>
              </w:rPr>
            </w:pPr>
            <w:r w:rsidRPr="00AF481B">
              <w:rPr>
                <w:b/>
                <w:sz w:val="20"/>
                <w:szCs w:val="20"/>
              </w:rPr>
              <w:t xml:space="preserve">His Majesty the King </w:t>
            </w:r>
            <w:r w:rsidR="0086340B" w:rsidRPr="00AF481B">
              <w:rPr>
                <w:b/>
                <w:sz w:val="20"/>
                <w:szCs w:val="20"/>
              </w:rPr>
              <w:t>(</w:t>
            </w:r>
            <w:r w:rsidRPr="00AF481B">
              <w:rPr>
                <w:b/>
                <w:sz w:val="20"/>
                <w:szCs w:val="20"/>
              </w:rPr>
              <w:t>Ont</w:t>
            </w:r>
            <w:r w:rsidR="0086340B" w:rsidRPr="00AF481B">
              <w:rPr>
                <w:b/>
                <w:sz w:val="20"/>
                <w:szCs w:val="20"/>
              </w:rPr>
              <w:t>.)</w:t>
            </w:r>
          </w:p>
          <w:p w:rsidR="0086340B" w:rsidRPr="00AF481B" w:rsidRDefault="0086340B" w:rsidP="005F1ED8">
            <w:pPr>
              <w:rPr>
                <w:sz w:val="20"/>
                <w:szCs w:val="20"/>
              </w:rPr>
            </w:pPr>
          </w:p>
          <w:p w:rsidR="0086340B" w:rsidRPr="00AF481B" w:rsidRDefault="0086340B" w:rsidP="005F1ED8">
            <w:pPr>
              <w:rPr>
                <w:sz w:val="20"/>
                <w:szCs w:val="20"/>
              </w:rPr>
            </w:pPr>
            <w:r w:rsidRPr="00AF481B">
              <w:rPr>
                <w:sz w:val="20"/>
                <w:szCs w:val="20"/>
              </w:rPr>
              <w:t>(By Leave)</w:t>
            </w:r>
          </w:p>
          <w:p w:rsidR="0086340B" w:rsidRPr="00AF481B" w:rsidRDefault="0086340B" w:rsidP="005F1ED8">
            <w:pPr>
              <w:rPr>
                <w:sz w:val="20"/>
                <w:szCs w:val="20"/>
              </w:rPr>
            </w:pPr>
          </w:p>
          <w:p w:rsidR="0086340B" w:rsidRPr="00AF481B" w:rsidRDefault="00AF481B" w:rsidP="005F1ED8">
            <w:pPr>
              <w:rPr>
                <w:sz w:val="20"/>
                <w:szCs w:val="20"/>
                <w:lang w:val="fr-CA"/>
              </w:rPr>
            </w:pPr>
            <w:r w:rsidRPr="00AF481B">
              <w:rPr>
                <w:sz w:val="20"/>
                <w:szCs w:val="20"/>
                <w:lang w:val="fr-CA"/>
              </w:rPr>
              <w:pict>
                <v:rect id="_x0000_i1060" style="width:106.1pt;height:1pt" o:hrpct="500" o:hrstd="t" o:hrnoshade="t" o:hr="t" fillcolor="black [3213]" stroked="f"/>
              </w:pict>
            </w:r>
          </w:p>
        </w:tc>
        <w:tc>
          <w:tcPr>
            <w:tcW w:w="588" w:type="pct"/>
          </w:tcPr>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86340B" w:rsidRPr="00AF481B" w:rsidRDefault="0086340B" w:rsidP="005F1ED8">
            <w:pPr>
              <w:jc w:val="center"/>
              <w:rPr>
                <w:sz w:val="20"/>
                <w:szCs w:val="20"/>
              </w:rPr>
            </w:pPr>
          </w:p>
          <w:p w:rsidR="00E06F20" w:rsidRPr="00AF481B" w:rsidRDefault="00E06F20" w:rsidP="005F1ED8">
            <w:pPr>
              <w:jc w:val="center"/>
              <w:rPr>
                <w:sz w:val="20"/>
                <w:szCs w:val="20"/>
              </w:rPr>
            </w:pPr>
          </w:p>
          <w:p w:rsidR="0086340B" w:rsidRPr="00AF481B" w:rsidRDefault="0086340B" w:rsidP="005F1ED8">
            <w:pPr>
              <w:jc w:val="center"/>
              <w:rPr>
                <w:sz w:val="20"/>
                <w:szCs w:val="20"/>
              </w:rPr>
            </w:pPr>
          </w:p>
        </w:tc>
        <w:tc>
          <w:tcPr>
            <w:tcW w:w="2206" w:type="pct"/>
          </w:tcPr>
          <w:p w:rsidR="0086340B" w:rsidRPr="00AF481B" w:rsidRDefault="0086340B" w:rsidP="005F1ED8">
            <w:pPr>
              <w:rPr>
                <w:sz w:val="20"/>
                <w:szCs w:val="20"/>
              </w:rPr>
            </w:pPr>
          </w:p>
        </w:tc>
      </w:tr>
    </w:tbl>
    <w:p w:rsidR="008277C4" w:rsidRPr="00AF481B" w:rsidRDefault="008277C4" w:rsidP="00F40249">
      <w:pPr>
        <w:rPr>
          <w:sz w:val="20"/>
          <w:szCs w:val="20"/>
        </w:rPr>
      </w:pPr>
    </w:p>
    <w:p w:rsidR="008277C4" w:rsidRPr="00AF481B" w:rsidRDefault="008277C4" w:rsidP="00F40249">
      <w:pPr>
        <w:rPr>
          <w:sz w:val="20"/>
          <w:szCs w:val="20"/>
        </w:rPr>
      </w:pPr>
    </w:p>
    <w:p w:rsidR="0010587F" w:rsidRPr="00AF481B" w:rsidRDefault="0010587F" w:rsidP="00F40249">
      <w:pPr>
        <w:rPr>
          <w:sz w:val="20"/>
          <w:szCs w:val="20"/>
        </w:rPr>
      </w:pPr>
    </w:p>
    <w:p w:rsidR="00EB2B90" w:rsidRPr="00AF481B" w:rsidRDefault="00EB2B90" w:rsidP="00F40249">
      <w:pPr>
        <w:rPr>
          <w:sz w:val="20"/>
          <w:szCs w:val="20"/>
        </w:rPr>
        <w:sectPr w:rsidR="00EB2B90" w:rsidRPr="00AF481B" w:rsidSect="00F40249">
          <w:headerReference w:type="even" r:id="rId55"/>
          <w:headerReference w:type="default" r:id="rId56"/>
          <w:footerReference w:type="even" r:id="rId57"/>
          <w:footerReference w:type="default" r:id="rId58"/>
          <w:headerReference w:type="first" r:id="rId59"/>
          <w:footerReference w:type="first" r:id="rId60"/>
          <w:pgSz w:w="12240" w:h="15840"/>
          <w:pgMar w:top="720" w:right="965" w:bottom="1080" w:left="1656" w:header="720" w:footer="965" w:gutter="0"/>
          <w:cols w:space="720"/>
          <w:titlePg/>
          <w:docGrid w:linePitch="326"/>
        </w:sectPr>
      </w:pPr>
    </w:p>
    <w:p w:rsidR="00567602" w:rsidRPr="00AF481B" w:rsidRDefault="001434B9" w:rsidP="00567602">
      <w:pPr>
        <w:pStyle w:val="Header1StyleE"/>
        <w:pBdr>
          <w:bottom w:val="single" w:sz="12" w:space="1" w:color="auto"/>
        </w:pBdr>
        <w:rPr>
          <w:lang w:val="fr-CA"/>
        </w:rPr>
      </w:pPr>
      <w:bookmarkStart w:id="6" w:name="_Toc161904155"/>
      <w:r w:rsidRPr="00AF481B">
        <w:rPr>
          <w:lang w:val="fr-CA"/>
        </w:rPr>
        <w:t>Appeals heard since the last issue and disposition</w:t>
      </w:r>
      <w:r w:rsidR="00271E1E" w:rsidRPr="00AF481B">
        <w:rPr>
          <w:lang w:val="fr-CA"/>
        </w:rPr>
        <w:t xml:space="preserve"> / </w:t>
      </w:r>
      <w:r w:rsidR="00567602" w:rsidRPr="00AF481B">
        <w:rPr>
          <w:lang w:val="fr-CA"/>
        </w:rPr>
        <w:br/>
      </w:r>
      <w:r w:rsidRPr="00AF481B">
        <w:rPr>
          <w:lang w:val="fr-CA"/>
        </w:rPr>
        <w:t>Appels entendus depuis la dernière parution et résultat</w:t>
      </w:r>
      <w:bookmarkEnd w:id="6"/>
    </w:p>
    <w:p w:rsidR="00567602" w:rsidRPr="00AF481B" w:rsidRDefault="00567602" w:rsidP="009B36BA">
      <w:pPr>
        <w:widowControl w:val="0"/>
        <w:jc w:val="both"/>
        <w:rPr>
          <w:sz w:val="20"/>
          <w:szCs w:val="20"/>
          <w:lang w:val="fr-CA"/>
        </w:rPr>
      </w:pPr>
    </w:p>
    <w:p w:rsidR="00717608" w:rsidRPr="00AF481B" w:rsidRDefault="004323F7" w:rsidP="00717608">
      <w:pPr>
        <w:rPr>
          <w:b/>
          <w:sz w:val="20"/>
          <w:szCs w:val="20"/>
        </w:rPr>
      </w:pPr>
      <w:r w:rsidRPr="00AF481B">
        <w:rPr>
          <w:b/>
          <w:sz w:val="20"/>
          <w:szCs w:val="20"/>
        </w:rPr>
        <w:t>MARCH</w:t>
      </w:r>
      <w:r w:rsidR="00717608" w:rsidRPr="00AF481B">
        <w:rPr>
          <w:b/>
          <w:sz w:val="20"/>
          <w:szCs w:val="20"/>
        </w:rPr>
        <w:t xml:space="preserve"> </w:t>
      </w:r>
      <w:r w:rsidR="00345645" w:rsidRPr="00AF481B">
        <w:rPr>
          <w:b/>
          <w:sz w:val="20"/>
          <w:szCs w:val="20"/>
        </w:rPr>
        <w:t>1</w:t>
      </w:r>
      <w:r w:rsidRPr="00AF481B">
        <w:rPr>
          <w:b/>
          <w:sz w:val="20"/>
          <w:szCs w:val="20"/>
        </w:rPr>
        <w:t>9</w:t>
      </w:r>
      <w:r w:rsidR="00717608" w:rsidRPr="00AF481B">
        <w:rPr>
          <w:b/>
          <w:sz w:val="20"/>
          <w:szCs w:val="20"/>
        </w:rPr>
        <w:t>, 20</w:t>
      </w:r>
      <w:r w:rsidR="00172473" w:rsidRPr="00AF481B">
        <w:rPr>
          <w:b/>
          <w:sz w:val="20"/>
          <w:szCs w:val="20"/>
        </w:rPr>
        <w:t>2</w:t>
      </w:r>
      <w:r w:rsidR="00345645" w:rsidRPr="00AF481B">
        <w:rPr>
          <w:b/>
          <w:sz w:val="20"/>
          <w:szCs w:val="20"/>
        </w:rPr>
        <w:t>4</w:t>
      </w:r>
    </w:p>
    <w:p w:rsidR="00172473" w:rsidRPr="00AF481B" w:rsidRDefault="00172473" w:rsidP="00717608">
      <w:pPr>
        <w:rPr>
          <w:sz w:val="20"/>
          <w:szCs w:val="20"/>
        </w:rPr>
      </w:pPr>
    </w:p>
    <w:p w:rsidR="004323F7" w:rsidRPr="00AF481B" w:rsidRDefault="004323F7" w:rsidP="004323F7">
      <w:pPr>
        <w:widowControl w:val="0"/>
        <w:rPr>
          <w:iCs/>
          <w:sz w:val="20"/>
          <w:szCs w:val="20"/>
        </w:rPr>
      </w:pPr>
      <w:r w:rsidRPr="00AF481B">
        <w:rPr>
          <w:b/>
          <w:iCs/>
          <w:sz w:val="20"/>
          <w:szCs w:val="20"/>
        </w:rPr>
        <w:t xml:space="preserve">Commission des droits de la personne </w:t>
      </w:r>
      <w:proofErr w:type="gramStart"/>
      <w:r w:rsidRPr="00AF481B">
        <w:rPr>
          <w:b/>
          <w:iCs/>
          <w:sz w:val="20"/>
          <w:szCs w:val="20"/>
        </w:rPr>
        <w:t>et</w:t>
      </w:r>
      <w:proofErr w:type="gramEnd"/>
      <w:r w:rsidRPr="00AF481B">
        <w:rPr>
          <w:b/>
          <w:iCs/>
          <w:sz w:val="20"/>
          <w:szCs w:val="20"/>
        </w:rPr>
        <w:t xml:space="preserve"> des droits de la jeunesse v. Directrice de la protection de la jeunesse du CISSS de la Montérégie-Est </w:t>
      </w:r>
      <w:r w:rsidRPr="00AF481B">
        <w:rPr>
          <w:iCs/>
          <w:sz w:val="20"/>
          <w:szCs w:val="20"/>
        </w:rPr>
        <w:t>(Que.) (Civil) (By Leave) (</w:t>
      </w:r>
      <w:hyperlink r:id="rId61" w:history="1">
        <w:r w:rsidRPr="00AF481B">
          <w:rPr>
            <w:rStyle w:val="Hyperlink"/>
            <w:iCs/>
            <w:sz w:val="20"/>
            <w:szCs w:val="20"/>
          </w:rPr>
          <w:t>40602</w:t>
        </w:r>
      </w:hyperlink>
      <w:r w:rsidRPr="00AF481B">
        <w:rPr>
          <w:iCs/>
          <w:sz w:val="20"/>
          <w:szCs w:val="20"/>
        </w:rPr>
        <w:t>)</w:t>
      </w:r>
    </w:p>
    <w:p w:rsidR="00E8642A" w:rsidRPr="00AF481B" w:rsidRDefault="00E8642A" w:rsidP="00E8642A">
      <w:pPr>
        <w:widowControl w:val="0"/>
        <w:ind w:left="1109" w:hanging="1109"/>
        <w:rPr>
          <w:sz w:val="20"/>
          <w:szCs w:val="20"/>
        </w:rPr>
      </w:pPr>
    </w:p>
    <w:p w:rsidR="00E8642A" w:rsidRPr="00AF481B" w:rsidRDefault="00E8642A" w:rsidP="00E8642A">
      <w:pPr>
        <w:widowControl w:val="0"/>
        <w:ind w:left="1109" w:hanging="1109"/>
        <w:rPr>
          <w:sz w:val="20"/>
          <w:szCs w:val="20"/>
        </w:rPr>
      </w:pPr>
      <w:r w:rsidRPr="00AF481B">
        <w:rPr>
          <w:sz w:val="20"/>
          <w:szCs w:val="20"/>
        </w:rPr>
        <w:t xml:space="preserve">Coram: </w:t>
      </w:r>
      <w:r w:rsidRPr="00AF481B">
        <w:rPr>
          <w:sz w:val="20"/>
          <w:szCs w:val="20"/>
        </w:rPr>
        <w:tab/>
      </w:r>
      <w:r w:rsidR="004323F7" w:rsidRPr="00AF481B">
        <w:rPr>
          <w:sz w:val="20"/>
          <w:szCs w:val="20"/>
        </w:rPr>
        <w:t>Wagner C.J. and Karakatsanis, Côté, Rowe, Martin, Kasirer, Jamal, O’Bonsawin and Moreau JJ.</w:t>
      </w:r>
    </w:p>
    <w:p w:rsidR="00102792" w:rsidRPr="00AF481B" w:rsidRDefault="00102792" w:rsidP="00102792">
      <w:pPr>
        <w:ind w:left="1109" w:hanging="1109"/>
        <w:rPr>
          <w:color w:val="000000"/>
          <w:sz w:val="20"/>
          <w:szCs w:val="20"/>
        </w:rPr>
      </w:pPr>
    </w:p>
    <w:p w:rsidR="00102792" w:rsidRPr="00AF481B" w:rsidRDefault="006C221F" w:rsidP="00102792">
      <w:pPr>
        <w:ind w:left="1109" w:hanging="1109"/>
        <w:rPr>
          <w:b/>
          <w:bCs/>
          <w:color w:val="000000"/>
          <w:sz w:val="20"/>
          <w:szCs w:val="20"/>
        </w:rPr>
      </w:pPr>
      <w:r w:rsidRPr="00AF481B">
        <w:rPr>
          <w:b/>
          <w:bCs/>
          <w:color w:val="000000"/>
          <w:sz w:val="20"/>
          <w:szCs w:val="20"/>
        </w:rPr>
        <w:t>RESERVED</w:t>
      </w:r>
    </w:p>
    <w:p w:rsidR="00E06F20" w:rsidRPr="00AF481B" w:rsidRDefault="00E06F20" w:rsidP="00102792">
      <w:pPr>
        <w:ind w:left="1109" w:hanging="1109"/>
        <w:rPr>
          <w:bCs/>
          <w:color w:val="000000"/>
          <w:sz w:val="20"/>
          <w:szCs w:val="27"/>
        </w:rPr>
      </w:pPr>
    </w:p>
    <w:p w:rsidR="00E06F20" w:rsidRPr="00AF481B" w:rsidRDefault="00AF481B" w:rsidP="00281DA2">
      <w:pPr>
        <w:jc w:val="center"/>
        <w:rPr>
          <w:color w:val="000000"/>
          <w:sz w:val="20"/>
          <w:szCs w:val="27"/>
        </w:rPr>
      </w:pPr>
      <w:r w:rsidRPr="00AF481B">
        <w:rPr>
          <w:sz w:val="20"/>
          <w:szCs w:val="20"/>
        </w:rPr>
        <w:pict>
          <v:rect id="_x0000_i1063" style="width:2in;height:1pt" o:hrpct="0" o:hralign="center" o:hrstd="t" o:hrnoshade="t" o:hr="t" fillcolor="black [3213]" stroked="f"/>
        </w:pict>
      </w:r>
    </w:p>
    <w:p w:rsidR="00102792" w:rsidRPr="00AF481B" w:rsidRDefault="00102792" w:rsidP="00102792">
      <w:pPr>
        <w:widowControl w:val="0"/>
        <w:rPr>
          <w:sz w:val="20"/>
          <w:szCs w:val="20"/>
        </w:rPr>
      </w:pPr>
    </w:p>
    <w:p w:rsidR="004323F7" w:rsidRPr="00AF481B" w:rsidRDefault="004323F7" w:rsidP="004323F7">
      <w:pPr>
        <w:rPr>
          <w:b/>
          <w:sz w:val="20"/>
          <w:szCs w:val="20"/>
        </w:rPr>
      </w:pPr>
      <w:r w:rsidRPr="00AF481B">
        <w:rPr>
          <w:b/>
          <w:sz w:val="20"/>
          <w:szCs w:val="20"/>
        </w:rPr>
        <w:t>MARCH 20, 2024</w:t>
      </w:r>
    </w:p>
    <w:p w:rsidR="006C221F" w:rsidRPr="00AF481B" w:rsidRDefault="006C221F" w:rsidP="00102792">
      <w:pPr>
        <w:widowControl w:val="0"/>
        <w:rPr>
          <w:sz w:val="20"/>
          <w:szCs w:val="20"/>
        </w:rPr>
      </w:pPr>
    </w:p>
    <w:p w:rsidR="004323F7" w:rsidRPr="00AF481B" w:rsidRDefault="004323F7" w:rsidP="004323F7">
      <w:pPr>
        <w:widowControl w:val="0"/>
        <w:rPr>
          <w:sz w:val="20"/>
          <w:szCs w:val="20"/>
        </w:rPr>
      </w:pPr>
      <w:r w:rsidRPr="00AF481B">
        <w:rPr>
          <w:b/>
          <w:iCs/>
          <w:sz w:val="20"/>
          <w:szCs w:val="20"/>
        </w:rPr>
        <w:t>R. v. Boudreau</w:t>
      </w:r>
      <w:r w:rsidRPr="00AF481B">
        <w:rPr>
          <w:i/>
          <w:iCs/>
          <w:sz w:val="20"/>
          <w:szCs w:val="20"/>
        </w:rPr>
        <w:t> </w:t>
      </w:r>
      <w:r w:rsidRPr="00AF481B">
        <w:rPr>
          <w:iCs/>
          <w:sz w:val="20"/>
          <w:szCs w:val="20"/>
        </w:rPr>
        <w:t>(Que.) (Criminal) (As of Right) (</w:t>
      </w:r>
      <w:hyperlink r:id="rId62" w:history="1">
        <w:r w:rsidRPr="00AF481B">
          <w:rPr>
            <w:rStyle w:val="Hyperlink"/>
            <w:iCs/>
            <w:sz w:val="20"/>
            <w:szCs w:val="20"/>
          </w:rPr>
          <w:t>40810</w:t>
        </w:r>
      </w:hyperlink>
      <w:r w:rsidRPr="00AF481B">
        <w:rPr>
          <w:iCs/>
          <w:sz w:val="20"/>
          <w:szCs w:val="20"/>
        </w:rPr>
        <w:t>)</w:t>
      </w:r>
    </w:p>
    <w:p w:rsidR="00E8642A" w:rsidRPr="00AF481B" w:rsidRDefault="00E8642A" w:rsidP="00E8642A">
      <w:pPr>
        <w:widowControl w:val="0"/>
        <w:ind w:left="1109" w:hanging="1109"/>
        <w:rPr>
          <w:b/>
          <w:sz w:val="20"/>
          <w:szCs w:val="20"/>
        </w:rPr>
      </w:pPr>
      <w:r w:rsidRPr="00AF481B">
        <w:rPr>
          <w:b/>
          <w:sz w:val="20"/>
          <w:szCs w:val="20"/>
        </w:rPr>
        <w:t>202</w:t>
      </w:r>
      <w:r w:rsidR="00345645" w:rsidRPr="00AF481B">
        <w:rPr>
          <w:b/>
          <w:sz w:val="20"/>
          <w:szCs w:val="20"/>
        </w:rPr>
        <w:t>4</w:t>
      </w:r>
      <w:r w:rsidRPr="00AF481B">
        <w:rPr>
          <w:b/>
          <w:sz w:val="20"/>
          <w:szCs w:val="20"/>
        </w:rPr>
        <w:t xml:space="preserve"> SCC </w:t>
      </w:r>
      <w:r w:rsidR="004323F7" w:rsidRPr="00AF481B">
        <w:rPr>
          <w:b/>
          <w:sz w:val="20"/>
          <w:szCs w:val="20"/>
        </w:rPr>
        <w:t>9</w:t>
      </w:r>
    </w:p>
    <w:p w:rsidR="004323F7" w:rsidRPr="00AF481B" w:rsidRDefault="004323F7" w:rsidP="00E8642A">
      <w:pPr>
        <w:widowControl w:val="0"/>
        <w:ind w:left="1109" w:hanging="1109"/>
        <w:rPr>
          <w:sz w:val="20"/>
          <w:szCs w:val="20"/>
        </w:rPr>
      </w:pPr>
    </w:p>
    <w:p w:rsidR="002C13E1" w:rsidRPr="00AF481B" w:rsidRDefault="002C13E1" w:rsidP="002C13E1">
      <w:pPr>
        <w:widowControl w:val="0"/>
        <w:ind w:left="1109" w:hanging="1109"/>
        <w:rPr>
          <w:sz w:val="20"/>
          <w:szCs w:val="20"/>
        </w:rPr>
      </w:pPr>
      <w:r w:rsidRPr="00AF481B">
        <w:rPr>
          <w:sz w:val="20"/>
          <w:szCs w:val="20"/>
        </w:rPr>
        <w:t xml:space="preserve">Coram: </w:t>
      </w:r>
      <w:r w:rsidRPr="00AF481B">
        <w:rPr>
          <w:sz w:val="20"/>
          <w:szCs w:val="20"/>
        </w:rPr>
        <w:tab/>
      </w:r>
      <w:r w:rsidR="004323F7" w:rsidRPr="00AF481B">
        <w:rPr>
          <w:sz w:val="20"/>
          <w:szCs w:val="20"/>
        </w:rPr>
        <w:t>Côté, Martin, Kasirer, Jamal and O’Bonsawin JJ.</w:t>
      </w:r>
    </w:p>
    <w:p w:rsidR="00E8642A" w:rsidRPr="00AF481B" w:rsidRDefault="00E8642A" w:rsidP="00E8642A">
      <w:pPr>
        <w:ind w:left="1109" w:hanging="1109"/>
        <w:rPr>
          <w:color w:val="000000"/>
          <w:sz w:val="20"/>
          <w:szCs w:val="20"/>
        </w:rPr>
      </w:pPr>
    </w:p>
    <w:p w:rsidR="00E8642A" w:rsidRPr="00AF481B" w:rsidRDefault="006C221F" w:rsidP="00E8642A">
      <w:pPr>
        <w:widowControl w:val="0"/>
        <w:ind w:left="1109" w:hanging="1109"/>
        <w:rPr>
          <w:sz w:val="20"/>
          <w:szCs w:val="20"/>
        </w:rPr>
      </w:pPr>
      <w:r w:rsidRPr="00AF481B">
        <w:rPr>
          <w:b/>
          <w:sz w:val="20"/>
          <w:szCs w:val="20"/>
        </w:rPr>
        <w:t>DISMISSED</w:t>
      </w:r>
    </w:p>
    <w:p w:rsidR="00E06F20" w:rsidRPr="00AF481B" w:rsidRDefault="00E06F20" w:rsidP="00A234E1">
      <w:pPr>
        <w:jc w:val="both"/>
        <w:rPr>
          <w:sz w:val="20"/>
          <w:lang w:val="fr-CA"/>
        </w:rPr>
      </w:pPr>
    </w:p>
    <w:p w:rsidR="004323F7" w:rsidRPr="00AF481B" w:rsidRDefault="00AF481B" w:rsidP="004323F7">
      <w:pPr>
        <w:jc w:val="center"/>
        <w:rPr>
          <w:color w:val="000000"/>
          <w:sz w:val="20"/>
          <w:szCs w:val="27"/>
        </w:rPr>
      </w:pPr>
      <w:r w:rsidRPr="00AF481B">
        <w:rPr>
          <w:sz w:val="20"/>
          <w:szCs w:val="20"/>
        </w:rPr>
        <w:pict>
          <v:rect id="_x0000_i1064" style="width:2in;height:1pt" o:hrpct="0" o:hralign="center" o:hrstd="t" o:hrnoshade="t" o:hr="t" fillcolor="black [3213]" stroked="f"/>
        </w:pict>
      </w:r>
    </w:p>
    <w:p w:rsidR="004323F7" w:rsidRPr="00AF481B" w:rsidRDefault="004323F7" w:rsidP="004323F7">
      <w:pPr>
        <w:widowControl w:val="0"/>
        <w:rPr>
          <w:sz w:val="20"/>
          <w:szCs w:val="20"/>
        </w:rPr>
      </w:pPr>
    </w:p>
    <w:p w:rsidR="004323F7" w:rsidRPr="00AF481B" w:rsidRDefault="004323F7" w:rsidP="004323F7">
      <w:pPr>
        <w:rPr>
          <w:b/>
          <w:sz w:val="20"/>
          <w:szCs w:val="20"/>
        </w:rPr>
      </w:pPr>
      <w:r w:rsidRPr="00AF481B">
        <w:rPr>
          <w:b/>
          <w:sz w:val="20"/>
          <w:szCs w:val="20"/>
        </w:rPr>
        <w:t>MARCH 21, 2024</w:t>
      </w:r>
    </w:p>
    <w:p w:rsidR="004323F7" w:rsidRPr="00AF481B" w:rsidRDefault="004323F7" w:rsidP="004323F7">
      <w:pPr>
        <w:widowControl w:val="0"/>
        <w:rPr>
          <w:sz w:val="20"/>
          <w:szCs w:val="20"/>
        </w:rPr>
      </w:pPr>
    </w:p>
    <w:p w:rsidR="004474B1" w:rsidRPr="00AF481B" w:rsidRDefault="004474B1" w:rsidP="004474B1">
      <w:pPr>
        <w:widowControl w:val="0"/>
        <w:rPr>
          <w:iCs/>
          <w:sz w:val="20"/>
          <w:szCs w:val="20"/>
        </w:rPr>
      </w:pPr>
      <w:r w:rsidRPr="00AF481B">
        <w:rPr>
          <w:b/>
          <w:iCs/>
          <w:sz w:val="20"/>
          <w:szCs w:val="20"/>
        </w:rPr>
        <w:t>Dwayne Alexander Campbell v. His Majesty the King</w:t>
      </w:r>
      <w:r w:rsidRPr="00AF481B">
        <w:rPr>
          <w:i/>
          <w:iCs/>
          <w:sz w:val="20"/>
          <w:szCs w:val="20"/>
        </w:rPr>
        <w:t> </w:t>
      </w:r>
      <w:r w:rsidRPr="00AF481B">
        <w:rPr>
          <w:iCs/>
          <w:sz w:val="20"/>
          <w:szCs w:val="20"/>
        </w:rPr>
        <w:t>(Ont.) (Criminal) (By Leave) (</w:t>
      </w:r>
      <w:hyperlink r:id="rId63" w:history="1">
        <w:r w:rsidRPr="00AF481B">
          <w:rPr>
            <w:rStyle w:val="Hyperlink"/>
            <w:iCs/>
            <w:sz w:val="20"/>
            <w:szCs w:val="20"/>
          </w:rPr>
          <w:t>40465</w:t>
        </w:r>
      </w:hyperlink>
      <w:r w:rsidRPr="00AF481B">
        <w:rPr>
          <w:iCs/>
          <w:sz w:val="20"/>
          <w:szCs w:val="20"/>
        </w:rPr>
        <w:t>)</w:t>
      </w:r>
    </w:p>
    <w:p w:rsidR="004323F7" w:rsidRPr="00AF481B" w:rsidRDefault="004323F7" w:rsidP="004323F7">
      <w:pPr>
        <w:widowControl w:val="0"/>
        <w:ind w:left="1109" w:hanging="1109"/>
        <w:rPr>
          <w:sz w:val="20"/>
          <w:szCs w:val="20"/>
        </w:rPr>
      </w:pPr>
    </w:p>
    <w:p w:rsidR="004323F7" w:rsidRPr="00AF481B" w:rsidRDefault="004323F7" w:rsidP="004323F7">
      <w:pPr>
        <w:widowControl w:val="0"/>
        <w:ind w:left="1109" w:hanging="1109"/>
        <w:rPr>
          <w:sz w:val="20"/>
          <w:szCs w:val="20"/>
        </w:rPr>
      </w:pPr>
      <w:r w:rsidRPr="00AF481B">
        <w:rPr>
          <w:sz w:val="20"/>
          <w:szCs w:val="20"/>
        </w:rPr>
        <w:t xml:space="preserve">Coram: </w:t>
      </w:r>
      <w:r w:rsidRPr="00AF481B">
        <w:rPr>
          <w:sz w:val="20"/>
          <w:szCs w:val="20"/>
        </w:rPr>
        <w:tab/>
      </w:r>
      <w:r w:rsidR="004474B1" w:rsidRPr="00AF481B">
        <w:rPr>
          <w:sz w:val="20"/>
          <w:szCs w:val="20"/>
        </w:rPr>
        <w:t>Wagner C.J. and Karakatsanis, Côté, Rowe, Martin, Kasirer, Jamal, O’Bonsawin and Moreau JJ.</w:t>
      </w:r>
    </w:p>
    <w:p w:rsidR="004323F7" w:rsidRPr="00AF481B" w:rsidRDefault="004323F7" w:rsidP="004323F7">
      <w:pPr>
        <w:ind w:left="1109" w:hanging="1109"/>
        <w:rPr>
          <w:color w:val="000000"/>
          <w:sz w:val="20"/>
          <w:szCs w:val="20"/>
        </w:rPr>
      </w:pPr>
    </w:p>
    <w:p w:rsidR="004323F7" w:rsidRPr="00AF481B" w:rsidRDefault="004323F7" w:rsidP="004323F7">
      <w:pPr>
        <w:ind w:left="1109" w:hanging="1109"/>
        <w:rPr>
          <w:b/>
          <w:bCs/>
          <w:color w:val="000000"/>
          <w:sz w:val="20"/>
          <w:szCs w:val="20"/>
        </w:rPr>
      </w:pPr>
      <w:r w:rsidRPr="00AF481B">
        <w:rPr>
          <w:b/>
          <w:bCs/>
          <w:color w:val="000000"/>
          <w:sz w:val="20"/>
          <w:szCs w:val="20"/>
        </w:rPr>
        <w:t>RESERVED</w:t>
      </w:r>
    </w:p>
    <w:p w:rsidR="004323F7" w:rsidRPr="00AF481B" w:rsidRDefault="004323F7" w:rsidP="00A234E1">
      <w:pPr>
        <w:jc w:val="both"/>
        <w:rPr>
          <w:sz w:val="20"/>
          <w:lang w:val="fr-CA"/>
        </w:rPr>
      </w:pPr>
    </w:p>
    <w:p w:rsidR="008E30C2" w:rsidRPr="00AF481B" w:rsidRDefault="008E30C2" w:rsidP="008E30C2">
      <w:pPr>
        <w:widowControl w:val="0"/>
        <w:rPr>
          <w:sz w:val="20"/>
          <w:szCs w:val="20"/>
        </w:rPr>
      </w:pPr>
    </w:p>
    <w:p w:rsidR="008E30C2" w:rsidRPr="00AF481B" w:rsidRDefault="00AF481B" w:rsidP="008E30C2">
      <w:pPr>
        <w:widowControl w:val="0"/>
        <w:rPr>
          <w:sz w:val="20"/>
          <w:szCs w:val="20"/>
        </w:rPr>
      </w:pPr>
      <w:r w:rsidRPr="00AF481B">
        <w:rPr>
          <w:sz w:val="20"/>
          <w:szCs w:val="20"/>
        </w:rPr>
        <w:pict>
          <v:rect id="_x0000_i1065" style="width:272.25pt;height:1.5pt" o:hrpct="0" o:hralign="center" o:hrstd="t" o:hrnoshade="t" o:hr="t" fillcolor="black [3213]" stroked="f"/>
        </w:pict>
      </w:r>
    </w:p>
    <w:p w:rsidR="008E30C2" w:rsidRPr="00AF481B" w:rsidRDefault="008E30C2" w:rsidP="008E30C2">
      <w:pPr>
        <w:widowControl w:val="0"/>
        <w:rPr>
          <w:sz w:val="20"/>
          <w:szCs w:val="20"/>
        </w:rPr>
      </w:pPr>
    </w:p>
    <w:p w:rsidR="006C221F" w:rsidRPr="00AF481B" w:rsidRDefault="006C221F" w:rsidP="008E30C2">
      <w:pPr>
        <w:widowControl w:val="0"/>
        <w:rPr>
          <w:sz w:val="20"/>
          <w:szCs w:val="20"/>
        </w:rPr>
      </w:pPr>
    </w:p>
    <w:p w:rsidR="008E30C2" w:rsidRPr="00AF481B" w:rsidRDefault="006C221F" w:rsidP="008E30C2">
      <w:pPr>
        <w:widowControl w:val="0"/>
        <w:rPr>
          <w:b/>
          <w:sz w:val="20"/>
          <w:szCs w:val="20"/>
        </w:rPr>
      </w:pPr>
      <w:r w:rsidRPr="00AF481B">
        <w:rPr>
          <w:b/>
          <w:sz w:val="20"/>
          <w:szCs w:val="20"/>
        </w:rPr>
        <w:t xml:space="preserve">LE </w:t>
      </w:r>
      <w:r w:rsidR="00345645" w:rsidRPr="00AF481B">
        <w:rPr>
          <w:b/>
          <w:sz w:val="20"/>
          <w:szCs w:val="20"/>
        </w:rPr>
        <w:t>1</w:t>
      </w:r>
      <w:r w:rsidR="004323F7" w:rsidRPr="00AF481B">
        <w:rPr>
          <w:b/>
          <w:sz w:val="20"/>
          <w:szCs w:val="20"/>
        </w:rPr>
        <w:t>9</w:t>
      </w:r>
      <w:r w:rsidRPr="00AF481B">
        <w:rPr>
          <w:b/>
          <w:sz w:val="20"/>
          <w:szCs w:val="20"/>
        </w:rPr>
        <w:t xml:space="preserve"> </w:t>
      </w:r>
      <w:r w:rsidR="004323F7" w:rsidRPr="00AF481B">
        <w:rPr>
          <w:b/>
          <w:sz w:val="20"/>
          <w:szCs w:val="20"/>
        </w:rPr>
        <w:t>MARS</w:t>
      </w:r>
      <w:r w:rsidRPr="00AF481B">
        <w:rPr>
          <w:b/>
          <w:sz w:val="20"/>
          <w:szCs w:val="20"/>
        </w:rPr>
        <w:t xml:space="preserve"> 202</w:t>
      </w:r>
      <w:r w:rsidR="00345645" w:rsidRPr="00AF481B">
        <w:rPr>
          <w:b/>
          <w:sz w:val="20"/>
          <w:szCs w:val="20"/>
        </w:rPr>
        <w:t>4</w:t>
      </w:r>
    </w:p>
    <w:p w:rsidR="006C221F" w:rsidRPr="00AF481B" w:rsidRDefault="006C221F" w:rsidP="008E30C2">
      <w:pPr>
        <w:widowControl w:val="0"/>
        <w:rPr>
          <w:sz w:val="20"/>
          <w:szCs w:val="20"/>
        </w:rPr>
      </w:pPr>
    </w:p>
    <w:p w:rsidR="004323F7" w:rsidRPr="00AF481B" w:rsidRDefault="004323F7" w:rsidP="004323F7">
      <w:pPr>
        <w:widowControl w:val="0"/>
        <w:rPr>
          <w:sz w:val="20"/>
          <w:szCs w:val="20"/>
          <w:lang w:val="fr-CA"/>
        </w:rPr>
      </w:pPr>
      <w:r w:rsidRPr="00AF481B">
        <w:rPr>
          <w:b/>
          <w:iCs/>
          <w:sz w:val="20"/>
          <w:szCs w:val="20"/>
        </w:rPr>
        <w:t xml:space="preserve">Commission des droits de la personne </w:t>
      </w:r>
      <w:proofErr w:type="gramStart"/>
      <w:r w:rsidRPr="00AF481B">
        <w:rPr>
          <w:b/>
          <w:iCs/>
          <w:sz w:val="20"/>
          <w:szCs w:val="20"/>
        </w:rPr>
        <w:t>et</w:t>
      </w:r>
      <w:proofErr w:type="gramEnd"/>
      <w:r w:rsidRPr="00AF481B">
        <w:rPr>
          <w:b/>
          <w:iCs/>
          <w:sz w:val="20"/>
          <w:szCs w:val="20"/>
        </w:rPr>
        <w:t xml:space="preserve"> des droits de la jeunesse c. Directrice de la protection de la jeunesse du CISSS de la Montérégie-Est</w:t>
      </w:r>
      <w:r w:rsidRPr="00AF481B">
        <w:rPr>
          <w:i/>
          <w:iCs/>
          <w:sz w:val="20"/>
          <w:szCs w:val="20"/>
        </w:rPr>
        <w:t> </w:t>
      </w:r>
      <w:r w:rsidRPr="00AF481B">
        <w:rPr>
          <w:iCs/>
          <w:sz w:val="20"/>
          <w:szCs w:val="20"/>
        </w:rPr>
        <w:t>(Qc) (Civile) (Autorisation) (</w:t>
      </w:r>
      <w:hyperlink r:id="rId64" w:history="1">
        <w:r w:rsidRPr="00AF481B">
          <w:rPr>
            <w:rStyle w:val="Hyperlink"/>
            <w:iCs/>
            <w:sz w:val="20"/>
            <w:szCs w:val="20"/>
          </w:rPr>
          <w:t>40602</w:t>
        </w:r>
      </w:hyperlink>
      <w:r w:rsidRPr="00AF481B">
        <w:rPr>
          <w:iCs/>
          <w:sz w:val="20"/>
          <w:szCs w:val="20"/>
        </w:rPr>
        <w:t>)</w:t>
      </w:r>
    </w:p>
    <w:p w:rsidR="008E30C2" w:rsidRPr="00AF481B" w:rsidRDefault="008E30C2" w:rsidP="008E30C2">
      <w:pPr>
        <w:widowControl w:val="0"/>
        <w:ind w:left="1109" w:hanging="1109"/>
        <w:rPr>
          <w:sz w:val="20"/>
          <w:szCs w:val="20"/>
          <w:lang w:val="en-US"/>
        </w:rPr>
      </w:pPr>
    </w:p>
    <w:p w:rsidR="008E30C2" w:rsidRPr="00AF481B" w:rsidRDefault="008E30C2" w:rsidP="008E30C2">
      <w:pPr>
        <w:widowControl w:val="0"/>
        <w:ind w:left="1109" w:hanging="1109"/>
        <w:rPr>
          <w:sz w:val="20"/>
          <w:szCs w:val="20"/>
          <w:lang w:val="fr-CA"/>
        </w:rPr>
      </w:pPr>
      <w:r w:rsidRPr="00AF481B">
        <w:rPr>
          <w:sz w:val="20"/>
          <w:szCs w:val="20"/>
          <w:lang w:val="fr-CA"/>
        </w:rPr>
        <w:t xml:space="preserve">Coram: </w:t>
      </w:r>
      <w:r w:rsidRPr="00AF481B">
        <w:rPr>
          <w:sz w:val="20"/>
          <w:szCs w:val="20"/>
          <w:lang w:val="fr-CA"/>
        </w:rPr>
        <w:tab/>
      </w:r>
      <w:r w:rsidR="004323F7" w:rsidRPr="00AF481B">
        <w:rPr>
          <w:sz w:val="20"/>
          <w:szCs w:val="20"/>
          <w:lang w:val="fr-CA"/>
        </w:rPr>
        <w:t>Le juge en chef Wagner et les juges Karakatsanis, Côté, Rowe, Martin, Kasirer, Jamal, O’Bonsawin et Moreau</w:t>
      </w:r>
    </w:p>
    <w:p w:rsidR="008E30C2" w:rsidRPr="00AF481B"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6C221F" w:rsidRPr="00AF481B" w:rsidRDefault="006C221F" w:rsidP="006C221F">
      <w:pPr>
        <w:ind w:left="1109" w:hanging="1109"/>
        <w:rPr>
          <w:b/>
          <w:bCs/>
          <w:color w:val="000000"/>
          <w:sz w:val="20"/>
          <w:szCs w:val="20"/>
        </w:rPr>
      </w:pPr>
      <w:r w:rsidRPr="00AF481B">
        <w:rPr>
          <w:b/>
          <w:bCs/>
          <w:color w:val="000000"/>
          <w:sz w:val="20"/>
          <w:szCs w:val="20"/>
        </w:rPr>
        <w:t>EN DÉLIBÉRÉ</w:t>
      </w:r>
    </w:p>
    <w:p w:rsidR="006C221F" w:rsidRPr="00AF481B" w:rsidRDefault="006C221F" w:rsidP="008E30C2">
      <w:pPr>
        <w:widowControl w:val="0"/>
        <w:tabs>
          <w:tab w:val="left" w:pos="720"/>
          <w:tab w:val="left" w:pos="1440"/>
          <w:tab w:val="left" w:pos="2851"/>
          <w:tab w:val="left" w:pos="4320"/>
          <w:tab w:val="left" w:pos="10224"/>
          <w:tab w:val="left" w:pos="11376"/>
        </w:tabs>
        <w:rPr>
          <w:sz w:val="20"/>
          <w:szCs w:val="20"/>
          <w:lang w:val="fr-CA"/>
        </w:rPr>
      </w:pPr>
    </w:p>
    <w:p w:rsidR="008E30C2" w:rsidRPr="00AF481B" w:rsidRDefault="00AF481B" w:rsidP="008E30C2">
      <w:pPr>
        <w:widowControl w:val="0"/>
        <w:tabs>
          <w:tab w:val="left" w:pos="720"/>
          <w:tab w:val="left" w:pos="1440"/>
          <w:tab w:val="left" w:pos="2851"/>
          <w:tab w:val="left" w:pos="4320"/>
          <w:tab w:val="left" w:pos="10224"/>
          <w:tab w:val="left" w:pos="11376"/>
        </w:tabs>
        <w:rPr>
          <w:sz w:val="20"/>
          <w:szCs w:val="20"/>
          <w:lang w:val="fr-CA"/>
        </w:rPr>
      </w:pPr>
      <w:r w:rsidRPr="00AF481B">
        <w:rPr>
          <w:sz w:val="20"/>
          <w:szCs w:val="20"/>
        </w:rPr>
        <w:pict>
          <v:rect id="_x0000_i1066" style="width:2in;height:1pt" o:hrpct="0" o:hralign="center" o:hrstd="t" o:hrnoshade="t" o:hr="t" fillcolor="black [3213]" stroked="f"/>
        </w:pict>
      </w:r>
    </w:p>
    <w:p w:rsidR="008E30C2" w:rsidRPr="00AF481B"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6C221F" w:rsidRPr="00AF481B" w:rsidRDefault="006C221F" w:rsidP="006C221F">
      <w:pPr>
        <w:widowControl w:val="0"/>
        <w:rPr>
          <w:b/>
          <w:sz w:val="20"/>
          <w:szCs w:val="20"/>
        </w:rPr>
      </w:pPr>
      <w:r w:rsidRPr="00AF481B">
        <w:rPr>
          <w:b/>
          <w:sz w:val="20"/>
          <w:szCs w:val="20"/>
        </w:rPr>
        <w:t xml:space="preserve">LE </w:t>
      </w:r>
      <w:r w:rsidR="004323F7" w:rsidRPr="00AF481B">
        <w:rPr>
          <w:b/>
          <w:sz w:val="20"/>
          <w:szCs w:val="20"/>
        </w:rPr>
        <w:t>20</w:t>
      </w:r>
      <w:r w:rsidRPr="00AF481B">
        <w:rPr>
          <w:b/>
          <w:sz w:val="20"/>
          <w:szCs w:val="20"/>
        </w:rPr>
        <w:t xml:space="preserve"> </w:t>
      </w:r>
      <w:r w:rsidR="004323F7" w:rsidRPr="00AF481B">
        <w:rPr>
          <w:b/>
          <w:sz w:val="20"/>
          <w:szCs w:val="20"/>
        </w:rPr>
        <w:t>MARS</w:t>
      </w:r>
      <w:r w:rsidRPr="00AF481B">
        <w:rPr>
          <w:b/>
          <w:sz w:val="20"/>
          <w:szCs w:val="20"/>
        </w:rPr>
        <w:t xml:space="preserve"> 202</w:t>
      </w:r>
      <w:r w:rsidR="00345645" w:rsidRPr="00AF481B">
        <w:rPr>
          <w:b/>
          <w:sz w:val="20"/>
          <w:szCs w:val="20"/>
        </w:rPr>
        <w:t>4</w:t>
      </w:r>
    </w:p>
    <w:p w:rsidR="008E30C2" w:rsidRPr="00AF481B" w:rsidRDefault="008E30C2" w:rsidP="00732DB7">
      <w:pPr>
        <w:widowControl w:val="0"/>
        <w:rPr>
          <w:sz w:val="20"/>
          <w:szCs w:val="20"/>
          <w:lang w:val="en-US"/>
        </w:rPr>
      </w:pPr>
    </w:p>
    <w:p w:rsidR="004323F7" w:rsidRPr="00AF481B" w:rsidRDefault="004323F7" w:rsidP="004323F7">
      <w:pPr>
        <w:widowControl w:val="0"/>
        <w:rPr>
          <w:sz w:val="20"/>
          <w:szCs w:val="20"/>
          <w:lang w:val="fr-CA"/>
        </w:rPr>
      </w:pPr>
      <w:r w:rsidRPr="00AF481B">
        <w:rPr>
          <w:b/>
          <w:iCs/>
          <w:sz w:val="20"/>
          <w:szCs w:val="20"/>
          <w:lang w:val="fr-CA"/>
        </w:rPr>
        <w:t>R. c. Boudreau</w:t>
      </w:r>
      <w:r w:rsidRPr="00AF481B">
        <w:rPr>
          <w:i/>
          <w:iCs/>
          <w:sz w:val="20"/>
          <w:szCs w:val="20"/>
          <w:lang w:val="fr-CA"/>
        </w:rPr>
        <w:t> </w:t>
      </w:r>
      <w:r w:rsidRPr="00AF481B">
        <w:rPr>
          <w:iCs/>
          <w:sz w:val="20"/>
          <w:szCs w:val="20"/>
          <w:lang w:val="fr-CA"/>
        </w:rPr>
        <w:t>(Qc) (Criminelle) (De plein droit) (</w:t>
      </w:r>
      <w:hyperlink r:id="rId65" w:history="1">
        <w:r w:rsidRPr="00AF481B">
          <w:rPr>
            <w:rStyle w:val="Hyperlink"/>
            <w:iCs/>
            <w:sz w:val="20"/>
            <w:szCs w:val="20"/>
            <w:lang w:val="fr-CA"/>
          </w:rPr>
          <w:t>40810</w:t>
        </w:r>
      </w:hyperlink>
      <w:r w:rsidRPr="00AF481B">
        <w:rPr>
          <w:iCs/>
          <w:sz w:val="20"/>
          <w:szCs w:val="20"/>
          <w:lang w:val="fr-CA"/>
        </w:rPr>
        <w:t>)</w:t>
      </w:r>
    </w:p>
    <w:p w:rsidR="006C221F" w:rsidRPr="00AF481B" w:rsidRDefault="006C221F" w:rsidP="006C221F">
      <w:pPr>
        <w:widowControl w:val="0"/>
        <w:ind w:left="1109" w:hanging="1109"/>
        <w:rPr>
          <w:sz w:val="20"/>
          <w:szCs w:val="20"/>
          <w:lang w:val="fr-CA"/>
        </w:rPr>
      </w:pPr>
      <w:r w:rsidRPr="00AF481B">
        <w:rPr>
          <w:b/>
          <w:sz w:val="20"/>
          <w:szCs w:val="20"/>
          <w:lang w:val="fr-CA"/>
        </w:rPr>
        <w:t>202</w:t>
      </w:r>
      <w:r w:rsidR="00345645" w:rsidRPr="00AF481B">
        <w:rPr>
          <w:b/>
          <w:sz w:val="20"/>
          <w:szCs w:val="20"/>
          <w:lang w:val="fr-CA"/>
        </w:rPr>
        <w:t>4</w:t>
      </w:r>
      <w:r w:rsidRPr="00AF481B">
        <w:rPr>
          <w:b/>
          <w:sz w:val="20"/>
          <w:szCs w:val="20"/>
          <w:lang w:val="fr-CA"/>
        </w:rPr>
        <w:t xml:space="preserve"> CSC </w:t>
      </w:r>
      <w:r w:rsidR="004323F7" w:rsidRPr="00AF481B">
        <w:rPr>
          <w:b/>
          <w:sz w:val="20"/>
          <w:szCs w:val="20"/>
          <w:lang w:val="fr-CA"/>
        </w:rPr>
        <w:t>9</w:t>
      </w:r>
    </w:p>
    <w:p w:rsidR="006C221F" w:rsidRPr="00AF481B" w:rsidRDefault="006C221F" w:rsidP="006C221F">
      <w:pPr>
        <w:widowControl w:val="0"/>
        <w:ind w:left="1109" w:hanging="1109"/>
        <w:rPr>
          <w:sz w:val="20"/>
          <w:szCs w:val="20"/>
          <w:lang w:val="fr-CA"/>
        </w:rPr>
      </w:pPr>
    </w:p>
    <w:p w:rsidR="006C221F" w:rsidRPr="00AF481B" w:rsidRDefault="006C221F" w:rsidP="006C221F">
      <w:pPr>
        <w:widowControl w:val="0"/>
        <w:ind w:left="1109" w:hanging="1109"/>
        <w:rPr>
          <w:sz w:val="20"/>
          <w:szCs w:val="20"/>
          <w:lang w:val="fr-CA"/>
        </w:rPr>
      </w:pPr>
      <w:r w:rsidRPr="00AF481B">
        <w:rPr>
          <w:sz w:val="20"/>
          <w:szCs w:val="20"/>
          <w:lang w:val="fr-CA"/>
        </w:rPr>
        <w:t xml:space="preserve">Coram: </w:t>
      </w:r>
      <w:r w:rsidRPr="00AF481B">
        <w:rPr>
          <w:sz w:val="20"/>
          <w:szCs w:val="20"/>
          <w:lang w:val="fr-CA"/>
        </w:rPr>
        <w:tab/>
      </w:r>
      <w:r w:rsidR="004323F7" w:rsidRPr="00AF481B">
        <w:rPr>
          <w:sz w:val="20"/>
          <w:szCs w:val="20"/>
          <w:lang w:val="fr-CA"/>
        </w:rPr>
        <w:t>Les juges Côté, Martin, Kasirer, Jamal et O’Bonsawin</w:t>
      </w:r>
    </w:p>
    <w:p w:rsidR="006C221F" w:rsidRPr="00AF481B" w:rsidRDefault="006C221F" w:rsidP="006C221F">
      <w:pPr>
        <w:ind w:left="1109" w:hanging="1109"/>
        <w:rPr>
          <w:color w:val="000000"/>
          <w:sz w:val="20"/>
          <w:szCs w:val="20"/>
          <w:lang w:val="fr-CA"/>
        </w:rPr>
      </w:pPr>
    </w:p>
    <w:p w:rsidR="006C221F" w:rsidRPr="00AF481B" w:rsidRDefault="006C221F" w:rsidP="006C221F">
      <w:pPr>
        <w:widowControl w:val="0"/>
        <w:ind w:left="1109" w:hanging="1109"/>
        <w:rPr>
          <w:sz w:val="20"/>
          <w:szCs w:val="20"/>
        </w:rPr>
      </w:pPr>
      <w:r w:rsidRPr="00AF481B">
        <w:rPr>
          <w:b/>
          <w:sz w:val="20"/>
          <w:szCs w:val="20"/>
        </w:rPr>
        <w:t>REJETÉ</w:t>
      </w:r>
    </w:p>
    <w:p w:rsidR="008E30C2" w:rsidRPr="00AF481B" w:rsidRDefault="008E30C2" w:rsidP="00732DB7">
      <w:pPr>
        <w:widowControl w:val="0"/>
        <w:rPr>
          <w:sz w:val="20"/>
          <w:szCs w:val="20"/>
          <w:lang w:val="fr-CA"/>
        </w:rPr>
      </w:pPr>
    </w:p>
    <w:p w:rsidR="004323F7" w:rsidRPr="00AF481B" w:rsidRDefault="00AF481B" w:rsidP="004323F7">
      <w:pPr>
        <w:widowControl w:val="0"/>
        <w:tabs>
          <w:tab w:val="left" w:pos="720"/>
          <w:tab w:val="left" w:pos="1440"/>
          <w:tab w:val="left" w:pos="2851"/>
          <w:tab w:val="left" w:pos="4320"/>
          <w:tab w:val="left" w:pos="10224"/>
          <w:tab w:val="left" w:pos="11376"/>
        </w:tabs>
        <w:rPr>
          <w:sz w:val="20"/>
          <w:szCs w:val="20"/>
          <w:lang w:val="fr-CA"/>
        </w:rPr>
      </w:pPr>
      <w:r w:rsidRPr="00AF481B">
        <w:rPr>
          <w:sz w:val="20"/>
          <w:szCs w:val="20"/>
        </w:rPr>
        <w:pict>
          <v:rect id="_x0000_i1067" style="width:2in;height:1pt" o:hrpct="0" o:hralign="center" o:hrstd="t" o:hrnoshade="t" o:hr="t" fillcolor="black [3213]" stroked="f"/>
        </w:pict>
      </w:r>
    </w:p>
    <w:p w:rsidR="004323F7" w:rsidRPr="00AF481B" w:rsidRDefault="004323F7" w:rsidP="004323F7">
      <w:pPr>
        <w:widowControl w:val="0"/>
        <w:tabs>
          <w:tab w:val="left" w:pos="720"/>
          <w:tab w:val="left" w:pos="1440"/>
          <w:tab w:val="left" w:pos="2851"/>
          <w:tab w:val="left" w:pos="4320"/>
          <w:tab w:val="left" w:pos="10224"/>
          <w:tab w:val="left" w:pos="11376"/>
        </w:tabs>
        <w:rPr>
          <w:sz w:val="20"/>
          <w:szCs w:val="20"/>
          <w:lang w:val="fr-CA"/>
        </w:rPr>
      </w:pPr>
    </w:p>
    <w:p w:rsidR="004323F7" w:rsidRPr="00AF481B" w:rsidRDefault="004323F7" w:rsidP="004323F7">
      <w:pPr>
        <w:widowControl w:val="0"/>
        <w:rPr>
          <w:b/>
          <w:sz w:val="20"/>
          <w:szCs w:val="20"/>
        </w:rPr>
      </w:pPr>
      <w:r w:rsidRPr="00AF481B">
        <w:rPr>
          <w:b/>
          <w:sz w:val="20"/>
          <w:szCs w:val="20"/>
        </w:rPr>
        <w:t>LE 21 MARS 2024</w:t>
      </w:r>
    </w:p>
    <w:p w:rsidR="004323F7" w:rsidRPr="00AF481B" w:rsidRDefault="004323F7" w:rsidP="004323F7">
      <w:pPr>
        <w:widowControl w:val="0"/>
        <w:rPr>
          <w:sz w:val="20"/>
          <w:szCs w:val="20"/>
          <w:lang w:val="en-US"/>
        </w:rPr>
      </w:pPr>
    </w:p>
    <w:p w:rsidR="004474B1" w:rsidRPr="00AF481B" w:rsidRDefault="004474B1" w:rsidP="004474B1">
      <w:pPr>
        <w:widowControl w:val="0"/>
        <w:rPr>
          <w:sz w:val="20"/>
          <w:szCs w:val="20"/>
          <w:lang w:val="fr-CA"/>
        </w:rPr>
      </w:pPr>
      <w:r w:rsidRPr="00AF481B">
        <w:rPr>
          <w:b/>
          <w:iCs/>
          <w:sz w:val="20"/>
          <w:szCs w:val="20"/>
        </w:rPr>
        <w:t>Dwayne Alexander Campbell c. Sa Majesté le Roi</w:t>
      </w:r>
      <w:r w:rsidRPr="00AF481B">
        <w:rPr>
          <w:i/>
          <w:iCs/>
          <w:sz w:val="20"/>
          <w:szCs w:val="20"/>
        </w:rPr>
        <w:t> </w:t>
      </w:r>
      <w:r w:rsidRPr="00AF481B">
        <w:rPr>
          <w:iCs/>
          <w:sz w:val="20"/>
          <w:szCs w:val="20"/>
        </w:rPr>
        <w:t>(Ont.) (Criminelle) (Autorisation) (</w:t>
      </w:r>
      <w:hyperlink r:id="rId66" w:history="1">
        <w:r w:rsidRPr="00AF481B">
          <w:rPr>
            <w:rStyle w:val="Hyperlink"/>
            <w:iCs/>
            <w:sz w:val="20"/>
            <w:szCs w:val="20"/>
          </w:rPr>
          <w:t>40465</w:t>
        </w:r>
      </w:hyperlink>
      <w:r w:rsidRPr="00AF481B">
        <w:rPr>
          <w:iCs/>
          <w:sz w:val="20"/>
          <w:szCs w:val="20"/>
        </w:rPr>
        <w:t>)</w:t>
      </w:r>
    </w:p>
    <w:p w:rsidR="004323F7" w:rsidRPr="00AF481B" w:rsidRDefault="004323F7" w:rsidP="004323F7">
      <w:pPr>
        <w:widowControl w:val="0"/>
        <w:ind w:left="1109" w:hanging="1109"/>
        <w:rPr>
          <w:sz w:val="20"/>
          <w:szCs w:val="20"/>
          <w:lang w:val="fr-CA"/>
        </w:rPr>
      </w:pPr>
    </w:p>
    <w:p w:rsidR="004323F7" w:rsidRPr="00AF481B" w:rsidRDefault="004323F7" w:rsidP="004323F7">
      <w:pPr>
        <w:widowControl w:val="0"/>
        <w:ind w:left="1109" w:hanging="1109"/>
        <w:rPr>
          <w:sz w:val="20"/>
          <w:szCs w:val="20"/>
          <w:lang w:val="fr-CA"/>
        </w:rPr>
      </w:pPr>
      <w:r w:rsidRPr="00AF481B">
        <w:rPr>
          <w:sz w:val="20"/>
          <w:szCs w:val="20"/>
          <w:lang w:val="fr-CA"/>
        </w:rPr>
        <w:t xml:space="preserve">Coram: </w:t>
      </w:r>
      <w:r w:rsidRPr="00AF481B">
        <w:rPr>
          <w:sz w:val="20"/>
          <w:szCs w:val="20"/>
          <w:lang w:val="fr-CA"/>
        </w:rPr>
        <w:tab/>
      </w:r>
      <w:r w:rsidR="004474B1" w:rsidRPr="00AF481B">
        <w:rPr>
          <w:sz w:val="20"/>
          <w:szCs w:val="20"/>
          <w:lang w:val="fr-CA"/>
        </w:rPr>
        <w:t>Le juge en chef Wagner et les juges Karakatsanis, Côté, Rowe, Martin, Kasirer, Jamal, O’Bonsawin et Moreau</w:t>
      </w:r>
    </w:p>
    <w:p w:rsidR="004323F7" w:rsidRPr="00AF481B" w:rsidRDefault="004323F7" w:rsidP="004323F7">
      <w:pPr>
        <w:ind w:left="1109" w:hanging="1109"/>
        <w:rPr>
          <w:color w:val="000000"/>
          <w:sz w:val="20"/>
          <w:szCs w:val="20"/>
          <w:lang w:val="fr-CA"/>
        </w:rPr>
      </w:pPr>
    </w:p>
    <w:p w:rsidR="004323F7" w:rsidRPr="00AF481B" w:rsidRDefault="004323F7" w:rsidP="004323F7">
      <w:pPr>
        <w:ind w:left="1109" w:hanging="1109"/>
        <w:rPr>
          <w:b/>
          <w:bCs/>
          <w:color w:val="000000"/>
          <w:sz w:val="20"/>
          <w:szCs w:val="20"/>
        </w:rPr>
      </w:pPr>
      <w:r w:rsidRPr="00AF481B">
        <w:rPr>
          <w:b/>
          <w:bCs/>
          <w:color w:val="000000"/>
          <w:sz w:val="20"/>
          <w:szCs w:val="20"/>
        </w:rPr>
        <w:t>EN DÉLIBÉRÉ</w:t>
      </w:r>
    </w:p>
    <w:p w:rsidR="004323F7" w:rsidRPr="00AF481B" w:rsidRDefault="004323F7" w:rsidP="00732DB7">
      <w:pPr>
        <w:widowControl w:val="0"/>
        <w:rPr>
          <w:sz w:val="20"/>
          <w:szCs w:val="20"/>
          <w:lang w:val="fr-CA"/>
        </w:rPr>
      </w:pPr>
    </w:p>
    <w:p w:rsidR="00172473" w:rsidRPr="00AF481B" w:rsidRDefault="00AF481B" w:rsidP="00732DB7">
      <w:pPr>
        <w:widowControl w:val="0"/>
        <w:rPr>
          <w:sz w:val="20"/>
          <w:szCs w:val="20"/>
          <w:lang w:val="fr-CA"/>
        </w:rPr>
      </w:pPr>
      <w:r w:rsidRPr="00AF481B">
        <w:rPr>
          <w:sz w:val="20"/>
          <w:szCs w:val="20"/>
        </w:rPr>
        <w:pict>
          <v:rect id="_x0000_i1068" style="width:2in;height:1pt" o:hrpct="0" o:hralign="center" o:hrstd="t" o:hrnoshade="t" o:hr="t" fillcolor="black [3213]" stroked="f"/>
        </w:pict>
      </w:r>
    </w:p>
    <w:p w:rsidR="00732DB7" w:rsidRPr="00AF481B" w:rsidRDefault="00732DB7" w:rsidP="00732DB7">
      <w:pPr>
        <w:widowControl w:val="0"/>
        <w:rPr>
          <w:sz w:val="20"/>
          <w:szCs w:val="20"/>
          <w:lang w:val="fr-CA"/>
        </w:rPr>
      </w:pPr>
    </w:p>
    <w:p w:rsidR="006C221F" w:rsidRPr="00AF481B" w:rsidRDefault="006C221F" w:rsidP="00732DB7">
      <w:pPr>
        <w:widowControl w:val="0"/>
        <w:rPr>
          <w:sz w:val="20"/>
          <w:szCs w:val="20"/>
          <w:lang w:val="fr-CA"/>
        </w:rPr>
      </w:pPr>
    </w:p>
    <w:p w:rsidR="00732DB7" w:rsidRPr="00AF481B" w:rsidRDefault="00732DB7" w:rsidP="00732DB7">
      <w:pPr>
        <w:widowControl w:val="0"/>
        <w:rPr>
          <w:sz w:val="20"/>
          <w:szCs w:val="20"/>
          <w:lang w:val="fr-CA"/>
        </w:rPr>
        <w:sectPr w:rsidR="00732DB7" w:rsidRPr="00AF481B" w:rsidSect="00732DB7">
          <w:headerReference w:type="even" r:id="rId67"/>
          <w:headerReference w:type="default" r:id="rId68"/>
          <w:footerReference w:type="even" r:id="rId69"/>
          <w:footerReference w:type="default" r:id="rId70"/>
          <w:headerReference w:type="first" r:id="rId71"/>
          <w:footerReference w:type="first" r:id="rId72"/>
          <w:pgSz w:w="12240" w:h="15840"/>
          <w:pgMar w:top="720" w:right="965" w:bottom="1080" w:left="1656" w:header="720" w:footer="960" w:gutter="0"/>
          <w:cols w:space="720"/>
          <w:titlePg/>
          <w:docGrid w:linePitch="326"/>
        </w:sectPr>
      </w:pPr>
    </w:p>
    <w:p w:rsidR="00987E32" w:rsidRPr="00AF481B" w:rsidRDefault="00987E32" w:rsidP="00987E32">
      <w:pPr>
        <w:tabs>
          <w:tab w:val="center" w:pos="5220"/>
          <w:tab w:val="right" w:pos="10800"/>
        </w:tabs>
        <w:jc w:val="center"/>
        <w:rPr>
          <w:rFonts w:ascii="Arial" w:hAnsi="Arial" w:cs="Arial"/>
          <w:szCs w:val="24"/>
          <w:lang w:val="fr-CA"/>
        </w:rPr>
      </w:pPr>
      <w:bookmarkStart w:id="7" w:name="1"/>
      <w:bookmarkStart w:id="8" w:name="QuickMark"/>
      <w:bookmarkEnd w:id="7"/>
      <w:bookmarkEnd w:id="8"/>
      <w:r w:rsidRPr="00AF481B">
        <w:rPr>
          <w:rFonts w:ascii="Arial" w:hAnsi="Arial" w:cs="Arial"/>
          <w:b/>
          <w:szCs w:val="24"/>
          <w:lang w:val="fr-FR"/>
        </w:rPr>
        <w:t>- 2023 -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AF481B"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lang w:val="fr-FR"/>
              </w:rPr>
            </w:pPr>
            <w:r w:rsidRPr="00AF481B">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lang w:val="fr-FR"/>
              </w:rPr>
            </w:pPr>
            <w:r w:rsidRPr="00AF481B">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lang w:val="fr-FR"/>
              </w:rPr>
            </w:pPr>
            <w:r w:rsidRPr="00AF481B">
              <w:rPr>
                <w:rFonts w:ascii="Arial" w:eastAsia="Arial" w:hAnsi="Arial"/>
                <w:b/>
                <w:color w:val="000000"/>
                <w:sz w:val="13"/>
              </w:rPr>
              <w:t>DECEMBER – DÉCEMBRE</w:t>
            </w:r>
          </w:p>
        </w:tc>
      </w:tr>
      <w:tr w:rsidR="00987E32" w:rsidRPr="00AF481B"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S</w:t>
            </w:r>
          </w:p>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M</w:t>
            </w:r>
          </w:p>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T</w:t>
            </w:r>
          </w:p>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W</w:t>
            </w:r>
          </w:p>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T</w:t>
            </w:r>
          </w:p>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F</w:t>
            </w:r>
          </w:p>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S</w:t>
            </w:r>
          </w:p>
          <w:p w:rsidR="00987E32" w:rsidRPr="00AF481B" w:rsidRDefault="00987E32" w:rsidP="008E30C2">
            <w:pPr>
              <w:jc w:val="center"/>
              <w:textAlignment w:val="baseline"/>
              <w:rPr>
                <w:rFonts w:ascii="Arial" w:eastAsia="Arial" w:hAnsi="Arial"/>
                <w:b/>
                <w:color w:val="000000"/>
                <w:sz w:val="13"/>
                <w:szCs w:val="13"/>
              </w:rPr>
            </w:pPr>
            <w:r w:rsidRPr="00AF481B">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S</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M</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T</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W</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T</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F</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S</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S</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M</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T</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W</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T</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F</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S</w:t>
            </w:r>
          </w:p>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S</w:t>
            </w:r>
          </w:p>
        </w:tc>
      </w:tr>
      <w:tr w:rsidR="00987E32" w:rsidRPr="00AF481B"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1</w:t>
            </w:r>
          </w:p>
        </w:tc>
        <w:tc>
          <w:tcPr>
            <w:tcW w:w="224"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2</w:t>
            </w:r>
          </w:p>
        </w:tc>
      </w:tr>
      <w:tr w:rsidR="00987E32" w:rsidRPr="00AF481B" w:rsidTr="008E30C2">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CC</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CC</w:t>
            </w:r>
          </w:p>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8</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10</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3</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CC</w:t>
            </w:r>
          </w:p>
          <w:p w:rsidR="00987E32" w:rsidRPr="00AF481B" w:rsidRDefault="00987E32" w:rsidP="008E30C2">
            <w:pPr>
              <w:jc w:val="center"/>
              <w:rPr>
                <w:rFonts w:ascii="Arial" w:hAnsi="Arial" w:cs="Arial"/>
                <w:sz w:val="13"/>
                <w:szCs w:val="13"/>
              </w:rPr>
            </w:pPr>
            <w:r w:rsidRPr="00AF481B">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9</w:t>
            </w:r>
          </w:p>
        </w:tc>
      </w:tr>
      <w:tr w:rsidR="00987E32" w:rsidRPr="00AF481B" w:rsidTr="008E30C2">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24" w:type="pct"/>
            <w:tcBorders>
              <w:top w:val="doub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16</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12</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rPr>
            </w:pPr>
            <w:r w:rsidRPr="00AF481B">
              <w:rPr>
                <w:rFonts w:ascii="Arial" w:eastAsia="Arial" w:hAnsi="Arial" w:cs="Arial"/>
                <w:b/>
                <w:color w:val="000000"/>
                <w:sz w:val="13"/>
              </w:rPr>
              <w:t>H</w:t>
            </w:r>
          </w:p>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13</w:t>
            </w:r>
          </w:p>
        </w:tc>
        <w:tc>
          <w:tcPr>
            <w:tcW w:w="225" w:type="pct"/>
            <w:tcBorders>
              <w:top w:val="single" w:sz="4" w:space="0" w:color="000000" w:themeColor="text1"/>
              <w:left w:val="single" w:sz="4" w:space="0" w:color="auto"/>
              <w:bottom w:val="single" w:sz="4" w:space="0" w:color="auto"/>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17</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15</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16</w:t>
            </w:r>
          </w:p>
        </w:tc>
      </w:tr>
      <w:tr w:rsidR="00987E32" w:rsidRPr="00AF481B"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2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19</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25</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22</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rPr>
                <w:rFonts w:ascii="Arial" w:hAnsi="Arial" w:cs="Arial"/>
                <w:sz w:val="13"/>
                <w:szCs w:val="13"/>
              </w:rPr>
            </w:pPr>
            <w:r w:rsidRPr="00AF481B">
              <w:rPr>
                <w:rFonts w:ascii="Arial" w:hAnsi="Arial" w:cs="Arial"/>
                <w:sz w:val="13"/>
                <w:szCs w:val="13"/>
              </w:rPr>
              <w:t>23</w:t>
            </w:r>
          </w:p>
        </w:tc>
      </w:tr>
      <w:tr w:rsidR="00987E32" w:rsidRPr="00AF481B" w:rsidTr="008E30C2">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29</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31</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rPr>
            </w:pPr>
            <w:r w:rsidRPr="00AF481B">
              <w:rPr>
                <w:rFonts w:ascii="Arial" w:eastAsia="Arial" w:hAnsi="Arial" w:cs="Arial"/>
                <w:color w:val="000000"/>
                <w:sz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 xml:space="preserve">  24 /</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31</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spacing w:before="91" w:line="148" w:lineRule="exact"/>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spacing w:before="91" w:line="148" w:lineRule="exact"/>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29</w:t>
            </w: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30</w:t>
            </w:r>
          </w:p>
        </w:tc>
      </w:tr>
    </w:tbl>
    <w:p w:rsidR="00987E32" w:rsidRPr="00AF481B" w:rsidRDefault="00987E32" w:rsidP="00987E32">
      <w:pPr>
        <w:tabs>
          <w:tab w:val="center" w:pos="5220"/>
          <w:tab w:val="right" w:pos="10440"/>
        </w:tabs>
        <w:spacing w:before="120"/>
        <w:jc w:val="center"/>
        <w:rPr>
          <w:rFonts w:ascii="Arial" w:hAnsi="Arial" w:cs="Arial"/>
          <w:szCs w:val="24"/>
        </w:rPr>
      </w:pPr>
      <w:r w:rsidRPr="00AF481B">
        <w:rPr>
          <w:rFonts w:ascii="Arial" w:hAnsi="Arial" w:cs="Arial"/>
          <w:b/>
          <w:szCs w:val="24"/>
        </w:rPr>
        <w:t>- 2024 -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AF481B"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MARCH – MARS</w:t>
            </w:r>
          </w:p>
        </w:tc>
      </w:tr>
      <w:tr w:rsidR="00987E32" w:rsidRPr="00AF481B"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r>
      <w:tr w:rsidR="00987E32" w:rsidRPr="00AF481B"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AF481B" w:rsidRDefault="00987E32" w:rsidP="008E30C2">
            <w:pPr>
              <w:spacing w:before="91" w:line="148" w:lineRule="exact"/>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Arial" w:hAnsi="Arial" w:cs="Arial"/>
                <w:color w:val="000000"/>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w:t>
            </w:r>
          </w:p>
        </w:tc>
        <w:tc>
          <w:tcPr>
            <w:tcW w:w="222"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AF481B"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AF481B"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w:t>
            </w:r>
          </w:p>
        </w:tc>
      </w:tr>
      <w:tr w:rsidR="00987E32" w:rsidRPr="00AF481B"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spacing w:before="241" w:after="34" w:line="147" w:lineRule="exact"/>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spacing w:before="2" w:after="34" w:line="147" w:lineRule="exact"/>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4</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r>
      <w:tr w:rsidR="00987E32" w:rsidRPr="00AF481B"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spacing w:before="240" w:after="30" w:line="147" w:lineRule="exact"/>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spacing w:before="91" w:line="148" w:lineRule="exact"/>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CC</w:t>
            </w:r>
          </w:p>
          <w:p w:rsidR="00987E32" w:rsidRPr="00AF481B" w:rsidRDefault="00987E32" w:rsidP="008E30C2">
            <w:pPr>
              <w:spacing w:before="1" w:after="30" w:line="147" w:lineRule="exact"/>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CC</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16</w:t>
            </w:r>
          </w:p>
        </w:tc>
      </w:tr>
      <w:tr w:rsidR="00987E32" w:rsidRPr="00AF481B"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spacing w:before="212" w:after="30" w:line="147" w:lineRule="exact"/>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spacing w:before="212" w:after="30" w:line="147" w:lineRule="exact"/>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CC</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NR</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r>
      <w:tr w:rsidR="00987E32" w:rsidRPr="00AF481B" w:rsidTr="008E30C2">
        <w:trPr>
          <w:trHeight w:val="319"/>
        </w:trPr>
        <w:tc>
          <w:tcPr>
            <w:tcW w:w="222"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spacing w:before="39" w:after="30" w:line="147" w:lineRule="exact"/>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spacing w:before="39" w:after="30" w:line="147" w:lineRule="exact"/>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 xml:space="preserve">  24 /</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31</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AF481B" w:rsidRDefault="00987E32" w:rsidP="008E30C2">
            <w:pPr>
              <w:spacing w:before="91" w:line="148" w:lineRule="exact"/>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29</w:t>
            </w:r>
          </w:p>
        </w:tc>
        <w:tc>
          <w:tcPr>
            <w:tcW w:w="214" w:type="pct"/>
            <w:tcBorders>
              <w:top w:val="single" w:sz="4" w:space="0" w:color="000000" w:themeColor="text1"/>
              <w:left w:val="doub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30</w:t>
            </w:r>
          </w:p>
        </w:tc>
      </w:tr>
      <w:tr w:rsidR="00987E32" w:rsidRPr="00AF481B"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JUNE – JUIN</w:t>
            </w:r>
          </w:p>
        </w:tc>
      </w:tr>
      <w:tr w:rsidR="00987E32" w:rsidRPr="00AF481B"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r>
      <w:tr w:rsidR="00987E32" w:rsidRPr="00AF481B"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OR</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eastAsia="Times New Roman"/>
                <w:color w:val="000000"/>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eastAsia="Times New Roman"/>
                <w:color w:val="000000"/>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eastAsia="Times New Roman"/>
                <w:color w:val="000000"/>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w:t>
            </w:r>
          </w:p>
        </w:tc>
      </w:tr>
      <w:tr w:rsidR="00987E32" w:rsidRPr="00AF481B"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OR</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OR</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2</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8</w:t>
            </w:r>
          </w:p>
        </w:tc>
      </w:tr>
      <w:tr w:rsidR="00987E32" w:rsidRPr="00AF481B"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CC</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16</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9</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b/>
                <w:color w:val="000000"/>
                <w:sz w:val="13"/>
              </w:rPr>
            </w:pPr>
            <w:r w:rsidRPr="00AF481B">
              <w:rPr>
                <w:rFonts w:ascii="Arial" w:eastAsia="Arial" w:hAnsi="Arial"/>
                <w:b/>
                <w:color w:val="000000"/>
                <w:sz w:val="13"/>
              </w:rPr>
              <w:t>CC</w:t>
            </w:r>
          </w:p>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15</w:t>
            </w:r>
          </w:p>
        </w:tc>
      </w:tr>
      <w:tr w:rsidR="00987E32" w:rsidRPr="00AF481B"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RV</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olor w:val="000000"/>
                <w:sz w:val="13"/>
              </w:rPr>
            </w:pPr>
            <w:r w:rsidRPr="00AF481B">
              <w:rPr>
                <w:rFonts w:ascii="Arial" w:eastAsia="Arial" w:hAnsi="Arial"/>
                <w:color w:val="000000"/>
                <w:sz w:val="13"/>
              </w:rPr>
              <w:t>22</w:t>
            </w:r>
          </w:p>
        </w:tc>
      </w:tr>
      <w:tr w:rsidR="00987E32" w:rsidRPr="00AF481B" w:rsidTr="008E30C2">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29</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31</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 xml:space="preserve">  23 /</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29</w:t>
            </w:r>
          </w:p>
        </w:tc>
      </w:tr>
      <w:tr w:rsidR="00987E32" w:rsidRPr="00AF481B"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SEPTEMBER – SEPTEMBRE</w:t>
            </w:r>
          </w:p>
        </w:tc>
      </w:tr>
      <w:tr w:rsidR="00987E32" w:rsidRPr="00AF481B" w:rsidTr="008E30C2">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6"/>
                <w:szCs w:val="16"/>
              </w:rPr>
            </w:pPr>
            <w:r w:rsidRPr="00AF481B">
              <w:rPr>
                <w:rFonts w:ascii="Arial" w:hAnsi="Arial" w:cs="Arial"/>
                <w:b/>
                <w:sz w:val="13"/>
                <w:szCs w:val="13"/>
              </w:rPr>
              <w:t>D</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AF481B"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W</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T</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F</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p w:rsidR="00987E32" w:rsidRPr="00AF481B" w:rsidRDefault="00987E32" w:rsidP="008E30C2">
            <w:pPr>
              <w:tabs>
                <w:tab w:val="center" w:pos="5220"/>
                <w:tab w:val="right" w:pos="10440"/>
              </w:tabs>
              <w:jc w:val="center"/>
              <w:rPr>
                <w:rFonts w:ascii="Arial" w:hAnsi="Arial" w:cs="Arial"/>
                <w:b/>
                <w:sz w:val="13"/>
                <w:szCs w:val="13"/>
              </w:rPr>
            </w:pPr>
            <w:r w:rsidRPr="00AF481B">
              <w:rPr>
                <w:rFonts w:ascii="Arial" w:hAnsi="Arial" w:cs="Arial"/>
                <w:b/>
                <w:sz w:val="13"/>
                <w:szCs w:val="13"/>
              </w:rPr>
              <w:t>S</w:t>
            </w:r>
          </w:p>
        </w:tc>
      </w:tr>
      <w:tr w:rsidR="00987E32" w:rsidRPr="00AF481B"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tcPr>
          <w:p w:rsidR="00987E32" w:rsidRPr="00AF481B"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5</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AF481B"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1</w:t>
            </w: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Arial" w:hAnsi="Arial" w:cs="Arial"/>
                <w:color w:val="000000"/>
                <w:sz w:val="13"/>
                <w:szCs w:val="13"/>
              </w:rPr>
              <w:t>2</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r>
      <w:tr w:rsidR="00987E32" w:rsidRPr="00AF481B"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4</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5</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8</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r>
      <w:tr w:rsidR="00987E32" w:rsidRPr="00AF481B"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11</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15</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r>
      <w:tr w:rsidR="00987E32" w:rsidRPr="00AF481B"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22</w:t>
            </w:r>
          </w:p>
        </w:tc>
        <w:tc>
          <w:tcPr>
            <w:tcW w:w="291" w:type="pct"/>
            <w:tcBorders>
              <w:top w:val="single" w:sz="4" w:space="0" w:color="auto"/>
              <w:left w:val="single" w:sz="4" w:space="0" w:color="000000" w:themeColor="text1"/>
              <w:bottom w:val="double" w:sz="4" w:space="0" w:color="auto"/>
              <w:right w:val="sing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r>
      <w:tr w:rsidR="00987E32" w:rsidRPr="00AF481B" w:rsidTr="008E30C2">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r w:rsidRPr="00AF481B">
              <w:rPr>
                <w:rFonts w:ascii="Arial" w:eastAsia="Times New Roman" w:hAnsi="Arial" w:cs="Arial"/>
                <w:color w:val="000000"/>
                <w:sz w:val="13"/>
                <w:szCs w:val="13"/>
              </w:rPr>
              <w:t>31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AF481B"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doub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29</w:t>
            </w:r>
          </w:p>
        </w:tc>
        <w:tc>
          <w:tcPr>
            <w:tcW w:w="291"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b/>
                <w:color w:val="000000"/>
                <w:sz w:val="13"/>
                <w:szCs w:val="13"/>
              </w:rPr>
            </w:pPr>
            <w:r w:rsidRPr="00AF481B">
              <w:rPr>
                <w:rFonts w:ascii="Arial" w:eastAsia="Arial" w:hAnsi="Arial" w:cs="Arial"/>
                <w:b/>
                <w:color w:val="000000"/>
                <w:sz w:val="13"/>
                <w:szCs w:val="13"/>
              </w:rPr>
              <w:t>H</w:t>
            </w:r>
          </w:p>
          <w:p w:rsidR="00987E32" w:rsidRPr="00AF481B" w:rsidRDefault="00987E32" w:rsidP="008E30C2">
            <w:pPr>
              <w:jc w:val="center"/>
              <w:textAlignment w:val="baseline"/>
              <w:rPr>
                <w:rFonts w:ascii="Arial" w:eastAsia="Arial" w:hAnsi="Arial" w:cs="Arial"/>
                <w:color w:val="000000"/>
                <w:sz w:val="13"/>
                <w:szCs w:val="13"/>
              </w:rPr>
            </w:pPr>
            <w:r w:rsidRPr="00AF481B">
              <w:rPr>
                <w:rFonts w:ascii="Arial" w:eastAsia="Arial" w:hAnsi="Arial" w:cs="Arial"/>
                <w:color w:val="000000"/>
                <w:sz w:val="13"/>
                <w:szCs w:val="13"/>
              </w:rPr>
              <w:t>30</w:t>
            </w:r>
          </w:p>
        </w:tc>
        <w:tc>
          <w:tcPr>
            <w:tcW w:w="205" w:type="pct"/>
            <w:tcBorders>
              <w:top w:val="single" w:sz="4" w:space="0" w:color="000000" w:themeColor="text1"/>
              <w:left w:val="double" w:sz="4"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987E32" w:rsidRPr="00AF481B" w:rsidRDefault="00987E32" w:rsidP="008E30C2">
            <w:pPr>
              <w:jc w:val="center"/>
              <w:textAlignment w:val="baseline"/>
              <w:rPr>
                <w:rFonts w:ascii="Arial" w:eastAsia="Times New Roman" w:hAnsi="Arial" w:cs="Arial"/>
                <w:color w:val="000000"/>
                <w:sz w:val="13"/>
                <w:szCs w:val="13"/>
              </w:rPr>
            </w:pPr>
          </w:p>
        </w:tc>
      </w:tr>
      <w:tr w:rsidR="00987E32" w:rsidRPr="00AF481B"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987E32" w:rsidRPr="00AF481B" w:rsidRDefault="00987E32" w:rsidP="008E30C2">
            <w:pPr>
              <w:spacing w:before="40"/>
              <w:jc w:val="right"/>
              <w:rPr>
                <w:rFonts w:ascii="Arial" w:hAnsi="Arial" w:cs="Arial"/>
                <w:b/>
                <w:sz w:val="13"/>
                <w:szCs w:val="13"/>
              </w:rPr>
            </w:pPr>
            <w:r w:rsidRPr="00AF481B">
              <w:rPr>
                <w:rFonts w:ascii="Arial" w:hAnsi="Arial" w:cs="Arial"/>
                <w:b/>
                <w:sz w:val="13"/>
                <w:szCs w:val="13"/>
              </w:rPr>
              <w:t>Sitting of the Court /</w:t>
            </w:r>
          </w:p>
          <w:p w:rsidR="00987E32" w:rsidRPr="00AF481B" w:rsidRDefault="00987E32" w:rsidP="008E30C2">
            <w:pPr>
              <w:jc w:val="right"/>
              <w:rPr>
                <w:rFonts w:ascii="Arial" w:hAnsi="Arial" w:cs="Arial"/>
                <w:b/>
                <w:sz w:val="13"/>
                <w:szCs w:val="13"/>
              </w:rPr>
            </w:pPr>
            <w:r w:rsidRPr="00AF481B">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987E32" w:rsidRPr="00AF481B" w:rsidRDefault="00987E32" w:rsidP="008E30C2">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987E32" w:rsidRPr="00AF481B" w:rsidRDefault="00987E32" w:rsidP="008E30C2">
            <w:pPr>
              <w:tabs>
                <w:tab w:val="left" w:pos="203"/>
              </w:tabs>
              <w:spacing w:before="40" w:after="120"/>
              <w:rPr>
                <w:rFonts w:ascii="Arial" w:hAnsi="Arial" w:cs="Arial"/>
                <w:b/>
                <w:sz w:val="13"/>
                <w:szCs w:val="13"/>
                <w:lang w:val="fr-CA"/>
              </w:rPr>
            </w:pPr>
            <w:r w:rsidRPr="00AF481B">
              <w:rPr>
                <w:rFonts w:ascii="Arial" w:hAnsi="Arial" w:cs="Arial"/>
                <w:b/>
                <w:sz w:val="13"/>
                <w:szCs w:val="13"/>
                <w:lang w:val="fr-CA"/>
              </w:rPr>
              <w:t>18</w:t>
            </w:r>
            <w:r w:rsidRPr="00AF481B">
              <w:rPr>
                <w:rFonts w:ascii="Arial" w:hAnsi="Arial" w:cs="Arial"/>
                <w:b/>
                <w:sz w:val="13"/>
                <w:szCs w:val="13"/>
                <w:lang w:val="fr-CA"/>
              </w:rPr>
              <w:tab/>
              <w:t xml:space="preserve"> sitting weeks / semaines séances de la Cour</w:t>
            </w:r>
          </w:p>
          <w:p w:rsidR="00987E32" w:rsidRPr="00AF481B" w:rsidRDefault="00987E32" w:rsidP="008E30C2">
            <w:pPr>
              <w:tabs>
                <w:tab w:val="left" w:pos="203"/>
              </w:tabs>
              <w:rPr>
                <w:rFonts w:ascii="Arial" w:hAnsi="Arial" w:cs="Arial"/>
                <w:b/>
                <w:sz w:val="13"/>
                <w:szCs w:val="13"/>
                <w:lang w:val="fr-CA"/>
              </w:rPr>
            </w:pPr>
            <w:r w:rsidRPr="00AF481B">
              <w:rPr>
                <w:rFonts w:ascii="Arial" w:hAnsi="Arial" w:cs="Arial"/>
                <w:b/>
                <w:sz w:val="13"/>
                <w:szCs w:val="13"/>
                <w:lang w:val="fr-CA"/>
              </w:rPr>
              <w:t>87</w:t>
            </w:r>
            <w:r w:rsidRPr="00AF481B">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987E32" w:rsidRPr="00AF481B" w:rsidRDefault="00987E32" w:rsidP="008E30C2">
            <w:pPr>
              <w:spacing w:before="40" w:after="120"/>
              <w:jc w:val="right"/>
              <w:rPr>
                <w:rFonts w:ascii="Arial" w:hAnsi="Arial" w:cs="Arial"/>
                <w:b/>
                <w:sz w:val="13"/>
                <w:szCs w:val="13"/>
                <w:lang w:val="fr-FR"/>
              </w:rPr>
            </w:pPr>
            <w:r w:rsidRPr="00AF481B">
              <w:rPr>
                <w:rFonts w:ascii="Arial" w:hAnsi="Arial" w:cs="Arial"/>
                <w:b/>
                <w:sz w:val="13"/>
                <w:szCs w:val="13"/>
                <w:lang w:val="fr-FR"/>
              </w:rPr>
              <w:t>Rosh Hashanah / Nouvel An juif</w:t>
            </w:r>
          </w:p>
          <w:p w:rsidR="00987E32" w:rsidRPr="00AF481B" w:rsidRDefault="00987E32" w:rsidP="008E30C2">
            <w:pPr>
              <w:jc w:val="right"/>
              <w:rPr>
                <w:rFonts w:ascii="Arial" w:hAnsi="Arial" w:cs="Arial"/>
                <w:b/>
                <w:sz w:val="13"/>
                <w:szCs w:val="13"/>
                <w:lang w:val="fr-CA"/>
              </w:rPr>
            </w:pPr>
            <w:r w:rsidRPr="00AF481B">
              <w:rPr>
                <w:rFonts w:ascii="Arial" w:hAnsi="Arial" w:cs="Arial"/>
                <w:b/>
                <w:sz w:val="13"/>
                <w:szCs w:val="13"/>
                <w:lang w:val="fr-FR"/>
              </w:rPr>
              <w:t>Yom Kippur / Yom Kippour</w:t>
            </w:r>
          </w:p>
        </w:tc>
        <w:tc>
          <w:tcPr>
            <w:tcW w:w="205" w:type="pct"/>
            <w:hideMark/>
          </w:tcPr>
          <w:p w:rsidR="00987E32" w:rsidRPr="00AF481B" w:rsidRDefault="00987E32" w:rsidP="008E30C2">
            <w:pPr>
              <w:spacing w:before="40" w:after="120"/>
              <w:jc w:val="center"/>
              <w:rPr>
                <w:rFonts w:ascii="Arial" w:hAnsi="Arial" w:cs="Arial"/>
                <w:b/>
                <w:sz w:val="13"/>
                <w:szCs w:val="13"/>
                <w:lang w:val="fr-CA"/>
              </w:rPr>
            </w:pPr>
            <w:r w:rsidRPr="00AF481B">
              <w:rPr>
                <w:rFonts w:ascii="Arial" w:hAnsi="Arial" w:cs="Arial"/>
                <w:b/>
                <w:sz w:val="13"/>
                <w:szCs w:val="13"/>
                <w:lang w:val="fr-CA"/>
              </w:rPr>
              <w:t>RH</w:t>
            </w:r>
          </w:p>
          <w:p w:rsidR="00987E32" w:rsidRPr="00AF481B" w:rsidRDefault="00987E32" w:rsidP="008E30C2">
            <w:pPr>
              <w:jc w:val="center"/>
              <w:rPr>
                <w:rFonts w:ascii="Arial" w:hAnsi="Arial" w:cs="Arial"/>
                <w:b/>
                <w:sz w:val="13"/>
                <w:szCs w:val="13"/>
                <w:lang w:val="fr-CA"/>
              </w:rPr>
            </w:pPr>
            <w:r w:rsidRPr="00AF481B">
              <w:rPr>
                <w:rFonts w:ascii="Arial" w:hAnsi="Arial" w:cs="Arial"/>
                <w:b/>
                <w:sz w:val="13"/>
                <w:szCs w:val="13"/>
                <w:lang w:val="fr-CA"/>
              </w:rPr>
              <w:t>YK</w:t>
            </w:r>
          </w:p>
        </w:tc>
      </w:tr>
      <w:tr w:rsidR="00987E32" w:rsidRPr="00AF481B"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987E32" w:rsidRPr="00AF481B" w:rsidRDefault="00987E32" w:rsidP="008E30C2">
            <w:pPr>
              <w:jc w:val="right"/>
              <w:rPr>
                <w:rFonts w:ascii="Arial" w:hAnsi="Arial" w:cs="Arial"/>
                <w:b/>
                <w:sz w:val="13"/>
                <w:szCs w:val="13"/>
                <w:lang w:val="fr-CA"/>
              </w:rPr>
            </w:pPr>
            <w:r w:rsidRPr="00AF481B">
              <w:rPr>
                <w:rFonts w:ascii="Arial" w:hAnsi="Arial" w:cs="Arial"/>
                <w:b/>
                <w:sz w:val="13"/>
                <w:szCs w:val="13"/>
                <w:lang w:val="fr-CA"/>
              </w:rPr>
              <w:t>Court conference /</w:t>
            </w:r>
          </w:p>
          <w:p w:rsidR="00987E32" w:rsidRPr="00AF481B" w:rsidRDefault="00987E32" w:rsidP="008E30C2">
            <w:pPr>
              <w:jc w:val="right"/>
              <w:rPr>
                <w:rFonts w:ascii="Arial" w:hAnsi="Arial" w:cs="Arial"/>
                <w:b/>
                <w:sz w:val="13"/>
                <w:szCs w:val="13"/>
                <w:lang w:val="fr-CA"/>
              </w:rPr>
            </w:pPr>
            <w:r w:rsidRPr="00AF481B">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7E32" w:rsidRPr="00AF481B" w:rsidRDefault="00987E32" w:rsidP="008E30C2">
            <w:pPr>
              <w:jc w:val="center"/>
              <w:rPr>
                <w:rFonts w:ascii="Arial" w:hAnsi="Arial" w:cs="Arial"/>
                <w:b/>
                <w:sz w:val="13"/>
                <w:szCs w:val="13"/>
                <w:lang w:val="fr-FR"/>
              </w:rPr>
            </w:pPr>
            <w:r w:rsidRPr="00AF481B">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987E32" w:rsidRPr="00AF481B" w:rsidRDefault="00987E32" w:rsidP="008E30C2">
            <w:pPr>
              <w:tabs>
                <w:tab w:val="left" w:pos="203"/>
              </w:tabs>
              <w:rPr>
                <w:rFonts w:ascii="Arial" w:hAnsi="Arial" w:cs="Arial"/>
                <w:b/>
                <w:sz w:val="13"/>
                <w:szCs w:val="13"/>
                <w:lang w:val="fr-CA"/>
              </w:rPr>
            </w:pPr>
            <w:r w:rsidRPr="00AF481B">
              <w:rPr>
                <w:rFonts w:ascii="Arial" w:hAnsi="Arial" w:cs="Arial"/>
                <w:b/>
                <w:sz w:val="13"/>
                <w:szCs w:val="13"/>
                <w:lang w:val="fr-CA"/>
              </w:rPr>
              <w:t>9</w:t>
            </w:r>
            <w:r w:rsidRPr="00AF481B">
              <w:rPr>
                <w:rFonts w:ascii="Arial" w:hAnsi="Arial" w:cs="Arial"/>
                <w:b/>
                <w:sz w:val="13"/>
                <w:szCs w:val="13"/>
                <w:lang w:val="fr-CA"/>
              </w:rPr>
              <w:tab/>
              <w:t>Court conference days /</w:t>
            </w:r>
          </w:p>
          <w:p w:rsidR="00987E32" w:rsidRPr="00AF481B" w:rsidRDefault="00987E32" w:rsidP="008E30C2">
            <w:pPr>
              <w:tabs>
                <w:tab w:val="left" w:pos="203"/>
              </w:tabs>
              <w:rPr>
                <w:rFonts w:ascii="Arial" w:hAnsi="Arial" w:cs="Arial"/>
                <w:b/>
                <w:sz w:val="13"/>
                <w:szCs w:val="13"/>
                <w:lang w:val="fr-CA"/>
              </w:rPr>
            </w:pPr>
            <w:r w:rsidRPr="00AF481B">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987E32" w:rsidRPr="00AF481B" w:rsidRDefault="00987E32" w:rsidP="008E30C2">
            <w:pPr>
              <w:spacing w:before="40" w:after="120"/>
              <w:jc w:val="right"/>
              <w:rPr>
                <w:rFonts w:ascii="Arial" w:hAnsi="Arial" w:cs="Arial"/>
                <w:b/>
                <w:sz w:val="13"/>
                <w:szCs w:val="13"/>
                <w:lang w:val="en-US"/>
              </w:rPr>
            </w:pPr>
            <w:r w:rsidRPr="00AF481B">
              <w:rPr>
                <w:rFonts w:ascii="Arial" w:hAnsi="Arial" w:cs="Arial"/>
                <w:b/>
                <w:sz w:val="13"/>
                <w:szCs w:val="13"/>
                <w:lang w:val="en-US"/>
              </w:rPr>
              <w:t>Orthodox Easter / Pâques orthodoxe</w:t>
            </w:r>
          </w:p>
          <w:p w:rsidR="00987E32" w:rsidRPr="00AF481B" w:rsidRDefault="00987E32" w:rsidP="008E30C2">
            <w:pPr>
              <w:jc w:val="right"/>
              <w:rPr>
                <w:rFonts w:ascii="Arial" w:hAnsi="Arial" w:cs="Arial"/>
                <w:b/>
                <w:sz w:val="13"/>
                <w:szCs w:val="13"/>
                <w:lang w:val="en-US"/>
              </w:rPr>
            </w:pPr>
            <w:r w:rsidRPr="00AF481B">
              <w:rPr>
                <w:rFonts w:ascii="Arial" w:hAnsi="Arial" w:cs="Arial"/>
                <w:b/>
                <w:sz w:val="13"/>
                <w:szCs w:val="13"/>
                <w:lang w:val="en-US"/>
              </w:rPr>
              <w:t>Naw-Rúz</w:t>
            </w:r>
          </w:p>
        </w:tc>
        <w:tc>
          <w:tcPr>
            <w:tcW w:w="205" w:type="pct"/>
          </w:tcPr>
          <w:p w:rsidR="00987E32" w:rsidRPr="00AF481B" w:rsidRDefault="00987E32" w:rsidP="008E30C2">
            <w:pPr>
              <w:spacing w:before="40" w:after="120"/>
              <w:jc w:val="center"/>
              <w:rPr>
                <w:rFonts w:ascii="Arial" w:hAnsi="Arial" w:cs="Arial"/>
                <w:b/>
                <w:sz w:val="13"/>
                <w:szCs w:val="13"/>
                <w:lang w:val="fr-CA"/>
              </w:rPr>
            </w:pPr>
            <w:r w:rsidRPr="00AF481B">
              <w:rPr>
                <w:rFonts w:ascii="Arial" w:hAnsi="Arial" w:cs="Arial"/>
                <w:b/>
                <w:sz w:val="13"/>
                <w:szCs w:val="13"/>
                <w:lang w:val="fr-CA"/>
              </w:rPr>
              <w:t>OR</w:t>
            </w:r>
          </w:p>
          <w:p w:rsidR="00987E32" w:rsidRPr="00AF481B" w:rsidRDefault="00987E32" w:rsidP="008E30C2">
            <w:pPr>
              <w:jc w:val="center"/>
              <w:rPr>
                <w:rFonts w:ascii="Arial" w:hAnsi="Arial" w:cs="Arial"/>
                <w:b/>
                <w:sz w:val="13"/>
                <w:szCs w:val="13"/>
                <w:lang w:val="fr-CA"/>
              </w:rPr>
            </w:pPr>
            <w:r w:rsidRPr="00AF481B">
              <w:rPr>
                <w:rFonts w:ascii="Arial" w:hAnsi="Arial" w:cs="Arial"/>
                <w:b/>
                <w:sz w:val="13"/>
                <w:szCs w:val="13"/>
                <w:lang w:val="fr-CA"/>
              </w:rPr>
              <w:t>NR</w:t>
            </w:r>
          </w:p>
        </w:tc>
      </w:tr>
      <w:tr w:rsidR="00987E32"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987E32" w:rsidRPr="00AF481B" w:rsidRDefault="00987E32" w:rsidP="008E30C2">
            <w:pPr>
              <w:jc w:val="right"/>
              <w:rPr>
                <w:rFonts w:ascii="Arial" w:hAnsi="Arial" w:cs="Arial"/>
                <w:b/>
                <w:sz w:val="13"/>
                <w:szCs w:val="13"/>
              </w:rPr>
            </w:pPr>
            <w:r w:rsidRPr="00AF481B">
              <w:rPr>
                <w:rFonts w:ascii="Arial" w:hAnsi="Arial" w:cs="Arial"/>
                <w:b/>
                <w:sz w:val="13"/>
                <w:szCs w:val="13"/>
              </w:rPr>
              <w:t xml:space="preserve">Holiday / </w:t>
            </w:r>
            <w:r w:rsidRPr="00AF481B">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987E32" w:rsidRPr="00AF481B" w:rsidRDefault="00987E32" w:rsidP="008E30C2">
            <w:pPr>
              <w:jc w:val="center"/>
              <w:rPr>
                <w:rFonts w:ascii="Arial" w:hAnsi="Arial" w:cs="Arial"/>
                <w:b/>
                <w:sz w:val="13"/>
                <w:szCs w:val="13"/>
              </w:rPr>
            </w:pPr>
            <w:r w:rsidRPr="00AF481B">
              <w:rPr>
                <w:rFonts w:ascii="Arial" w:hAnsi="Arial" w:cs="Arial"/>
                <w:b/>
                <w:sz w:val="13"/>
                <w:szCs w:val="13"/>
              </w:rPr>
              <w:t>H</w:t>
            </w:r>
          </w:p>
        </w:tc>
        <w:tc>
          <w:tcPr>
            <w:tcW w:w="1629" w:type="pct"/>
            <w:gridSpan w:val="8"/>
            <w:tcBorders>
              <w:top w:val="nil"/>
              <w:left w:val="single" w:sz="4" w:space="0" w:color="auto"/>
              <w:bottom w:val="nil"/>
              <w:right w:val="nil"/>
            </w:tcBorders>
            <w:hideMark/>
          </w:tcPr>
          <w:p w:rsidR="00987E32" w:rsidRPr="00AF481B" w:rsidRDefault="00987E32" w:rsidP="008E30C2">
            <w:pPr>
              <w:tabs>
                <w:tab w:val="left" w:pos="203"/>
              </w:tabs>
              <w:rPr>
                <w:rFonts w:ascii="Arial" w:hAnsi="Arial" w:cs="Arial"/>
                <w:b/>
                <w:sz w:val="13"/>
                <w:szCs w:val="13"/>
              </w:rPr>
            </w:pPr>
            <w:r w:rsidRPr="00AF481B">
              <w:rPr>
                <w:rFonts w:ascii="Arial" w:hAnsi="Arial" w:cs="Arial"/>
                <w:b/>
                <w:sz w:val="13"/>
                <w:szCs w:val="13"/>
              </w:rPr>
              <w:t>3</w:t>
            </w:r>
            <w:r w:rsidRPr="00AF481B">
              <w:rPr>
                <w:rFonts w:ascii="Arial" w:hAnsi="Arial" w:cs="Arial"/>
                <w:b/>
                <w:sz w:val="13"/>
                <w:szCs w:val="13"/>
              </w:rPr>
              <w:tab/>
              <w:t xml:space="preserve">holidays during sitting days / </w:t>
            </w:r>
          </w:p>
          <w:p w:rsidR="00987E32" w:rsidRPr="00AF481B" w:rsidRDefault="00987E32" w:rsidP="008E30C2">
            <w:pPr>
              <w:tabs>
                <w:tab w:val="left" w:pos="203"/>
              </w:tabs>
              <w:rPr>
                <w:rFonts w:ascii="Arial" w:hAnsi="Arial" w:cs="Arial"/>
                <w:b/>
                <w:sz w:val="13"/>
                <w:szCs w:val="13"/>
                <w:lang w:val="fr-CA"/>
              </w:rPr>
            </w:pPr>
            <w:r w:rsidRPr="00AF481B">
              <w:rPr>
                <w:rFonts w:ascii="Arial" w:hAnsi="Arial" w:cs="Arial"/>
                <w:b/>
                <w:sz w:val="13"/>
                <w:szCs w:val="13"/>
              </w:rPr>
              <w:tab/>
            </w:r>
            <w:r w:rsidRPr="00AF481B">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987E32" w:rsidRPr="00AF481B" w:rsidRDefault="00987E32" w:rsidP="008E30C2">
            <w:pPr>
              <w:spacing w:before="40" w:after="120"/>
              <w:jc w:val="right"/>
              <w:rPr>
                <w:rFonts w:ascii="Arial" w:hAnsi="Arial" w:cs="Arial"/>
                <w:b/>
                <w:sz w:val="13"/>
                <w:szCs w:val="13"/>
                <w:lang w:val="fr-FR"/>
              </w:rPr>
            </w:pPr>
            <w:r w:rsidRPr="00AF481B">
              <w:rPr>
                <w:rFonts w:ascii="Arial" w:hAnsi="Arial" w:cs="Arial"/>
                <w:b/>
                <w:sz w:val="13"/>
                <w:szCs w:val="13"/>
                <w:lang w:val="fr-FR"/>
              </w:rPr>
              <w:t>Ridván</w:t>
            </w:r>
          </w:p>
        </w:tc>
        <w:tc>
          <w:tcPr>
            <w:tcW w:w="205" w:type="pct"/>
          </w:tcPr>
          <w:p w:rsidR="00987E32" w:rsidRPr="00D104F9" w:rsidRDefault="00987E32" w:rsidP="008E30C2">
            <w:pPr>
              <w:spacing w:before="40" w:after="120"/>
              <w:jc w:val="center"/>
              <w:rPr>
                <w:rFonts w:ascii="Arial" w:hAnsi="Arial" w:cs="Arial"/>
                <w:b/>
                <w:sz w:val="13"/>
                <w:szCs w:val="13"/>
                <w:lang w:val="fr-FR"/>
              </w:rPr>
            </w:pPr>
            <w:r w:rsidRPr="00AF481B">
              <w:rPr>
                <w:rFonts w:ascii="Arial" w:hAnsi="Arial" w:cs="Arial"/>
                <w:b/>
                <w:sz w:val="13"/>
                <w:szCs w:val="13"/>
                <w:lang w:val="fr-FR"/>
              </w:rPr>
              <w:t>RV</w:t>
            </w:r>
            <w:bookmarkStart w:id="9" w:name="_GoBack"/>
            <w:bookmarkEnd w:id="9"/>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73"/>
      <w:footerReference w:type="default" r:id="rId74"/>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F7" w:rsidRDefault="004323F7" w:rsidP="00A87207">
      <w:r>
        <w:separator/>
      </w:r>
    </w:p>
  </w:endnote>
  <w:endnote w:type="continuationSeparator" w:id="0">
    <w:p w:rsidR="004323F7" w:rsidRDefault="004323F7"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323F7" w:rsidRDefault="004323F7">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323F7" w:rsidRDefault="004323F7">
    <w:pPr>
      <w:tabs>
        <w:tab w:val="center" w:pos="4740"/>
      </w:tabs>
    </w:pPr>
    <w:r>
      <w:tab/>
      <w:t xml:space="preserve">- </w:t>
    </w:r>
    <w:r>
      <w:pgNum/>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AF481B" w:rsidP="00732DB7">
    <w:r>
      <w:pict>
        <v:rect id="_x0000_i1069" style="width:480.95pt;height:1pt" o:hralign="center" o:hrstd="t" o:hrnoshade="t" o:hr="t" fillcolor="black" stroked="f"/>
      </w:pict>
    </w:r>
  </w:p>
  <w:p w:rsidR="004323F7" w:rsidRDefault="004323F7">
    <w:pPr>
      <w:tabs>
        <w:tab w:val="center" w:pos="4740"/>
      </w:tabs>
      <w:spacing w:line="0" w:lineRule="atLeast"/>
    </w:pPr>
    <w:r>
      <w:tab/>
      <w:t xml:space="preserve">- </w:t>
    </w:r>
    <w:r>
      <w:pgNum/>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AF481B">
    <w:pPr>
      <w:pStyle w:val="Footer"/>
    </w:pPr>
    <w:r>
      <w:pict>
        <v:rect id="_x0000_i1070" style="width:480.95pt;height:1pt" o:hralign="center" o:hrstd="t" o:hrnoshade="t" o:hr="t" fillcolor="black" stroked="f"/>
      </w:pict>
    </w:r>
  </w:p>
  <w:p w:rsidR="004323F7" w:rsidRPr="00283C52" w:rsidRDefault="004323F7">
    <w:pPr>
      <w:pStyle w:val="Footer"/>
    </w:pPr>
    <w:r>
      <w:tab/>
    </w:r>
    <w:r w:rsidRPr="00283C52">
      <w:t xml:space="preserve">- </w:t>
    </w:r>
    <w:r w:rsidRPr="00283C52">
      <w:pgNum/>
    </w:r>
    <w:r w:rsidRPr="00283C52">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Pr="00924065" w:rsidRDefault="004323F7"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AF48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5" style="width:480.95pt;height:1pt" o:hralign="center" o:hrstd="t" o:hrnoshade="t" o:hr="t" fillcolor="black [3213]" stroked="f"/>
      </w:pict>
    </w:r>
  </w:p>
  <w:p w:rsidR="004323F7" w:rsidRPr="0009648D" w:rsidRDefault="004323F7" w:rsidP="00ED7E83">
    <w:pPr>
      <w:tabs>
        <w:tab w:val="center" w:pos="4680"/>
      </w:tabs>
    </w:pPr>
    <w:r>
      <w:tab/>
    </w:r>
    <w:r w:rsidRPr="0009648D">
      <w:t xml:space="preserve">- </w:t>
    </w:r>
    <w:r>
      <w:fldChar w:fldCharType="begin"/>
    </w:r>
    <w:r>
      <w:instrText xml:space="preserve"> PAGE   \* MERGEFORMAT </w:instrText>
    </w:r>
    <w:r>
      <w:fldChar w:fldCharType="separate"/>
    </w:r>
    <w:r w:rsidR="00AF481B">
      <w:rPr>
        <w:noProof/>
      </w:rPr>
      <w:t>6</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AF481B">
    <w:pPr>
      <w:pStyle w:val="Footer"/>
      <w:rPr>
        <w:lang w:val="fr-CA"/>
      </w:rPr>
    </w:pPr>
    <w:r>
      <w:rPr>
        <w:lang w:val="fr-CA"/>
      </w:rPr>
      <w:pict>
        <v:rect id="_x0000_i1056" style="width:480.95pt;height:1pt" o:hralign="center" o:hrstd="t" o:hrnoshade="t" o:hr="t" fillcolor="black [3213]" stroked="f"/>
      </w:pict>
    </w:r>
  </w:p>
  <w:p w:rsidR="004323F7" w:rsidRDefault="004323F7" w:rsidP="00245129">
    <w:pPr>
      <w:tabs>
        <w:tab w:val="center" w:pos="4680"/>
      </w:tabs>
    </w:pPr>
    <w:r>
      <w:tab/>
    </w:r>
    <w:r w:rsidRPr="0009648D">
      <w:t xml:space="preserve">- </w:t>
    </w:r>
    <w:r>
      <w:fldChar w:fldCharType="begin"/>
    </w:r>
    <w:r>
      <w:instrText xml:space="preserve"> PAGE   \* MERGEFORMAT </w:instrText>
    </w:r>
    <w:r>
      <w:fldChar w:fldCharType="separate"/>
    </w:r>
    <w:r w:rsidR="00AF481B">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323F7" w:rsidRDefault="004323F7">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AF481B" w:rsidP="00755F22">
    <w:pPr>
      <w:tabs>
        <w:tab w:val="left" w:pos="-1440"/>
        <w:tab w:val="left" w:pos="-720"/>
      </w:tabs>
    </w:pPr>
    <w:r>
      <w:pict>
        <v:rect id="_x0000_i1058" style="width:480.95pt;height:1pt" o:hralign="center" o:hrstd="t" o:hrnoshade="t" o:hr="t" fillcolor="black [3213]" stroked="f"/>
      </w:pict>
    </w:r>
  </w:p>
  <w:p w:rsidR="004323F7" w:rsidRDefault="004323F7" w:rsidP="00EB2B90">
    <w:pPr>
      <w:tabs>
        <w:tab w:val="center" w:pos="4680"/>
      </w:tabs>
    </w:pPr>
    <w:r>
      <w:tab/>
      <w:t xml:space="preserve">- </w:t>
    </w:r>
    <w:r>
      <w:fldChar w:fldCharType="begin"/>
    </w:r>
    <w:r>
      <w:instrText xml:space="preserve"> PAGE   \* MERGEFORMAT </w:instrText>
    </w:r>
    <w:r>
      <w:fldChar w:fldCharType="separate"/>
    </w:r>
    <w:r w:rsidR="00AF481B">
      <w:rPr>
        <w:noProof/>
      </w:rPr>
      <w:t>9</w:t>
    </w:r>
    <w:r>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AF481B" w:rsidP="00EB2B90">
    <w:pPr>
      <w:tabs>
        <w:tab w:val="center" w:pos="4680"/>
      </w:tabs>
    </w:pPr>
    <w:r>
      <w:pict>
        <v:rect id="_x0000_i1059" style="width:480.95pt;height:1pt" o:hralign="center" o:hrstd="t" o:hrnoshade="t" o:hr="t" fillcolor="black [3213]" stroked="f"/>
      </w:pict>
    </w:r>
  </w:p>
  <w:p w:rsidR="004323F7" w:rsidRPr="0031432F" w:rsidRDefault="004323F7" w:rsidP="00EB2B90">
    <w:pPr>
      <w:tabs>
        <w:tab w:val="center" w:pos="4680"/>
      </w:tabs>
    </w:pPr>
    <w:r>
      <w:tab/>
      <w:t xml:space="preserve">- </w:t>
    </w:r>
    <w:r>
      <w:fldChar w:fldCharType="begin"/>
    </w:r>
    <w:r>
      <w:instrText xml:space="preserve"> PAGE   \* MERGEFORMAT </w:instrText>
    </w:r>
    <w:r>
      <w:fldChar w:fldCharType="separate"/>
    </w:r>
    <w:r w:rsidR="00AF481B">
      <w:rPr>
        <w:noProof/>
      </w:rPr>
      <w:t>7</w:t>
    </w:r>
    <w:r>
      <w:rPr>
        <w:noProof/>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323F7" w:rsidRDefault="004323F7">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AF48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1" style="width:480.95pt;height:1pt" o:hralign="center" o:hrstd="t" o:hrnoshade="t" o:hr="t" fillcolor="black [3213]" stroked="f"/>
      </w:pict>
    </w:r>
  </w:p>
  <w:p w:rsidR="004323F7" w:rsidRDefault="004323F7"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AF481B">
    <w:pPr>
      <w:pStyle w:val="Footer"/>
      <w:rPr>
        <w:lang w:val="fr-CA"/>
      </w:rPr>
    </w:pPr>
    <w:r>
      <w:rPr>
        <w:lang w:val="fr-CA"/>
      </w:rPr>
      <w:pict>
        <v:rect id="_x0000_i1062" style="width:480.95pt;height:1pt" o:hralign="center" o:hrstd="t" o:hrnoshade="t" o:hr="t" fillcolor="black [3213]" stroked="f"/>
      </w:pict>
    </w:r>
  </w:p>
  <w:p w:rsidR="004323F7" w:rsidRDefault="004323F7" w:rsidP="00EB2B90">
    <w:pPr>
      <w:tabs>
        <w:tab w:val="center" w:pos="4680"/>
      </w:tabs>
    </w:pPr>
    <w:r>
      <w:tab/>
      <w:t xml:space="preserve">- </w:t>
    </w:r>
    <w:r>
      <w:fldChar w:fldCharType="begin"/>
    </w:r>
    <w:r>
      <w:instrText xml:space="preserve"> PAGE   \* MERGEFORMAT </w:instrText>
    </w:r>
    <w:r>
      <w:fldChar w:fldCharType="separate"/>
    </w:r>
    <w:r w:rsidR="00AF481B">
      <w:rPr>
        <w:noProof/>
      </w:rPr>
      <w:t>10</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F7" w:rsidRDefault="004323F7" w:rsidP="00A87207">
      <w:r>
        <w:separator/>
      </w:r>
    </w:p>
  </w:footnote>
  <w:footnote w:type="continuationSeparator" w:id="0">
    <w:p w:rsidR="004323F7" w:rsidRDefault="004323F7"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323F7" w:rsidRPr="00D2683C">
      <w:tc>
        <w:tcPr>
          <w:tcW w:w="4200" w:type="dxa"/>
          <w:tcMar>
            <w:left w:w="0" w:type="dxa"/>
            <w:right w:w="0" w:type="dxa"/>
          </w:tcMar>
        </w:tcPr>
        <w:p w:rsidR="004323F7" w:rsidRDefault="004323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4323F7" w:rsidRDefault="004323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4323F7" w:rsidRDefault="004323F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323F7" w:rsidRPr="00FF6BA5" w:rsidRDefault="004323F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4323F7" w:rsidRPr="00FF6BA5"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4323F7" w:rsidRPr="00FF6BA5"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4323F7" w:rsidRPr="00FF6BA5"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323F7" w:rsidRPr="00D2683C">
      <w:tc>
        <w:tcPr>
          <w:tcW w:w="4200" w:type="dxa"/>
          <w:tcMar>
            <w:left w:w="0" w:type="dxa"/>
            <w:right w:w="0" w:type="dxa"/>
          </w:tcMar>
        </w:tcPr>
        <w:p w:rsidR="004323F7" w:rsidRDefault="004323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4323F7" w:rsidRDefault="004323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323F7" w:rsidRPr="00283C52" w:rsidRDefault="004323F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4323F7" w:rsidRPr="00283C52"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323F7" w:rsidRPr="00283C52"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323F7" w:rsidRPr="00D2683C" w:rsidTr="00245129">
      <w:tc>
        <w:tcPr>
          <w:tcW w:w="4200" w:type="dxa"/>
          <w:tcMar>
            <w:left w:w="0" w:type="dxa"/>
            <w:right w:w="0" w:type="dxa"/>
          </w:tcMar>
        </w:tcPr>
        <w:p w:rsidR="004323F7" w:rsidRPr="00732DB7" w:rsidRDefault="004323F7" w:rsidP="00732DB7">
          <w:pPr>
            <w:keepNext/>
            <w:keepLines/>
            <w:tabs>
              <w:tab w:val="left" w:pos="-1440"/>
              <w:tab w:val="left" w:pos="-720"/>
            </w:tabs>
            <w:rPr>
              <w:sz w:val="20"/>
              <w:szCs w:val="20"/>
            </w:rPr>
          </w:pPr>
          <w:r w:rsidRPr="00732DB7">
            <w:rPr>
              <w:sz w:val="20"/>
              <w:szCs w:val="20"/>
            </w:rPr>
            <w:t>APPEALS HEARD SINCE</w:t>
          </w:r>
          <w:r>
            <w:rPr>
              <w:sz w:val="20"/>
              <w:szCs w:val="20"/>
            </w:rPr>
            <w:t xml:space="preserve"> THE</w:t>
          </w:r>
          <w:r w:rsidRPr="00732DB7">
            <w:rPr>
              <w:sz w:val="20"/>
              <w:szCs w:val="20"/>
            </w:rPr>
            <w:t xml:space="preserve"> LAST ISSUE AND DISPOSITION</w:t>
          </w:r>
        </w:p>
      </w:tc>
      <w:tc>
        <w:tcPr>
          <w:tcW w:w="1200" w:type="dxa"/>
          <w:tcMar>
            <w:left w:w="0" w:type="dxa"/>
            <w:right w:w="0" w:type="dxa"/>
          </w:tcMar>
        </w:tcPr>
        <w:p w:rsidR="004323F7" w:rsidRPr="00732DB7" w:rsidRDefault="004323F7" w:rsidP="00732DB7">
          <w:pPr>
            <w:keepNext/>
            <w:keepLines/>
            <w:tabs>
              <w:tab w:val="left" w:pos="-1440"/>
              <w:tab w:val="left" w:pos="-720"/>
            </w:tabs>
            <w:jc w:val="center"/>
            <w:rPr>
              <w:sz w:val="20"/>
              <w:szCs w:val="20"/>
            </w:rPr>
          </w:pPr>
        </w:p>
        <w:p w:rsidR="004323F7" w:rsidRPr="00732DB7" w:rsidRDefault="004323F7" w:rsidP="00732DB7">
          <w:pPr>
            <w:keepNext/>
            <w:keepLines/>
            <w:tabs>
              <w:tab w:val="left" w:pos="-1440"/>
              <w:tab w:val="left" w:pos="-720"/>
            </w:tabs>
            <w:jc w:val="center"/>
            <w:rPr>
              <w:sz w:val="20"/>
              <w:szCs w:val="20"/>
            </w:rPr>
          </w:pPr>
        </w:p>
        <w:p w:rsidR="004323F7" w:rsidRPr="00732DB7" w:rsidRDefault="004323F7" w:rsidP="00732DB7">
          <w:pPr>
            <w:keepNext/>
            <w:keepLines/>
            <w:tabs>
              <w:tab w:val="left" w:pos="-1440"/>
              <w:tab w:val="left" w:pos="-720"/>
            </w:tabs>
            <w:jc w:val="center"/>
            <w:rPr>
              <w:sz w:val="20"/>
              <w:szCs w:val="20"/>
            </w:rPr>
          </w:pPr>
        </w:p>
      </w:tc>
      <w:tc>
        <w:tcPr>
          <w:tcW w:w="4080" w:type="dxa"/>
          <w:tcMar>
            <w:left w:w="0" w:type="dxa"/>
            <w:right w:w="0" w:type="dxa"/>
          </w:tcMar>
        </w:tcPr>
        <w:p w:rsidR="004323F7" w:rsidRPr="00732DB7" w:rsidRDefault="004323F7"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4323F7" w:rsidRPr="00283C52" w:rsidRDefault="004323F7"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323F7" w:rsidRPr="00D2683C" w:rsidTr="00245129">
      <w:tc>
        <w:tcPr>
          <w:tcW w:w="4200" w:type="dxa"/>
          <w:tcMar>
            <w:left w:w="0" w:type="dxa"/>
            <w:right w:w="0" w:type="dxa"/>
          </w:tcMar>
        </w:tcPr>
        <w:p w:rsidR="004323F7" w:rsidRPr="00634F42" w:rsidRDefault="004323F7" w:rsidP="00634F42">
          <w:pPr>
            <w:keepNext/>
            <w:keepLines/>
            <w:tabs>
              <w:tab w:val="left" w:pos="-1440"/>
              <w:tab w:val="left" w:pos="-720"/>
              <w:tab w:val="left" w:pos="0"/>
              <w:tab w:val="left" w:pos="720"/>
              <w:tab w:val="center" w:pos="2100"/>
            </w:tabs>
            <w:rPr>
              <w:sz w:val="20"/>
              <w:szCs w:val="20"/>
              <w:lang w:val="en-US"/>
            </w:rPr>
          </w:pPr>
          <w:r w:rsidRPr="00634F42">
            <w:rPr>
              <w:sz w:val="20"/>
              <w:szCs w:val="20"/>
              <w:lang w:val="en-US"/>
            </w:rPr>
            <w:t>Judgments on applications for leave</w:t>
          </w:r>
        </w:p>
      </w:tc>
      <w:tc>
        <w:tcPr>
          <w:tcW w:w="1200" w:type="dxa"/>
          <w:tcMar>
            <w:left w:w="0" w:type="dxa"/>
            <w:right w:w="0" w:type="dxa"/>
          </w:tcMar>
        </w:tcPr>
        <w:p w:rsidR="004323F7" w:rsidRPr="00755F22" w:rsidRDefault="004323F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4323F7" w:rsidRPr="00755F22" w:rsidRDefault="004323F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4323F7" w:rsidRPr="00755F22" w:rsidRDefault="004323F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rendus sur les demandes d’autorisation</w:t>
          </w:r>
        </w:p>
      </w:tc>
    </w:tr>
  </w:tbl>
  <w:p w:rsidR="004323F7" w:rsidRPr="00FF6BA5" w:rsidRDefault="004323F7"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4323F7">
      <w:tc>
        <w:tcPr>
          <w:tcW w:w="4230" w:type="dxa"/>
          <w:tcMar>
            <w:left w:w="0" w:type="dxa"/>
            <w:right w:w="0" w:type="dxa"/>
          </w:tcMar>
        </w:tcPr>
        <w:p w:rsidR="004323F7" w:rsidRDefault="004323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4323F7" w:rsidRDefault="004323F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323F7" w:rsidRDefault="004323F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4323F7">
      <w:trPr>
        <w:gridAfter w:val="2"/>
        <w:wAfter w:w="5250" w:type="dxa"/>
      </w:trPr>
      <w:tc>
        <w:tcPr>
          <w:tcW w:w="4230" w:type="dxa"/>
          <w:tcMar>
            <w:left w:w="0" w:type="dxa"/>
            <w:right w:w="0" w:type="dxa"/>
          </w:tcMar>
        </w:tcPr>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4323F7"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4323F7" w:rsidRPr="00755F22" w:rsidTr="00245129">
      <w:tc>
        <w:tcPr>
          <w:tcW w:w="4230" w:type="dxa"/>
          <w:tcMar>
            <w:left w:w="0" w:type="dxa"/>
            <w:right w:w="0" w:type="dxa"/>
          </w:tcMar>
        </w:tcPr>
        <w:p w:rsidR="004323F7" w:rsidRPr="00755F22" w:rsidRDefault="004323F7" w:rsidP="00831CA9">
          <w:pPr>
            <w:keepNext/>
            <w:keepLines/>
            <w:rPr>
              <w:sz w:val="20"/>
              <w:szCs w:val="20"/>
            </w:rPr>
          </w:pPr>
          <w:r w:rsidRPr="00755F22">
            <w:rPr>
              <w:sz w:val="20"/>
              <w:szCs w:val="20"/>
            </w:rPr>
            <w:t>Motions</w:t>
          </w:r>
        </w:p>
      </w:tc>
      <w:tc>
        <w:tcPr>
          <w:tcW w:w="1170" w:type="dxa"/>
          <w:tcMar>
            <w:left w:w="0" w:type="dxa"/>
            <w:right w:w="0" w:type="dxa"/>
          </w:tcMar>
        </w:tcPr>
        <w:p w:rsidR="004323F7" w:rsidRPr="00755F22" w:rsidRDefault="004323F7" w:rsidP="00831CA9">
          <w:pPr>
            <w:keepLines/>
            <w:jc w:val="center"/>
            <w:rPr>
              <w:sz w:val="20"/>
              <w:szCs w:val="20"/>
            </w:rPr>
          </w:pPr>
        </w:p>
        <w:p w:rsidR="004323F7" w:rsidRPr="00755F22" w:rsidRDefault="004323F7" w:rsidP="00831CA9">
          <w:pPr>
            <w:keepLines/>
            <w:tabs>
              <w:tab w:val="left" w:pos="-1440"/>
              <w:tab w:val="left" w:pos="-720"/>
            </w:tabs>
            <w:jc w:val="center"/>
            <w:rPr>
              <w:sz w:val="20"/>
              <w:szCs w:val="20"/>
            </w:rPr>
          </w:pPr>
        </w:p>
      </w:tc>
      <w:tc>
        <w:tcPr>
          <w:tcW w:w="4080" w:type="dxa"/>
          <w:tcMar>
            <w:left w:w="0" w:type="dxa"/>
            <w:right w:w="0" w:type="dxa"/>
          </w:tcMar>
        </w:tcPr>
        <w:p w:rsidR="004323F7" w:rsidRPr="00BA6468" w:rsidRDefault="004323F7" w:rsidP="00BA6468">
          <w:pPr>
            <w:keepLines/>
            <w:rPr>
              <w:sz w:val="20"/>
              <w:szCs w:val="20"/>
              <w:lang w:val="fr-CA"/>
            </w:rPr>
          </w:pPr>
          <w:r w:rsidRPr="00BA6468">
            <w:rPr>
              <w:sz w:val="20"/>
              <w:szCs w:val="20"/>
              <w:lang w:val="fr-CA"/>
            </w:rPr>
            <w:t>Requêtes</w:t>
          </w:r>
        </w:p>
      </w:tc>
    </w:tr>
  </w:tbl>
  <w:p w:rsidR="004323F7" w:rsidRDefault="004323F7" w:rsidP="00831CA9">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323F7" w:rsidRPr="00D2683C">
      <w:tc>
        <w:tcPr>
          <w:tcW w:w="4200" w:type="dxa"/>
          <w:tcMar>
            <w:left w:w="0" w:type="dxa"/>
            <w:right w:w="0" w:type="dxa"/>
          </w:tcMar>
        </w:tcPr>
        <w:p w:rsidR="004323F7" w:rsidRDefault="004323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4323F7" w:rsidRDefault="004323F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323F7" w:rsidRPr="00B01A03" w:rsidRDefault="004323F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4323F7" w:rsidRPr="00B01A03"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323F7" w:rsidRPr="00B01A03" w:rsidRDefault="004323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4323F7" w:rsidRPr="00D2683C" w:rsidTr="00245129">
      <w:tc>
        <w:tcPr>
          <w:tcW w:w="4200" w:type="dxa"/>
          <w:tcMar>
            <w:left w:w="0" w:type="dxa"/>
            <w:right w:w="0" w:type="dxa"/>
          </w:tcMar>
        </w:tcPr>
        <w:p w:rsidR="004323F7" w:rsidRPr="00F40249" w:rsidRDefault="004323F7"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4323F7" w:rsidRDefault="004323F7" w:rsidP="00102926">
          <w:pPr>
            <w:keepNext/>
            <w:keepLines/>
            <w:tabs>
              <w:tab w:val="left" w:pos="-1440"/>
              <w:tab w:val="left" w:pos="-720"/>
            </w:tabs>
            <w:jc w:val="center"/>
            <w:rPr>
              <w:sz w:val="20"/>
              <w:szCs w:val="20"/>
            </w:rPr>
          </w:pPr>
        </w:p>
        <w:p w:rsidR="004323F7" w:rsidRDefault="004323F7" w:rsidP="00102926">
          <w:pPr>
            <w:keepNext/>
            <w:keepLines/>
            <w:tabs>
              <w:tab w:val="left" w:pos="-1440"/>
              <w:tab w:val="left" w:pos="-720"/>
            </w:tabs>
            <w:jc w:val="center"/>
            <w:rPr>
              <w:sz w:val="20"/>
              <w:szCs w:val="20"/>
            </w:rPr>
          </w:pPr>
        </w:p>
        <w:p w:rsidR="004323F7" w:rsidRPr="00F40249" w:rsidRDefault="004323F7" w:rsidP="00102926">
          <w:pPr>
            <w:keepNext/>
            <w:keepLines/>
            <w:tabs>
              <w:tab w:val="left" w:pos="-1440"/>
              <w:tab w:val="left" w:pos="-720"/>
            </w:tabs>
            <w:jc w:val="center"/>
            <w:rPr>
              <w:sz w:val="20"/>
              <w:szCs w:val="20"/>
            </w:rPr>
          </w:pPr>
        </w:p>
      </w:tc>
      <w:tc>
        <w:tcPr>
          <w:tcW w:w="4230" w:type="dxa"/>
          <w:tcMar>
            <w:left w:w="0" w:type="dxa"/>
            <w:right w:w="0" w:type="dxa"/>
          </w:tcMar>
        </w:tcPr>
        <w:p w:rsidR="004323F7" w:rsidRPr="00F40249" w:rsidRDefault="004323F7"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4323F7" w:rsidRPr="00B01A03" w:rsidRDefault="004323F7"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F7" w:rsidRDefault="00432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8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53"/>
    <w:rsid w:val="00002704"/>
    <w:rsid w:val="00020DC3"/>
    <w:rsid w:val="0003223B"/>
    <w:rsid w:val="000327B2"/>
    <w:rsid w:val="00033A57"/>
    <w:rsid w:val="0004528B"/>
    <w:rsid w:val="00045DE3"/>
    <w:rsid w:val="00064FBA"/>
    <w:rsid w:val="00066AC9"/>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31772"/>
    <w:rsid w:val="002410B8"/>
    <w:rsid w:val="00242AEE"/>
    <w:rsid w:val="00245129"/>
    <w:rsid w:val="00245879"/>
    <w:rsid w:val="00253236"/>
    <w:rsid w:val="002534CE"/>
    <w:rsid w:val="00267FD5"/>
    <w:rsid w:val="00271E1E"/>
    <w:rsid w:val="00274D34"/>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266B8"/>
    <w:rsid w:val="003308AA"/>
    <w:rsid w:val="00331B52"/>
    <w:rsid w:val="00333403"/>
    <w:rsid w:val="003359D3"/>
    <w:rsid w:val="00345645"/>
    <w:rsid w:val="0034657E"/>
    <w:rsid w:val="00351475"/>
    <w:rsid w:val="00355967"/>
    <w:rsid w:val="00382C47"/>
    <w:rsid w:val="00384384"/>
    <w:rsid w:val="003866AE"/>
    <w:rsid w:val="00393AB2"/>
    <w:rsid w:val="0039483F"/>
    <w:rsid w:val="003B3977"/>
    <w:rsid w:val="003C291C"/>
    <w:rsid w:val="003D49B1"/>
    <w:rsid w:val="003E1D4C"/>
    <w:rsid w:val="003E5F3E"/>
    <w:rsid w:val="003F414B"/>
    <w:rsid w:val="00407C5D"/>
    <w:rsid w:val="0041245B"/>
    <w:rsid w:val="004137A0"/>
    <w:rsid w:val="00422D9A"/>
    <w:rsid w:val="004317DE"/>
    <w:rsid w:val="004323F7"/>
    <w:rsid w:val="00432989"/>
    <w:rsid w:val="004342A0"/>
    <w:rsid w:val="00440E24"/>
    <w:rsid w:val="004474B1"/>
    <w:rsid w:val="0044776A"/>
    <w:rsid w:val="00460AFC"/>
    <w:rsid w:val="0047471F"/>
    <w:rsid w:val="0047644D"/>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01041"/>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F350F"/>
    <w:rsid w:val="006F5356"/>
    <w:rsid w:val="00717608"/>
    <w:rsid w:val="00727571"/>
    <w:rsid w:val="00732DB7"/>
    <w:rsid w:val="0074238B"/>
    <w:rsid w:val="00745EF7"/>
    <w:rsid w:val="00751643"/>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1451"/>
    <w:rsid w:val="0081473A"/>
    <w:rsid w:val="00815B3C"/>
    <w:rsid w:val="0081610A"/>
    <w:rsid w:val="008277C4"/>
    <w:rsid w:val="0082783A"/>
    <w:rsid w:val="00831CA9"/>
    <w:rsid w:val="00842B6B"/>
    <w:rsid w:val="00844E40"/>
    <w:rsid w:val="00845C2A"/>
    <w:rsid w:val="00850E1F"/>
    <w:rsid w:val="0085476B"/>
    <w:rsid w:val="00855D26"/>
    <w:rsid w:val="0086340B"/>
    <w:rsid w:val="00873743"/>
    <w:rsid w:val="00873ED2"/>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E30C2"/>
    <w:rsid w:val="00902E51"/>
    <w:rsid w:val="009058B9"/>
    <w:rsid w:val="00924065"/>
    <w:rsid w:val="00930B8A"/>
    <w:rsid w:val="00930D68"/>
    <w:rsid w:val="00932DB4"/>
    <w:rsid w:val="00941A4B"/>
    <w:rsid w:val="00946242"/>
    <w:rsid w:val="0095096B"/>
    <w:rsid w:val="00955827"/>
    <w:rsid w:val="00957556"/>
    <w:rsid w:val="009578FE"/>
    <w:rsid w:val="00961C83"/>
    <w:rsid w:val="00970CD3"/>
    <w:rsid w:val="009723FA"/>
    <w:rsid w:val="00984546"/>
    <w:rsid w:val="00987E32"/>
    <w:rsid w:val="009921E9"/>
    <w:rsid w:val="00996510"/>
    <w:rsid w:val="009A75CF"/>
    <w:rsid w:val="009B36BA"/>
    <w:rsid w:val="009C4E23"/>
    <w:rsid w:val="009D1F15"/>
    <w:rsid w:val="009D555E"/>
    <w:rsid w:val="009F3024"/>
    <w:rsid w:val="009F39BA"/>
    <w:rsid w:val="00A0355E"/>
    <w:rsid w:val="00A067B5"/>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B2F8C"/>
    <w:rsid w:val="00AC3CBD"/>
    <w:rsid w:val="00AD1D34"/>
    <w:rsid w:val="00AD3259"/>
    <w:rsid w:val="00AE043C"/>
    <w:rsid w:val="00AF1715"/>
    <w:rsid w:val="00AF3904"/>
    <w:rsid w:val="00AF481B"/>
    <w:rsid w:val="00B00A0B"/>
    <w:rsid w:val="00B010C0"/>
    <w:rsid w:val="00B133C1"/>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04577"/>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E0270C"/>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86535"/>
    <w:rsid w:val="00F9272D"/>
    <w:rsid w:val="00F94E53"/>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0963" TargetMode="External"/><Relationship Id="rId18" Type="http://schemas.openxmlformats.org/officeDocument/2006/relationships/hyperlink" Target="https://www.scc-csc.ca/case-dossier/info/sum-som-eng.aspx?cas=40938" TargetMode="External"/><Relationship Id="rId26" Type="http://schemas.openxmlformats.org/officeDocument/2006/relationships/hyperlink" Target="https://www.scc-csc.ca/case-dossier/info/sum-som-eng.aspx?cas=41023" TargetMode="External"/><Relationship Id="rId39" Type="http://schemas.openxmlformats.org/officeDocument/2006/relationships/hyperlink" Target="https://www.scc-csc.ca/case-dossier/info/sum-som-fra.aspx?cas=40907" TargetMode="External"/><Relationship Id="rId21" Type="http://schemas.openxmlformats.org/officeDocument/2006/relationships/hyperlink" Target="https://www.scc-csc.ca/case-dossier/info/sum-som-eng.aspx?cas=41057" TargetMode="External"/><Relationship Id="rId34" Type="http://schemas.openxmlformats.org/officeDocument/2006/relationships/hyperlink" Target="https://www.scc-csc.ca/case-dossier/info/sum-som-fra.aspx?cas=40994" TargetMode="External"/><Relationship Id="rId42" Type="http://schemas.openxmlformats.org/officeDocument/2006/relationships/hyperlink" Target="https://www.scc-csc.ca/case-dossier/info/sum-som-fra.aspx?cas=41024" TargetMode="External"/><Relationship Id="rId47" Type="http://schemas.openxmlformats.org/officeDocument/2006/relationships/header" Target="header3.xml"/><Relationship Id="rId50" Type="http://schemas.openxmlformats.org/officeDocument/2006/relationships/header" Target="header5.xml"/><Relationship Id="rId55" Type="http://schemas.openxmlformats.org/officeDocument/2006/relationships/header" Target="header7.xml"/><Relationship Id="rId63" Type="http://schemas.openxmlformats.org/officeDocument/2006/relationships/hyperlink" Target="https://www.scc-csc.ca/case-dossier/info/sum-som-eng.aspx?cas=40465" TargetMode="External"/><Relationship Id="rId68" Type="http://schemas.openxmlformats.org/officeDocument/2006/relationships/header" Target="header1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www.scc-csc.ca/case-dossier/info/sum-som-eng.aspx?cas=40895" TargetMode="External"/><Relationship Id="rId29" Type="http://schemas.openxmlformats.org/officeDocument/2006/relationships/hyperlink" Target="https://www.scc-csc.ca/case-dossier/info/sum-som-fra.aspx?cas=41033" TargetMode="Externa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0907" TargetMode="External"/><Relationship Id="rId32" Type="http://schemas.openxmlformats.org/officeDocument/2006/relationships/hyperlink" Target="https://www.scc-csc.ca/case-dossier/info/sum-som-fra.aspx?cas=40928" TargetMode="External"/><Relationship Id="rId37" Type="http://schemas.openxmlformats.org/officeDocument/2006/relationships/hyperlink" Target="https://www.scc-csc.ca/case-dossier/info/sum-som-fra.aspx?cas=40860" TargetMode="External"/><Relationship Id="rId40" Type="http://schemas.openxmlformats.org/officeDocument/2006/relationships/hyperlink" Target="https://www.scc-csc.ca/case-dossier/info/sum-som-fra.aspx?cas=40848" TargetMode="External"/><Relationship Id="rId45" Type="http://schemas.openxmlformats.org/officeDocument/2006/relationships/footer" Target="footer1.xml"/><Relationship Id="rId53" Type="http://schemas.openxmlformats.org/officeDocument/2006/relationships/header" Target="header6.xml"/><Relationship Id="rId58" Type="http://schemas.openxmlformats.org/officeDocument/2006/relationships/footer" Target="footer8.xml"/><Relationship Id="rId66" Type="http://schemas.openxmlformats.org/officeDocument/2006/relationships/hyperlink" Target="https://www.scc-csc.ca/case-dossier/info/sum-som-fra.aspx?cas=40465" TargetMode="External"/><Relationship Id="rId7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s://www.scc-csc.ca/case-dossier/info/sum-som-eng.aspx?cas=40828" TargetMode="External"/><Relationship Id="rId23" Type="http://schemas.openxmlformats.org/officeDocument/2006/relationships/hyperlink" Target="https://www.scc-csc.ca/case-dossier/info/sum-som-eng.aspx?cas=40953" TargetMode="External"/><Relationship Id="rId28" Type="http://schemas.openxmlformats.org/officeDocument/2006/relationships/hyperlink" Target="https://www.scc-csc.ca/case-dossier/info/sum-som-fra.aspx?cas=40963" TargetMode="External"/><Relationship Id="rId36" Type="http://schemas.openxmlformats.org/officeDocument/2006/relationships/hyperlink" Target="https://www.scc-csc.ca/case-dossier/info/sum-som-fra.aspx?cas=41057" TargetMode="External"/><Relationship Id="rId49" Type="http://schemas.openxmlformats.org/officeDocument/2006/relationships/header" Target="header4.xml"/><Relationship Id="rId57" Type="http://schemas.openxmlformats.org/officeDocument/2006/relationships/footer" Target="footer7.xml"/><Relationship Id="rId61" Type="http://schemas.openxmlformats.org/officeDocument/2006/relationships/hyperlink" Target="https://www.scc-csc.ca/case-dossier/info/sum-som-eng.aspx?cas=40602" TargetMode="Externa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0994" TargetMode="External"/><Relationship Id="rId31" Type="http://schemas.openxmlformats.org/officeDocument/2006/relationships/hyperlink" Target="https://www.scc-csc.ca/case-dossier/info/sum-som-fra.aspx?cas=40895" TargetMode="External"/><Relationship Id="rId44" Type="http://schemas.openxmlformats.org/officeDocument/2006/relationships/header" Target="header2.xml"/><Relationship Id="rId52" Type="http://schemas.openxmlformats.org/officeDocument/2006/relationships/footer" Target="footer5.xml"/><Relationship Id="rId60" Type="http://schemas.openxmlformats.org/officeDocument/2006/relationships/footer" Target="footer9.xml"/><Relationship Id="rId65" Type="http://schemas.openxmlformats.org/officeDocument/2006/relationships/hyperlink" Target="https://www.scc-csc.ca/case-dossier/info/sum-som-fra.aspx?cas=40810" TargetMode="External"/><Relationship Id="rId73"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033" TargetMode="External"/><Relationship Id="rId22" Type="http://schemas.openxmlformats.org/officeDocument/2006/relationships/hyperlink" Target="https://www.scc-csc.ca/case-dossier/info/sum-som-eng.aspx?cas=40860" TargetMode="External"/><Relationship Id="rId27" Type="http://schemas.openxmlformats.org/officeDocument/2006/relationships/hyperlink" Target="https://www.scc-csc.ca/case-dossier/info/sum-som-eng.aspx?cas=41024" TargetMode="External"/><Relationship Id="rId30" Type="http://schemas.openxmlformats.org/officeDocument/2006/relationships/hyperlink" Target="https://www.scc-csc.ca/case-dossier/info/sum-som-fra.aspx?cas=40828" TargetMode="External"/><Relationship Id="rId35" Type="http://schemas.openxmlformats.org/officeDocument/2006/relationships/hyperlink" Target="https://www.scc-csc.ca/case-dossier/info/sum-som-fra.aspx?cas=40971"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eader" Target="header8.xml"/><Relationship Id="rId64" Type="http://schemas.openxmlformats.org/officeDocument/2006/relationships/hyperlink" Target="https://www.scc-csc.ca/case-dossier/info/sum-som-fra.aspx?cas=40602" TargetMode="External"/><Relationship Id="rId69"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footer" Target="footer4.xml"/><Relationship Id="rId72" Type="http://schemas.openxmlformats.org/officeDocument/2006/relationships/footer" Target="footer12.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0928" TargetMode="External"/><Relationship Id="rId25" Type="http://schemas.openxmlformats.org/officeDocument/2006/relationships/hyperlink" Target="https://www.scc-csc.ca/case-dossier/info/sum-som-eng.aspx?cas=40848" TargetMode="External"/><Relationship Id="rId33" Type="http://schemas.openxmlformats.org/officeDocument/2006/relationships/hyperlink" Target="https://www.scc-csc.ca/case-dossier/info/sum-som-fra.aspx?cas=40938" TargetMode="External"/><Relationship Id="rId38" Type="http://schemas.openxmlformats.org/officeDocument/2006/relationships/hyperlink" Target="https://www.scc-csc.ca/case-dossier/info/sum-som-fra.aspx?cas=40953" TargetMode="External"/><Relationship Id="rId46" Type="http://schemas.openxmlformats.org/officeDocument/2006/relationships/footer" Target="footer2.xml"/><Relationship Id="rId59" Type="http://schemas.openxmlformats.org/officeDocument/2006/relationships/header" Target="header9.xml"/><Relationship Id="rId67" Type="http://schemas.openxmlformats.org/officeDocument/2006/relationships/header" Target="header10.xml"/><Relationship Id="rId20" Type="http://schemas.openxmlformats.org/officeDocument/2006/relationships/hyperlink" Target="https://www.scc-csc.ca/case-dossier/info/sum-som-eng.aspx?cas=40971" TargetMode="External"/><Relationship Id="rId41" Type="http://schemas.openxmlformats.org/officeDocument/2006/relationships/hyperlink" Target="https://www.scc-csc.ca/case-dossier/info/sum-som-fra.aspx?cas=41023" TargetMode="External"/><Relationship Id="rId54" Type="http://schemas.openxmlformats.org/officeDocument/2006/relationships/footer" Target="footer6.xml"/><Relationship Id="rId62" Type="http://schemas.openxmlformats.org/officeDocument/2006/relationships/hyperlink" Target="https://www.scc-csc.ca/case-dossier/info/sum-som-eng.aspx?cas=40810" TargetMode="External"/><Relationship Id="rId70" Type="http://schemas.openxmlformats.org/officeDocument/2006/relationships/footer" Target="footer1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6F185-C05C-413A-ADC2-1EBA14CE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15</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2024-02-16T12:13:00Z</dcterms:created>
  <dcterms:modified xsi:type="dcterms:W3CDTF">2024-03-21T19:13:00Z</dcterms:modified>
</cp:coreProperties>
</file>