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63E5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63E5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63E5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063E5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63E53" w:rsidTr="002E5576">
        <w:tc>
          <w:tcPr>
            <w:tcW w:w="4518" w:type="dxa"/>
          </w:tcPr>
          <w:p w:rsidR="00BF25F3" w:rsidRPr="002E2327" w:rsidRDefault="0047571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7571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0F40AA"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w:t>
      </w:r>
      <w:r>
        <w:rPr>
          <w:lang w:val="fr-CA"/>
        </w:rPr>
        <w:t>1</w:t>
      </w:r>
      <w:r w:rsidR="00440E24" w:rsidRPr="00675479">
        <w:rPr>
          <w:lang w:val="fr-CA"/>
        </w:rPr>
        <w:t>2, 2010</w:t>
      </w:r>
      <w:r w:rsidR="00F0068D" w:rsidRPr="00675479">
        <w:rPr>
          <w:lang w:val="fr-CA"/>
        </w:rPr>
        <w:tab/>
        <w:t>1</w:t>
      </w:r>
      <w:r>
        <w:rPr>
          <w:lang w:val="fr-CA"/>
        </w:rPr>
        <w:t>428</w:t>
      </w:r>
      <w:r w:rsidR="00F0068D" w:rsidRPr="00675479">
        <w:rPr>
          <w:lang w:val="fr-CA"/>
        </w:rPr>
        <w:t xml:space="preserve"> - </w:t>
      </w:r>
      <w:r w:rsidR="008C2525">
        <w:rPr>
          <w:lang w:val="fr-CA"/>
        </w:rPr>
        <w:t>1444</w:t>
      </w:r>
      <w:r w:rsidR="00440E24" w:rsidRPr="00675479">
        <w:rPr>
          <w:lang w:val="fr-CA"/>
        </w:rPr>
        <w:tab/>
      </w:r>
      <w:r w:rsidR="00440E24" w:rsidRPr="002E2327">
        <w:rPr>
          <w:lang w:val="fr-CA"/>
        </w:rPr>
        <w:t xml:space="preserve">Le </w:t>
      </w:r>
      <w:r>
        <w:rPr>
          <w:lang w:val="fr-CA"/>
        </w:rPr>
        <w:t>1</w:t>
      </w:r>
      <w:r w:rsidR="00440E24" w:rsidRPr="002E2327">
        <w:rPr>
          <w:lang w:val="fr-CA"/>
        </w:rPr>
        <w:t>2</w:t>
      </w:r>
      <w:r>
        <w:rPr>
          <w:lang w:val="fr-CA"/>
        </w:rPr>
        <w:t xml:space="preserve"> novembre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xml:space="preserve">© </w:t>
      </w:r>
      <w:proofErr w:type="spellStart"/>
      <w:r w:rsidRPr="00675479">
        <w:rPr>
          <w:sz w:val="18"/>
          <w:szCs w:val="18"/>
          <w:lang w:val="fr-CA"/>
        </w:rPr>
        <w:t>Supreme</w:t>
      </w:r>
      <w:proofErr w:type="spellEnd"/>
      <w:r w:rsidRPr="00675479">
        <w:rPr>
          <w:sz w:val="18"/>
          <w:szCs w:val="18"/>
          <w:lang w:val="fr-CA"/>
        </w:rPr>
        <w:t xml:space="preserv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8C252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337357">
            <w:pPr>
              <w:tabs>
                <w:tab w:val="right" w:pos="9360"/>
              </w:tabs>
              <w:rPr>
                <w:rFonts w:cs="Times New Roman"/>
                <w:sz w:val="20"/>
                <w:szCs w:val="20"/>
              </w:rPr>
            </w:pPr>
          </w:p>
        </w:tc>
        <w:tc>
          <w:tcPr>
            <w:tcW w:w="1980" w:type="dxa"/>
          </w:tcPr>
          <w:p w:rsidR="0095096B" w:rsidRPr="002E2327" w:rsidRDefault="0047571A"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8C2525">
              <w:rPr>
                <w:rFonts w:cs="Times New Roman"/>
                <w:sz w:val="20"/>
                <w:szCs w:val="20"/>
              </w:rPr>
              <w:t>1428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2525" w:rsidP="0095096B">
            <w:pPr>
              <w:jc w:val="center"/>
              <w:rPr>
                <w:rFonts w:cs="Times New Roman"/>
                <w:sz w:val="20"/>
                <w:szCs w:val="20"/>
              </w:rPr>
            </w:pPr>
            <w:r>
              <w:rPr>
                <w:rFonts w:cs="Times New Roman"/>
                <w:sz w:val="20"/>
                <w:szCs w:val="20"/>
              </w:rPr>
              <w:t>1429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2525" w:rsidP="0095096B">
            <w:pPr>
              <w:jc w:val="center"/>
              <w:rPr>
                <w:rFonts w:cs="Times New Roman"/>
                <w:sz w:val="20"/>
                <w:szCs w:val="20"/>
              </w:rPr>
            </w:pPr>
            <w:r>
              <w:rPr>
                <w:rFonts w:cs="Times New Roman"/>
                <w:sz w:val="20"/>
                <w:szCs w:val="20"/>
              </w:rPr>
              <w:t xml:space="preserve">1430 </w:t>
            </w:r>
            <w:r w:rsidR="0095096B" w:rsidRPr="002E2327">
              <w:rPr>
                <w:rFonts w:cs="Times New Roman"/>
                <w:sz w:val="20"/>
                <w:szCs w:val="20"/>
              </w:rPr>
              <w:t>-</w:t>
            </w:r>
            <w:r>
              <w:rPr>
                <w:rFonts w:cs="Times New Roman"/>
                <w:sz w:val="20"/>
                <w:szCs w:val="20"/>
              </w:rPr>
              <w:t xml:space="preserve"> 1431</w:t>
            </w:r>
          </w:p>
          <w:p w:rsidR="0095096B" w:rsidRPr="002E2327" w:rsidRDefault="0095096B" w:rsidP="0095096B">
            <w:pPr>
              <w:jc w:val="center"/>
              <w:rPr>
                <w:rFonts w:cs="Times New Roman"/>
                <w:sz w:val="20"/>
                <w:szCs w:val="20"/>
              </w:rPr>
            </w:pPr>
          </w:p>
          <w:p w:rsidR="0095096B" w:rsidRPr="002E2327" w:rsidRDefault="008C2525" w:rsidP="0095096B">
            <w:pPr>
              <w:jc w:val="center"/>
              <w:rPr>
                <w:rFonts w:cs="Times New Roman"/>
                <w:sz w:val="20"/>
                <w:szCs w:val="20"/>
              </w:rPr>
            </w:pPr>
            <w:r>
              <w:rPr>
                <w:rFonts w:cs="Times New Roman"/>
                <w:sz w:val="20"/>
                <w:szCs w:val="20"/>
              </w:rPr>
              <w:t xml:space="preserve">1432 </w:t>
            </w:r>
            <w:r w:rsidR="0095096B" w:rsidRPr="002E2327">
              <w:rPr>
                <w:rFonts w:cs="Times New Roman"/>
                <w:sz w:val="20"/>
                <w:szCs w:val="20"/>
              </w:rPr>
              <w:t>-</w:t>
            </w:r>
            <w:r>
              <w:rPr>
                <w:rFonts w:cs="Times New Roman"/>
                <w:sz w:val="20"/>
                <w:szCs w:val="20"/>
              </w:rPr>
              <w:t xml:space="preserve"> 1435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2525" w:rsidP="0095096B">
            <w:pPr>
              <w:jc w:val="center"/>
              <w:rPr>
                <w:rFonts w:cs="Times New Roman"/>
                <w:sz w:val="20"/>
                <w:szCs w:val="20"/>
              </w:rPr>
            </w:pPr>
            <w:r>
              <w:rPr>
                <w:rFonts w:cs="Times New Roman"/>
                <w:sz w:val="20"/>
                <w:szCs w:val="20"/>
              </w:rPr>
              <w:t xml:space="preserve">1436 </w:t>
            </w:r>
            <w:r w:rsidR="0095096B" w:rsidRPr="002E2327">
              <w:rPr>
                <w:rFonts w:cs="Times New Roman"/>
                <w:sz w:val="20"/>
                <w:szCs w:val="20"/>
              </w:rPr>
              <w:t>-</w:t>
            </w:r>
            <w:r>
              <w:rPr>
                <w:rFonts w:cs="Times New Roman"/>
                <w:sz w:val="20"/>
                <w:szCs w:val="20"/>
              </w:rPr>
              <w:t xml:space="preserve"> 1438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2525" w:rsidP="0095096B">
            <w:pPr>
              <w:jc w:val="center"/>
              <w:rPr>
                <w:rFonts w:cs="Times New Roman"/>
                <w:sz w:val="20"/>
                <w:szCs w:val="20"/>
              </w:rPr>
            </w:pPr>
            <w:r>
              <w:rPr>
                <w:rFonts w:cs="Times New Roman"/>
                <w:sz w:val="20"/>
                <w:szCs w:val="20"/>
              </w:rPr>
              <w:t xml:space="preserve">1439 </w:t>
            </w:r>
            <w:r w:rsidR="0095096B" w:rsidRPr="002E2327">
              <w:rPr>
                <w:rFonts w:cs="Times New Roman"/>
                <w:sz w:val="20"/>
                <w:szCs w:val="20"/>
              </w:rPr>
              <w:t>-</w:t>
            </w:r>
            <w:r>
              <w:rPr>
                <w:rFonts w:cs="Times New Roman"/>
                <w:sz w:val="20"/>
                <w:szCs w:val="20"/>
              </w:rPr>
              <w:t xml:space="preserve"> 1444</w:t>
            </w:r>
          </w:p>
          <w:p w:rsidR="00A87207" w:rsidRPr="002E2327" w:rsidRDefault="00A87207" w:rsidP="0095096B">
            <w:pPr>
              <w:tabs>
                <w:tab w:val="right" w:pos="9360"/>
              </w:tabs>
              <w:jc w:val="center"/>
              <w:rPr>
                <w:rFonts w:cs="Times New Roman"/>
                <w:sz w:val="20"/>
                <w:szCs w:val="20"/>
              </w:rPr>
            </w:pPr>
          </w:p>
        </w:tc>
        <w:tc>
          <w:tcPr>
            <w:tcW w:w="3888" w:type="dxa"/>
          </w:tcPr>
          <w:p w:rsidR="0095096B" w:rsidRPr="002E2327" w:rsidRDefault="0047571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C15AFD" w:rsidRDefault="00C15AFD" w:rsidP="0095096B">
      <w:pPr>
        <w:tabs>
          <w:tab w:val="right" w:pos="9360"/>
        </w:tabs>
        <w:rPr>
          <w:lang w:val="fr-CA"/>
        </w:rPr>
      </w:pPr>
    </w:p>
    <w:p w:rsidR="00C15AFD" w:rsidRDefault="00C15AFD" w:rsidP="0095096B">
      <w:pPr>
        <w:tabs>
          <w:tab w:val="right" w:pos="9360"/>
        </w:tabs>
        <w:rPr>
          <w:lang w:val="fr-CA"/>
        </w:rPr>
      </w:pPr>
    </w:p>
    <w:p w:rsidR="00C15AFD" w:rsidRDefault="00C15AFD" w:rsidP="0095096B">
      <w:pPr>
        <w:tabs>
          <w:tab w:val="right" w:pos="9360"/>
        </w:tabs>
        <w:rPr>
          <w:lang w:val="fr-CA"/>
        </w:rPr>
      </w:pPr>
    </w:p>
    <w:p w:rsidR="00C15AFD" w:rsidRPr="007E3DD4" w:rsidRDefault="00C15AFD" w:rsidP="0095096B">
      <w:pPr>
        <w:tabs>
          <w:tab w:val="right" w:pos="9360"/>
        </w:tabs>
        <w:rPr>
          <w:lang w:val="fr-CA"/>
        </w:rPr>
      </w:pPr>
    </w:p>
    <w:tbl>
      <w:tblPr>
        <w:tblStyle w:val="TableGrid"/>
        <w:tblW w:w="0" w:type="auto"/>
        <w:tblLook w:val="04A0"/>
      </w:tblPr>
      <w:tblGrid>
        <w:gridCol w:w="9576"/>
      </w:tblGrid>
      <w:tr w:rsidR="0079724F" w:rsidRPr="00063E5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7E3DD4" w:rsidRPr="007E3DD4" w:rsidTr="0039700F">
        <w:tc>
          <w:tcPr>
            <w:tcW w:w="4320" w:type="dxa"/>
            <w:shd w:val="clear" w:color="auto" w:fill="auto"/>
          </w:tcPr>
          <w:p w:rsidR="007E3DD4" w:rsidRPr="007E3DD4" w:rsidRDefault="007E3DD4" w:rsidP="007E3DD4">
            <w:pPr>
              <w:tabs>
                <w:tab w:val="left" w:pos="-1440"/>
                <w:tab w:val="left" w:pos="-720"/>
              </w:tabs>
              <w:rPr>
                <w:b/>
              </w:rPr>
            </w:pPr>
            <w:r w:rsidRPr="007E3DD4">
              <w:rPr>
                <w:b/>
              </w:rPr>
              <w:t xml:space="preserve">Miles </w:t>
            </w:r>
            <w:proofErr w:type="spellStart"/>
            <w:r w:rsidRPr="007E3DD4">
              <w:rPr>
                <w:b/>
              </w:rPr>
              <w:t>Rapkin</w:t>
            </w:r>
            <w:proofErr w:type="spellEnd"/>
          </w:p>
          <w:p w:rsidR="007E3DD4" w:rsidRPr="007E3DD4" w:rsidRDefault="007E3DD4" w:rsidP="007E3DD4">
            <w:pPr>
              <w:tabs>
                <w:tab w:val="left" w:pos="-1440"/>
                <w:tab w:val="left" w:pos="-720"/>
              </w:tabs>
            </w:pPr>
            <w:r w:rsidRPr="007E3DD4">
              <w:tab/>
              <w:t xml:space="preserve">Marie </w:t>
            </w:r>
            <w:proofErr w:type="spellStart"/>
            <w:r w:rsidRPr="007E3DD4">
              <w:t>Henein</w:t>
            </w:r>
            <w:proofErr w:type="spellEnd"/>
          </w:p>
          <w:p w:rsidR="007E3DD4" w:rsidRPr="007E3DD4" w:rsidRDefault="007E3DD4" w:rsidP="007E3DD4">
            <w:pPr>
              <w:tabs>
                <w:tab w:val="left" w:pos="-1440"/>
                <w:tab w:val="left" w:pos="-720"/>
              </w:tabs>
            </w:pPr>
            <w:r w:rsidRPr="007E3DD4">
              <w:tab/>
            </w:r>
            <w:proofErr w:type="spellStart"/>
            <w:r w:rsidRPr="007E3DD4">
              <w:t>Henein</w:t>
            </w:r>
            <w:proofErr w:type="spellEnd"/>
            <w:r w:rsidRPr="007E3DD4">
              <w:t xml:space="preserve"> &amp; Associates</w:t>
            </w:r>
          </w:p>
          <w:p w:rsidR="007E3DD4" w:rsidRPr="007E3DD4" w:rsidRDefault="007E3DD4" w:rsidP="007E3DD4">
            <w:pPr>
              <w:tabs>
                <w:tab w:val="left" w:pos="-1440"/>
                <w:tab w:val="left" w:pos="-720"/>
              </w:tabs>
            </w:pPr>
          </w:p>
          <w:p w:rsidR="007E3DD4" w:rsidRPr="007E3DD4" w:rsidRDefault="007E3DD4" w:rsidP="007E3DD4">
            <w:pPr>
              <w:tabs>
                <w:tab w:val="left" w:pos="-1440"/>
                <w:tab w:val="left" w:pos="-720"/>
              </w:tabs>
            </w:pPr>
            <w:r w:rsidRPr="007E3DD4">
              <w:tab/>
              <w:t>v. (33769)</w:t>
            </w:r>
          </w:p>
          <w:p w:rsidR="007E3DD4" w:rsidRPr="007E3DD4" w:rsidRDefault="007E3DD4" w:rsidP="007E3DD4">
            <w:pPr>
              <w:tabs>
                <w:tab w:val="left" w:pos="-1440"/>
                <w:tab w:val="left" w:pos="-720"/>
              </w:tabs>
            </w:pPr>
          </w:p>
          <w:p w:rsidR="007E3DD4" w:rsidRPr="007E3DD4" w:rsidRDefault="007E3DD4" w:rsidP="007E3DD4">
            <w:pPr>
              <w:tabs>
                <w:tab w:val="left" w:pos="-1440"/>
                <w:tab w:val="left" w:pos="-720"/>
              </w:tabs>
            </w:pPr>
            <w:r w:rsidRPr="007E3DD4">
              <w:rPr>
                <w:b/>
              </w:rPr>
              <w:t>Her Majesty the Queen (Ont.)</w:t>
            </w:r>
          </w:p>
          <w:p w:rsidR="007E3DD4" w:rsidRPr="007E3DD4" w:rsidRDefault="007E3DD4" w:rsidP="007E3DD4">
            <w:pPr>
              <w:tabs>
                <w:tab w:val="left" w:pos="-1440"/>
                <w:tab w:val="left" w:pos="-720"/>
              </w:tabs>
            </w:pPr>
            <w:r w:rsidRPr="007E3DD4">
              <w:tab/>
              <w:t>Bradley Reitz</w:t>
            </w:r>
          </w:p>
          <w:p w:rsidR="007E3DD4" w:rsidRPr="007E3DD4" w:rsidRDefault="007E3DD4" w:rsidP="007E3DD4">
            <w:pPr>
              <w:tabs>
                <w:tab w:val="left" w:pos="-1440"/>
                <w:tab w:val="left" w:pos="-720"/>
              </w:tabs>
            </w:pPr>
            <w:r w:rsidRPr="007E3DD4">
              <w:tab/>
              <w:t>Public Prosecution Service of Canada</w:t>
            </w:r>
          </w:p>
          <w:p w:rsidR="007E3DD4" w:rsidRPr="007E3DD4" w:rsidRDefault="007E3DD4" w:rsidP="007E3DD4">
            <w:pPr>
              <w:tabs>
                <w:tab w:val="left" w:pos="-1440"/>
                <w:tab w:val="left" w:pos="-720"/>
              </w:tabs>
            </w:pPr>
          </w:p>
          <w:p w:rsidR="007E3DD4" w:rsidRPr="007E3DD4" w:rsidRDefault="007E3DD4" w:rsidP="007E3DD4">
            <w:r w:rsidRPr="007E3DD4">
              <w:t>FILING DATE: 29.09.2010</w:t>
            </w:r>
          </w:p>
          <w:p w:rsidR="007E3DD4" w:rsidRPr="007E3DD4" w:rsidRDefault="0047571A" w:rsidP="007E3DD4">
            <w:pPr>
              <w:rPr>
                <w:lang w:val="fr-CA"/>
              </w:rPr>
            </w:pPr>
            <w:r w:rsidRPr="0047571A">
              <w:rPr>
                <w:rFonts w:eastAsiaTheme="minorHAnsi" w:cstheme="minorBidi"/>
                <w:sz w:val="24"/>
                <w:szCs w:val="22"/>
                <w:lang w:val="fr-CA" w:eastAsia="en-US"/>
              </w:rPr>
              <w:pict>
                <v:rect id="_x0000_i1025" style="width:108pt;height:1pt" o:hrpct="0" o:hralign="center" o:hrstd="t" o:hrnoshade="t" o:hr="t" fillcolor="black [3213]" stroked="f"/>
              </w:pict>
            </w:r>
          </w:p>
        </w:tc>
        <w:tc>
          <w:tcPr>
            <w:tcW w:w="1181" w:type="dxa"/>
            <w:shd w:val="clear" w:color="auto" w:fill="auto"/>
          </w:tcPr>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p w:rsidR="007E3DD4" w:rsidRPr="007E3DD4" w:rsidRDefault="007E3DD4" w:rsidP="007E3DD4"/>
        </w:tc>
        <w:tc>
          <w:tcPr>
            <w:tcW w:w="4320" w:type="dxa"/>
            <w:shd w:val="clear" w:color="auto" w:fill="auto"/>
          </w:tcPr>
          <w:p w:rsidR="007E3DD4" w:rsidRPr="007E3DD4" w:rsidRDefault="007E3DD4" w:rsidP="007E3DD4">
            <w:pPr>
              <w:keepNext/>
              <w:keepLines/>
              <w:tabs>
                <w:tab w:val="left" w:pos="-1440"/>
                <w:tab w:val="left" w:pos="-720"/>
              </w:tabs>
              <w:rPr>
                <w:b/>
              </w:rPr>
            </w:pPr>
            <w:r w:rsidRPr="007E3DD4">
              <w:rPr>
                <w:b/>
              </w:rPr>
              <w:t>T.H. and D.W.B.</w:t>
            </w:r>
          </w:p>
          <w:p w:rsidR="007E3DD4" w:rsidRPr="007E3DD4" w:rsidRDefault="007E3DD4" w:rsidP="007E3DD4">
            <w:pPr>
              <w:keepNext/>
              <w:keepLines/>
              <w:tabs>
                <w:tab w:val="left" w:pos="-1440"/>
                <w:tab w:val="left" w:pos="-720"/>
              </w:tabs>
            </w:pPr>
            <w:r w:rsidRPr="007E3DD4">
              <w:tab/>
              <w:t>Lisa D. Bevin</w:t>
            </w:r>
          </w:p>
          <w:p w:rsidR="007E3DD4" w:rsidRPr="007E3DD4" w:rsidRDefault="007E3DD4" w:rsidP="007E3DD4">
            <w:pPr>
              <w:keepNext/>
              <w:keepLines/>
              <w:tabs>
                <w:tab w:val="left" w:pos="-1440"/>
                <w:tab w:val="left" w:pos="-720"/>
              </w:tabs>
            </w:pPr>
            <w:r w:rsidRPr="007E3DD4">
              <w:tab/>
              <w:t>Nova Scotia Legal Aid</w:t>
            </w:r>
          </w:p>
          <w:p w:rsidR="007E3DD4" w:rsidRPr="007E3DD4" w:rsidRDefault="007E3DD4" w:rsidP="007E3DD4">
            <w:pPr>
              <w:keepNext/>
              <w:keepLines/>
              <w:tabs>
                <w:tab w:val="left" w:pos="-1440"/>
                <w:tab w:val="left" w:pos="-720"/>
              </w:tabs>
            </w:pPr>
          </w:p>
          <w:p w:rsidR="007E3DD4" w:rsidRPr="007E3DD4" w:rsidRDefault="007E3DD4" w:rsidP="007E3DD4">
            <w:pPr>
              <w:keepNext/>
              <w:keepLines/>
              <w:tabs>
                <w:tab w:val="left" w:pos="-1440"/>
                <w:tab w:val="left" w:pos="-720"/>
              </w:tabs>
            </w:pPr>
            <w:r w:rsidRPr="007E3DD4">
              <w:tab/>
              <w:t>v. (33887)</w:t>
            </w:r>
          </w:p>
          <w:p w:rsidR="007E3DD4" w:rsidRPr="007E3DD4" w:rsidRDefault="007E3DD4" w:rsidP="007E3DD4">
            <w:pPr>
              <w:keepNext/>
              <w:keepLines/>
              <w:tabs>
                <w:tab w:val="left" w:pos="-1440"/>
                <w:tab w:val="left" w:pos="-720"/>
              </w:tabs>
            </w:pPr>
          </w:p>
          <w:p w:rsidR="007E3DD4" w:rsidRPr="007E3DD4" w:rsidRDefault="007E3DD4" w:rsidP="007E3DD4">
            <w:pPr>
              <w:keepNext/>
              <w:keepLines/>
              <w:tabs>
                <w:tab w:val="left" w:pos="-1440"/>
                <w:tab w:val="left" w:pos="-720"/>
              </w:tabs>
            </w:pPr>
            <w:r w:rsidRPr="007E3DD4">
              <w:rPr>
                <w:b/>
              </w:rPr>
              <w:t>Minister of Community Services (N.S.)</w:t>
            </w:r>
          </w:p>
          <w:p w:rsidR="007E3DD4" w:rsidRPr="007E3DD4" w:rsidRDefault="007E3DD4" w:rsidP="007E3DD4">
            <w:pPr>
              <w:keepNext/>
              <w:keepLines/>
              <w:tabs>
                <w:tab w:val="left" w:pos="-1440"/>
                <w:tab w:val="left" w:pos="-720"/>
              </w:tabs>
            </w:pPr>
            <w:r w:rsidRPr="007E3DD4">
              <w:tab/>
              <w:t>Peter C. McVey</w:t>
            </w:r>
          </w:p>
          <w:p w:rsidR="007E3DD4" w:rsidRPr="007E3DD4" w:rsidRDefault="007E3DD4" w:rsidP="007E3DD4">
            <w:pPr>
              <w:keepNext/>
              <w:keepLines/>
              <w:tabs>
                <w:tab w:val="left" w:pos="-1440"/>
                <w:tab w:val="left" w:pos="-720"/>
              </w:tabs>
            </w:pPr>
            <w:r w:rsidRPr="007E3DD4">
              <w:tab/>
              <w:t>A.G. of Nova Scotia</w:t>
            </w:r>
          </w:p>
          <w:p w:rsidR="007E3DD4" w:rsidRPr="007E3DD4" w:rsidRDefault="007E3DD4" w:rsidP="007E3DD4">
            <w:pPr>
              <w:keepNext/>
              <w:keepLines/>
              <w:tabs>
                <w:tab w:val="left" w:pos="-1440"/>
                <w:tab w:val="left" w:pos="-720"/>
              </w:tabs>
            </w:pPr>
          </w:p>
          <w:p w:rsidR="007E3DD4" w:rsidRPr="007E3DD4" w:rsidRDefault="007E3DD4" w:rsidP="007E3DD4">
            <w:pPr>
              <w:keepNext/>
              <w:keepLines/>
              <w:tabs>
                <w:tab w:val="left" w:pos="-1440"/>
                <w:tab w:val="left" w:pos="-720"/>
              </w:tabs>
            </w:pPr>
            <w:r w:rsidRPr="007E3DD4">
              <w:t>FILING DATE: 29.09.2010</w:t>
            </w:r>
          </w:p>
          <w:p w:rsidR="007E3DD4" w:rsidRPr="007E3DD4" w:rsidRDefault="0047571A" w:rsidP="007E3DD4">
            <w:r w:rsidRPr="0047571A">
              <w:rPr>
                <w:rFonts w:eastAsiaTheme="minorHAnsi" w:cstheme="minorBidi"/>
                <w:sz w:val="24"/>
                <w:szCs w:val="22"/>
                <w:lang w:val="fr-CA" w:eastAsia="en-US"/>
              </w:rPr>
              <w:pict>
                <v:rect id="_x0000_i1026" style="width:108pt;height:1pt" o:hrpct="0" o:hralign="center" o:hrstd="t" o:hrnoshade="t" o:hr="t" fillcolor="black [3213]" stroked="f"/>
              </w:pict>
            </w:r>
          </w:p>
        </w:tc>
      </w:tr>
      <w:tr w:rsidR="007E3DD4" w:rsidRPr="007E3DD4" w:rsidTr="0039700F">
        <w:tc>
          <w:tcPr>
            <w:tcW w:w="4320" w:type="dxa"/>
            <w:shd w:val="clear" w:color="auto" w:fill="auto"/>
          </w:tcPr>
          <w:p w:rsidR="007E3DD4" w:rsidRPr="007E3DD4" w:rsidRDefault="007E3DD4" w:rsidP="007E3DD4">
            <w:pPr>
              <w:tabs>
                <w:tab w:val="left" w:pos="-1440"/>
                <w:tab w:val="left" w:pos="-720"/>
              </w:tabs>
              <w:rPr>
                <w:b/>
              </w:rPr>
            </w:pPr>
            <w:r w:rsidRPr="007E3DD4">
              <w:rPr>
                <w:b/>
              </w:rPr>
              <w:t>Cimaco International Sales, Inc. (d.b.a. Cimaco Travel)</w:t>
            </w:r>
          </w:p>
          <w:p w:rsidR="007E3DD4" w:rsidRPr="007E3DD4" w:rsidRDefault="007E3DD4" w:rsidP="007E3DD4">
            <w:pPr>
              <w:tabs>
                <w:tab w:val="left" w:pos="-1440"/>
                <w:tab w:val="left" w:pos="-720"/>
              </w:tabs>
            </w:pPr>
            <w:r w:rsidRPr="007E3DD4">
              <w:tab/>
            </w:r>
          </w:p>
          <w:p w:rsidR="007E3DD4" w:rsidRPr="007E3DD4" w:rsidRDefault="007E3DD4" w:rsidP="007E3DD4">
            <w:pPr>
              <w:tabs>
                <w:tab w:val="left" w:pos="-1440"/>
                <w:tab w:val="left" w:pos="-720"/>
              </w:tabs>
            </w:pPr>
            <w:r w:rsidRPr="007E3DD4">
              <w:tab/>
              <w:t>v. (33904)</w:t>
            </w:r>
          </w:p>
          <w:p w:rsidR="007E3DD4" w:rsidRPr="007E3DD4" w:rsidRDefault="007E3DD4" w:rsidP="007E3DD4">
            <w:pPr>
              <w:tabs>
                <w:tab w:val="left" w:pos="-1440"/>
                <w:tab w:val="left" w:pos="-720"/>
              </w:tabs>
            </w:pPr>
          </w:p>
          <w:p w:rsidR="007E3DD4" w:rsidRPr="007E3DD4" w:rsidRDefault="007E3DD4" w:rsidP="007E3DD4">
            <w:pPr>
              <w:tabs>
                <w:tab w:val="left" w:pos="-1440"/>
                <w:tab w:val="left" w:pos="-720"/>
              </w:tabs>
            </w:pPr>
            <w:r w:rsidRPr="007E3DD4">
              <w:rPr>
                <w:b/>
              </w:rPr>
              <w:t>Business Practices &amp; Consumer Protection Authority (B.C.)</w:t>
            </w:r>
          </w:p>
          <w:p w:rsidR="007E3DD4" w:rsidRPr="007E3DD4" w:rsidRDefault="007E3DD4" w:rsidP="007E3DD4">
            <w:pPr>
              <w:tabs>
                <w:tab w:val="left" w:pos="-1440"/>
                <w:tab w:val="left" w:pos="-720"/>
              </w:tabs>
            </w:pPr>
            <w:r w:rsidRPr="007E3DD4">
              <w:tab/>
              <w:t xml:space="preserve">John D. Waddell, Q.C. </w:t>
            </w:r>
          </w:p>
          <w:p w:rsidR="007E3DD4" w:rsidRPr="007E3DD4" w:rsidRDefault="007E3DD4" w:rsidP="007E3DD4">
            <w:pPr>
              <w:tabs>
                <w:tab w:val="left" w:pos="-1440"/>
                <w:tab w:val="left" w:pos="-720"/>
              </w:tabs>
            </w:pPr>
            <w:r w:rsidRPr="007E3DD4">
              <w:tab/>
              <w:t>Waddell, Raponi</w:t>
            </w:r>
          </w:p>
          <w:p w:rsidR="007E3DD4" w:rsidRPr="007E3DD4" w:rsidRDefault="007E3DD4" w:rsidP="007E3DD4">
            <w:pPr>
              <w:tabs>
                <w:tab w:val="left" w:pos="-1440"/>
                <w:tab w:val="left" w:pos="-720"/>
              </w:tabs>
            </w:pPr>
          </w:p>
          <w:p w:rsidR="007E3DD4" w:rsidRPr="007E3DD4" w:rsidRDefault="007E3DD4" w:rsidP="007E3DD4">
            <w:r w:rsidRPr="007E3DD4">
              <w:t>FILING DATE: 29.09.2010</w:t>
            </w:r>
          </w:p>
          <w:p w:rsidR="007E3DD4" w:rsidRPr="007E3DD4" w:rsidRDefault="0047571A" w:rsidP="007E3DD4">
            <w:r w:rsidRPr="0047571A">
              <w:rPr>
                <w:rFonts w:eastAsiaTheme="minorHAnsi" w:cstheme="minorBidi"/>
                <w:sz w:val="24"/>
                <w:szCs w:val="22"/>
                <w:lang w:val="fr-CA" w:eastAsia="en-US"/>
              </w:rPr>
              <w:pict>
                <v:rect id="_x0000_i1027" style="width:108pt;height:1pt" o:hrpct="0" o:hralign="center" o:hrstd="t" o:hrnoshade="t" o:hr="t" fillcolor="black [3213]" stroked="f"/>
              </w:pict>
            </w:r>
          </w:p>
        </w:tc>
        <w:tc>
          <w:tcPr>
            <w:tcW w:w="1181" w:type="dxa"/>
            <w:shd w:val="clear" w:color="auto" w:fill="auto"/>
          </w:tcPr>
          <w:p w:rsidR="007E3DD4" w:rsidRPr="007E3DD4" w:rsidRDefault="007E3DD4" w:rsidP="007E3DD4"/>
        </w:tc>
        <w:tc>
          <w:tcPr>
            <w:tcW w:w="4320" w:type="dxa"/>
            <w:shd w:val="clear" w:color="auto" w:fill="auto"/>
          </w:tcPr>
          <w:p w:rsidR="007E3DD4" w:rsidRPr="007E3DD4" w:rsidRDefault="007E3DD4" w:rsidP="007E3DD4">
            <w:pPr>
              <w:keepNext/>
              <w:keepLines/>
              <w:tabs>
                <w:tab w:val="left" w:pos="-1440"/>
                <w:tab w:val="left" w:pos="-720"/>
              </w:tabs>
              <w:rPr>
                <w:b/>
              </w:rPr>
            </w:pPr>
            <w:r w:rsidRPr="007E3DD4">
              <w:rPr>
                <w:b/>
              </w:rPr>
              <w:t>Richard C. Breeden et al.</w:t>
            </w:r>
          </w:p>
          <w:p w:rsidR="007E3DD4" w:rsidRPr="007E3DD4" w:rsidRDefault="007E3DD4" w:rsidP="007E3DD4">
            <w:pPr>
              <w:keepNext/>
              <w:keepLines/>
              <w:tabs>
                <w:tab w:val="left" w:pos="-1440"/>
                <w:tab w:val="left" w:pos="-720"/>
              </w:tabs>
            </w:pPr>
            <w:r w:rsidRPr="007E3DD4">
              <w:tab/>
              <w:t>Paul B. Schabas</w:t>
            </w:r>
          </w:p>
          <w:p w:rsidR="007E3DD4" w:rsidRPr="007E3DD4" w:rsidRDefault="007E3DD4" w:rsidP="007E3DD4">
            <w:pPr>
              <w:keepNext/>
              <w:keepLines/>
              <w:tabs>
                <w:tab w:val="left" w:pos="-1440"/>
                <w:tab w:val="left" w:pos="-720"/>
              </w:tabs>
            </w:pPr>
            <w:r w:rsidRPr="007E3DD4">
              <w:tab/>
              <w:t>Blake, Cassels &amp; Graydon LLP</w:t>
            </w:r>
          </w:p>
          <w:p w:rsidR="007E3DD4" w:rsidRPr="007E3DD4" w:rsidRDefault="007E3DD4" w:rsidP="007E3DD4">
            <w:pPr>
              <w:keepNext/>
              <w:keepLines/>
              <w:tabs>
                <w:tab w:val="left" w:pos="-1440"/>
                <w:tab w:val="left" w:pos="-720"/>
              </w:tabs>
            </w:pPr>
          </w:p>
          <w:p w:rsidR="007E3DD4" w:rsidRPr="007E3DD4" w:rsidRDefault="007E3DD4" w:rsidP="007E3DD4">
            <w:pPr>
              <w:keepNext/>
              <w:keepLines/>
              <w:tabs>
                <w:tab w:val="left" w:pos="-1440"/>
                <w:tab w:val="left" w:pos="-720"/>
              </w:tabs>
            </w:pPr>
            <w:r w:rsidRPr="007E3DD4">
              <w:tab/>
              <w:t>v. (33900)</w:t>
            </w:r>
          </w:p>
          <w:p w:rsidR="007E3DD4" w:rsidRPr="007E3DD4" w:rsidRDefault="007E3DD4" w:rsidP="007E3DD4">
            <w:pPr>
              <w:keepNext/>
              <w:keepLines/>
              <w:tabs>
                <w:tab w:val="left" w:pos="-1440"/>
                <w:tab w:val="left" w:pos="-720"/>
              </w:tabs>
            </w:pPr>
          </w:p>
          <w:p w:rsidR="007E3DD4" w:rsidRPr="007E3DD4" w:rsidRDefault="007E3DD4" w:rsidP="007E3DD4">
            <w:pPr>
              <w:keepNext/>
              <w:keepLines/>
              <w:tabs>
                <w:tab w:val="left" w:pos="-1440"/>
                <w:tab w:val="left" w:pos="-720"/>
              </w:tabs>
            </w:pPr>
            <w:r w:rsidRPr="007E3DD4">
              <w:rPr>
                <w:b/>
              </w:rPr>
              <w:t>Conrad Black (Ont.)</w:t>
            </w:r>
          </w:p>
          <w:p w:rsidR="007E3DD4" w:rsidRPr="007E3DD4" w:rsidRDefault="007E3DD4" w:rsidP="007E3DD4">
            <w:pPr>
              <w:keepNext/>
              <w:keepLines/>
              <w:tabs>
                <w:tab w:val="left" w:pos="-1440"/>
                <w:tab w:val="left" w:pos="-720"/>
              </w:tabs>
            </w:pPr>
            <w:r w:rsidRPr="007E3DD4">
              <w:tab/>
              <w:t>Earl A. Cherniak, Q.C.</w:t>
            </w:r>
          </w:p>
          <w:p w:rsidR="007E3DD4" w:rsidRPr="007E3DD4" w:rsidRDefault="007E3DD4" w:rsidP="007E3DD4">
            <w:pPr>
              <w:keepNext/>
              <w:keepLines/>
              <w:tabs>
                <w:tab w:val="left" w:pos="-1440"/>
                <w:tab w:val="left" w:pos="-720"/>
              </w:tabs>
            </w:pPr>
            <w:r w:rsidRPr="007E3DD4">
              <w:tab/>
              <w:t>L</w:t>
            </w:r>
            <w:r w:rsidR="00A35A08">
              <w:t>erners</w:t>
            </w:r>
            <w:r w:rsidRPr="007E3DD4">
              <w:t xml:space="preserve"> LLP</w:t>
            </w:r>
          </w:p>
          <w:p w:rsidR="007E3DD4" w:rsidRPr="007E3DD4" w:rsidRDefault="007E3DD4" w:rsidP="007E3DD4">
            <w:pPr>
              <w:keepNext/>
              <w:keepLines/>
              <w:tabs>
                <w:tab w:val="left" w:pos="-1440"/>
                <w:tab w:val="left" w:pos="-720"/>
              </w:tabs>
            </w:pPr>
          </w:p>
          <w:p w:rsidR="007E3DD4" w:rsidRPr="007E3DD4" w:rsidRDefault="007E3DD4" w:rsidP="007E3DD4">
            <w:pPr>
              <w:keepNext/>
              <w:keepLines/>
              <w:tabs>
                <w:tab w:val="left" w:pos="-1440"/>
                <w:tab w:val="left" w:pos="-720"/>
              </w:tabs>
            </w:pPr>
            <w:r w:rsidRPr="007E3DD4">
              <w:t>FILING DATE: 12.10.2010</w:t>
            </w:r>
          </w:p>
          <w:p w:rsidR="007E3DD4" w:rsidRPr="007E3DD4" w:rsidRDefault="0047571A" w:rsidP="007E3DD4">
            <w:r w:rsidRPr="0047571A">
              <w:rPr>
                <w:rFonts w:eastAsiaTheme="minorHAnsi" w:cstheme="minorBidi"/>
                <w:sz w:val="24"/>
                <w:szCs w:val="22"/>
                <w:lang w:val="fr-CA" w:eastAsia="en-US"/>
              </w:rPr>
              <w:pict>
                <v:rect id="_x0000_i1028" style="width:108pt;height:1pt" o:hrpct="0" o:hralign="center" o:hrstd="t" o:hrnoshade="t" o:hr="t" fillcolor="black [3213]" stroked="f"/>
              </w:pict>
            </w:r>
          </w:p>
        </w:tc>
      </w:tr>
    </w:tbl>
    <w:p w:rsidR="006C3F47" w:rsidRDefault="006C3F47" w:rsidP="0095096B">
      <w:pPr>
        <w:tabs>
          <w:tab w:val="right" w:pos="9360"/>
        </w:tabs>
        <w:rPr>
          <w:sz w:val="20"/>
          <w:szCs w:val="20"/>
        </w:rPr>
      </w:pPr>
    </w:p>
    <w:p w:rsidR="007E3DD4" w:rsidRDefault="007E3DD4" w:rsidP="0095096B">
      <w:pPr>
        <w:tabs>
          <w:tab w:val="right" w:pos="9360"/>
        </w:tabs>
        <w:rPr>
          <w:sz w:val="20"/>
          <w:szCs w:val="20"/>
        </w:rPr>
      </w:pPr>
    </w:p>
    <w:p w:rsidR="007E3DD4" w:rsidRPr="00C50A5C" w:rsidRDefault="007E3DD4" w:rsidP="0095096B">
      <w:pPr>
        <w:tabs>
          <w:tab w:val="right" w:pos="9360"/>
        </w:tabs>
        <w:rPr>
          <w:sz w:val="20"/>
          <w:szCs w:val="20"/>
        </w:rPr>
        <w:sectPr w:rsidR="007E3DD4" w:rsidRPr="00C50A5C" w:rsidSect="000F40AA">
          <w:headerReference w:type="default" r:id="rId15"/>
          <w:footerReference w:type="default" r:id="rId16"/>
          <w:headerReference w:type="first" r:id="rId17"/>
          <w:footerReference w:type="first" r:id="rId18"/>
          <w:pgSz w:w="12240" w:h="15840"/>
          <w:pgMar w:top="720" w:right="965" w:bottom="1080" w:left="1656" w:header="706" w:footer="706" w:gutter="0"/>
          <w:pgNumType w:start="142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63E5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F74A77" w:rsidP="002E2327">
      <w:pPr>
        <w:widowControl w:val="0"/>
        <w:rPr>
          <w:b/>
          <w:sz w:val="20"/>
          <w:szCs w:val="20"/>
        </w:rPr>
      </w:pPr>
      <w:r>
        <w:rPr>
          <w:b/>
          <w:sz w:val="20"/>
          <w:szCs w:val="20"/>
        </w:rPr>
        <w:t>NOVEMBER 8</w:t>
      </w:r>
      <w:r w:rsidR="002E2327" w:rsidRPr="00C50A5C">
        <w:rPr>
          <w:b/>
          <w:sz w:val="20"/>
          <w:szCs w:val="20"/>
        </w:rPr>
        <w:t xml:space="preserve">, 2010 / LE </w:t>
      </w:r>
      <w:r>
        <w:rPr>
          <w:b/>
          <w:sz w:val="20"/>
          <w:szCs w:val="20"/>
        </w:rPr>
        <w:t xml:space="preserve">8 NOVEMBRE </w:t>
      </w:r>
      <w:r w:rsidR="002E2327" w:rsidRPr="00C50A5C">
        <w:rPr>
          <w:b/>
          <w:sz w:val="20"/>
          <w:szCs w:val="20"/>
        </w:rPr>
        <w:t>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E8755A" w:rsidP="00C50A5C">
      <w:pPr>
        <w:pStyle w:val="ListParagraph"/>
        <w:widowControl w:val="0"/>
        <w:numPr>
          <w:ilvl w:val="0"/>
          <w:numId w:val="1"/>
        </w:numPr>
        <w:ind w:hanging="720"/>
        <w:jc w:val="both"/>
        <w:rPr>
          <w:sz w:val="20"/>
          <w:szCs w:val="20"/>
        </w:rPr>
      </w:pPr>
      <w:r w:rsidRPr="00E8755A">
        <w:rPr>
          <w:i/>
          <w:sz w:val="20"/>
          <w:szCs w:val="20"/>
        </w:rPr>
        <w:t>X. v. Her Majesty the Queen et al.</w:t>
      </w:r>
      <w:r>
        <w:rPr>
          <w:sz w:val="20"/>
          <w:szCs w:val="20"/>
        </w:rPr>
        <w:t xml:space="preserve"> (Civil) </w:t>
      </w:r>
      <w:r w:rsidR="002E2327" w:rsidRPr="00C50A5C">
        <w:rPr>
          <w:sz w:val="20"/>
          <w:szCs w:val="20"/>
        </w:rPr>
        <w:t>(33</w:t>
      </w:r>
      <w:r w:rsidR="00F74A77">
        <w:rPr>
          <w:sz w:val="20"/>
          <w:szCs w:val="20"/>
        </w:rPr>
        <w:t>725</w:t>
      </w:r>
      <w:r w:rsidR="002E2327" w:rsidRPr="00C50A5C">
        <w:rPr>
          <w:sz w:val="20"/>
          <w:szCs w:val="20"/>
        </w:rPr>
        <w:t>)</w:t>
      </w:r>
    </w:p>
    <w:p w:rsidR="002E2327" w:rsidRPr="00E8755A" w:rsidRDefault="002E2327" w:rsidP="00C50A5C">
      <w:pPr>
        <w:widowControl w:val="0"/>
        <w:jc w:val="both"/>
        <w:rPr>
          <w:i/>
          <w:sz w:val="20"/>
          <w:szCs w:val="20"/>
        </w:rPr>
      </w:pPr>
    </w:p>
    <w:p w:rsidR="002E2327" w:rsidRPr="00C50A5C" w:rsidRDefault="00E8755A" w:rsidP="00C50A5C">
      <w:pPr>
        <w:pStyle w:val="ListParagraph"/>
        <w:widowControl w:val="0"/>
        <w:numPr>
          <w:ilvl w:val="0"/>
          <w:numId w:val="1"/>
        </w:numPr>
        <w:ind w:hanging="720"/>
        <w:jc w:val="both"/>
        <w:rPr>
          <w:sz w:val="20"/>
          <w:szCs w:val="20"/>
        </w:rPr>
      </w:pPr>
      <w:r w:rsidRPr="00E8755A">
        <w:rPr>
          <w:i/>
          <w:sz w:val="20"/>
          <w:szCs w:val="20"/>
        </w:rPr>
        <w:t>Amelia Zwaigenbaum v. Hugh Scher</w:t>
      </w:r>
      <w:r w:rsidRPr="00F74A77">
        <w:rPr>
          <w:sz w:val="20"/>
          <w:szCs w:val="20"/>
        </w:rPr>
        <w:t xml:space="preserve"> (Ont.) (Civil) (By Leave)</w:t>
      </w:r>
      <w:r w:rsidRPr="00C50A5C">
        <w:rPr>
          <w:sz w:val="20"/>
          <w:szCs w:val="20"/>
        </w:rPr>
        <w:t xml:space="preserve"> </w:t>
      </w:r>
      <w:r w:rsidR="002E2327" w:rsidRPr="00C50A5C">
        <w:rPr>
          <w:sz w:val="20"/>
          <w:szCs w:val="20"/>
        </w:rPr>
        <w:t>(33</w:t>
      </w:r>
      <w:r w:rsidR="00F74A77">
        <w:rPr>
          <w:sz w:val="20"/>
          <w:szCs w:val="20"/>
        </w:rPr>
        <w:t>8</w:t>
      </w:r>
      <w:r w:rsidR="002E2327" w:rsidRPr="00C50A5C">
        <w:rPr>
          <w:sz w:val="20"/>
          <w:szCs w:val="20"/>
        </w:rPr>
        <w:t>5</w:t>
      </w:r>
      <w:r w:rsidR="00F74A77">
        <w:rPr>
          <w:sz w:val="20"/>
          <w:szCs w:val="20"/>
        </w:rPr>
        <w:t>3</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Binnie, Fish and Rothstein JJ.</w:t>
      </w:r>
    </w:p>
    <w:p w:rsidR="002E2327" w:rsidRPr="00492DCE" w:rsidRDefault="002E2327" w:rsidP="002E2327">
      <w:pPr>
        <w:widowControl w:val="0"/>
        <w:jc w:val="center"/>
        <w:rPr>
          <w:b/>
          <w:sz w:val="20"/>
          <w:szCs w:val="20"/>
          <w:lang w:val="fr-CA"/>
        </w:rPr>
      </w:pPr>
      <w:r w:rsidRPr="00492DCE">
        <w:rPr>
          <w:b/>
          <w:sz w:val="20"/>
          <w:szCs w:val="20"/>
          <w:lang w:val="fr-CA"/>
        </w:rPr>
        <w:t>Les juges Binnie, Fish et Rothstein</w:t>
      </w:r>
    </w:p>
    <w:p w:rsidR="002E2327" w:rsidRPr="00492DCE" w:rsidRDefault="002E2327" w:rsidP="002E2327">
      <w:pPr>
        <w:widowControl w:val="0"/>
        <w:rPr>
          <w:sz w:val="20"/>
          <w:szCs w:val="20"/>
          <w:lang w:val="fr-CA"/>
        </w:rPr>
      </w:pPr>
    </w:p>
    <w:p w:rsidR="002E2327" w:rsidRPr="00C50A5C" w:rsidRDefault="00E8755A" w:rsidP="00C50A5C">
      <w:pPr>
        <w:pStyle w:val="ListParagraph"/>
        <w:widowControl w:val="0"/>
        <w:numPr>
          <w:ilvl w:val="0"/>
          <w:numId w:val="1"/>
        </w:numPr>
        <w:ind w:hanging="720"/>
        <w:jc w:val="both"/>
        <w:rPr>
          <w:sz w:val="20"/>
          <w:szCs w:val="20"/>
        </w:rPr>
      </w:pPr>
      <w:r w:rsidRPr="00E8755A">
        <w:rPr>
          <w:i/>
          <w:sz w:val="20"/>
          <w:szCs w:val="20"/>
        </w:rPr>
        <w:t>Mark Tayfel v. Her Majesty the Queen</w:t>
      </w:r>
      <w:r w:rsidRPr="00F74A77">
        <w:rPr>
          <w:sz w:val="20"/>
          <w:szCs w:val="20"/>
        </w:rPr>
        <w:t xml:space="preserve"> (Man.) (Crim</w:t>
      </w:r>
      <w:r>
        <w:rPr>
          <w:sz w:val="20"/>
          <w:szCs w:val="20"/>
        </w:rPr>
        <w:t>.</w:t>
      </w:r>
      <w:r w:rsidRPr="00F74A77">
        <w:rPr>
          <w:sz w:val="20"/>
          <w:szCs w:val="20"/>
        </w:rPr>
        <w:t>) (By Leave)</w:t>
      </w:r>
      <w:r w:rsidRPr="00C50A5C">
        <w:rPr>
          <w:sz w:val="20"/>
          <w:szCs w:val="20"/>
        </w:rPr>
        <w:t xml:space="preserve"> </w:t>
      </w:r>
      <w:r w:rsidR="002E2327" w:rsidRPr="00C50A5C">
        <w:rPr>
          <w:sz w:val="20"/>
          <w:szCs w:val="20"/>
        </w:rPr>
        <w:t>(33</w:t>
      </w:r>
      <w:r w:rsidR="00F74A77">
        <w:rPr>
          <w:sz w:val="20"/>
          <w:szCs w:val="20"/>
        </w:rPr>
        <w:t>7</w:t>
      </w:r>
      <w:r w:rsidR="002E2327" w:rsidRPr="00C50A5C">
        <w:rPr>
          <w:sz w:val="20"/>
          <w:szCs w:val="20"/>
        </w:rPr>
        <w:t>6</w:t>
      </w:r>
      <w:r w:rsidR="00F74A77">
        <w:rPr>
          <w:sz w:val="20"/>
          <w:szCs w:val="20"/>
        </w:rPr>
        <w:t>5</w:t>
      </w:r>
      <w:r w:rsidR="002E2327" w:rsidRPr="00C50A5C">
        <w:rPr>
          <w:sz w:val="20"/>
          <w:szCs w:val="20"/>
        </w:rPr>
        <w:t>)</w:t>
      </w:r>
    </w:p>
    <w:p w:rsidR="002E2327" w:rsidRPr="00C50A5C" w:rsidRDefault="002E2327" w:rsidP="00C50A5C">
      <w:pPr>
        <w:widowControl w:val="0"/>
        <w:jc w:val="both"/>
        <w:rPr>
          <w:sz w:val="20"/>
          <w:szCs w:val="20"/>
        </w:rPr>
      </w:pPr>
    </w:p>
    <w:p w:rsidR="002E2327" w:rsidRPr="00E8755A" w:rsidRDefault="00E8755A" w:rsidP="00C50A5C">
      <w:pPr>
        <w:pStyle w:val="ListParagraph"/>
        <w:widowControl w:val="0"/>
        <w:numPr>
          <w:ilvl w:val="0"/>
          <w:numId w:val="1"/>
        </w:numPr>
        <w:ind w:hanging="720"/>
        <w:jc w:val="both"/>
        <w:rPr>
          <w:sz w:val="20"/>
          <w:szCs w:val="20"/>
          <w:lang w:val="fr-CA"/>
        </w:rPr>
      </w:pPr>
      <w:r w:rsidRPr="00E8755A">
        <w:rPr>
          <w:i/>
          <w:sz w:val="20"/>
          <w:szCs w:val="20"/>
          <w:lang w:val="fr-CA"/>
        </w:rPr>
        <w:t>Marta Piresferreira et al. v. Richard Ayotte et al.</w:t>
      </w:r>
      <w:r w:rsidRPr="00E8755A">
        <w:rPr>
          <w:sz w:val="20"/>
          <w:szCs w:val="20"/>
          <w:lang w:val="fr-CA"/>
        </w:rPr>
        <w:t xml:space="preserve"> (Ont.) (Civil) (By Leave) </w:t>
      </w:r>
      <w:r w:rsidR="002E2327" w:rsidRPr="00E8755A">
        <w:rPr>
          <w:sz w:val="20"/>
          <w:szCs w:val="20"/>
          <w:lang w:val="fr-CA"/>
        </w:rPr>
        <w:t>(33</w:t>
      </w:r>
      <w:r w:rsidR="00F74A77" w:rsidRPr="00E8755A">
        <w:rPr>
          <w:sz w:val="20"/>
          <w:szCs w:val="20"/>
          <w:lang w:val="fr-CA"/>
        </w:rPr>
        <w:t>81</w:t>
      </w:r>
      <w:r w:rsidR="002E2327" w:rsidRPr="00E8755A">
        <w:rPr>
          <w:sz w:val="20"/>
          <w:szCs w:val="20"/>
          <w:lang w:val="fr-CA"/>
        </w:rPr>
        <w:t>1)</w:t>
      </w:r>
    </w:p>
    <w:p w:rsidR="002E2327" w:rsidRPr="00E8755A" w:rsidRDefault="002E2327" w:rsidP="002E2327">
      <w:pPr>
        <w:widowControl w:val="0"/>
        <w:rPr>
          <w:sz w:val="20"/>
          <w:szCs w:val="20"/>
          <w:lang w:val="fr-CA"/>
        </w:rPr>
      </w:pPr>
    </w:p>
    <w:p w:rsidR="002E2327" w:rsidRPr="00E8755A" w:rsidRDefault="002E2327" w:rsidP="002E2327">
      <w:pPr>
        <w:widowControl w:val="0"/>
        <w:rPr>
          <w:sz w:val="20"/>
          <w:szCs w:val="20"/>
          <w:lang w:val="fr-CA"/>
        </w:rPr>
      </w:pPr>
    </w:p>
    <w:p w:rsidR="002E2327" w:rsidRPr="00C50A5C" w:rsidRDefault="002E2327" w:rsidP="002E2327">
      <w:pPr>
        <w:widowControl w:val="0"/>
        <w:jc w:val="center"/>
        <w:rPr>
          <w:b/>
          <w:sz w:val="20"/>
          <w:szCs w:val="20"/>
        </w:rPr>
      </w:pPr>
      <w:r w:rsidRPr="00C50A5C">
        <w:rPr>
          <w:b/>
          <w:sz w:val="20"/>
          <w:szCs w:val="20"/>
        </w:rPr>
        <w:t>CORAM: LeBel, Deschamps and Charron JJ.</w:t>
      </w:r>
    </w:p>
    <w:p w:rsidR="002E2327" w:rsidRPr="00492DCE" w:rsidRDefault="002E2327" w:rsidP="002E2327">
      <w:pPr>
        <w:widowControl w:val="0"/>
        <w:jc w:val="center"/>
        <w:rPr>
          <w:b/>
          <w:sz w:val="20"/>
          <w:szCs w:val="20"/>
          <w:lang w:val="fr-CA"/>
        </w:rPr>
      </w:pPr>
      <w:r w:rsidRPr="00492DCE">
        <w:rPr>
          <w:b/>
          <w:sz w:val="20"/>
          <w:szCs w:val="20"/>
          <w:lang w:val="fr-CA"/>
        </w:rPr>
        <w:t>Les juges LeBel, Deschamps et Charron</w:t>
      </w:r>
    </w:p>
    <w:p w:rsidR="002E2327" w:rsidRPr="00492DCE" w:rsidRDefault="002E2327" w:rsidP="002E2327">
      <w:pPr>
        <w:widowControl w:val="0"/>
        <w:rPr>
          <w:sz w:val="20"/>
          <w:szCs w:val="20"/>
          <w:lang w:val="fr-CA"/>
        </w:rPr>
      </w:pPr>
    </w:p>
    <w:p w:rsidR="002E2327" w:rsidRPr="00E8755A" w:rsidRDefault="00E8755A" w:rsidP="00C50A5C">
      <w:pPr>
        <w:pStyle w:val="ListParagraph"/>
        <w:widowControl w:val="0"/>
        <w:numPr>
          <w:ilvl w:val="0"/>
          <w:numId w:val="1"/>
        </w:numPr>
        <w:ind w:hanging="720"/>
        <w:jc w:val="both"/>
        <w:rPr>
          <w:sz w:val="20"/>
          <w:szCs w:val="20"/>
          <w:lang w:val="fr-CA"/>
        </w:rPr>
      </w:pPr>
      <w:r w:rsidRPr="00F16ECE">
        <w:rPr>
          <w:i/>
          <w:sz w:val="20"/>
          <w:szCs w:val="20"/>
          <w:lang w:val="fr-CA"/>
        </w:rPr>
        <w:t xml:space="preserve">Sa Majesté la Reine c. Michel Usereau </w:t>
      </w:r>
      <w:r w:rsidRPr="00F74A77">
        <w:rPr>
          <w:sz w:val="20"/>
          <w:szCs w:val="20"/>
          <w:lang w:val="fr-CA"/>
        </w:rPr>
        <w:t>(Qc) (Crim</w:t>
      </w:r>
      <w:r>
        <w:rPr>
          <w:sz w:val="20"/>
          <w:szCs w:val="20"/>
          <w:lang w:val="fr-CA"/>
        </w:rPr>
        <w:t>.</w:t>
      </w:r>
      <w:r w:rsidRPr="00F74A77">
        <w:rPr>
          <w:sz w:val="20"/>
          <w:szCs w:val="20"/>
          <w:lang w:val="fr-CA"/>
        </w:rPr>
        <w:t>) (Autorisation)</w:t>
      </w:r>
      <w:r>
        <w:rPr>
          <w:sz w:val="20"/>
          <w:szCs w:val="20"/>
          <w:lang w:val="fr-CA"/>
        </w:rPr>
        <w:t xml:space="preserve"> </w:t>
      </w:r>
      <w:r w:rsidR="002E2327" w:rsidRPr="00E8755A">
        <w:rPr>
          <w:sz w:val="20"/>
          <w:szCs w:val="20"/>
          <w:lang w:val="fr-CA"/>
        </w:rPr>
        <w:t>(33</w:t>
      </w:r>
      <w:r w:rsidR="00F74A77" w:rsidRPr="00E8755A">
        <w:rPr>
          <w:sz w:val="20"/>
          <w:szCs w:val="20"/>
          <w:lang w:val="fr-CA"/>
        </w:rPr>
        <w:t>775</w:t>
      </w:r>
      <w:r w:rsidR="002E2327" w:rsidRPr="00E8755A">
        <w:rPr>
          <w:sz w:val="20"/>
          <w:szCs w:val="20"/>
          <w:lang w:val="fr-CA"/>
        </w:rPr>
        <w:t>)</w:t>
      </w:r>
    </w:p>
    <w:p w:rsidR="002E2327" w:rsidRPr="00E8755A" w:rsidRDefault="002E2327" w:rsidP="00C50A5C">
      <w:pPr>
        <w:widowControl w:val="0"/>
        <w:jc w:val="both"/>
        <w:rPr>
          <w:sz w:val="20"/>
          <w:szCs w:val="20"/>
          <w:lang w:val="fr-CA"/>
        </w:rPr>
      </w:pPr>
    </w:p>
    <w:p w:rsidR="002E2327" w:rsidRPr="00E8755A" w:rsidRDefault="00E8755A" w:rsidP="00C50A5C">
      <w:pPr>
        <w:pStyle w:val="ListParagraph"/>
        <w:widowControl w:val="0"/>
        <w:numPr>
          <w:ilvl w:val="0"/>
          <w:numId w:val="1"/>
        </w:numPr>
        <w:ind w:hanging="720"/>
        <w:jc w:val="both"/>
        <w:rPr>
          <w:sz w:val="20"/>
          <w:szCs w:val="20"/>
          <w:lang w:val="fr-CA"/>
        </w:rPr>
      </w:pPr>
      <w:r w:rsidRPr="00F16ECE">
        <w:rPr>
          <w:i/>
          <w:sz w:val="20"/>
          <w:szCs w:val="20"/>
          <w:lang w:val="fr-CA"/>
        </w:rPr>
        <w:t xml:space="preserve">Jean-Sébastien Lamontagne c. </w:t>
      </w:r>
      <w:r w:rsidR="00F16ECE" w:rsidRPr="00F16ECE">
        <w:rPr>
          <w:i/>
          <w:sz w:val="20"/>
          <w:szCs w:val="20"/>
          <w:lang w:val="fr-CA"/>
        </w:rPr>
        <w:t>Tribunal administratif du Québec et autre</w:t>
      </w:r>
      <w:r w:rsidR="00F16ECE" w:rsidRPr="00F74A77">
        <w:rPr>
          <w:sz w:val="20"/>
          <w:szCs w:val="20"/>
          <w:lang w:val="fr-CA"/>
        </w:rPr>
        <w:t xml:space="preserve"> </w:t>
      </w:r>
      <w:r w:rsidRPr="00F74A77">
        <w:rPr>
          <w:sz w:val="20"/>
          <w:szCs w:val="20"/>
          <w:lang w:val="fr-CA"/>
        </w:rPr>
        <w:t>(Qc) (Civile) (Autorisation)</w:t>
      </w:r>
      <w:r w:rsidRPr="00E8755A">
        <w:rPr>
          <w:sz w:val="20"/>
          <w:szCs w:val="20"/>
          <w:lang w:val="fr-CA"/>
        </w:rPr>
        <w:t xml:space="preserve"> </w:t>
      </w:r>
      <w:r w:rsidR="002E2327" w:rsidRPr="00E8755A">
        <w:rPr>
          <w:sz w:val="20"/>
          <w:szCs w:val="20"/>
          <w:lang w:val="fr-CA"/>
        </w:rPr>
        <w:t>(33</w:t>
      </w:r>
      <w:r w:rsidR="00F74A77" w:rsidRPr="00E8755A">
        <w:rPr>
          <w:sz w:val="20"/>
          <w:szCs w:val="20"/>
          <w:lang w:val="fr-CA"/>
        </w:rPr>
        <w:t>852</w:t>
      </w:r>
      <w:r w:rsidR="002E2327" w:rsidRPr="00E8755A">
        <w:rPr>
          <w:sz w:val="20"/>
          <w:szCs w:val="20"/>
          <w:lang w:val="fr-CA"/>
        </w:rPr>
        <w:t>)</w:t>
      </w:r>
    </w:p>
    <w:p w:rsidR="002E2327" w:rsidRPr="00E8755A" w:rsidRDefault="002E2327" w:rsidP="00C50A5C">
      <w:pPr>
        <w:widowControl w:val="0"/>
        <w:jc w:val="both"/>
        <w:rPr>
          <w:sz w:val="20"/>
          <w:szCs w:val="20"/>
          <w:lang w:val="fr-CA"/>
        </w:rPr>
      </w:pPr>
    </w:p>
    <w:p w:rsidR="002E2327" w:rsidRPr="00E8755A" w:rsidRDefault="00F16ECE" w:rsidP="00C50A5C">
      <w:pPr>
        <w:pStyle w:val="ListParagraph"/>
        <w:widowControl w:val="0"/>
        <w:numPr>
          <w:ilvl w:val="0"/>
          <w:numId w:val="1"/>
        </w:numPr>
        <w:ind w:hanging="720"/>
        <w:jc w:val="both"/>
        <w:rPr>
          <w:sz w:val="20"/>
          <w:szCs w:val="20"/>
          <w:lang w:val="fr-CA"/>
        </w:rPr>
      </w:pPr>
      <w:r w:rsidRPr="00F16ECE">
        <w:rPr>
          <w:i/>
          <w:sz w:val="20"/>
          <w:szCs w:val="20"/>
          <w:lang w:val="fr-CA"/>
        </w:rPr>
        <w:t>Lavery, de Billy, s.e.n.c.r.l. c. Groupe Jean Coutu (PJC) inc.</w:t>
      </w:r>
      <w:r w:rsidRPr="00F74A77">
        <w:rPr>
          <w:sz w:val="20"/>
          <w:szCs w:val="20"/>
          <w:lang w:val="fr-CA"/>
        </w:rPr>
        <w:t xml:space="preserve"> (Qc) (Civile) (Autorisation)</w:t>
      </w:r>
      <w:r w:rsidRPr="00E8755A">
        <w:rPr>
          <w:sz w:val="20"/>
          <w:szCs w:val="20"/>
          <w:lang w:val="fr-CA"/>
        </w:rPr>
        <w:t xml:space="preserve"> </w:t>
      </w:r>
      <w:r w:rsidR="002E2327" w:rsidRPr="00E8755A">
        <w:rPr>
          <w:sz w:val="20"/>
          <w:szCs w:val="20"/>
          <w:lang w:val="fr-CA"/>
        </w:rPr>
        <w:t>(33</w:t>
      </w:r>
      <w:r w:rsidR="00F74A77" w:rsidRPr="00E8755A">
        <w:rPr>
          <w:sz w:val="20"/>
          <w:szCs w:val="20"/>
          <w:lang w:val="fr-CA"/>
        </w:rPr>
        <w:t>788</w:t>
      </w:r>
      <w:r w:rsidR="002E2327" w:rsidRPr="00E8755A">
        <w:rPr>
          <w:sz w:val="20"/>
          <w:szCs w:val="20"/>
          <w:lang w:val="fr-CA"/>
        </w:rPr>
        <w:t>)</w:t>
      </w:r>
    </w:p>
    <w:p w:rsidR="002E2327" w:rsidRDefault="002E2327" w:rsidP="002E2327">
      <w:pPr>
        <w:widowControl w:val="0"/>
        <w:rPr>
          <w:sz w:val="20"/>
          <w:szCs w:val="20"/>
          <w:lang w:val="fr-CA"/>
        </w:rPr>
      </w:pPr>
    </w:p>
    <w:p w:rsidR="00F16ECE" w:rsidRPr="00E8755A" w:rsidRDefault="00F16ECE" w:rsidP="002E2327">
      <w:pPr>
        <w:widowControl w:val="0"/>
        <w:rPr>
          <w:sz w:val="20"/>
          <w:szCs w:val="20"/>
          <w:lang w:val="fr-CA"/>
        </w:rPr>
      </w:pPr>
    </w:p>
    <w:p w:rsidR="002E2327" w:rsidRPr="00C50A5C" w:rsidRDefault="0047571A" w:rsidP="002E2327">
      <w:pPr>
        <w:widowControl w:val="0"/>
        <w:rPr>
          <w:sz w:val="20"/>
          <w:szCs w:val="20"/>
        </w:rPr>
      </w:pPr>
      <w:r w:rsidRPr="0047571A">
        <w:rPr>
          <w:sz w:val="20"/>
          <w:szCs w:val="20"/>
        </w:rPr>
        <w:pict>
          <v:rect id="_x0000_i103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890FEB" w:rsidRPr="00492DCE" w:rsidRDefault="00890FEB" w:rsidP="00890FEB">
      <w:pPr>
        <w:tabs>
          <w:tab w:val="left" w:pos="-1440"/>
          <w:tab w:val="left" w:pos="-720"/>
        </w:tabs>
        <w:jc w:val="both"/>
        <w:rPr>
          <w:rFonts w:cs="Times New Roman"/>
          <w:sz w:val="20"/>
          <w:szCs w:val="20"/>
        </w:rPr>
      </w:pPr>
      <w:r w:rsidRPr="00492DCE">
        <w:rPr>
          <w:rFonts w:cs="Times New Roman"/>
          <w:sz w:val="20"/>
          <w:szCs w:val="20"/>
        </w:rPr>
        <w:t>0</w:t>
      </w:r>
      <w:r w:rsidR="00C657DE" w:rsidRPr="00492DCE">
        <w:rPr>
          <w:rFonts w:cs="Times New Roman"/>
          <w:sz w:val="20"/>
          <w:szCs w:val="20"/>
        </w:rPr>
        <w:t>2.11</w:t>
      </w:r>
      <w:r w:rsidRPr="00492DCE">
        <w:rPr>
          <w:rFonts w:cs="Times New Roman"/>
          <w:sz w:val="20"/>
          <w:szCs w:val="20"/>
        </w:rPr>
        <w:t>.2010</w:t>
      </w:r>
    </w:p>
    <w:p w:rsidR="00890FEB" w:rsidRPr="00492DCE" w:rsidRDefault="00890FEB" w:rsidP="00890FEB">
      <w:pPr>
        <w:tabs>
          <w:tab w:val="left" w:pos="-1440"/>
          <w:tab w:val="left" w:pos="-720"/>
        </w:tabs>
        <w:jc w:val="both"/>
        <w:rPr>
          <w:rFonts w:cs="Times New Roman"/>
          <w:sz w:val="20"/>
          <w:szCs w:val="20"/>
        </w:rPr>
      </w:pPr>
    </w:p>
    <w:p w:rsidR="00492DCE" w:rsidRPr="00492DCE" w:rsidRDefault="00492DCE" w:rsidP="00492DCE">
      <w:pPr>
        <w:jc w:val="both"/>
        <w:rPr>
          <w:rFonts w:cs="Times New Roman"/>
          <w:sz w:val="20"/>
          <w:szCs w:val="20"/>
          <w:lang w:val="fr-CA"/>
        </w:rPr>
      </w:pPr>
      <w:r w:rsidRPr="00492DCE">
        <w:rPr>
          <w:rFonts w:cs="Times New Roman"/>
          <w:sz w:val="20"/>
          <w:szCs w:val="20"/>
          <w:lang w:val="fr-CA"/>
        </w:rPr>
        <w:t>Before / Devant:   BINNIE J. / LE JUGE BINNIE</w:t>
      </w:r>
    </w:p>
    <w:p w:rsidR="00492DCE" w:rsidRPr="00492DCE" w:rsidRDefault="00492DCE" w:rsidP="00492DCE">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92DCE" w:rsidRPr="00492DCE" w:rsidTr="00D65051">
        <w:trPr>
          <w:trHeight w:val="151"/>
        </w:trPr>
        <w:tc>
          <w:tcPr>
            <w:tcW w:w="4338" w:type="dxa"/>
          </w:tcPr>
          <w:p w:rsidR="00492DCE" w:rsidRPr="00492DCE" w:rsidRDefault="00492DCE" w:rsidP="00D65051">
            <w:pPr>
              <w:tabs>
                <w:tab w:val="left" w:pos="-1440"/>
                <w:tab w:val="left" w:pos="-720"/>
              </w:tabs>
              <w:jc w:val="both"/>
              <w:rPr>
                <w:rFonts w:cs="Times New Roman"/>
                <w:b/>
                <w:sz w:val="20"/>
                <w:szCs w:val="20"/>
              </w:rPr>
            </w:pPr>
            <w:r w:rsidRPr="00492DCE">
              <w:rPr>
                <w:rFonts w:cs="Times New Roman"/>
                <w:b/>
                <w:sz w:val="20"/>
                <w:szCs w:val="20"/>
              </w:rPr>
              <w:t>Motions for leave to intervene</w:t>
            </w:r>
          </w:p>
        </w:tc>
        <w:tc>
          <w:tcPr>
            <w:tcW w:w="1170" w:type="dxa"/>
          </w:tcPr>
          <w:p w:rsidR="00492DCE" w:rsidRPr="00492DCE" w:rsidRDefault="00492DCE" w:rsidP="00D65051">
            <w:pPr>
              <w:jc w:val="both"/>
              <w:rPr>
                <w:rFonts w:cs="Times New Roman"/>
                <w:sz w:val="20"/>
                <w:szCs w:val="20"/>
              </w:rPr>
            </w:pPr>
          </w:p>
          <w:p w:rsidR="00492DCE" w:rsidRPr="00492DCE" w:rsidRDefault="00492DCE" w:rsidP="00D65051">
            <w:pPr>
              <w:jc w:val="both"/>
              <w:rPr>
                <w:rFonts w:cs="Times New Roman"/>
                <w:sz w:val="20"/>
                <w:szCs w:val="20"/>
              </w:rPr>
            </w:pPr>
          </w:p>
        </w:tc>
        <w:tc>
          <w:tcPr>
            <w:tcW w:w="4327" w:type="dxa"/>
          </w:tcPr>
          <w:p w:rsidR="00492DCE" w:rsidRPr="00492DCE" w:rsidRDefault="00492DCE" w:rsidP="00D65051">
            <w:pPr>
              <w:jc w:val="both"/>
              <w:rPr>
                <w:rFonts w:cs="Times New Roman"/>
                <w:b/>
                <w:sz w:val="20"/>
                <w:szCs w:val="20"/>
                <w:lang w:val="fr-CA"/>
              </w:rPr>
            </w:pPr>
            <w:r w:rsidRPr="00492DCE">
              <w:rPr>
                <w:rFonts w:cs="Times New Roman"/>
                <w:b/>
                <w:sz w:val="20"/>
                <w:szCs w:val="20"/>
                <w:lang w:val="fr-CA"/>
              </w:rPr>
              <w:t>Requêtes en autorisation d’intervenir</w:t>
            </w:r>
          </w:p>
        </w:tc>
      </w:tr>
      <w:tr w:rsidR="00492DCE" w:rsidRPr="00492DCE" w:rsidTr="00D65051">
        <w:trPr>
          <w:trHeight w:val="150"/>
        </w:trPr>
        <w:tc>
          <w:tcPr>
            <w:tcW w:w="4338" w:type="dxa"/>
          </w:tcPr>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BY / PAR :</w:t>
            </w:r>
            <w:r w:rsidRPr="00492DCE">
              <w:rPr>
                <w:rFonts w:cs="Times New Roman"/>
                <w:sz w:val="20"/>
                <w:szCs w:val="20"/>
              </w:rPr>
              <w:tab/>
              <w:t>Director of Public Prosecutions</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 xml:space="preserve"> </w:t>
            </w:r>
            <w:r w:rsidRPr="00492DCE">
              <w:rPr>
                <w:rFonts w:cs="Times New Roman"/>
                <w:sz w:val="20"/>
                <w:szCs w:val="20"/>
              </w:rPr>
              <w:tab/>
            </w:r>
            <w:r w:rsidRPr="00492DCE">
              <w:rPr>
                <w:rFonts w:cs="Times New Roman"/>
                <w:sz w:val="20"/>
                <w:szCs w:val="20"/>
              </w:rPr>
              <w:tab/>
              <w:t>of Canada;</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t>Attorney General for Ontario;</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t>Attorney General of Manitoba;</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 xml:space="preserve"> </w:t>
            </w:r>
            <w:r w:rsidRPr="00492DCE">
              <w:rPr>
                <w:rFonts w:cs="Times New Roman"/>
                <w:sz w:val="20"/>
                <w:szCs w:val="20"/>
              </w:rPr>
              <w:tab/>
            </w:r>
            <w:r w:rsidRPr="00492DCE">
              <w:rPr>
                <w:rFonts w:cs="Times New Roman"/>
                <w:sz w:val="20"/>
                <w:szCs w:val="20"/>
              </w:rPr>
              <w:tab/>
              <w:t xml:space="preserve">Attorney General of British </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t>Columbia;</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t xml:space="preserve">Criminal Trial </w:t>
            </w:r>
            <w:r w:rsidRPr="00492DCE">
              <w:rPr>
                <w:rFonts w:cs="Times New Roman"/>
                <w:bCs/>
                <w:sz w:val="20"/>
                <w:szCs w:val="20"/>
              </w:rPr>
              <w:t>Lawyers'</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t>Association;</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t xml:space="preserve">Criminal </w:t>
            </w:r>
            <w:r w:rsidRPr="00492DCE">
              <w:rPr>
                <w:rFonts w:cs="Times New Roman"/>
                <w:bCs/>
                <w:sz w:val="20"/>
                <w:szCs w:val="20"/>
              </w:rPr>
              <w:t>Lawyers'</w:t>
            </w:r>
            <w:r w:rsidRPr="00492DCE">
              <w:rPr>
                <w:rFonts w:cs="Times New Roman"/>
                <w:sz w:val="20"/>
                <w:szCs w:val="20"/>
              </w:rPr>
              <w:t xml:space="preserve"> Association</w:t>
            </w: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 xml:space="preserve"> </w:t>
            </w:r>
            <w:r w:rsidRPr="00492DCE">
              <w:rPr>
                <w:rFonts w:cs="Times New Roman"/>
                <w:sz w:val="20"/>
                <w:szCs w:val="20"/>
              </w:rPr>
              <w:tab/>
            </w:r>
            <w:r w:rsidRPr="00492DCE">
              <w:rPr>
                <w:rFonts w:cs="Times New Roman"/>
                <w:sz w:val="20"/>
                <w:szCs w:val="20"/>
              </w:rPr>
              <w:tab/>
              <w:t>(Ontario)</w:t>
            </w:r>
          </w:p>
          <w:p w:rsidR="00492DCE" w:rsidRPr="00492DCE" w:rsidRDefault="00492DCE" w:rsidP="00D65051">
            <w:pPr>
              <w:tabs>
                <w:tab w:val="left" w:pos="-1440"/>
                <w:tab w:val="left" w:pos="-720"/>
              </w:tabs>
              <w:jc w:val="both"/>
              <w:rPr>
                <w:rFonts w:cs="Times New Roman"/>
                <w:sz w:val="20"/>
                <w:szCs w:val="20"/>
              </w:rPr>
            </w:pP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IN / DANS :</w:t>
            </w:r>
            <w:r w:rsidRPr="00492DCE">
              <w:rPr>
                <w:rFonts w:cs="Times New Roman"/>
                <w:sz w:val="20"/>
                <w:szCs w:val="20"/>
              </w:rPr>
              <w:tab/>
              <w:t>Olga Maria Nixon</w:t>
            </w:r>
          </w:p>
          <w:p w:rsidR="00492DCE" w:rsidRPr="00492DCE" w:rsidRDefault="00492DCE" w:rsidP="00D65051">
            <w:pPr>
              <w:tabs>
                <w:tab w:val="left" w:pos="-1440"/>
                <w:tab w:val="left" w:pos="-720"/>
              </w:tabs>
              <w:jc w:val="both"/>
              <w:rPr>
                <w:rFonts w:cs="Times New Roman"/>
                <w:sz w:val="20"/>
                <w:szCs w:val="20"/>
              </w:rPr>
            </w:pPr>
          </w:p>
          <w:p w:rsidR="00492DCE" w:rsidRPr="00492DCE" w:rsidRDefault="00492DCE" w:rsidP="00D65051">
            <w:pPr>
              <w:tabs>
                <w:tab w:val="left" w:pos="-1440"/>
                <w:tab w:val="left" w:pos="-720"/>
              </w:tabs>
              <w:jc w:val="both"/>
              <w:rPr>
                <w:rFonts w:cs="Times New Roman"/>
                <w:sz w:val="20"/>
                <w:szCs w:val="20"/>
              </w:rPr>
            </w:pPr>
            <w:r w:rsidRPr="00492DCE">
              <w:rPr>
                <w:rFonts w:cs="Times New Roman"/>
                <w:sz w:val="20"/>
                <w:szCs w:val="20"/>
              </w:rPr>
              <w:tab/>
            </w:r>
            <w:r w:rsidRPr="00492DCE">
              <w:rPr>
                <w:rFonts w:cs="Times New Roman"/>
                <w:sz w:val="20"/>
                <w:szCs w:val="20"/>
              </w:rPr>
              <w:tab/>
            </w:r>
            <w:r w:rsidRPr="00492DCE">
              <w:rPr>
                <w:rFonts w:cs="Times New Roman"/>
                <w:sz w:val="20"/>
                <w:szCs w:val="20"/>
              </w:rPr>
              <w:tab/>
              <w:t>v. (33476)</w:t>
            </w:r>
          </w:p>
          <w:p w:rsidR="00492DCE" w:rsidRPr="00492DCE" w:rsidRDefault="00492DCE" w:rsidP="00D65051">
            <w:pPr>
              <w:tabs>
                <w:tab w:val="left" w:pos="-1440"/>
                <w:tab w:val="left" w:pos="-720"/>
              </w:tabs>
              <w:jc w:val="both"/>
              <w:rPr>
                <w:rFonts w:cs="Times New Roman"/>
                <w:sz w:val="20"/>
                <w:szCs w:val="20"/>
              </w:rPr>
            </w:pPr>
          </w:p>
          <w:p w:rsidR="00492DCE" w:rsidRPr="00492DCE" w:rsidRDefault="00492DCE" w:rsidP="00D65051">
            <w:pPr>
              <w:jc w:val="both"/>
              <w:rPr>
                <w:rFonts w:cs="Times New Roman"/>
                <w:sz w:val="20"/>
                <w:szCs w:val="20"/>
              </w:rPr>
            </w:pPr>
            <w:r w:rsidRPr="00492DCE">
              <w:rPr>
                <w:rFonts w:cs="Times New Roman"/>
                <w:sz w:val="20"/>
                <w:szCs w:val="20"/>
              </w:rPr>
              <w:tab/>
            </w:r>
            <w:r w:rsidRPr="00492DCE">
              <w:rPr>
                <w:rFonts w:cs="Times New Roman"/>
                <w:sz w:val="20"/>
                <w:szCs w:val="20"/>
              </w:rPr>
              <w:tab/>
              <w:t>Her Majesty the Queen (Alta.)</w:t>
            </w:r>
          </w:p>
        </w:tc>
        <w:tc>
          <w:tcPr>
            <w:tcW w:w="1170" w:type="dxa"/>
          </w:tcPr>
          <w:p w:rsidR="00492DCE" w:rsidRPr="00492DCE" w:rsidRDefault="00492DCE" w:rsidP="00D65051">
            <w:pPr>
              <w:jc w:val="both"/>
              <w:rPr>
                <w:rFonts w:cs="Times New Roman"/>
                <w:sz w:val="20"/>
                <w:szCs w:val="20"/>
              </w:rPr>
            </w:pPr>
          </w:p>
        </w:tc>
        <w:tc>
          <w:tcPr>
            <w:tcW w:w="4327" w:type="dxa"/>
          </w:tcPr>
          <w:p w:rsidR="00492DCE" w:rsidRPr="00492DCE" w:rsidRDefault="00492DCE" w:rsidP="00D65051">
            <w:pPr>
              <w:jc w:val="both"/>
              <w:rPr>
                <w:rFonts w:cs="Times New Roman"/>
                <w:sz w:val="20"/>
                <w:szCs w:val="20"/>
              </w:rPr>
            </w:pPr>
          </w:p>
        </w:tc>
      </w:tr>
    </w:tbl>
    <w:p w:rsidR="00492DCE" w:rsidRPr="00492DCE" w:rsidRDefault="00492DCE" w:rsidP="00492DCE">
      <w:pPr>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b/>
          <w:sz w:val="20"/>
          <w:szCs w:val="20"/>
        </w:rPr>
        <w:t>GRANTED / ACCORDÉES</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spacing w:line="-19" w:lineRule="auto"/>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b/>
          <w:bCs/>
          <w:sz w:val="20"/>
          <w:szCs w:val="20"/>
        </w:rPr>
        <w:t xml:space="preserve">UPON APPLICATIONS </w:t>
      </w:r>
      <w:r w:rsidRPr="00492DCE">
        <w:rPr>
          <w:rFonts w:cs="Times New Roman"/>
          <w:sz w:val="20"/>
          <w:szCs w:val="20"/>
        </w:rPr>
        <w:t>by the Director of Public Prosecutions of Canada, the Attorney General for Ontario, the Attorney General of Manitoba and the Attorney General of British Columbia for leave to intervene in the above appeal;</w:t>
      </w:r>
    </w:p>
    <w:p w:rsidR="00492DCE" w:rsidRPr="00492DCE" w:rsidRDefault="00492DCE" w:rsidP="00492DCE">
      <w:pPr>
        <w:tabs>
          <w:tab w:val="left" w:pos="-1440"/>
          <w:tab w:val="left" w:pos="-720"/>
        </w:tabs>
        <w:jc w:val="both"/>
        <w:rPr>
          <w:rFonts w:cs="Times New Roman"/>
          <w:sz w:val="20"/>
          <w:szCs w:val="20"/>
        </w:rPr>
      </w:pPr>
    </w:p>
    <w:p w:rsidR="00492DCE" w:rsidRPr="00492DCE" w:rsidRDefault="0047571A" w:rsidP="00492DCE">
      <w:pPr>
        <w:tabs>
          <w:tab w:val="left" w:pos="-1440"/>
          <w:tab w:val="left" w:pos="-720"/>
        </w:tabs>
        <w:jc w:val="both"/>
        <w:rPr>
          <w:rFonts w:cs="Times New Roman"/>
          <w:sz w:val="20"/>
          <w:szCs w:val="20"/>
        </w:rPr>
      </w:pPr>
      <w:r w:rsidRPr="00492DCE">
        <w:rPr>
          <w:rFonts w:cs="Times New Roman"/>
          <w:sz w:val="20"/>
          <w:szCs w:val="20"/>
        </w:rPr>
        <w:fldChar w:fldCharType="begin"/>
      </w:r>
      <w:r w:rsidR="00492DCE" w:rsidRPr="00492DCE">
        <w:rPr>
          <w:rFonts w:cs="Times New Roman"/>
          <w:sz w:val="20"/>
          <w:szCs w:val="20"/>
        </w:rPr>
        <w:instrText xml:space="preserve"> SEQ CHAPTER \h \r 1</w:instrText>
      </w:r>
      <w:r w:rsidRPr="00492DCE">
        <w:rPr>
          <w:rFonts w:cs="Times New Roman"/>
          <w:sz w:val="20"/>
          <w:szCs w:val="20"/>
        </w:rPr>
        <w:fldChar w:fldCharType="end"/>
      </w:r>
      <w:r w:rsidR="00492DCE" w:rsidRPr="00492DCE">
        <w:rPr>
          <w:rFonts w:cs="Times New Roman"/>
          <w:b/>
          <w:bCs/>
          <w:sz w:val="20"/>
          <w:szCs w:val="20"/>
        </w:rPr>
        <w:t xml:space="preserve">AND UPON APPLICATIONS </w:t>
      </w:r>
      <w:r w:rsidR="00492DCE" w:rsidRPr="00492DCE">
        <w:rPr>
          <w:rFonts w:cs="Times New Roman"/>
          <w:bCs/>
          <w:sz w:val="20"/>
          <w:szCs w:val="20"/>
        </w:rPr>
        <w:t xml:space="preserve">by the Criminal Trial Lawyers' Association and the Criminal Lawyers' Association (Ontario) </w:t>
      </w:r>
      <w:r w:rsidR="00492DCE" w:rsidRPr="00492DCE">
        <w:rPr>
          <w:rFonts w:cs="Times New Roman"/>
          <w:sz w:val="20"/>
          <w:szCs w:val="20"/>
        </w:rPr>
        <w:t xml:space="preserve">for </w:t>
      </w:r>
      <w:r w:rsidRPr="00492DCE">
        <w:rPr>
          <w:rFonts w:cs="Times New Roman"/>
          <w:sz w:val="20"/>
          <w:szCs w:val="20"/>
        </w:rPr>
        <w:fldChar w:fldCharType="begin"/>
      </w:r>
      <w:r w:rsidR="00492DCE" w:rsidRPr="00492DCE">
        <w:rPr>
          <w:rFonts w:cs="Times New Roman"/>
          <w:sz w:val="20"/>
          <w:szCs w:val="20"/>
        </w:rPr>
        <w:instrText xml:space="preserve"> SEQ CHAPTER \h \r 1</w:instrText>
      </w:r>
      <w:r w:rsidRPr="00492DCE">
        <w:rPr>
          <w:rFonts w:cs="Times New Roman"/>
          <w:sz w:val="20"/>
          <w:szCs w:val="20"/>
        </w:rPr>
        <w:fldChar w:fldCharType="end"/>
      </w:r>
      <w:r w:rsidR="00492DCE" w:rsidRPr="00492DCE">
        <w:rPr>
          <w:rFonts w:cs="Times New Roman"/>
          <w:sz w:val="20"/>
          <w:szCs w:val="20"/>
        </w:rPr>
        <w:t>an extension of time to apply for leave to intervene and for leave to intervene in the above appeal;</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b/>
          <w:bCs/>
          <w:sz w:val="20"/>
          <w:szCs w:val="20"/>
        </w:rPr>
        <w:t>AND THE MATERIAL FILED</w:t>
      </w:r>
      <w:r w:rsidRPr="00492DCE">
        <w:rPr>
          <w:rFonts w:cs="Times New Roman"/>
          <w:sz w:val="20"/>
          <w:szCs w:val="20"/>
        </w:rPr>
        <w:t xml:space="preserve"> having been read;</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b/>
          <w:bCs/>
          <w:sz w:val="20"/>
          <w:szCs w:val="20"/>
        </w:rPr>
        <w:t>IT IS HEREBY ORDERED THAT:</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sz w:val="20"/>
          <w:szCs w:val="20"/>
        </w:rPr>
        <w:t>The motions for leave to intervene by the Director of Public Prosecutions of Canada, the Attorney General for Ontario, the Attorney General of Manitoba and the Attorney General of British Columbia are granted and the said interveners shall be entitled to each serve and file a factum not to exceed 10 pages in length on or before December 3, 2010.</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sz w:val="20"/>
          <w:szCs w:val="20"/>
        </w:rPr>
        <w:t xml:space="preserve">The motions for an extension of time to apply for leave to intervene and for leave to intervene by </w:t>
      </w:r>
      <w:r w:rsidRPr="00492DCE">
        <w:rPr>
          <w:rFonts w:cs="Times New Roman"/>
          <w:bCs/>
          <w:sz w:val="20"/>
          <w:szCs w:val="20"/>
        </w:rPr>
        <w:t xml:space="preserve">the Criminal Trial Lawyers' Association and the Criminal Lawyers' Association (Ontario) </w:t>
      </w:r>
      <w:r w:rsidRPr="00492DCE">
        <w:rPr>
          <w:rFonts w:cs="Times New Roman"/>
          <w:sz w:val="20"/>
          <w:szCs w:val="20"/>
        </w:rPr>
        <w:t>are granted and the said interveners shall be entitled to serve and file a factum not to exceed 10 pages in length on or before December 3, 2010.</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sz w:val="20"/>
          <w:szCs w:val="20"/>
        </w:rPr>
        <w:t>Each the above interveners is granted permission to present oral argument not exceeding ten (10) minutes in length at the hearing of the appeal.</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sz w:val="20"/>
          <w:szCs w:val="20"/>
        </w:rPr>
        <w:t>The interveners shall not be entitled to raise new issues or to adduce further evidence or otherwise to supplement the record of the parties.</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r w:rsidRPr="00492DCE">
        <w:rPr>
          <w:rFonts w:cs="Times New Roman"/>
          <w:sz w:val="20"/>
          <w:szCs w:val="20"/>
        </w:rPr>
        <w:t>Pursuant to Rule 59(1)(</w:t>
      </w:r>
      <w:r w:rsidRPr="00492DCE">
        <w:rPr>
          <w:rFonts w:cs="Times New Roman"/>
          <w:i/>
          <w:iCs/>
          <w:sz w:val="20"/>
          <w:szCs w:val="20"/>
        </w:rPr>
        <w:t>a</w:t>
      </w:r>
      <w:r w:rsidRPr="00492DCE">
        <w:rPr>
          <w:rFonts w:cs="Times New Roman"/>
          <w:sz w:val="20"/>
          <w:szCs w:val="20"/>
        </w:rPr>
        <w:t xml:space="preserve">) of the </w:t>
      </w:r>
      <w:r w:rsidRPr="00492DCE">
        <w:rPr>
          <w:rFonts w:cs="Times New Roman"/>
          <w:i/>
          <w:iCs/>
          <w:sz w:val="20"/>
          <w:szCs w:val="20"/>
        </w:rPr>
        <w:t>Rules of the Supreme Court of Canada</w:t>
      </w:r>
      <w:r w:rsidRPr="00492DCE">
        <w:rPr>
          <w:rFonts w:cs="Times New Roman"/>
          <w:sz w:val="20"/>
          <w:szCs w:val="20"/>
        </w:rPr>
        <w:t>, the interveners shall pay to the appellant and respondent any additional disbursements occasioned to the appellant and respondent by their interventions.</w:t>
      </w: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jc w:val="both"/>
        <w:rPr>
          <w:rFonts w:cs="Times New Roman"/>
          <w:sz w:val="20"/>
          <w:szCs w:val="20"/>
        </w:rPr>
      </w:pPr>
    </w:p>
    <w:p w:rsidR="00492DCE" w:rsidRPr="00492DCE" w:rsidRDefault="00492DCE" w:rsidP="00492DCE">
      <w:pPr>
        <w:tabs>
          <w:tab w:val="left" w:pos="-1440"/>
          <w:tab w:val="left" w:pos="-720"/>
        </w:tabs>
        <w:spacing w:line="0" w:lineRule="atLeast"/>
        <w:jc w:val="both"/>
        <w:rPr>
          <w:rFonts w:cs="Times New Roman"/>
          <w:sz w:val="20"/>
          <w:szCs w:val="20"/>
        </w:rPr>
      </w:pPr>
    </w:p>
    <w:p w:rsidR="00492DCE" w:rsidRPr="00492DCE" w:rsidRDefault="00492DCE" w:rsidP="00492DCE">
      <w:pPr>
        <w:spacing w:line="233" w:lineRule="auto"/>
        <w:jc w:val="both"/>
        <w:rPr>
          <w:rFonts w:cs="Times New Roman"/>
          <w:sz w:val="20"/>
          <w:szCs w:val="20"/>
          <w:lang w:val="fr-FR"/>
        </w:rPr>
      </w:pPr>
      <w:r w:rsidRPr="00492DCE">
        <w:rPr>
          <w:rFonts w:cs="Times New Roman"/>
          <w:b/>
          <w:bCs/>
          <w:caps/>
          <w:sz w:val="20"/>
          <w:szCs w:val="20"/>
          <w:lang w:val="fr-FR"/>
        </w:rPr>
        <w:lastRenderedPageBreak/>
        <w:t>À la suite de requÊtes</w:t>
      </w:r>
      <w:r w:rsidRPr="00492DCE">
        <w:rPr>
          <w:rFonts w:cs="Times New Roman"/>
          <w:b/>
          <w:bCs/>
          <w:sz w:val="20"/>
          <w:szCs w:val="20"/>
          <w:lang w:val="fr-FR"/>
        </w:rPr>
        <w:t xml:space="preserve"> </w:t>
      </w:r>
      <w:r w:rsidRPr="00492DCE">
        <w:rPr>
          <w:rFonts w:cs="Times New Roman"/>
          <w:bCs/>
          <w:sz w:val="20"/>
          <w:szCs w:val="20"/>
          <w:lang w:val="fr-FR"/>
        </w:rPr>
        <w:t>en autorisation d’intervenir présentées par le directeur des poursuites pénales du Canada, le procureur général de l’Ontario, le procureur général du Manitoba et le procureur général de la Colombie-Britannique</w:t>
      </w:r>
      <w:r w:rsidRPr="00492DCE">
        <w:rPr>
          <w:rFonts w:cs="Times New Roman"/>
          <w:sz w:val="20"/>
          <w:szCs w:val="20"/>
          <w:lang w:val="fr-FR"/>
        </w:rPr>
        <w:t>;</w:t>
      </w:r>
    </w:p>
    <w:p w:rsidR="00492DCE" w:rsidRPr="00492DCE" w:rsidRDefault="00492DCE" w:rsidP="00492DCE">
      <w:pPr>
        <w:spacing w:line="233" w:lineRule="auto"/>
        <w:jc w:val="both"/>
        <w:rPr>
          <w:rFonts w:cs="Times New Roman"/>
          <w:sz w:val="20"/>
          <w:szCs w:val="20"/>
          <w:lang w:val="fr-FR"/>
        </w:rPr>
      </w:pPr>
    </w:p>
    <w:p w:rsidR="00492DCE" w:rsidRPr="00492DCE" w:rsidRDefault="00492DCE" w:rsidP="00492DCE">
      <w:pPr>
        <w:spacing w:line="233" w:lineRule="auto"/>
        <w:jc w:val="both"/>
        <w:rPr>
          <w:rFonts w:cs="Times New Roman"/>
          <w:sz w:val="20"/>
          <w:szCs w:val="20"/>
          <w:lang w:val="fr-FR"/>
        </w:rPr>
      </w:pPr>
      <w:r w:rsidRPr="00492DCE">
        <w:rPr>
          <w:rFonts w:cs="Times New Roman"/>
          <w:b/>
          <w:sz w:val="20"/>
          <w:szCs w:val="20"/>
          <w:lang w:val="fr-FR"/>
        </w:rPr>
        <w:t>ET À LA SUITE DE REQUÊTES</w:t>
      </w:r>
      <w:r w:rsidRPr="00492DCE">
        <w:rPr>
          <w:rFonts w:cs="Times New Roman"/>
          <w:sz w:val="20"/>
          <w:szCs w:val="20"/>
          <w:lang w:val="fr-FR"/>
        </w:rPr>
        <w:t xml:space="preserve"> en prorogation du délai applicable à une demande d’autorisation d’intervenir et en autorisation d’intervenir présentées par la Criminal Trial Lawyers’ Association et la Criminal Lawyers’ Association (Ontario); </w:t>
      </w:r>
      <w:r w:rsidR="0047571A" w:rsidRPr="00492DCE">
        <w:rPr>
          <w:rFonts w:cs="Times New Roman"/>
          <w:sz w:val="20"/>
          <w:szCs w:val="20"/>
          <w:lang w:val="fr-CA"/>
        </w:rPr>
        <w:fldChar w:fldCharType="begin"/>
      </w:r>
      <w:r w:rsidRPr="00492DCE">
        <w:rPr>
          <w:rFonts w:cs="Times New Roman"/>
          <w:sz w:val="20"/>
          <w:szCs w:val="20"/>
          <w:lang w:val="fr-FR"/>
        </w:rPr>
        <w:instrText xml:space="preserve"> SEQ CHAPTER \h \r 1</w:instrText>
      </w:r>
      <w:r w:rsidR="0047571A" w:rsidRPr="00492DCE">
        <w:rPr>
          <w:rFonts w:cs="Times New Roman"/>
          <w:sz w:val="20"/>
          <w:szCs w:val="20"/>
          <w:lang w:val="fr-CA"/>
        </w:rPr>
        <w:fldChar w:fldCharType="end"/>
      </w:r>
    </w:p>
    <w:p w:rsidR="00492DCE" w:rsidRPr="00492DCE" w:rsidRDefault="00492DCE" w:rsidP="00492DCE">
      <w:pPr>
        <w:spacing w:line="233" w:lineRule="auto"/>
        <w:jc w:val="both"/>
        <w:rPr>
          <w:rFonts w:cs="Times New Roman"/>
          <w:sz w:val="20"/>
          <w:szCs w:val="20"/>
          <w:lang w:val="fr-FR"/>
        </w:rPr>
      </w:pPr>
    </w:p>
    <w:p w:rsidR="00492DCE" w:rsidRPr="00492DCE" w:rsidRDefault="00492DCE" w:rsidP="00492DCE">
      <w:pPr>
        <w:spacing w:line="233" w:lineRule="auto"/>
        <w:jc w:val="both"/>
        <w:rPr>
          <w:rFonts w:cs="Times New Roman"/>
          <w:sz w:val="20"/>
          <w:szCs w:val="20"/>
          <w:lang w:val="fr-FR"/>
        </w:rPr>
      </w:pPr>
      <w:r w:rsidRPr="00492DCE">
        <w:rPr>
          <w:rFonts w:cs="Times New Roman"/>
          <w:b/>
          <w:bCs/>
          <w:sz w:val="20"/>
          <w:szCs w:val="20"/>
          <w:lang w:val="fr-FR"/>
        </w:rPr>
        <w:t xml:space="preserve">APRÈS EXAMEN </w:t>
      </w:r>
      <w:r w:rsidRPr="00492DCE">
        <w:rPr>
          <w:rFonts w:cs="Times New Roman"/>
          <w:sz w:val="20"/>
          <w:szCs w:val="20"/>
          <w:lang w:val="fr-FR"/>
        </w:rPr>
        <w:t>des documents déposés;</w:t>
      </w:r>
    </w:p>
    <w:p w:rsidR="00492DCE" w:rsidRPr="00492DCE" w:rsidRDefault="00492DCE" w:rsidP="00492DCE">
      <w:pPr>
        <w:spacing w:line="233" w:lineRule="auto"/>
        <w:jc w:val="both"/>
        <w:rPr>
          <w:rFonts w:cs="Times New Roman"/>
          <w:sz w:val="20"/>
          <w:szCs w:val="20"/>
          <w:lang w:val="fr-FR"/>
        </w:rPr>
      </w:pPr>
    </w:p>
    <w:p w:rsidR="00492DCE" w:rsidRPr="00492DCE" w:rsidRDefault="00492DCE" w:rsidP="00492DCE">
      <w:pPr>
        <w:spacing w:line="233" w:lineRule="auto"/>
        <w:jc w:val="both"/>
        <w:rPr>
          <w:rFonts w:cs="Times New Roman"/>
          <w:sz w:val="20"/>
          <w:szCs w:val="20"/>
          <w:lang w:val="fr-FR"/>
        </w:rPr>
      </w:pPr>
      <w:r w:rsidRPr="00492DCE">
        <w:rPr>
          <w:rFonts w:cs="Times New Roman"/>
          <w:b/>
          <w:bCs/>
          <w:sz w:val="20"/>
          <w:szCs w:val="20"/>
          <w:lang w:val="fr-FR"/>
        </w:rPr>
        <w:t>IL EST ORDONNE CE QUI SUIT :</w:t>
      </w:r>
    </w:p>
    <w:p w:rsidR="00492DCE" w:rsidRPr="00492DCE" w:rsidRDefault="00492DCE" w:rsidP="00492DCE">
      <w:pPr>
        <w:spacing w:line="233" w:lineRule="auto"/>
        <w:jc w:val="both"/>
        <w:rPr>
          <w:rFonts w:cs="Times New Roman"/>
          <w:sz w:val="20"/>
          <w:szCs w:val="20"/>
          <w:lang w:val="fr-FR"/>
        </w:rPr>
      </w:pPr>
    </w:p>
    <w:p w:rsidR="00492DCE" w:rsidRPr="00492DCE" w:rsidRDefault="00492DCE" w:rsidP="00492DCE">
      <w:pPr>
        <w:spacing w:line="233" w:lineRule="auto"/>
        <w:jc w:val="both"/>
        <w:rPr>
          <w:rFonts w:cs="Times New Roman"/>
          <w:sz w:val="20"/>
          <w:szCs w:val="20"/>
          <w:lang w:val="fr-CA"/>
        </w:rPr>
      </w:pPr>
      <w:r w:rsidRPr="00492DCE">
        <w:rPr>
          <w:rFonts w:cs="Times New Roman"/>
          <w:sz w:val="20"/>
          <w:szCs w:val="20"/>
          <w:lang w:val="fr-FR"/>
        </w:rPr>
        <w:t xml:space="preserve">Les requêtes en autorisation d’intervenir du directeur des poursuites pénales du Canada, du procureur général de l’Ontario, du procureur général du Manitoba et du procureur général de la Colombie-Britannique sont accordées et ces intervenants sont autorisés à signifier et à déposer chacun un mémoire d’au plus 10 pages au plus tard le 3 décembre 2010. </w:t>
      </w:r>
    </w:p>
    <w:p w:rsidR="00492DCE" w:rsidRPr="00492DCE" w:rsidRDefault="00492DCE" w:rsidP="00492DCE">
      <w:pPr>
        <w:spacing w:line="233" w:lineRule="auto"/>
        <w:jc w:val="both"/>
        <w:rPr>
          <w:rFonts w:cs="Times New Roman"/>
          <w:sz w:val="20"/>
          <w:szCs w:val="20"/>
          <w:lang w:val="fr-CA"/>
        </w:rPr>
      </w:pPr>
    </w:p>
    <w:p w:rsidR="00492DCE" w:rsidRPr="00492DCE" w:rsidRDefault="00492DCE" w:rsidP="00492DCE">
      <w:pPr>
        <w:spacing w:line="233" w:lineRule="auto"/>
        <w:jc w:val="both"/>
        <w:rPr>
          <w:rFonts w:cs="Times New Roman"/>
          <w:sz w:val="20"/>
          <w:szCs w:val="20"/>
          <w:lang w:val="fr-FR"/>
        </w:rPr>
      </w:pPr>
      <w:r w:rsidRPr="00492DCE">
        <w:rPr>
          <w:rFonts w:cs="Times New Roman"/>
          <w:sz w:val="20"/>
          <w:szCs w:val="20"/>
          <w:lang w:val="fr-FR"/>
        </w:rPr>
        <w:t>Les requêtes en prorogation du délai applicable à une demande d’autorisation d’intervenir et en autorisation d’intervenir présentées par la Criminal Trial Lawyers’ Association et la Criminal Lawyers’ Association (Ontario) sont accordées et ces intervenantes sont autorisées à signifier et à déposer un mémoire d’au plus 10 pages au plus tard le 3 décembre 2010.</w:t>
      </w:r>
    </w:p>
    <w:p w:rsidR="00492DCE" w:rsidRPr="00492DCE" w:rsidRDefault="00492DCE" w:rsidP="00492DCE">
      <w:pPr>
        <w:spacing w:line="233" w:lineRule="auto"/>
        <w:jc w:val="both"/>
        <w:rPr>
          <w:rFonts w:cs="Times New Roman"/>
          <w:sz w:val="20"/>
          <w:szCs w:val="20"/>
          <w:lang w:val="fr-FR"/>
        </w:rPr>
      </w:pPr>
    </w:p>
    <w:p w:rsidR="00492DCE" w:rsidRPr="00492DCE" w:rsidRDefault="00492DCE" w:rsidP="00492DCE">
      <w:pPr>
        <w:spacing w:line="233" w:lineRule="auto"/>
        <w:jc w:val="both"/>
        <w:rPr>
          <w:rFonts w:cs="Times New Roman"/>
          <w:sz w:val="20"/>
          <w:szCs w:val="20"/>
          <w:lang w:val="fr-FR"/>
        </w:rPr>
      </w:pPr>
      <w:r w:rsidRPr="00492DCE">
        <w:rPr>
          <w:rFonts w:cs="Times New Roman"/>
          <w:sz w:val="20"/>
          <w:szCs w:val="20"/>
          <w:lang w:val="fr-FR"/>
        </w:rPr>
        <w:t>Chaque intervenant est autorisé à présenter une plaidoirie orale d’au plus dix (10) minutes lors de l’audition de l’appel.</w:t>
      </w:r>
    </w:p>
    <w:p w:rsidR="00492DCE" w:rsidRPr="00492DCE" w:rsidRDefault="00492DCE" w:rsidP="00492DCE">
      <w:pPr>
        <w:spacing w:line="233" w:lineRule="auto"/>
        <w:jc w:val="both"/>
        <w:rPr>
          <w:rFonts w:cs="Times New Roman"/>
          <w:sz w:val="20"/>
          <w:szCs w:val="20"/>
          <w:lang w:val="fr-CA"/>
        </w:rPr>
      </w:pPr>
    </w:p>
    <w:p w:rsidR="00492DCE" w:rsidRPr="00492DCE" w:rsidRDefault="00492DCE" w:rsidP="00492DCE">
      <w:pPr>
        <w:spacing w:line="233" w:lineRule="auto"/>
        <w:jc w:val="both"/>
        <w:rPr>
          <w:rFonts w:cs="Times New Roman"/>
          <w:sz w:val="20"/>
          <w:szCs w:val="20"/>
          <w:lang w:val="fr-FR"/>
        </w:rPr>
      </w:pPr>
      <w:r w:rsidRPr="00492DCE">
        <w:rPr>
          <w:rFonts w:cs="Times New Roman"/>
          <w:sz w:val="20"/>
          <w:szCs w:val="20"/>
          <w:lang w:val="fr-FR"/>
        </w:rPr>
        <w:t>Les intervenants n’ont pas le droit de soulever de nouvelles questions, de produire d’autres éléments de preuve ni de compléter de quelque autre façon le dossier des parties.</w:t>
      </w:r>
    </w:p>
    <w:p w:rsidR="00492DCE" w:rsidRPr="00492DCE" w:rsidRDefault="00492DCE" w:rsidP="00492DCE">
      <w:pPr>
        <w:spacing w:line="233" w:lineRule="auto"/>
        <w:jc w:val="both"/>
        <w:rPr>
          <w:rFonts w:cs="Times New Roman"/>
          <w:sz w:val="20"/>
          <w:szCs w:val="20"/>
          <w:lang w:val="fr-FR"/>
        </w:rPr>
      </w:pPr>
    </w:p>
    <w:p w:rsidR="00492DCE" w:rsidRPr="00492DCE" w:rsidRDefault="00492DCE" w:rsidP="00492DCE">
      <w:pPr>
        <w:spacing w:line="233" w:lineRule="auto"/>
        <w:jc w:val="both"/>
        <w:rPr>
          <w:rFonts w:cs="Times New Roman"/>
          <w:sz w:val="20"/>
          <w:szCs w:val="20"/>
          <w:lang w:val="fr-FR"/>
        </w:rPr>
      </w:pPr>
      <w:r w:rsidRPr="00492DCE">
        <w:rPr>
          <w:rFonts w:cs="Times New Roman"/>
          <w:sz w:val="20"/>
          <w:szCs w:val="20"/>
          <w:lang w:val="fr-FR"/>
        </w:rPr>
        <w:t>Conformément à l’alinéa 59(1)</w:t>
      </w:r>
      <w:r w:rsidRPr="00492DCE">
        <w:rPr>
          <w:rFonts w:cs="Times New Roman"/>
          <w:i/>
          <w:sz w:val="20"/>
          <w:szCs w:val="20"/>
          <w:lang w:val="fr-FR"/>
        </w:rPr>
        <w:t>a</w:t>
      </w:r>
      <w:r w:rsidRPr="00492DCE">
        <w:rPr>
          <w:rFonts w:cs="Times New Roman"/>
          <w:sz w:val="20"/>
          <w:szCs w:val="20"/>
          <w:lang w:val="fr-FR"/>
        </w:rPr>
        <w:t xml:space="preserve">) des </w:t>
      </w:r>
      <w:r w:rsidRPr="00492DCE">
        <w:rPr>
          <w:rFonts w:cs="Times New Roman"/>
          <w:i/>
          <w:sz w:val="20"/>
          <w:szCs w:val="20"/>
          <w:lang w:val="fr-FR"/>
        </w:rPr>
        <w:t>Règles de la Cour suprême du Canada</w:t>
      </w:r>
      <w:r w:rsidRPr="00492DCE">
        <w:rPr>
          <w:rFonts w:cs="Times New Roman"/>
          <w:sz w:val="20"/>
          <w:szCs w:val="20"/>
          <w:lang w:val="fr-FR"/>
        </w:rPr>
        <w:t>, les intervenants paieront à l’appelante et à l’intimée tous débours supplémentaires résultant de leur intervention.</w:t>
      </w:r>
    </w:p>
    <w:p w:rsidR="00492DCE" w:rsidRPr="00492DCE" w:rsidRDefault="00492DCE" w:rsidP="00492DCE">
      <w:pPr>
        <w:tabs>
          <w:tab w:val="left" w:pos="-1440"/>
          <w:tab w:val="left" w:pos="-720"/>
        </w:tabs>
        <w:spacing w:line="0" w:lineRule="atLeast"/>
        <w:jc w:val="both"/>
        <w:rPr>
          <w:rFonts w:cs="Times New Roman"/>
          <w:sz w:val="20"/>
          <w:szCs w:val="20"/>
          <w:lang w:val="fr-FR"/>
        </w:rPr>
      </w:pPr>
    </w:p>
    <w:p w:rsidR="00492DCE" w:rsidRPr="00492DCE" w:rsidRDefault="0047571A" w:rsidP="00492DCE">
      <w:pPr>
        <w:tabs>
          <w:tab w:val="left" w:pos="-1440"/>
          <w:tab w:val="left" w:pos="-720"/>
        </w:tabs>
        <w:spacing w:line="0" w:lineRule="atLeast"/>
        <w:jc w:val="both"/>
        <w:rPr>
          <w:rFonts w:cs="Times New Roman"/>
          <w:sz w:val="20"/>
          <w:szCs w:val="20"/>
          <w:lang w:val="fr-FR"/>
        </w:rPr>
      </w:pPr>
      <w:r w:rsidRPr="0047571A">
        <w:rPr>
          <w:rFonts w:cs="Times New Roman"/>
          <w:sz w:val="20"/>
          <w:szCs w:val="20"/>
          <w:lang w:val="fr-CA"/>
        </w:rPr>
        <w:pict>
          <v:rect id="_x0000_i1034"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063E53"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C21C1B" w:rsidRPr="00C21C1B" w:rsidRDefault="00C21C1B" w:rsidP="00C21C1B">
      <w:pPr>
        <w:widowControl w:val="0"/>
        <w:rPr>
          <w:sz w:val="20"/>
          <w:szCs w:val="20"/>
        </w:rPr>
      </w:pPr>
      <w:r w:rsidRPr="00C21C1B">
        <w:rPr>
          <w:sz w:val="20"/>
          <w:szCs w:val="20"/>
        </w:rPr>
        <w:t>05.11.2010</w:t>
      </w:r>
    </w:p>
    <w:p w:rsidR="00C21C1B" w:rsidRPr="00C21C1B" w:rsidRDefault="00C21C1B" w:rsidP="00C21C1B">
      <w:pPr>
        <w:widowControl w:val="0"/>
        <w:rPr>
          <w:sz w:val="20"/>
          <w:szCs w:val="20"/>
        </w:rPr>
      </w:pPr>
    </w:p>
    <w:p w:rsidR="00C21C1B" w:rsidRPr="00C21C1B" w:rsidRDefault="00C21C1B" w:rsidP="00C21C1B">
      <w:pPr>
        <w:widowControl w:val="0"/>
        <w:rPr>
          <w:sz w:val="20"/>
          <w:szCs w:val="20"/>
          <w:lang w:val="en-GB"/>
        </w:rPr>
      </w:pPr>
      <w:r w:rsidRPr="00C21C1B">
        <w:rPr>
          <w:sz w:val="20"/>
          <w:szCs w:val="20"/>
          <w:lang w:val="en-GB"/>
        </w:rPr>
        <w:t xml:space="preserve">Coram: </w:t>
      </w:r>
      <w:r w:rsidRPr="00C21C1B">
        <w:rPr>
          <w:sz w:val="20"/>
          <w:szCs w:val="20"/>
          <w:lang w:val="en-GB"/>
        </w:rPr>
        <w:tab/>
      </w:r>
      <w:r w:rsidRPr="00C21C1B">
        <w:rPr>
          <w:sz w:val="20"/>
          <w:szCs w:val="20"/>
          <w:u w:val="single"/>
          <w:lang w:val="en-GB"/>
        </w:rPr>
        <w:t>Binnie, LeBel, Deschamps, Fish, Abella, Charron and Rothstein JJ.</w:t>
      </w:r>
      <w:r w:rsidRPr="00C21C1B">
        <w:rPr>
          <w:sz w:val="20"/>
          <w:szCs w:val="20"/>
          <w:lang w:val="en-GB"/>
        </w:rPr>
        <w:t xml:space="preserve"> </w:t>
      </w:r>
    </w:p>
    <w:p w:rsidR="00C21C1B" w:rsidRPr="00C21C1B" w:rsidRDefault="00C21C1B" w:rsidP="00C21C1B">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C21C1B" w:rsidRPr="00C21C1B" w:rsidTr="00C21C1B">
        <w:tc>
          <w:tcPr>
            <w:tcW w:w="4380" w:type="dxa"/>
            <w:tcMar>
              <w:left w:w="0" w:type="dxa"/>
              <w:right w:w="0" w:type="dxa"/>
            </w:tcMar>
          </w:tcPr>
          <w:p w:rsidR="00C21C1B" w:rsidRPr="00B74625" w:rsidRDefault="00C21C1B" w:rsidP="00C21C1B">
            <w:pPr>
              <w:widowControl w:val="0"/>
              <w:jc w:val="both"/>
              <w:rPr>
                <w:b/>
                <w:sz w:val="20"/>
                <w:szCs w:val="20"/>
              </w:rPr>
            </w:pPr>
            <w:r w:rsidRPr="00B74625">
              <w:rPr>
                <w:b/>
                <w:sz w:val="20"/>
                <w:szCs w:val="20"/>
              </w:rPr>
              <w:t>Jaroslaw Lutoslawski</w:t>
            </w:r>
          </w:p>
          <w:p w:rsidR="00C21C1B" w:rsidRPr="00B74625" w:rsidRDefault="00C21C1B" w:rsidP="00C21C1B">
            <w:pPr>
              <w:widowControl w:val="0"/>
              <w:jc w:val="both"/>
              <w:rPr>
                <w:b/>
                <w:sz w:val="20"/>
                <w:szCs w:val="20"/>
              </w:rPr>
            </w:pPr>
          </w:p>
          <w:p w:rsidR="00C21C1B" w:rsidRPr="00B74625" w:rsidRDefault="00C21C1B" w:rsidP="00C21C1B">
            <w:pPr>
              <w:widowControl w:val="0"/>
              <w:jc w:val="both"/>
              <w:rPr>
                <w:b/>
                <w:sz w:val="20"/>
                <w:szCs w:val="20"/>
              </w:rPr>
            </w:pPr>
            <w:r w:rsidRPr="00B74625">
              <w:rPr>
                <w:b/>
                <w:sz w:val="20"/>
                <w:szCs w:val="20"/>
              </w:rPr>
              <w:tab/>
              <w:t>v. (33723)</w:t>
            </w:r>
          </w:p>
          <w:p w:rsidR="00C21C1B" w:rsidRPr="00B74625" w:rsidRDefault="00C21C1B" w:rsidP="00C21C1B">
            <w:pPr>
              <w:widowControl w:val="0"/>
              <w:jc w:val="both"/>
              <w:rPr>
                <w:b/>
                <w:sz w:val="20"/>
                <w:szCs w:val="20"/>
              </w:rPr>
            </w:pPr>
          </w:p>
          <w:p w:rsidR="00C21C1B" w:rsidRPr="00C21C1B" w:rsidRDefault="00C21C1B" w:rsidP="00C21C1B">
            <w:pPr>
              <w:widowControl w:val="0"/>
              <w:jc w:val="both"/>
              <w:rPr>
                <w:sz w:val="20"/>
                <w:szCs w:val="20"/>
              </w:rPr>
            </w:pPr>
            <w:r w:rsidRPr="00B74625">
              <w:rPr>
                <w:b/>
                <w:sz w:val="20"/>
                <w:szCs w:val="20"/>
              </w:rPr>
              <w:t xml:space="preserve">Her Majesty the Queen </w:t>
            </w:r>
            <w:r w:rsidRPr="00B74625">
              <w:rPr>
                <w:b/>
                <w:sz w:val="20"/>
                <w:szCs w:val="20"/>
                <w:lang w:val="en-US"/>
              </w:rPr>
              <w:t>(Ont.) (Criminal) (As of Right)</w:t>
            </w:r>
          </w:p>
        </w:tc>
        <w:tc>
          <w:tcPr>
            <w:tcW w:w="720" w:type="dxa"/>
            <w:tcMar>
              <w:left w:w="0" w:type="dxa"/>
              <w:right w:w="0" w:type="dxa"/>
            </w:tcMar>
          </w:tcPr>
          <w:p w:rsidR="00C21C1B" w:rsidRPr="00C21C1B" w:rsidRDefault="00C21C1B" w:rsidP="00C21C1B">
            <w:pPr>
              <w:widowControl w:val="0"/>
              <w:rPr>
                <w:sz w:val="20"/>
                <w:szCs w:val="20"/>
              </w:rPr>
            </w:pPr>
          </w:p>
        </w:tc>
        <w:tc>
          <w:tcPr>
            <w:tcW w:w="4380" w:type="dxa"/>
            <w:tcMar>
              <w:left w:w="0" w:type="dxa"/>
              <w:right w:w="0" w:type="dxa"/>
            </w:tcMar>
          </w:tcPr>
          <w:p w:rsidR="00C21C1B" w:rsidRPr="00C21C1B" w:rsidRDefault="00C21C1B" w:rsidP="00C21C1B">
            <w:pPr>
              <w:widowControl w:val="0"/>
              <w:jc w:val="both"/>
              <w:rPr>
                <w:sz w:val="20"/>
                <w:szCs w:val="20"/>
              </w:rPr>
            </w:pPr>
            <w:r w:rsidRPr="00C21C1B">
              <w:rPr>
                <w:sz w:val="20"/>
                <w:szCs w:val="20"/>
              </w:rPr>
              <w:t>Anil K. Kapoor and Senem Ozkin for the appellant.</w:t>
            </w:r>
          </w:p>
          <w:p w:rsidR="00C21C1B" w:rsidRPr="00C21C1B" w:rsidRDefault="00C21C1B" w:rsidP="00C21C1B">
            <w:pPr>
              <w:widowControl w:val="0"/>
              <w:jc w:val="both"/>
              <w:rPr>
                <w:sz w:val="20"/>
                <w:szCs w:val="20"/>
              </w:rPr>
            </w:pPr>
          </w:p>
          <w:p w:rsidR="00C21C1B" w:rsidRPr="00C21C1B" w:rsidRDefault="00C21C1B" w:rsidP="00C21C1B">
            <w:pPr>
              <w:widowControl w:val="0"/>
              <w:jc w:val="both"/>
              <w:rPr>
                <w:sz w:val="20"/>
                <w:szCs w:val="20"/>
                <w:lang w:val="en-US"/>
              </w:rPr>
            </w:pPr>
            <w:r w:rsidRPr="00C21C1B">
              <w:rPr>
                <w:sz w:val="20"/>
                <w:szCs w:val="20"/>
                <w:lang w:val="en-US"/>
              </w:rPr>
              <w:t>Christine Tier for the respondent.</w:t>
            </w:r>
          </w:p>
        </w:tc>
      </w:tr>
    </w:tbl>
    <w:p w:rsidR="00C21C1B" w:rsidRPr="00C21C1B" w:rsidRDefault="00C21C1B" w:rsidP="00C21C1B">
      <w:pPr>
        <w:widowControl w:val="0"/>
        <w:rPr>
          <w:sz w:val="20"/>
          <w:szCs w:val="20"/>
        </w:rPr>
      </w:pPr>
    </w:p>
    <w:p w:rsidR="00C21C1B" w:rsidRPr="00C21C1B" w:rsidRDefault="00C21C1B" w:rsidP="00C21C1B">
      <w:pPr>
        <w:widowControl w:val="0"/>
        <w:rPr>
          <w:sz w:val="20"/>
          <w:szCs w:val="20"/>
        </w:rPr>
      </w:pPr>
      <w:r w:rsidRPr="00C21C1B">
        <w:rPr>
          <w:b/>
          <w:sz w:val="20"/>
          <w:szCs w:val="20"/>
        </w:rPr>
        <w:t>DISMISSED / REJETÉE</w:t>
      </w:r>
    </w:p>
    <w:p w:rsidR="00C21C1B" w:rsidRDefault="00C21C1B" w:rsidP="00C21C1B">
      <w:pPr>
        <w:widowControl w:val="0"/>
        <w:rPr>
          <w:sz w:val="20"/>
          <w:szCs w:val="20"/>
        </w:rPr>
      </w:pPr>
    </w:p>
    <w:p w:rsidR="00C21C1B" w:rsidRPr="00723401" w:rsidRDefault="00C21C1B" w:rsidP="00C21C1B">
      <w:pPr>
        <w:widowControl w:val="0"/>
        <w:rPr>
          <w:b/>
          <w:sz w:val="20"/>
          <w:szCs w:val="20"/>
        </w:rPr>
      </w:pPr>
      <w:r w:rsidRPr="00723401">
        <w:rPr>
          <w:b/>
          <w:sz w:val="20"/>
          <w:szCs w:val="20"/>
        </w:rPr>
        <w:t>2010 SCC 49 / 2010 CSC 49</w:t>
      </w:r>
    </w:p>
    <w:p w:rsidR="00C21C1B" w:rsidRPr="00C21C1B" w:rsidRDefault="00C21C1B" w:rsidP="00C21C1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21C1B" w:rsidRPr="00C21C1B" w:rsidTr="00C21C1B">
        <w:tc>
          <w:tcPr>
            <w:tcW w:w="4380" w:type="dxa"/>
            <w:tcMar>
              <w:left w:w="0" w:type="dxa"/>
              <w:right w:w="0" w:type="dxa"/>
            </w:tcMar>
          </w:tcPr>
          <w:p w:rsidR="00C21C1B" w:rsidRPr="00C21C1B" w:rsidRDefault="00C21C1B" w:rsidP="00C21C1B">
            <w:pPr>
              <w:widowControl w:val="0"/>
              <w:rPr>
                <w:b/>
                <w:sz w:val="20"/>
                <w:szCs w:val="20"/>
                <w:u w:val="single"/>
              </w:rPr>
            </w:pPr>
            <w:r w:rsidRPr="00C21C1B">
              <w:rPr>
                <w:b/>
                <w:sz w:val="20"/>
                <w:szCs w:val="20"/>
                <w:u w:val="single"/>
              </w:rPr>
              <w:t>JUDGMENT:</w:t>
            </w:r>
          </w:p>
          <w:p w:rsidR="00C21C1B" w:rsidRPr="00C21C1B" w:rsidRDefault="00C21C1B" w:rsidP="00C21C1B">
            <w:pPr>
              <w:widowControl w:val="0"/>
              <w:rPr>
                <w:sz w:val="20"/>
                <w:szCs w:val="20"/>
              </w:rPr>
            </w:pPr>
          </w:p>
          <w:p w:rsidR="0015106A" w:rsidRPr="0015106A" w:rsidRDefault="0015106A" w:rsidP="0015106A">
            <w:pPr>
              <w:jc w:val="both"/>
              <w:rPr>
                <w:sz w:val="20"/>
                <w:szCs w:val="20"/>
              </w:rPr>
            </w:pPr>
            <w:r w:rsidRPr="0015106A">
              <w:rPr>
                <w:sz w:val="20"/>
                <w:szCs w:val="20"/>
              </w:rPr>
              <w:t xml:space="preserve">The appeal from the judgment of the Court of Appeal for Ontario, Number C49601, 2010 ONCA 207, dated March 18, 2010, was heard on November 5, 2010 and the  following judgment was rendered orally: </w:t>
            </w:r>
          </w:p>
          <w:p w:rsidR="0015106A" w:rsidRPr="0015106A" w:rsidRDefault="0015106A" w:rsidP="0015106A">
            <w:pPr>
              <w:jc w:val="both"/>
              <w:rPr>
                <w:sz w:val="20"/>
                <w:szCs w:val="20"/>
              </w:rPr>
            </w:pPr>
          </w:p>
          <w:p w:rsidR="0015106A" w:rsidRDefault="0015106A" w:rsidP="0015106A">
            <w:pPr>
              <w:jc w:val="both"/>
            </w:pPr>
            <w:r w:rsidRPr="0015106A">
              <w:rPr>
                <w:smallCaps/>
                <w:sz w:val="20"/>
                <w:szCs w:val="20"/>
              </w:rPr>
              <w:t xml:space="preserve">Justice Binnie </w:t>
            </w:r>
            <w:r w:rsidRPr="0015106A">
              <w:rPr>
                <w:rFonts w:cs="Times New Roman"/>
                <w:sz w:val="20"/>
                <w:szCs w:val="20"/>
              </w:rPr>
              <w:t xml:space="preserve">— The only issue on this appeal is whether the Court of Appeal for Ontario erred in substituting a conviction instead of ordering a new trial on three counts of sexual assault.  It was established in </w:t>
            </w:r>
            <w:r w:rsidRPr="0015106A">
              <w:rPr>
                <w:rFonts w:cs="Times New Roman"/>
                <w:i/>
                <w:sz w:val="20"/>
                <w:szCs w:val="20"/>
              </w:rPr>
              <w:t>R. v. Chase</w:t>
            </w:r>
            <w:r w:rsidRPr="0015106A">
              <w:rPr>
                <w:rFonts w:cs="Times New Roman"/>
                <w:sz w:val="20"/>
                <w:szCs w:val="20"/>
              </w:rPr>
              <w:t>, [1987] 2 S.C.R. 293, that “[t]he test to be applied in determining whether the impugned conduct has the requisite sexual nature is an objective one: ‘Viewed in the light of all the circumstances, is the sexual or carnal context of the assault visible to a reasonable observer?’” (p. 302).  As found by the Court of Appeal, the trial judge misdirected himself on this question of law.  Sexual assault does not require proof of an improper or ulterior purpose.  The Crown at trial proved beyond a reasonable doubt that the touching of the complainants occurred in circumstances of a sexual nature such as to compromise the sexual integrity of the complainants.  Section 686(4)(</w:t>
            </w:r>
            <w:r w:rsidRPr="0015106A">
              <w:rPr>
                <w:rFonts w:cs="Times New Roman"/>
                <w:i/>
                <w:sz w:val="20"/>
                <w:szCs w:val="20"/>
              </w:rPr>
              <w:t>b</w:t>
            </w:r>
            <w:r w:rsidRPr="0015106A">
              <w:rPr>
                <w:rFonts w:cs="Times New Roman"/>
                <w:sz w:val="20"/>
                <w:szCs w:val="20"/>
              </w:rPr>
              <w:t xml:space="preserve">)(ii) [of the </w:t>
            </w:r>
            <w:r w:rsidRPr="0015106A">
              <w:rPr>
                <w:rFonts w:cs="Times New Roman"/>
                <w:i/>
                <w:sz w:val="20"/>
                <w:szCs w:val="20"/>
              </w:rPr>
              <w:t>Criminal Code</w:t>
            </w:r>
            <w:r w:rsidRPr="0015106A">
              <w:rPr>
                <w:rFonts w:cs="Times New Roman"/>
                <w:sz w:val="20"/>
                <w:szCs w:val="20"/>
              </w:rPr>
              <w:t xml:space="preserve">, R.S.C. 1985, c. C-46] permits an appellate court on appeal from a judge alone to “enter a verdict of guilty, with respect to the offence of which, in its opinion, the accused should have been found guilty but for the error in law”.  Here the Crown established that an error of law was committed at trial, and that but for that error the appellant would necessarily have been convicted: </w:t>
            </w:r>
            <w:r w:rsidRPr="0015106A">
              <w:rPr>
                <w:rFonts w:cs="Times New Roman"/>
                <w:i/>
                <w:sz w:val="20"/>
                <w:szCs w:val="20"/>
              </w:rPr>
              <w:t>R. v. Cassidy</w:t>
            </w:r>
            <w:r w:rsidRPr="0015106A">
              <w:rPr>
                <w:rFonts w:cs="Times New Roman"/>
                <w:sz w:val="20"/>
                <w:szCs w:val="20"/>
              </w:rPr>
              <w:t>, [1989] 2 S.C.R. 345.  Accordingly, despite the able submissions of Mr. Kapoor, we are all of the view that the Court of Appeal reached the proper conclusion.  Accordingly, the appeal is dismissed.</w:t>
            </w:r>
          </w:p>
          <w:p w:rsidR="00C21C1B" w:rsidRPr="00C21C1B" w:rsidRDefault="00C21C1B" w:rsidP="00C21C1B">
            <w:pPr>
              <w:widowControl w:val="0"/>
              <w:rPr>
                <w:sz w:val="20"/>
                <w:szCs w:val="20"/>
              </w:rPr>
            </w:pPr>
          </w:p>
        </w:tc>
        <w:tc>
          <w:tcPr>
            <w:tcW w:w="720" w:type="dxa"/>
            <w:tcMar>
              <w:left w:w="0" w:type="dxa"/>
              <w:right w:w="0" w:type="dxa"/>
            </w:tcMar>
          </w:tcPr>
          <w:p w:rsidR="00C21C1B" w:rsidRPr="00C21C1B" w:rsidRDefault="00C21C1B" w:rsidP="00C21C1B">
            <w:pPr>
              <w:widowControl w:val="0"/>
              <w:rPr>
                <w:sz w:val="20"/>
                <w:szCs w:val="20"/>
              </w:rPr>
            </w:pPr>
          </w:p>
        </w:tc>
        <w:tc>
          <w:tcPr>
            <w:tcW w:w="4380" w:type="dxa"/>
            <w:tcMar>
              <w:left w:w="0" w:type="dxa"/>
              <w:right w:w="0" w:type="dxa"/>
            </w:tcMar>
          </w:tcPr>
          <w:p w:rsidR="00C21C1B" w:rsidRPr="00492DCE" w:rsidRDefault="00C21C1B" w:rsidP="00C21C1B">
            <w:pPr>
              <w:widowControl w:val="0"/>
              <w:rPr>
                <w:b/>
                <w:sz w:val="20"/>
                <w:szCs w:val="20"/>
                <w:u w:val="single"/>
                <w:lang w:val="fr-CA"/>
              </w:rPr>
            </w:pPr>
            <w:r w:rsidRPr="00492DCE">
              <w:rPr>
                <w:b/>
                <w:sz w:val="20"/>
                <w:szCs w:val="20"/>
                <w:u w:val="single"/>
                <w:lang w:val="fr-CA"/>
              </w:rPr>
              <w:t>JUGEMENT :</w:t>
            </w:r>
          </w:p>
          <w:p w:rsidR="00C21C1B" w:rsidRPr="00492DCE" w:rsidRDefault="00C21C1B" w:rsidP="00C21C1B">
            <w:pPr>
              <w:widowControl w:val="0"/>
              <w:rPr>
                <w:sz w:val="20"/>
                <w:szCs w:val="20"/>
                <w:lang w:val="fr-CA"/>
              </w:rPr>
            </w:pPr>
          </w:p>
          <w:p w:rsidR="0015106A" w:rsidRPr="0015106A" w:rsidRDefault="0015106A" w:rsidP="0015106A">
            <w:pPr>
              <w:jc w:val="both"/>
              <w:rPr>
                <w:sz w:val="20"/>
                <w:szCs w:val="20"/>
                <w:lang w:val="fr-CA"/>
              </w:rPr>
            </w:pPr>
            <w:r w:rsidRPr="0015106A">
              <w:rPr>
                <w:sz w:val="20"/>
                <w:szCs w:val="20"/>
                <w:lang w:val="fr-CA"/>
              </w:rPr>
              <w:t>L’appel contre l’arrêt de la Cour d’appel de l’Ontario, numéro C49601, 2010 ONCA 207, en date du 18 mars 2010, a été entendu le 5 novembre 2010 et le jugement suivant a été rendu oralement :</w:t>
            </w:r>
          </w:p>
          <w:p w:rsidR="0015106A" w:rsidRPr="0015106A" w:rsidRDefault="0015106A" w:rsidP="0015106A">
            <w:pPr>
              <w:jc w:val="both"/>
              <w:rPr>
                <w:sz w:val="20"/>
                <w:szCs w:val="20"/>
                <w:lang w:val="fr-CA"/>
              </w:rPr>
            </w:pPr>
            <w:r w:rsidRPr="0015106A">
              <w:rPr>
                <w:sz w:val="20"/>
                <w:szCs w:val="20"/>
                <w:lang w:val="fr-CA"/>
              </w:rPr>
              <w:tab/>
            </w:r>
          </w:p>
          <w:p w:rsidR="0015106A" w:rsidRPr="00C21C1B" w:rsidRDefault="0015106A" w:rsidP="0015106A">
            <w:pPr>
              <w:widowControl w:val="0"/>
              <w:jc w:val="both"/>
              <w:rPr>
                <w:sz w:val="20"/>
                <w:szCs w:val="20"/>
              </w:rPr>
            </w:pPr>
            <w:r w:rsidRPr="0015106A">
              <w:rPr>
                <w:smallCaps/>
                <w:sz w:val="20"/>
                <w:szCs w:val="20"/>
                <w:lang w:val="fr-CA"/>
              </w:rPr>
              <w:t>Le juge Binnie</w:t>
            </w:r>
            <w:r w:rsidRPr="0015106A">
              <w:rPr>
                <w:sz w:val="20"/>
                <w:szCs w:val="20"/>
                <w:lang w:val="fr-CA"/>
              </w:rPr>
              <w:t xml:space="preserve"> — La seule question en litige dans le présent pourvoi consiste à décider si la Cour d’appel de l’Ontario a fait erreur en consignant un verdict de culpabilité au lieu d’ordonner la tenue d’un nouveau procès à l’égard de trois chefs d’accusation d’agression sexuelle. Depuis l’arrêt </w:t>
            </w:r>
            <w:r w:rsidRPr="0015106A">
              <w:rPr>
                <w:i/>
                <w:sz w:val="20"/>
                <w:szCs w:val="20"/>
                <w:lang w:val="fr-CA"/>
              </w:rPr>
              <w:t>R. c. Chase</w:t>
            </w:r>
            <w:r w:rsidRPr="0015106A">
              <w:rPr>
                <w:sz w:val="20"/>
                <w:szCs w:val="20"/>
                <w:lang w:val="fr-CA"/>
              </w:rPr>
              <w:t>, [1987] 2 R.C.S. 293, « [l]e critère qui doit être appliqué pour déterminer si la conduite reprochée comporte la nature sexuelle requise est objectif : “Compte tenu de toutes les circonstances, une personne raisonnable peut-elle percevoir le contexte sexuel ou charnel de l’agression?” » (p. 302).  Comme a conclu la Cour d’appel, le juge du procès s’est fondé sur des considérations erronées sur cette question de droit.  Pour faire la preuve d’une agression sexuelle, il n’est pas nécessaire de démontrer un but illégitime ou inavoué.  Au procès, le ministère public a établi hors de tout doute raisonnable que les attouchements ont été commis sur les plaignantes dans des circonstances de nature sexuelle de manière à porter atteinte à l’intégrité sexuelle de ces dernières.  Le sous-al. 686(4)</w:t>
            </w:r>
            <w:r w:rsidRPr="0015106A">
              <w:rPr>
                <w:i/>
                <w:sz w:val="20"/>
                <w:szCs w:val="20"/>
                <w:lang w:val="fr-CA"/>
              </w:rPr>
              <w:t>b</w:t>
            </w:r>
            <w:r w:rsidRPr="0015106A">
              <w:rPr>
                <w:sz w:val="20"/>
                <w:szCs w:val="20"/>
                <w:lang w:val="fr-CA"/>
              </w:rPr>
              <w:t xml:space="preserve">)ii) [du </w:t>
            </w:r>
            <w:r w:rsidRPr="0015106A">
              <w:rPr>
                <w:i/>
                <w:sz w:val="20"/>
                <w:szCs w:val="20"/>
                <w:lang w:val="fr-CA"/>
              </w:rPr>
              <w:t>Code criminel</w:t>
            </w:r>
            <w:r w:rsidRPr="0015106A">
              <w:rPr>
                <w:sz w:val="20"/>
                <w:szCs w:val="20"/>
                <w:lang w:val="fr-CA"/>
              </w:rPr>
              <w:t>, L.R.C. 1985, ch. C-46] habilite la cour d’appel saisie de l’appel d’une décision d’un juge siégeant seul à « consigner un verdict de culpabilité à l’égard de l’infraction dont, à son avis, l’accusé aurait dû être déclaré coupable ».  En l’espèce, le ministère public a prouvé qu’il y avait eu au procès une erreur de droit sans laquelle l’appelant aurait forcément été déclaré coupable (</w:t>
            </w:r>
            <w:r w:rsidRPr="0015106A">
              <w:rPr>
                <w:i/>
                <w:sz w:val="20"/>
                <w:szCs w:val="20"/>
                <w:lang w:val="fr-CA"/>
              </w:rPr>
              <w:t>R. c. Cassidy</w:t>
            </w:r>
            <w:r w:rsidRPr="0015106A">
              <w:rPr>
                <w:sz w:val="20"/>
                <w:szCs w:val="20"/>
                <w:lang w:val="fr-CA"/>
              </w:rPr>
              <w:t>, [1989] 2 R.C.S. 345).  Par conséquent, malgré l’excellente argumentation de M</w:t>
            </w:r>
            <w:r w:rsidRPr="0015106A">
              <w:rPr>
                <w:sz w:val="20"/>
                <w:szCs w:val="20"/>
                <w:vertAlign w:val="superscript"/>
                <w:lang w:val="fr-CA"/>
              </w:rPr>
              <w:t>e</w:t>
            </w:r>
            <w:r w:rsidRPr="0015106A">
              <w:rPr>
                <w:sz w:val="20"/>
                <w:szCs w:val="20"/>
                <w:lang w:val="fr-CA"/>
              </w:rPr>
              <w:t xml:space="preserve"> Kapoor, </w:t>
            </w:r>
            <w:r w:rsidRPr="0015106A">
              <w:rPr>
                <w:sz w:val="20"/>
                <w:szCs w:val="20"/>
                <w:lang w:val="fr-CA"/>
              </w:rPr>
              <w:lastRenderedPageBreak/>
              <w:t>nous sommes tous d’avis que la Cour d’appel est arrivée à la bonne conclusion.  L’appel est donc rejeté.</w:t>
            </w:r>
          </w:p>
        </w:tc>
      </w:tr>
    </w:tbl>
    <w:p w:rsidR="00C21C1B" w:rsidRPr="00C21C1B" w:rsidRDefault="00C21C1B" w:rsidP="00C21C1B">
      <w:pPr>
        <w:widowControl w:val="0"/>
        <w:rPr>
          <w:sz w:val="20"/>
          <w:szCs w:val="20"/>
        </w:rPr>
      </w:pPr>
    </w:p>
    <w:tbl>
      <w:tblPr>
        <w:tblW w:w="9480" w:type="dxa"/>
        <w:tblLayout w:type="fixed"/>
        <w:tblCellMar>
          <w:left w:w="0" w:type="dxa"/>
          <w:right w:w="0" w:type="dxa"/>
        </w:tblCellMar>
        <w:tblLook w:val="0000"/>
      </w:tblPr>
      <w:tblGrid>
        <w:gridCol w:w="4380"/>
        <w:gridCol w:w="720"/>
        <w:gridCol w:w="4380"/>
      </w:tblGrid>
      <w:tr w:rsidR="00C21C1B" w:rsidRPr="00063E53" w:rsidTr="00C21C1B">
        <w:tc>
          <w:tcPr>
            <w:tcW w:w="4380" w:type="dxa"/>
            <w:tcMar>
              <w:left w:w="0" w:type="dxa"/>
              <w:right w:w="0" w:type="dxa"/>
            </w:tcMar>
          </w:tcPr>
          <w:p w:rsidR="00C21C1B" w:rsidRPr="00C21C1B" w:rsidRDefault="00C21C1B" w:rsidP="00C21C1B">
            <w:pPr>
              <w:widowControl w:val="0"/>
              <w:jc w:val="both"/>
              <w:rPr>
                <w:sz w:val="20"/>
                <w:szCs w:val="20"/>
              </w:rPr>
            </w:pPr>
            <w:r w:rsidRPr="00C21C1B">
              <w:rPr>
                <w:b/>
                <w:sz w:val="20"/>
                <w:szCs w:val="20"/>
                <w:u w:val="single"/>
              </w:rPr>
              <w:t>Nature of the case:</w:t>
            </w:r>
          </w:p>
          <w:p w:rsidR="00C21C1B" w:rsidRPr="00C21C1B" w:rsidRDefault="00C21C1B" w:rsidP="00C21C1B">
            <w:pPr>
              <w:widowControl w:val="0"/>
              <w:jc w:val="both"/>
              <w:rPr>
                <w:sz w:val="20"/>
                <w:szCs w:val="20"/>
              </w:rPr>
            </w:pPr>
          </w:p>
          <w:p w:rsidR="00C21C1B" w:rsidRPr="00A97BF6" w:rsidRDefault="00C21C1B" w:rsidP="00C21C1B">
            <w:pPr>
              <w:widowControl w:val="0"/>
              <w:jc w:val="both"/>
              <w:rPr>
                <w:smallCaps/>
                <w:sz w:val="20"/>
                <w:szCs w:val="20"/>
              </w:rPr>
            </w:pPr>
            <w:r w:rsidRPr="00A97BF6">
              <w:rPr>
                <w:smallCaps/>
                <w:sz w:val="20"/>
                <w:szCs w:val="20"/>
              </w:rPr>
              <w:t>(Publication ban in case)</w:t>
            </w:r>
          </w:p>
          <w:p w:rsidR="00C21C1B" w:rsidRPr="00C21C1B" w:rsidRDefault="00C21C1B" w:rsidP="00C21C1B">
            <w:pPr>
              <w:widowControl w:val="0"/>
              <w:jc w:val="both"/>
              <w:rPr>
                <w:sz w:val="20"/>
                <w:szCs w:val="20"/>
              </w:rPr>
            </w:pPr>
          </w:p>
          <w:p w:rsidR="00C21C1B" w:rsidRPr="00C21C1B" w:rsidRDefault="00C21C1B" w:rsidP="00C21C1B">
            <w:pPr>
              <w:widowControl w:val="0"/>
              <w:jc w:val="both"/>
              <w:rPr>
                <w:sz w:val="20"/>
                <w:szCs w:val="20"/>
              </w:rPr>
            </w:pPr>
          </w:p>
          <w:p w:rsidR="00C21C1B" w:rsidRPr="00C21C1B" w:rsidRDefault="00C21C1B" w:rsidP="00C21C1B">
            <w:pPr>
              <w:widowControl w:val="0"/>
              <w:jc w:val="both"/>
              <w:rPr>
                <w:sz w:val="20"/>
                <w:szCs w:val="20"/>
              </w:rPr>
            </w:pPr>
            <w:r w:rsidRPr="00C21C1B">
              <w:rPr>
                <w:sz w:val="20"/>
                <w:szCs w:val="20"/>
              </w:rPr>
              <w:t>Criminal law - Offences - Elements of offence - Sexual Assault - Proof of an improper or ulterior purpose - Whether the Court of Appeal erred in substituting convictions relating to the sexual assault counts (6, 8 and 10) instead of ordering a new trial.</w:t>
            </w:r>
          </w:p>
          <w:p w:rsidR="00C21C1B" w:rsidRPr="00C21C1B" w:rsidRDefault="00C21C1B" w:rsidP="00C21C1B">
            <w:pPr>
              <w:widowControl w:val="0"/>
              <w:rPr>
                <w:sz w:val="20"/>
                <w:szCs w:val="20"/>
              </w:rPr>
            </w:pPr>
          </w:p>
        </w:tc>
        <w:tc>
          <w:tcPr>
            <w:tcW w:w="720" w:type="dxa"/>
            <w:tcMar>
              <w:left w:w="0" w:type="dxa"/>
              <w:right w:w="0" w:type="dxa"/>
            </w:tcMar>
          </w:tcPr>
          <w:p w:rsidR="00C21C1B" w:rsidRPr="00C21C1B" w:rsidRDefault="00C21C1B" w:rsidP="00C21C1B">
            <w:pPr>
              <w:widowControl w:val="0"/>
              <w:rPr>
                <w:sz w:val="20"/>
                <w:szCs w:val="20"/>
              </w:rPr>
            </w:pPr>
          </w:p>
        </w:tc>
        <w:tc>
          <w:tcPr>
            <w:tcW w:w="4380" w:type="dxa"/>
            <w:tcMar>
              <w:left w:w="0" w:type="dxa"/>
              <w:right w:w="0" w:type="dxa"/>
            </w:tcMar>
          </w:tcPr>
          <w:p w:rsidR="00C21C1B" w:rsidRPr="00C21C1B" w:rsidRDefault="00C21C1B" w:rsidP="00C21C1B">
            <w:pPr>
              <w:widowControl w:val="0"/>
              <w:jc w:val="both"/>
              <w:rPr>
                <w:sz w:val="20"/>
                <w:szCs w:val="20"/>
                <w:lang w:val="fr-CA"/>
              </w:rPr>
            </w:pPr>
            <w:r w:rsidRPr="00C21C1B">
              <w:rPr>
                <w:b/>
                <w:sz w:val="20"/>
                <w:szCs w:val="20"/>
                <w:u w:val="single"/>
                <w:lang w:val="fr-CA"/>
              </w:rPr>
              <w:t>Nature de la cause :</w:t>
            </w:r>
          </w:p>
          <w:p w:rsidR="00C21C1B" w:rsidRPr="00C21C1B" w:rsidRDefault="00C21C1B" w:rsidP="00C21C1B">
            <w:pPr>
              <w:widowControl w:val="0"/>
              <w:jc w:val="both"/>
              <w:rPr>
                <w:sz w:val="20"/>
                <w:szCs w:val="20"/>
                <w:lang w:val="fr-CA"/>
              </w:rPr>
            </w:pPr>
          </w:p>
          <w:p w:rsidR="00C21C1B" w:rsidRPr="00A97BF6" w:rsidRDefault="00C21C1B" w:rsidP="00C21C1B">
            <w:pPr>
              <w:widowControl w:val="0"/>
              <w:jc w:val="both"/>
              <w:rPr>
                <w:smallCaps/>
                <w:sz w:val="20"/>
                <w:szCs w:val="20"/>
                <w:lang w:val="fr-CA"/>
              </w:rPr>
            </w:pPr>
            <w:r w:rsidRPr="00A97BF6">
              <w:rPr>
                <w:smallCaps/>
                <w:sz w:val="20"/>
                <w:szCs w:val="20"/>
                <w:lang w:val="fr-CA"/>
              </w:rPr>
              <w:t>(Ordonnance de non-publication dans le dossier)</w:t>
            </w:r>
          </w:p>
          <w:p w:rsidR="00C21C1B" w:rsidRPr="00C21C1B" w:rsidRDefault="00C21C1B" w:rsidP="00C21C1B">
            <w:pPr>
              <w:widowControl w:val="0"/>
              <w:jc w:val="both"/>
              <w:rPr>
                <w:sz w:val="20"/>
                <w:szCs w:val="20"/>
                <w:lang w:val="fr-CA"/>
              </w:rPr>
            </w:pPr>
          </w:p>
          <w:p w:rsidR="00C21C1B" w:rsidRPr="00C21C1B" w:rsidRDefault="00C21C1B" w:rsidP="00C21C1B">
            <w:pPr>
              <w:widowControl w:val="0"/>
              <w:jc w:val="both"/>
              <w:rPr>
                <w:sz w:val="20"/>
                <w:szCs w:val="20"/>
                <w:lang w:val="fr-CA"/>
              </w:rPr>
            </w:pPr>
            <w:r w:rsidRPr="00C21C1B">
              <w:rPr>
                <w:sz w:val="20"/>
                <w:szCs w:val="20"/>
                <w:lang w:val="fr-CA"/>
              </w:rPr>
              <w:t>Droit criminel - Infractions - Éléments de l’infraction - Agression sexuelle - Preuve d’un dessein illégitime ou inavoué - La Cour d’appel a-t-elle eu tort d’inscrire des déclarations de culpabilité relativement aux chefs d’agression sexuelle (6, 8 et 10) au lieu d’ordonner un nouveau procès?</w:t>
            </w:r>
          </w:p>
        </w:tc>
      </w:tr>
    </w:tbl>
    <w:p w:rsidR="00C21C1B" w:rsidRPr="00C21C1B" w:rsidRDefault="00C21C1B" w:rsidP="00C21C1B">
      <w:pPr>
        <w:widowControl w:val="0"/>
        <w:rPr>
          <w:sz w:val="20"/>
          <w:szCs w:val="20"/>
          <w:lang w:val="fr-CA"/>
        </w:rPr>
      </w:pPr>
    </w:p>
    <w:p w:rsidR="00C21C1B" w:rsidRPr="00C21C1B" w:rsidRDefault="0047571A" w:rsidP="00C21C1B">
      <w:pPr>
        <w:widowControl w:val="0"/>
        <w:rPr>
          <w:sz w:val="20"/>
          <w:szCs w:val="20"/>
          <w:lang w:val="fr-CA"/>
        </w:rPr>
      </w:pPr>
      <w:r w:rsidRPr="0047571A">
        <w:rPr>
          <w:sz w:val="20"/>
          <w:szCs w:val="20"/>
          <w:lang w:val="fr-CA"/>
        </w:rPr>
        <w:pict>
          <v:rect id="_x0000_i1037" style="width:142.2pt;height:1pt" o:hrpct="300" o:hralign="center" o:hrstd="t" o:hrnoshade="t" o:hr="t" fillcolor="black" stroked="f"/>
        </w:pict>
      </w:r>
    </w:p>
    <w:p w:rsidR="00C21C1B" w:rsidRPr="00C21C1B" w:rsidRDefault="00C21C1B" w:rsidP="00C21C1B">
      <w:pPr>
        <w:widowControl w:val="0"/>
        <w:rPr>
          <w:sz w:val="20"/>
          <w:szCs w:val="20"/>
          <w:lang w:val="fr-CA"/>
        </w:rPr>
      </w:pPr>
    </w:p>
    <w:p w:rsidR="00C21C1B" w:rsidRPr="00C21C1B" w:rsidRDefault="00C21C1B" w:rsidP="00C21C1B">
      <w:pPr>
        <w:widowControl w:val="0"/>
        <w:rPr>
          <w:sz w:val="20"/>
          <w:szCs w:val="20"/>
        </w:rPr>
      </w:pPr>
      <w:r w:rsidRPr="00C21C1B">
        <w:rPr>
          <w:sz w:val="20"/>
          <w:szCs w:val="20"/>
        </w:rPr>
        <w:t>08.11.2010</w:t>
      </w:r>
    </w:p>
    <w:p w:rsidR="00C21C1B" w:rsidRPr="00C21C1B" w:rsidRDefault="00C21C1B" w:rsidP="00C21C1B">
      <w:pPr>
        <w:widowControl w:val="0"/>
        <w:rPr>
          <w:sz w:val="20"/>
          <w:szCs w:val="20"/>
        </w:rPr>
      </w:pPr>
    </w:p>
    <w:p w:rsidR="00C21C1B" w:rsidRPr="00C21C1B" w:rsidRDefault="00C21C1B" w:rsidP="00C21C1B">
      <w:pPr>
        <w:widowControl w:val="0"/>
        <w:rPr>
          <w:sz w:val="20"/>
          <w:szCs w:val="20"/>
          <w:lang w:val="en-GB"/>
        </w:rPr>
      </w:pPr>
      <w:r w:rsidRPr="00C21C1B">
        <w:rPr>
          <w:sz w:val="20"/>
          <w:szCs w:val="20"/>
          <w:lang w:val="en-GB"/>
        </w:rPr>
        <w:t xml:space="preserve">Coram: </w:t>
      </w:r>
      <w:r w:rsidRPr="00C21C1B">
        <w:rPr>
          <w:sz w:val="20"/>
          <w:szCs w:val="20"/>
          <w:lang w:val="en-GB"/>
        </w:rPr>
        <w:tab/>
      </w:r>
      <w:r w:rsidRPr="00C21C1B">
        <w:rPr>
          <w:sz w:val="20"/>
          <w:szCs w:val="20"/>
          <w:u w:val="single"/>
        </w:rPr>
        <w:t>McLachlin C.J. and Binnie, LeBel, Deschamps, Fish, Abella, Charron, Rothstein and Cromwell JJ.</w:t>
      </w:r>
    </w:p>
    <w:p w:rsidR="00C21C1B" w:rsidRPr="00C21C1B" w:rsidRDefault="00C21C1B" w:rsidP="00C21C1B">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C21C1B" w:rsidRPr="00C21C1B" w:rsidTr="00C21C1B">
        <w:tc>
          <w:tcPr>
            <w:tcW w:w="4380" w:type="dxa"/>
            <w:tcMar>
              <w:left w:w="0" w:type="dxa"/>
              <w:right w:w="0" w:type="dxa"/>
            </w:tcMar>
          </w:tcPr>
          <w:p w:rsidR="00C21C1B" w:rsidRPr="00B74625" w:rsidRDefault="00C21C1B" w:rsidP="00C21C1B">
            <w:pPr>
              <w:widowControl w:val="0"/>
              <w:rPr>
                <w:b/>
                <w:sz w:val="20"/>
                <w:szCs w:val="20"/>
              </w:rPr>
            </w:pPr>
            <w:r w:rsidRPr="00B74625">
              <w:rPr>
                <w:b/>
                <w:sz w:val="20"/>
                <w:szCs w:val="20"/>
              </w:rPr>
              <w:t xml:space="preserve">Her Majesty the Queen </w:t>
            </w:r>
          </w:p>
          <w:p w:rsidR="00C21C1B" w:rsidRPr="00B74625" w:rsidRDefault="00C21C1B" w:rsidP="00C21C1B">
            <w:pPr>
              <w:widowControl w:val="0"/>
              <w:rPr>
                <w:b/>
                <w:sz w:val="20"/>
                <w:szCs w:val="20"/>
              </w:rPr>
            </w:pPr>
          </w:p>
          <w:p w:rsidR="00C21C1B" w:rsidRPr="00B74625" w:rsidRDefault="00C21C1B" w:rsidP="00C21C1B">
            <w:pPr>
              <w:widowControl w:val="0"/>
              <w:rPr>
                <w:b/>
                <w:sz w:val="20"/>
                <w:szCs w:val="20"/>
              </w:rPr>
            </w:pPr>
            <w:r w:rsidRPr="00B74625">
              <w:rPr>
                <w:b/>
                <w:sz w:val="20"/>
                <w:szCs w:val="20"/>
              </w:rPr>
              <w:tab/>
              <w:t>v. (33684)</w:t>
            </w:r>
          </w:p>
          <w:p w:rsidR="00C21C1B" w:rsidRPr="00B74625" w:rsidRDefault="00C21C1B" w:rsidP="00C21C1B">
            <w:pPr>
              <w:widowControl w:val="0"/>
              <w:rPr>
                <w:b/>
                <w:sz w:val="20"/>
                <w:szCs w:val="20"/>
              </w:rPr>
            </w:pPr>
          </w:p>
          <w:p w:rsidR="00C21C1B" w:rsidRPr="00C21C1B" w:rsidRDefault="00C21C1B" w:rsidP="00C21C1B">
            <w:pPr>
              <w:widowControl w:val="0"/>
              <w:rPr>
                <w:sz w:val="20"/>
                <w:szCs w:val="20"/>
              </w:rPr>
            </w:pPr>
            <w:r w:rsidRPr="00B74625">
              <w:rPr>
                <w:b/>
                <w:sz w:val="20"/>
                <w:szCs w:val="20"/>
              </w:rPr>
              <w:t xml:space="preserve">J.A. </w:t>
            </w:r>
            <w:r w:rsidRPr="00B74625">
              <w:rPr>
                <w:b/>
                <w:sz w:val="20"/>
                <w:szCs w:val="20"/>
                <w:lang w:val="en-US"/>
              </w:rPr>
              <w:t>(Ont.) (Criminal) (As of Right)</w:t>
            </w:r>
          </w:p>
        </w:tc>
        <w:tc>
          <w:tcPr>
            <w:tcW w:w="720" w:type="dxa"/>
            <w:tcMar>
              <w:left w:w="0" w:type="dxa"/>
              <w:right w:w="0" w:type="dxa"/>
            </w:tcMar>
          </w:tcPr>
          <w:p w:rsidR="00C21C1B" w:rsidRPr="00C21C1B" w:rsidRDefault="00C21C1B" w:rsidP="00C21C1B">
            <w:pPr>
              <w:widowControl w:val="0"/>
              <w:rPr>
                <w:sz w:val="20"/>
                <w:szCs w:val="20"/>
              </w:rPr>
            </w:pPr>
          </w:p>
        </w:tc>
        <w:tc>
          <w:tcPr>
            <w:tcW w:w="4380" w:type="dxa"/>
            <w:tcMar>
              <w:left w:w="0" w:type="dxa"/>
              <w:right w:w="0" w:type="dxa"/>
            </w:tcMar>
          </w:tcPr>
          <w:p w:rsidR="00C21C1B" w:rsidRPr="00C21C1B" w:rsidRDefault="00C21C1B" w:rsidP="00C21C1B">
            <w:pPr>
              <w:widowControl w:val="0"/>
              <w:jc w:val="both"/>
              <w:rPr>
                <w:sz w:val="20"/>
                <w:szCs w:val="20"/>
                <w:lang w:val="en-US"/>
              </w:rPr>
            </w:pPr>
            <w:r w:rsidRPr="00C21C1B">
              <w:rPr>
                <w:sz w:val="20"/>
                <w:szCs w:val="20"/>
                <w:lang w:val="en-US"/>
              </w:rPr>
              <w:t>Christine Bartlett-Hughes for the appellant.</w:t>
            </w:r>
          </w:p>
          <w:p w:rsidR="00C21C1B" w:rsidRPr="00C21C1B" w:rsidRDefault="00C21C1B" w:rsidP="00C21C1B">
            <w:pPr>
              <w:widowControl w:val="0"/>
              <w:jc w:val="both"/>
              <w:rPr>
                <w:sz w:val="20"/>
                <w:szCs w:val="20"/>
                <w:lang w:val="en-US"/>
              </w:rPr>
            </w:pPr>
          </w:p>
          <w:p w:rsidR="00C21C1B" w:rsidRPr="00C21C1B" w:rsidRDefault="00C21C1B" w:rsidP="00C21C1B">
            <w:pPr>
              <w:widowControl w:val="0"/>
              <w:jc w:val="both"/>
              <w:rPr>
                <w:sz w:val="20"/>
                <w:szCs w:val="20"/>
                <w:lang w:val="en-US"/>
              </w:rPr>
            </w:pPr>
            <w:r w:rsidRPr="00C21C1B">
              <w:rPr>
                <w:sz w:val="20"/>
                <w:szCs w:val="20"/>
                <w:lang w:val="en-US"/>
              </w:rPr>
              <w:t>James C. Martin for the intervener Attorney General of Canada.</w:t>
            </w:r>
          </w:p>
          <w:p w:rsidR="00C21C1B" w:rsidRPr="00C21C1B" w:rsidRDefault="00C21C1B" w:rsidP="00C21C1B">
            <w:pPr>
              <w:widowControl w:val="0"/>
              <w:jc w:val="both"/>
              <w:rPr>
                <w:sz w:val="20"/>
                <w:szCs w:val="20"/>
                <w:lang w:val="en-US"/>
              </w:rPr>
            </w:pPr>
          </w:p>
          <w:p w:rsidR="00C21C1B" w:rsidRPr="00C21C1B" w:rsidRDefault="00C21C1B" w:rsidP="00C21C1B">
            <w:pPr>
              <w:widowControl w:val="0"/>
              <w:jc w:val="both"/>
              <w:rPr>
                <w:sz w:val="20"/>
                <w:szCs w:val="20"/>
                <w:lang w:val="en-US"/>
              </w:rPr>
            </w:pPr>
            <w:r w:rsidRPr="00C21C1B">
              <w:rPr>
                <w:sz w:val="20"/>
                <w:szCs w:val="20"/>
                <w:lang w:val="en-US"/>
              </w:rPr>
              <w:t>Susan Chapman and Elizabeth Sheehy for the intervener Women's Legal Education and Action Fund (LEAF).</w:t>
            </w:r>
          </w:p>
          <w:p w:rsidR="00C21C1B" w:rsidRPr="00C21C1B" w:rsidRDefault="00C21C1B" w:rsidP="00C21C1B">
            <w:pPr>
              <w:widowControl w:val="0"/>
              <w:jc w:val="both"/>
              <w:rPr>
                <w:sz w:val="20"/>
                <w:szCs w:val="20"/>
                <w:lang w:val="en-US"/>
              </w:rPr>
            </w:pPr>
          </w:p>
          <w:p w:rsidR="00C21C1B" w:rsidRPr="00C21C1B" w:rsidRDefault="00C21C1B" w:rsidP="00C21C1B">
            <w:pPr>
              <w:widowControl w:val="0"/>
              <w:jc w:val="both"/>
              <w:rPr>
                <w:sz w:val="20"/>
                <w:szCs w:val="20"/>
                <w:lang w:val="en-US"/>
              </w:rPr>
            </w:pPr>
            <w:r w:rsidRPr="00C21C1B">
              <w:rPr>
                <w:sz w:val="20"/>
                <w:szCs w:val="20"/>
                <w:lang w:val="en-US"/>
              </w:rPr>
              <w:t>Howard L. Krongold and Matthew C. Webber for the respondent.</w:t>
            </w:r>
          </w:p>
        </w:tc>
      </w:tr>
    </w:tbl>
    <w:p w:rsidR="00C21C1B" w:rsidRPr="00C21C1B" w:rsidRDefault="00C21C1B" w:rsidP="00C21C1B">
      <w:pPr>
        <w:widowControl w:val="0"/>
        <w:rPr>
          <w:sz w:val="20"/>
          <w:szCs w:val="20"/>
          <w:lang w:val="en-US"/>
        </w:rPr>
      </w:pPr>
    </w:p>
    <w:p w:rsidR="00C21C1B" w:rsidRDefault="00C21C1B" w:rsidP="00C21C1B">
      <w:pPr>
        <w:widowControl w:val="0"/>
        <w:rPr>
          <w:b/>
          <w:sz w:val="20"/>
          <w:szCs w:val="20"/>
        </w:rPr>
      </w:pPr>
      <w:r w:rsidRPr="00C21C1B">
        <w:rPr>
          <w:b/>
          <w:sz w:val="20"/>
          <w:szCs w:val="20"/>
        </w:rPr>
        <w:t>RESERVED / EN DÉLIBÉRÉ</w:t>
      </w:r>
    </w:p>
    <w:p w:rsidR="00C21C1B" w:rsidRPr="00C21C1B" w:rsidRDefault="00C21C1B" w:rsidP="00C21C1B">
      <w:pPr>
        <w:widowControl w:val="0"/>
        <w:rPr>
          <w:sz w:val="20"/>
          <w:szCs w:val="20"/>
        </w:rPr>
      </w:pPr>
    </w:p>
    <w:tbl>
      <w:tblPr>
        <w:tblW w:w="9480" w:type="dxa"/>
        <w:tblLayout w:type="fixed"/>
        <w:tblCellMar>
          <w:left w:w="0" w:type="dxa"/>
          <w:right w:w="0" w:type="dxa"/>
        </w:tblCellMar>
        <w:tblLook w:val="0000"/>
      </w:tblPr>
      <w:tblGrid>
        <w:gridCol w:w="4380"/>
        <w:gridCol w:w="720"/>
        <w:gridCol w:w="4380"/>
      </w:tblGrid>
      <w:tr w:rsidR="00C21C1B" w:rsidRPr="00C21C1B" w:rsidTr="00C21C1B">
        <w:tc>
          <w:tcPr>
            <w:tcW w:w="4380" w:type="dxa"/>
            <w:tcMar>
              <w:left w:w="0" w:type="dxa"/>
              <w:right w:w="0" w:type="dxa"/>
            </w:tcMar>
          </w:tcPr>
          <w:p w:rsidR="00C21C1B" w:rsidRPr="00C21C1B" w:rsidRDefault="00C21C1B" w:rsidP="00C21C1B">
            <w:pPr>
              <w:widowControl w:val="0"/>
              <w:rPr>
                <w:sz w:val="20"/>
                <w:szCs w:val="20"/>
              </w:rPr>
            </w:pPr>
            <w:r w:rsidRPr="00C21C1B">
              <w:rPr>
                <w:b/>
                <w:sz w:val="20"/>
                <w:szCs w:val="20"/>
                <w:u w:val="single"/>
              </w:rPr>
              <w:t>Nature of the case:</w:t>
            </w:r>
          </w:p>
          <w:p w:rsidR="00C21C1B" w:rsidRPr="00C21C1B" w:rsidRDefault="00C21C1B" w:rsidP="00C21C1B">
            <w:pPr>
              <w:widowControl w:val="0"/>
              <w:rPr>
                <w:sz w:val="20"/>
                <w:szCs w:val="20"/>
              </w:rPr>
            </w:pPr>
          </w:p>
          <w:p w:rsidR="00C21C1B" w:rsidRPr="00C21C1B" w:rsidRDefault="00C21C1B" w:rsidP="00C21C1B">
            <w:pPr>
              <w:widowControl w:val="0"/>
              <w:rPr>
                <w:sz w:val="20"/>
                <w:szCs w:val="20"/>
              </w:rPr>
            </w:pPr>
            <w:r w:rsidRPr="00C21C1B">
              <w:rPr>
                <w:sz w:val="20"/>
                <w:szCs w:val="20"/>
              </w:rPr>
              <w:t>(</w:t>
            </w:r>
            <w:r w:rsidRPr="00C21C1B">
              <w:rPr>
                <w:smallCaps/>
                <w:sz w:val="20"/>
                <w:szCs w:val="20"/>
              </w:rPr>
              <w:t>publication ban in case</w:t>
            </w:r>
            <w:r w:rsidRPr="00C21C1B">
              <w:rPr>
                <w:sz w:val="20"/>
                <w:szCs w:val="20"/>
              </w:rPr>
              <w:t>)</w:t>
            </w:r>
          </w:p>
          <w:p w:rsidR="00C21C1B" w:rsidRPr="00C21C1B" w:rsidRDefault="00C21C1B" w:rsidP="00C21C1B">
            <w:pPr>
              <w:widowControl w:val="0"/>
              <w:rPr>
                <w:sz w:val="20"/>
                <w:szCs w:val="20"/>
              </w:rPr>
            </w:pPr>
          </w:p>
          <w:p w:rsidR="00C21C1B" w:rsidRPr="00C21C1B" w:rsidRDefault="00C21C1B" w:rsidP="00C21C1B">
            <w:pPr>
              <w:widowControl w:val="0"/>
              <w:rPr>
                <w:sz w:val="20"/>
                <w:szCs w:val="20"/>
              </w:rPr>
            </w:pPr>
          </w:p>
          <w:p w:rsidR="00C21C1B" w:rsidRPr="00C21C1B" w:rsidRDefault="00C21C1B" w:rsidP="00C21C1B">
            <w:pPr>
              <w:widowControl w:val="0"/>
              <w:jc w:val="both"/>
              <w:rPr>
                <w:sz w:val="20"/>
                <w:szCs w:val="20"/>
              </w:rPr>
            </w:pPr>
            <w:r w:rsidRPr="00C21C1B">
              <w:rPr>
                <w:sz w:val="20"/>
                <w:szCs w:val="20"/>
              </w:rPr>
              <w:t xml:space="preserve">Criminal law - Sexual assault - Consent - Whether the majority of the Court of Appeal erred by concluding that the complainant could in law consent in advance to sexual activity that occurred while she was unconscious - </w:t>
            </w:r>
            <w:r w:rsidRPr="00C21C1B">
              <w:rPr>
                <w:i/>
                <w:sz w:val="20"/>
                <w:szCs w:val="20"/>
              </w:rPr>
              <w:t>Criminal Code</w:t>
            </w:r>
            <w:r w:rsidRPr="00C21C1B">
              <w:rPr>
                <w:sz w:val="20"/>
                <w:szCs w:val="20"/>
              </w:rPr>
              <w:t>, R.S.C. 1985, c. C-46, ss. 265 and 273.1.</w:t>
            </w:r>
          </w:p>
          <w:p w:rsidR="00C21C1B" w:rsidRPr="00C21C1B" w:rsidRDefault="00C21C1B" w:rsidP="00C21C1B">
            <w:pPr>
              <w:widowControl w:val="0"/>
              <w:rPr>
                <w:sz w:val="20"/>
                <w:szCs w:val="20"/>
              </w:rPr>
            </w:pPr>
          </w:p>
        </w:tc>
        <w:tc>
          <w:tcPr>
            <w:tcW w:w="720" w:type="dxa"/>
            <w:tcMar>
              <w:left w:w="0" w:type="dxa"/>
              <w:right w:w="0" w:type="dxa"/>
            </w:tcMar>
          </w:tcPr>
          <w:p w:rsidR="00C21C1B" w:rsidRPr="00C21C1B" w:rsidRDefault="00C21C1B" w:rsidP="00C21C1B">
            <w:pPr>
              <w:widowControl w:val="0"/>
              <w:rPr>
                <w:sz w:val="20"/>
                <w:szCs w:val="20"/>
              </w:rPr>
            </w:pPr>
          </w:p>
        </w:tc>
        <w:tc>
          <w:tcPr>
            <w:tcW w:w="4380" w:type="dxa"/>
            <w:tcMar>
              <w:left w:w="0" w:type="dxa"/>
              <w:right w:w="0" w:type="dxa"/>
            </w:tcMar>
          </w:tcPr>
          <w:p w:rsidR="00C21C1B" w:rsidRPr="00C21C1B" w:rsidRDefault="00C21C1B" w:rsidP="00C21C1B">
            <w:pPr>
              <w:widowControl w:val="0"/>
              <w:rPr>
                <w:sz w:val="20"/>
                <w:szCs w:val="20"/>
                <w:lang w:val="fr-CA"/>
              </w:rPr>
            </w:pPr>
            <w:r w:rsidRPr="00C21C1B">
              <w:rPr>
                <w:b/>
                <w:sz w:val="20"/>
                <w:szCs w:val="20"/>
                <w:u w:val="single"/>
                <w:lang w:val="fr-CA"/>
              </w:rPr>
              <w:t>Nature de la cause :</w:t>
            </w:r>
          </w:p>
          <w:p w:rsidR="00C21C1B" w:rsidRPr="00C21C1B" w:rsidRDefault="00C21C1B" w:rsidP="00C21C1B">
            <w:pPr>
              <w:widowControl w:val="0"/>
              <w:rPr>
                <w:sz w:val="20"/>
                <w:szCs w:val="20"/>
                <w:lang w:val="fr-CA"/>
              </w:rPr>
            </w:pPr>
          </w:p>
          <w:p w:rsidR="00C21C1B" w:rsidRPr="00C21C1B" w:rsidRDefault="00C21C1B" w:rsidP="00C21C1B">
            <w:pPr>
              <w:widowControl w:val="0"/>
              <w:rPr>
                <w:sz w:val="20"/>
                <w:szCs w:val="20"/>
                <w:lang w:val="fr-CA"/>
              </w:rPr>
            </w:pPr>
            <w:r w:rsidRPr="00C21C1B">
              <w:rPr>
                <w:sz w:val="20"/>
                <w:szCs w:val="20"/>
                <w:lang w:val="fr-CA"/>
              </w:rPr>
              <w:t>(</w:t>
            </w:r>
            <w:r w:rsidRPr="00C21C1B">
              <w:rPr>
                <w:smallCaps/>
                <w:sz w:val="20"/>
                <w:szCs w:val="20"/>
                <w:lang w:val="fr-CA"/>
              </w:rPr>
              <w:t>Ordonnance de non-publication dans le dossier</w:t>
            </w:r>
            <w:r w:rsidRPr="00C21C1B">
              <w:rPr>
                <w:sz w:val="20"/>
                <w:szCs w:val="20"/>
                <w:lang w:val="fr-CA"/>
              </w:rPr>
              <w:t>)</w:t>
            </w:r>
          </w:p>
          <w:p w:rsidR="00C21C1B" w:rsidRPr="00C21C1B" w:rsidRDefault="00C21C1B" w:rsidP="00C21C1B">
            <w:pPr>
              <w:widowControl w:val="0"/>
              <w:rPr>
                <w:sz w:val="20"/>
                <w:szCs w:val="20"/>
                <w:lang w:val="fr-CA"/>
              </w:rPr>
            </w:pPr>
          </w:p>
          <w:p w:rsidR="00C21C1B" w:rsidRPr="00C21C1B" w:rsidRDefault="00C21C1B" w:rsidP="00C21C1B">
            <w:pPr>
              <w:widowControl w:val="0"/>
              <w:jc w:val="both"/>
              <w:rPr>
                <w:sz w:val="20"/>
                <w:szCs w:val="20"/>
                <w:lang w:val="fr-CA"/>
              </w:rPr>
            </w:pPr>
            <w:r w:rsidRPr="00C21C1B">
              <w:rPr>
                <w:sz w:val="20"/>
                <w:szCs w:val="20"/>
                <w:lang w:val="fr-CA"/>
              </w:rPr>
              <w:t xml:space="preserve">Droit criminel - Agression sexuelle - Consentement - Les juges majoritaires de la Cour d’appel ont-ils eu tort de conclure que la plaignante pouvait en droit consentir à l’avance à une activité sexuelle qui a eu lieu alors qu’elle était inconsciente? - </w:t>
            </w:r>
            <w:r w:rsidRPr="00C21C1B">
              <w:rPr>
                <w:i/>
                <w:sz w:val="20"/>
                <w:szCs w:val="20"/>
                <w:lang w:val="fr-CA"/>
              </w:rPr>
              <w:t>Code criminel</w:t>
            </w:r>
            <w:r w:rsidRPr="00C21C1B">
              <w:rPr>
                <w:sz w:val="20"/>
                <w:szCs w:val="20"/>
                <w:lang w:val="fr-CA"/>
              </w:rPr>
              <w:t>, L.R.C. 1985, ch. C-46, art. 265 et 273.1.</w:t>
            </w:r>
          </w:p>
          <w:p w:rsidR="00C21C1B" w:rsidRPr="00C21C1B" w:rsidRDefault="00C21C1B" w:rsidP="00C21C1B">
            <w:pPr>
              <w:widowControl w:val="0"/>
              <w:rPr>
                <w:sz w:val="20"/>
                <w:szCs w:val="20"/>
                <w:lang w:val="fr-CA"/>
              </w:rPr>
            </w:pPr>
          </w:p>
        </w:tc>
      </w:tr>
    </w:tbl>
    <w:p w:rsidR="00C21C1B" w:rsidRPr="00C21C1B" w:rsidRDefault="00C21C1B" w:rsidP="00C21C1B">
      <w:pPr>
        <w:widowControl w:val="0"/>
        <w:rPr>
          <w:sz w:val="20"/>
          <w:szCs w:val="20"/>
          <w:lang w:val="fr-CA"/>
        </w:rPr>
      </w:pPr>
    </w:p>
    <w:p w:rsidR="00C21C1B" w:rsidRPr="00C21C1B" w:rsidRDefault="0047571A" w:rsidP="00C21C1B">
      <w:pPr>
        <w:widowControl w:val="0"/>
        <w:rPr>
          <w:sz w:val="20"/>
          <w:szCs w:val="20"/>
          <w:lang w:val="fr-CA"/>
        </w:rPr>
      </w:pPr>
      <w:r w:rsidRPr="0047571A">
        <w:rPr>
          <w:sz w:val="20"/>
          <w:szCs w:val="20"/>
          <w:lang w:val="fr-CA"/>
        </w:rPr>
        <w:pict>
          <v:rect id="_x0000_i1038" style="width:142.2pt;height:1pt" o:hrpct="300" o:hralign="center" o:hrstd="t" o:hrnoshade="t" o:hr="t" fillcolor="black" stroked="f"/>
        </w:pict>
      </w:r>
    </w:p>
    <w:p w:rsidR="0015106A" w:rsidRDefault="0015106A">
      <w:pPr>
        <w:rPr>
          <w:sz w:val="20"/>
          <w:szCs w:val="20"/>
          <w:lang w:val="fr-CA"/>
        </w:rPr>
      </w:pPr>
      <w:r>
        <w:rPr>
          <w:sz w:val="20"/>
          <w:szCs w:val="20"/>
          <w:lang w:val="fr-CA"/>
        </w:rPr>
        <w:br w:type="page"/>
      </w:r>
    </w:p>
    <w:p w:rsidR="00C21C1B" w:rsidRPr="007E3DD4" w:rsidRDefault="00C21C1B" w:rsidP="00C21C1B">
      <w:pPr>
        <w:widowControl w:val="0"/>
        <w:rPr>
          <w:sz w:val="20"/>
          <w:szCs w:val="20"/>
        </w:rPr>
      </w:pPr>
      <w:r w:rsidRPr="007E3DD4">
        <w:rPr>
          <w:sz w:val="20"/>
          <w:szCs w:val="20"/>
        </w:rPr>
        <w:lastRenderedPageBreak/>
        <w:t>08.11.2010</w:t>
      </w:r>
    </w:p>
    <w:p w:rsidR="00C21C1B" w:rsidRPr="007E3DD4" w:rsidRDefault="00C21C1B" w:rsidP="00C21C1B">
      <w:pPr>
        <w:widowControl w:val="0"/>
        <w:rPr>
          <w:sz w:val="20"/>
          <w:szCs w:val="20"/>
        </w:rPr>
      </w:pPr>
    </w:p>
    <w:p w:rsidR="00C21C1B" w:rsidRPr="00C21C1B" w:rsidRDefault="00C21C1B" w:rsidP="00C21C1B">
      <w:pPr>
        <w:widowControl w:val="0"/>
        <w:rPr>
          <w:sz w:val="20"/>
          <w:szCs w:val="20"/>
          <w:lang w:val="en-GB"/>
        </w:rPr>
      </w:pPr>
      <w:r w:rsidRPr="00C21C1B">
        <w:rPr>
          <w:sz w:val="20"/>
          <w:szCs w:val="20"/>
          <w:lang w:val="en-GB"/>
        </w:rPr>
        <w:t xml:space="preserve">Coram: </w:t>
      </w:r>
      <w:r w:rsidRPr="00C21C1B">
        <w:rPr>
          <w:sz w:val="20"/>
          <w:szCs w:val="20"/>
          <w:lang w:val="en-GB"/>
        </w:rPr>
        <w:tab/>
      </w:r>
      <w:r w:rsidRPr="00C21C1B">
        <w:rPr>
          <w:sz w:val="20"/>
          <w:szCs w:val="20"/>
          <w:u w:val="single"/>
          <w:lang w:val="en-GB"/>
        </w:rPr>
        <w:t>LeBel, Deschamps, Fish, Abella, Charron, Rothstein, and Cromwell JJ.</w:t>
      </w:r>
      <w:r w:rsidRPr="00C21C1B">
        <w:rPr>
          <w:sz w:val="20"/>
          <w:szCs w:val="20"/>
          <w:lang w:val="en-GB"/>
        </w:rPr>
        <w:t xml:space="preserve"> </w:t>
      </w:r>
    </w:p>
    <w:p w:rsidR="00E940EB" w:rsidRDefault="00E940EB"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C21C1B" w:rsidRPr="00C21C1B" w:rsidTr="00C21C1B">
        <w:tc>
          <w:tcPr>
            <w:tcW w:w="4380" w:type="dxa"/>
            <w:tcMar>
              <w:left w:w="0" w:type="dxa"/>
              <w:right w:w="0" w:type="dxa"/>
            </w:tcMar>
          </w:tcPr>
          <w:p w:rsidR="00C21C1B" w:rsidRPr="00B74625" w:rsidRDefault="00C21C1B" w:rsidP="00A97BF6">
            <w:pPr>
              <w:widowControl w:val="0"/>
              <w:jc w:val="both"/>
              <w:rPr>
                <w:b/>
                <w:sz w:val="20"/>
                <w:szCs w:val="20"/>
              </w:rPr>
            </w:pPr>
            <w:r w:rsidRPr="00B74625">
              <w:rPr>
                <w:b/>
                <w:sz w:val="20"/>
                <w:szCs w:val="20"/>
              </w:rPr>
              <w:t xml:space="preserve">Aliu Imoro </w:t>
            </w:r>
          </w:p>
          <w:p w:rsidR="00C21C1B" w:rsidRPr="00B74625" w:rsidRDefault="00C21C1B" w:rsidP="00A97BF6">
            <w:pPr>
              <w:widowControl w:val="0"/>
              <w:jc w:val="both"/>
              <w:rPr>
                <w:b/>
                <w:sz w:val="20"/>
                <w:szCs w:val="20"/>
              </w:rPr>
            </w:pPr>
          </w:p>
          <w:p w:rsidR="00C21C1B" w:rsidRPr="00B74625" w:rsidRDefault="00C21C1B" w:rsidP="00A97BF6">
            <w:pPr>
              <w:widowControl w:val="0"/>
              <w:jc w:val="both"/>
              <w:rPr>
                <w:b/>
                <w:sz w:val="20"/>
                <w:szCs w:val="20"/>
              </w:rPr>
            </w:pPr>
            <w:r w:rsidRPr="00B74625">
              <w:rPr>
                <w:b/>
                <w:sz w:val="20"/>
                <w:szCs w:val="20"/>
              </w:rPr>
              <w:tab/>
              <w:t xml:space="preserve">v. (33649) </w:t>
            </w:r>
          </w:p>
          <w:p w:rsidR="00C21C1B" w:rsidRPr="00B74625" w:rsidRDefault="00C21C1B" w:rsidP="00A97BF6">
            <w:pPr>
              <w:widowControl w:val="0"/>
              <w:jc w:val="both"/>
              <w:rPr>
                <w:b/>
                <w:sz w:val="20"/>
                <w:szCs w:val="20"/>
              </w:rPr>
            </w:pPr>
          </w:p>
          <w:p w:rsidR="00C21C1B" w:rsidRPr="00A97BF6" w:rsidRDefault="00C21C1B" w:rsidP="00A97BF6">
            <w:pPr>
              <w:widowControl w:val="0"/>
              <w:jc w:val="both"/>
              <w:rPr>
                <w:sz w:val="20"/>
                <w:szCs w:val="20"/>
              </w:rPr>
            </w:pPr>
            <w:r w:rsidRPr="00B74625">
              <w:rPr>
                <w:b/>
                <w:sz w:val="20"/>
                <w:szCs w:val="20"/>
              </w:rPr>
              <w:t>Her Majesty the Queen</w:t>
            </w:r>
            <w:r w:rsidR="00A97BF6" w:rsidRPr="00B74625">
              <w:rPr>
                <w:b/>
                <w:sz w:val="20"/>
                <w:szCs w:val="20"/>
              </w:rPr>
              <w:t xml:space="preserve"> </w:t>
            </w:r>
            <w:r w:rsidR="00A97BF6" w:rsidRPr="00B74625">
              <w:rPr>
                <w:b/>
                <w:sz w:val="20"/>
                <w:szCs w:val="20"/>
                <w:lang w:val="en-US"/>
              </w:rPr>
              <w:t>(Ont.) (Criminal) (As of Right)</w:t>
            </w:r>
          </w:p>
        </w:tc>
        <w:tc>
          <w:tcPr>
            <w:tcW w:w="720" w:type="dxa"/>
            <w:tcMar>
              <w:left w:w="0" w:type="dxa"/>
              <w:right w:w="0" w:type="dxa"/>
            </w:tcMar>
          </w:tcPr>
          <w:p w:rsidR="00C21C1B" w:rsidRPr="00C21C1B" w:rsidRDefault="00C21C1B" w:rsidP="00C21C1B">
            <w:pPr>
              <w:widowControl w:val="0"/>
              <w:rPr>
                <w:sz w:val="20"/>
                <w:szCs w:val="20"/>
              </w:rPr>
            </w:pPr>
          </w:p>
        </w:tc>
        <w:tc>
          <w:tcPr>
            <w:tcW w:w="4380" w:type="dxa"/>
            <w:tcMar>
              <w:left w:w="0" w:type="dxa"/>
              <w:right w:w="0" w:type="dxa"/>
            </w:tcMar>
          </w:tcPr>
          <w:p w:rsidR="00C21C1B" w:rsidRDefault="0063788C" w:rsidP="0063788C">
            <w:pPr>
              <w:widowControl w:val="0"/>
              <w:jc w:val="both"/>
              <w:rPr>
                <w:sz w:val="20"/>
                <w:szCs w:val="20"/>
                <w:lang w:val="en-US"/>
              </w:rPr>
            </w:pPr>
            <w:r w:rsidRPr="0063788C">
              <w:rPr>
                <w:sz w:val="20"/>
                <w:szCs w:val="20"/>
                <w:lang w:val="en-US"/>
              </w:rPr>
              <w:t>Benjamin Moss for the appellant</w:t>
            </w:r>
            <w:r>
              <w:rPr>
                <w:sz w:val="20"/>
                <w:szCs w:val="20"/>
                <w:lang w:val="en-US"/>
              </w:rPr>
              <w:t>.</w:t>
            </w:r>
          </w:p>
          <w:p w:rsidR="0063788C" w:rsidRDefault="0063788C" w:rsidP="0063788C">
            <w:pPr>
              <w:widowControl w:val="0"/>
              <w:jc w:val="both"/>
              <w:rPr>
                <w:sz w:val="20"/>
                <w:szCs w:val="20"/>
                <w:lang w:val="en-US"/>
              </w:rPr>
            </w:pPr>
          </w:p>
          <w:p w:rsidR="0063788C" w:rsidRDefault="0063788C" w:rsidP="0063788C">
            <w:pPr>
              <w:widowControl w:val="0"/>
              <w:jc w:val="both"/>
              <w:rPr>
                <w:sz w:val="20"/>
                <w:szCs w:val="20"/>
                <w:lang w:val="en-US"/>
              </w:rPr>
            </w:pPr>
            <w:r w:rsidRPr="0063788C">
              <w:rPr>
                <w:sz w:val="20"/>
                <w:szCs w:val="20"/>
                <w:lang w:val="en-US"/>
              </w:rPr>
              <w:t>Nicholas E. Devlin</w:t>
            </w:r>
            <w:r>
              <w:rPr>
                <w:sz w:val="20"/>
                <w:szCs w:val="20"/>
                <w:lang w:val="en-US"/>
              </w:rPr>
              <w:t xml:space="preserve"> and </w:t>
            </w:r>
            <w:r w:rsidRPr="0063788C">
              <w:rPr>
                <w:sz w:val="20"/>
                <w:szCs w:val="20"/>
                <w:lang w:val="en-US"/>
              </w:rPr>
              <w:t>Lisa Csele</w:t>
            </w:r>
            <w:r>
              <w:rPr>
                <w:sz w:val="20"/>
                <w:szCs w:val="20"/>
                <w:lang w:val="en-US"/>
              </w:rPr>
              <w:t xml:space="preserve"> fo</w:t>
            </w:r>
            <w:r w:rsidRPr="0063788C">
              <w:rPr>
                <w:sz w:val="20"/>
                <w:szCs w:val="20"/>
                <w:lang w:val="en-US"/>
              </w:rPr>
              <w:t xml:space="preserve">r the </w:t>
            </w:r>
            <w:r>
              <w:rPr>
                <w:sz w:val="20"/>
                <w:szCs w:val="20"/>
                <w:lang w:val="en-US"/>
              </w:rPr>
              <w:t>r</w:t>
            </w:r>
            <w:r w:rsidRPr="0063788C">
              <w:rPr>
                <w:sz w:val="20"/>
                <w:szCs w:val="20"/>
                <w:lang w:val="en-US"/>
              </w:rPr>
              <w:t>espondent</w:t>
            </w:r>
            <w:r>
              <w:rPr>
                <w:sz w:val="20"/>
                <w:szCs w:val="20"/>
                <w:lang w:val="en-US"/>
              </w:rPr>
              <w:t>.</w:t>
            </w:r>
          </w:p>
          <w:p w:rsidR="0063788C" w:rsidRDefault="0063788C" w:rsidP="0063788C">
            <w:pPr>
              <w:widowControl w:val="0"/>
              <w:jc w:val="both"/>
              <w:rPr>
                <w:sz w:val="20"/>
                <w:szCs w:val="20"/>
                <w:lang w:val="en-US"/>
              </w:rPr>
            </w:pPr>
          </w:p>
          <w:p w:rsidR="0063788C" w:rsidRPr="0063788C" w:rsidRDefault="0063788C" w:rsidP="0063788C">
            <w:pPr>
              <w:widowControl w:val="0"/>
              <w:jc w:val="both"/>
              <w:rPr>
                <w:sz w:val="20"/>
                <w:szCs w:val="20"/>
                <w:lang w:val="en-US"/>
              </w:rPr>
            </w:pPr>
            <w:r w:rsidRPr="0063788C">
              <w:rPr>
                <w:sz w:val="20"/>
                <w:szCs w:val="20"/>
                <w:lang w:val="en-US"/>
              </w:rPr>
              <w:t>Leanne Salel</w:t>
            </w:r>
            <w:r>
              <w:rPr>
                <w:sz w:val="20"/>
                <w:szCs w:val="20"/>
                <w:lang w:val="en-US"/>
              </w:rPr>
              <w:t xml:space="preserve"> and </w:t>
            </w:r>
            <w:r w:rsidRPr="0063788C">
              <w:rPr>
                <w:sz w:val="20"/>
                <w:szCs w:val="20"/>
                <w:lang w:val="en-US"/>
              </w:rPr>
              <w:t>Robert W. Hubbard</w:t>
            </w:r>
            <w:r>
              <w:rPr>
                <w:sz w:val="20"/>
                <w:szCs w:val="20"/>
                <w:lang w:val="en-US"/>
              </w:rPr>
              <w:t xml:space="preserve"> f</w:t>
            </w:r>
            <w:r w:rsidRPr="0063788C">
              <w:rPr>
                <w:sz w:val="20"/>
                <w:szCs w:val="20"/>
                <w:lang w:val="en-US"/>
              </w:rPr>
              <w:t>or the Intervener</w:t>
            </w:r>
            <w:r>
              <w:rPr>
                <w:sz w:val="20"/>
                <w:szCs w:val="20"/>
                <w:lang w:val="en-US"/>
              </w:rPr>
              <w:t xml:space="preserve"> </w:t>
            </w:r>
            <w:r w:rsidRPr="0063788C">
              <w:rPr>
                <w:sz w:val="20"/>
                <w:szCs w:val="20"/>
                <w:lang w:val="en-US"/>
              </w:rPr>
              <w:t>Attorney General of Ontario</w:t>
            </w:r>
            <w:r>
              <w:rPr>
                <w:sz w:val="20"/>
                <w:szCs w:val="20"/>
                <w:lang w:val="en-US"/>
              </w:rPr>
              <w:t>.</w:t>
            </w:r>
          </w:p>
        </w:tc>
      </w:tr>
    </w:tbl>
    <w:p w:rsidR="00C21C1B" w:rsidRDefault="00C21C1B" w:rsidP="00732DB7">
      <w:pPr>
        <w:widowControl w:val="0"/>
        <w:rPr>
          <w:sz w:val="20"/>
          <w:szCs w:val="20"/>
          <w:lang w:val="en-US"/>
        </w:rPr>
      </w:pPr>
    </w:p>
    <w:p w:rsidR="00A97BF6" w:rsidRPr="00A97BF6" w:rsidRDefault="00A97BF6" w:rsidP="00A97BF6">
      <w:pPr>
        <w:widowControl w:val="0"/>
        <w:rPr>
          <w:sz w:val="20"/>
          <w:szCs w:val="20"/>
          <w:lang w:val="en-GB"/>
        </w:rPr>
      </w:pPr>
      <w:r w:rsidRPr="00A97BF6">
        <w:rPr>
          <w:b/>
          <w:bCs/>
          <w:sz w:val="20"/>
          <w:szCs w:val="20"/>
          <w:lang w:val="en-GB"/>
        </w:rPr>
        <w:t>DISMISSED / REJETÉ</w:t>
      </w:r>
    </w:p>
    <w:p w:rsidR="00A97BF6" w:rsidRDefault="00A97BF6" w:rsidP="00732DB7">
      <w:pPr>
        <w:widowControl w:val="0"/>
        <w:rPr>
          <w:sz w:val="20"/>
          <w:szCs w:val="20"/>
          <w:lang w:val="en-US"/>
        </w:rPr>
      </w:pPr>
    </w:p>
    <w:p w:rsidR="00A97BF6" w:rsidRPr="00723401" w:rsidRDefault="00A97BF6" w:rsidP="00732DB7">
      <w:pPr>
        <w:widowControl w:val="0"/>
        <w:rPr>
          <w:b/>
          <w:sz w:val="20"/>
          <w:szCs w:val="20"/>
          <w:lang w:val="en-US"/>
        </w:rPr>
      </w:pPr>
      <w:r w:rsidRPr="00723401">
        <w:rPr>
          <w:b/>
          <w:sz w:val="20"/>
          <w:szCs w:val="20"/>
          <w:lang w:val="en-US"/>
        </w:rPr>
        <w:t>2010 SCC 50 / 2010 CSC 50</w:t>
      </w:r>
    </w:p>
    <w:p w:rsidR="00A97BF6" w:rsidRDefault="00A97BF6" w:rsidP="00732DB7">
      <w:pPr>
        <w:widowControl w:val="0"/>
        <w:rPr>
          <w:sz w:val="20"/>
          <w:szCs w:val="20"/>
          <w:lang w:val="en-US"/>
        </w:rPr>
      </w:pPr>
    </w:p>
    <w:tbl>
      <w:tblPr>
        <w:tblW w:w="0" w:type="auto"/>
        <w:tblLayout w:type="fixed"/>
        <w:tblCellMar>
          <w:left w:w="0" w:type="dxa"/>
          <w:right w:w="0" w:type="dxa"/>
        </w:tblCellMar>
        <w:tblLook w:val="0000"/>
      </w:tblPr>
      <w:tblGrid>
        <w:gridCol w:w="4380"/>
        <w:gridCol w:w="720"/>
        <w:gridCol w:w="4380"/>
      </w:tblGrid>
      <w:tr w:rsidR="00A97BF6" w:rsidRPr="00723401" w:rsidTr="00A97BF6">
        <w:tc>
          <w:tcPr>
            <w:tcW w:w="4380" w:type="dxa"/>
            <w:tcMar>
              <w:left w:w="0" w:type="dxa"/>
              <w:right w:w="0" w:type="dxa"/>
            </w:tcMar>
          </w:tcPr>
          <w:p w:rsidR="00A97BF6" w:rsidRPr="00C21C1B" w:rsidRDefault="00A97BF6" w:rsidP="00A97BF6">
            <w:pPr>
              <w:widowControl w:val="0"/>
              <w:rPr>
                <w:b/>
                <w:sz w:val="20"/>
                <w:szCs w:val="20"/>
                <w:u w:val="single"/>
              </w:rPr>
            </w:pPr>
            <w:r w:rsidRPr="00C21C1B">
              <w:rPr>
                <w:b/>
                <w:sz w:val="20"/>
                <w:szCs w:val="20"/>
                <w:u w:val="single"/>
              </w:rPr>
              <w:t>JUDGMENT:</w:t>
            </w:r>
          </w:p>
          <w:p w:rsidR="00A97BF6" w:rsidRDefault="00A97BF6" w:rsidP="00A97BF6">
            <w:pPr>
              <w:widowControl w:val="0"/>
              <w:rPr>
                <w:sz w:val="20"/>
                <w:szCs w:val="20"/>
              </w:rPr>
            </w:pPr>
          </w:p>
          <w:p w:rsidR="00A97BF6" w:rsidRDefault="00723401" w:rsidP="0015106A">
            <w:pPr>
              <w:widowControl w:val="0"/>
              <w:jc w:val="both"/>
              <w:rPr>
                <w:sz w:val="20"/>
                <w:szCs w:val="20"/>
              </w:rPr>
            </w:pPr>
            <w:r w:rsidRPr="00723401">
              <w:rPr>
                <w:sz w:val="20"/>
                <w:szCs w:val="20"/>
              </w:rPr>
              <w:t>The appeal from the judgment of the Court of Appeal for Ontario, Number C49159, 2010 ONCA 122, dated February 12, 2010, was heard on November 8, 2010, and the following judgment was rendered orally:</w:t>
            </w:r>
          </w:p>
          <w:p w:rsidR="00723401" w:rsidRDefault="00723401" w:rsidP="0015106A">
            <w:pPr>
              <w:widowControl w:val="0"/>
              <w:jc w:val="both"/>
              <w:rPr>
                <w:sz w:val="20"/>
                <w:szCs w:val="20"/>
              </w:rPr>
            </w:pPr>
          </w:p>
          <w:p w:rsidR="00723401" w:rsidRDefault="00723401" w:rsidP="0015106A">
            <w:pPr>
              <w:widowControl w:val="0"/>
              <w:jc w:val="both"/>
              <w:rPr>
                <w:sz w:val="20"/>
                <w:szCs w:val="20"/>
              </w:rPr>
            </w:pPr>
          </w:p>
          <w:p w:rsidR="00723401" w:rsidRPr="00C21C1B" w:rsidRDefault="00723401" w:rsidP="0015106A">
            <w:pPr>
              <w:widowControl w:val="0"/>
              <w:jc w:val="both"/>
              <w:rPr>
                <w:sz w:val="20"/>
                <w:szCs w:val="20"/>
              </w:rPr>
            </w:pPr>
            <w:r w:rsidRPr="0015106A">
              <w:rPr>
                <w:smallCaps/>
                <w:sz w:val="20"/>
                <w:szCs w:val="20"/>
              </w:rPr>
              <w:t>LeBel J.</w:t>
            </w:r>
            <w:r w:rsidRPr="00723401">
              <w:rPr>
                <w:sz w:val="20"/>
                <w:szCs w:val="20"/>
              </w:rPr>
              <w:t xml:space="preserve"> – Like the Court of Appeal for Ontario, we are all of the view that there was no entrapment. On the facts of this case, the brief conversation between the police officer and the appellant near his apartment could not ground a finding of entrapment. The appellant himself allowed the police officer to witness a criminal drug transaction. The appellant was not induced to commit a crime, but was actually engaged in his criminal activities. By reason of our conclusion on entrapment, we need not express any opinion on the procedural issues raised by the parties in the courts below. The appeal is dismissed.</w:t>
            </w:r>
          </w:p>
        </w:tc>
        <w:tc>
          <w:tcPr>
            <w:tcW w:w="720" w:type="dxa"/>
            <w:tcMar>
              <w:left w:w="0" w:type="dxa"/>
              <w:right w:w="0" w:type="dxa"/>
            </w:tcMar>
          </w:tcPr>
          <w:p w:rsidR="00A97BF6" w:rsidRPr="00C21C1B" w:rsidRDefault="00A97BF6" w:rsidP="00A97BF6">
            <w:pPr>
              <w:widowControl w:val="0"/>
              <w:rPr>
                <w:sz w:val="20"/>
                <w:szCs w:val="20"/>
              </w:rPr>
            </w:pPr>
          </w:p>
        </w:tc>
        <w:tc>
          <w:tcPr>
            <w:tcW w:w="4380" w:type="dxa"/>
            <w:tcMar>
              <w:left w:w="0" w:type="dxa"/>
              <w:right w:w="0" w:type="dxa"/>
            </w:tcMar>
          </w:tcPr>
          <w:p w:rsidR="00A97BF6" w:rsidRPr="00492DCE" w:rsidRDefault="00A97BF6" w:rsidP="00A97BF6">
            <w:pPr>
              <w:widowControl w:val="0"/>
              <w:rPr>
                <w:b/>
                <w:sz w:val="20"/>
                <w:szCs w:val="20"/>
                <w:u w:val="single"/>
                <w:lang w:val="fr-CA"/>
              </w:rPr>
            </w:pPr>
            <w:r w:rsidRPr="00492DCE">
              <w:rPr>
                <w:b/>
                <w:sz w:val="20"/>
                <w:szCs w:val="20"/>
                <w:u w:val="single"/>
                <w:lang w:val="fr-CA"/>
              </w:rPr>
              <w:t>JUGEMENT :</w:t>
            </w:r>
          </w:p>
          <w:p w:rsidR="00A97BF6" w:rsidRPr="00492DCE" w:rsidRDefault="00A97BF6" w:rsidP="00A97BF6">
            <w:pPr>
              <w:widowControl w:val="0"/>
              <w:rPr>
                <w:sz w:val="20"/>
                <w:szCs w:val="20"/>
                <w:lang w:val="fr-CA"/>
              </w:rPr>
            </w:pPr>
          </w:p>
          <w:p w:rsidR="00723401" w:rsidRDefault="00723401" w:rsidP="0015106A">
            <w:pPr>
              <w:widowControl w:val="0"/>
              <w:jc w:val="both"/>
              <w:rPr>
                <w:sz w:val="20"/>
                <w:szCs w:val="20"/>
                <w:lang w:val="fr-CA"/>
              </w:rPr>
            </w:pPr>
            <w:r w:rsidRPr="00723401">
              <w:rPr>
                <w:sz w:val="20"/>
                <w:szCs w:val="20"/>
                <w:lang w:val="fr-CA"/>
              </w:rPr>
              <w:t>L’appel contre l’arrêt de la Cour d’appel de l’Ontario, numéro C49159, 2010 ONCA 122, en date du 12 février 2010, a été entendu le 8 novembre 2010 et le jugement suivant a été rendu oralement :</w:t>
            </w:r>
          </w:p>
          <w:p w:rsidR="00723401" w:rsidRDefault="00723401" w:rsidP="0015106A">
            <w:pPr>
              <w:widowControl w:val="0"/>
              <w:jc w:val="both"/>
              <w:rPr>
                <w:sz w:val="20"/>
                <w:szCs w:val="20"/>
                <w:lang w:val="fr-CA"/>
              </w:rPr>
            </w:pPr>
          </w:p>
          <w:p w:rsidR="00723401" w:rsidRPr="00723401" w:rsidRDefault="00723401" w:rsidP="0015106A">
            <w:pPr>
              <w:widowControl w:val="0"/>
              <w:jc w:val="both"/>
              <w:rPr>
                <w:sz w:val="20"/>
                <w:szCs w:val="20"/>
                <w:lang w:val="fr-CA"/>
              </w:rPr>
            </w:pPr>
            <w:r w:rsidRPr="00723401">
              <w:rPr>
                <w:sz w:val="20"/>
                <w:szCs w:val="20"/>
                <w:lang w:val="fr-CA"/>
              </w:rPr>
              <w:t>[</w:t>
            </w:r>
            <w:r w:rsidRPr="00723401">
              <w:rPr>
                <w:smallCaps/>
                <w:sz w:val="20"/>
                <w:szCs w:val="20"/>
                <w:lang w:val="fr-CA"/>
              </w:rPr>
              <w:t>traduction</w:t>
            </w:r>
            <w:r w:rsidRPr="00723401">
              <w:rPr>
                <w:sz w:val="20"/>
                <w:szCs w:val="20"/>
                <w:lang w:val="fr-CA"/>
              </w:rPr>
              <w:t>]</w:t>
            </w:r>
          </w:p>
          <w:p w:rsidR="00723401" w:rsidRPr="00723401" w:rsidRDefault="00723401" w:rsidP="0015106A">
            <w:pPr>
              <w:widowControl w:val="0"/>
              <w:jc w:val="both"/>
              <w:rPr>
                <w:sz w:val="20"/>
                <w:szCs w:val="20"/>
                <w:lang w:val="fr-CA"/>
              </w:rPr>
            </w:pPr>
            <w:r w:rsidRPr="0015106A">
              <w:rPr>
                <w:smallCaps/>
                <w:sz w:val="20"/>
                <w:szCs w:val="20"/>
                <w:lang w:val="fr-CA"/>
              </w:rPr>
              <w:t>Le juge LeBel</w:t>
            </w:r>
            <w:r w:rsidRPr="00723401">
              <w:rPr>
                <w:sz w:val="20"/>
                <w:szCs w:val="20"/>
                <w:lang w:val="fr-CA"/>
              </w:rPr>
              <w:t xml:space="preserve"> – À l’instar de la Cour d’appel de l’Ontario, nous sommes tous d’avis qu’il n’y a pas eu de provocation policière.  Au vu des faits de l’espèce, la brève conversation que le policier a eue avec l’appelant près de l’appartement de ce dernier ne permettait pas de conclure à la provocation policière.  L’appelant a lui</w:t>
            </w:r>
            <w:r w:rsidRPr="00723401">
              <w:rPr>
                <w:sz w:val="20"/>
                <w:szCs w:val="20"/>
                <w:lang w:val="fr-CA"/>
              </w:rPr>
              <w:noBreakHyphen/>
              <w:t>même laissé le policier assister à la vente d’une substance illicite.  Il n’a pas été incité à commettre un acte criminel, car il s’adonnait en fait à ses activités criminelles.  Étant donné notre conclusion au sujet de la provocation policière, point n’est besoin de nous prononcer sur les questions de procédure soulevées par les parties devant les juridictions inférieures.  L’appel est rejeté.</w:t>
            </w:r>
          </w:p>
        </w:tc>
      </w:tr>
    </w:tbl>
    <w:p w:rsidR="00A97BF6" w:rsidRPr="00723401" w:rsidRDefault="00A97BF6" w:rsidP="00A97BF6">
      <w:pPr>
        <w:widowControl w:val="0"/>
        <w:rPr>
          <w:sz w:val="20"/>
          <w:szCs w:val="20"/>
          <w:lang w:val="fr-CA"/>
        </w:rPr>
      </w:pPr>
    </w:p>
    <w:tbl>
      <w:tblPr>
        <w:tblW w:w="9480" w:type="dxa"/>
        <w:tblLayout w:type="fixed"/>
        <w:tblCellMar>
          <w:left w:w="0" w:type="dxa"/>
          <w:right w:w="0" w:type="dxa"/>
        </w:tblCellMar>
        <w:tblLook w:val="0000"/>
      </w:tblPr>
      <w:tblGrid>
        <w:gridCol w:w="4380"/>
        <w:gridCol w:w="720"/>
        <w:gridCol w:w="4380"/>
      </w:tblGrid>
      <w:tr w:rsidR="00A97BF6" w:rsidRPr="00063E53" w:rsidTr="00A97BF6">
        <w:tc>
          <w:tcPr>
            <w:tcW w:w="4380" w:type="dxa"/>
            <w:tcMar>
              <w:left w:w="0" w:type="dxa"/>
              <w:right w:w="0" w:type="dxa"/>
            </w:tcMar>
          </w:tcPr>
          <w:p w:rsidR="00A97BF6" w:rsidRPr="00C21C1B" w:rsidRDefault="00A97BF6" w:rsidP="00A97BF6">
            <w:pPr>
              <w:widowControl w:val="0"/>
              <w:jc w:val="both"/>
              <w:rPr>
                <w:sz w:val="20"/>
                <w:szCs w:val="20"/>
              </w:rPr>
            </w:pPr>
            <w:r w:rsidRPr="00C21C1B">
              <w:rPr>
                <w:b/>
                <w:sz w:val="20"/>
                <w:szCs w:val="20"/>
                <w:u w:val="single"/>
              </w:rPr>
              <w:t>Nature of the case:</w:t>
            </w:r>
          </w:p>
          <w:p w:rsidR="00A97BF6" w:rsidRPr="00C21C1B" w:rsidRDefault="00A97BF6" w:rsidP="00A97BF6">
            <w:pPr>
              <w:widowControl w:val="0"/>
              <w:jc w:val="both"/>
              <w:rPr>
                <w:sz w:val="20"/>
                <w:szCs w:val="20"/>
              </w:rPr>
            </w:pPr>
          </w:p>
          <w:p w:rsidR="0063788C" w:rsidRPr="0063788C" w:rsidRDefault="0063788C" w:rsidP="0063788C">
            <w:pPr>
              <w:widowControl w:val="0"/>
              <w:jc w:val="both"/>
              <w:rPr>
                <w:rFonts w:eastAsia="Calibri" w:cs="Times New Roman"/>
                <w:sz w:val="20"/>
                <w:szCs w:val="20"/>
              </w:rPr>
            </w:pPr>
            <w:r w:rsidRPr="0063788C">
              <w:rPr>
                <w:rFonts w:eastAsia="Calibri" w:cs="Times New Roman"/>
                <w:i/>
                <w:sz w:val="20"/>
                <w:szCs w:val="20"/>
              </w:rPr>
              <w:t>Charter</w:t>
            </w:r>
            <w:r w:rsidRPr="0063788C">
              <w:rPr>
                <w:rFonts w:eastAsia="Calibri" w:cs="Times New Roman"/>
                <w:sz w:val="20"/>
                <w:szCs w:val="20"/>
              </w:rPr>
              <w:t xml:space="preserve"> - Criminal law - Right to life, liberty and security of person - Abuse of process - Search and seizure - Entrapment - Remedies - Stay of proceedings - Exclusion of evidence - Whether the under cover police officer entrapped the Appellant - Whether the issue of entrapment can be determined by a trial judge as a </w:t>
            </w:r>
            <w:r w:rsidRPr="0063788C">
              <w:rPr>
                <w:rFonts w:eastAsia="Calibri" w:cs="Times New Roman"/>
                <w:i/>
                <w:sz w:val="20"/>
                <w:szCs w:val="20"/>
              </w:rPr>
              <w:t>Charter</w:t>
            </w:r>
            <w:r w:rsidRPr="0063788C">
              <w:rPr>
                <w:rFonts w:eastAsia="Calibri" w:cs="Times New Roman"/>
                <w:sz w:val="20"/>
                <w:szCs w:val="20"/>
              </w:rPr>
              <w:t xml:space="preserve"> application prior to a finding of guilt - Whether the exclusion of evidence pursuant to s. 24(2) of the </w:t>
            </w:r>
            <w:r w:rsidRPr="0063788C">
              <w:rPr>
                <w:rFonts w:eastAsia="Calibri" w:cs="Times New Roman"/>
                <w:i/>
                <w:sz w:val="20"/>
                <w:szCs w:val="20"/>
              </w:rPr>
              <w:t>Canadian Charter of Rights and Freedoms</w:t>
            </w:r>
            <w:r w:rsidRPr="0063788C">
              <w:rPr>
                <w:rFonts w:eastAsia="Calibri" w:cs="Times New Roman"/>
                <w:sz w:val="20"/>
                <w:szCs w:val="20"/>
              </w:rPr>
              <w:t xml:space="preserve"> is available as a remedy for entrapment.</w:t>
            </w:r>
          </w:p>
          <w:p w:rsidR="00A97BF6" w:rsidRPr="00C21C1B" w:rsidRDefault="00A97BF6" w:rsidP="00A97BF6">
            <w:pPr>
              <w:widowControl w:val="0"/>
              <w:jc w:val="both"/>
              <w:rPr>
                <w:sz w:val="20"/>
                <w:szCs w:val="20"/>
              </w:rPr>
            </w:pPr>
          </w:p>
          <w:p w:rsidR="00A97BF6" w:rsidRPr="00C21C1B" w:rsidRDefault="00A97BF6" w:rsidP="00A97BF6">
            <w:pPr>
              <w:widowControl w:val="0"/>
              <w:rPr>
                <w:sz w:val="20"/>
                <w:szCs w:val="20"/>
              </w:rPr>
            </w:pPr>
          </w:p>
        </w:tc>
        <w:tc>
          <w:tcPr>
            <w:tcW w:w="720" w:type="dxa"/>
            <w:tcMar>
              <w:left w:w="0" w:type="dxa"/>
              <w:right w:w="0" w:type="dxa"/>
            </w:tcMar>
          </w:tcPr>
          <w:p w:rsidR="00A97BF6" w:rsidRPr="00C21C1B" w:rsidRDefault="00A97BF6" w:rsidP="00A97BF6">
            <w:pPr>
              <w:widowControl w:val="0"/>
              <w:rPr>
                <w:sz w:val="20"/>
                <w:szCs w:val="20"/>
              </w:rPr>
            </w:pPr>
          </w:p>
        </w:tc>
        <w:tc>
          <w:tcPr>
            <w:tcW w:w="4380" w:type="dxa"/>
            <w:tcMar>
              <w:left w:w="0" w:type="dxa"/>
              <w:right w:w="0" w:type="dxa"/>
            </w:tcMar>
          </w:tcPr>
          <w:p w:rsidR="00A97BF6" w:rsidRPr="00C21C1B" w:rsidRDefault="00A97BF6" w:rsidP="00A97BF6">
            <w:pPr>
              <w:widowControl w:val="0"/>
              <w:jc w:val="both"/>
              <w:rPr>
                <w:sz w:val="20"/>
                <w:szCs w:val="20"/>
                <w:lang w:val="fr-CA"/>
              </w:rPr>
            </w:pPr>
            <w:r w:rsidRPr="00C21C1B">
              <w:rPr>
                <w:b/>
                <w:sz w:val="20"/>
                <w:szCs w:val="20"/>
                <w:u w:val="single"/>
                <w:lang w:val="fr-CA"/>
              </w:rPr>
              <w:t>Nature de la cause :</w:t>
            </w:r>
          </w:p>
          <w:p w:rsidR="00A97BF6" w:rsidRDefault="00A97BF6" w:rsidP="00A97BF6">
            <w:pPr>
              <w:widowControl w:val="0"/>
              <w:jc w:val="both"/>
              <w:rPr>
                <w:sz w:val="20"/>
                <w:szCs w:val="20"/>
                <w:lang w:val="fr-CA"/>
              </w:rPr>
            </w:pPr>
          </w:p>
          <w:p w:rsidR="00204B41" w:rsidRPr="00C21C1B" w:rsidRDefault="00204B41" w:rsidP="00A97BF6">
            <w:pPr>
              <w:widowControl w:val="0"/>
              <w:jc w:val="both"/>
              <w:rPr>
                <w:sz w:val="20"/>
                <w:szCs w:val="20"/>
                <w:lang w:val="fr-CA"/>
              </w:rPr>
            </w:pPr>
            <w:r w:rsidRPr="00204B41">
              <w:rPr>
                <w:rFonts w:eastAsia="Calibri" w:cs="Times New Roman"/>
                <w:i/>
                <w:sz w:val="20"/>
                <w:szCs w:val="20"/>
                <w:lang w:val="fr-CA"/>
              </w:rPr>
              <w:t>Charte</w:t>
            </w:r>
            <w:r w:rsidRPr="00204B41">
              <w:rPr>
                <w:rFonts w:eastAsia="Calibri" w:cs="Times New Roman"/>
                <w:sz w:val="20"/>
                <w:szCs w:val="20"/>
                <w:lang w:val="fr-CA"/>
              </w:rPr>
              <w:t xml:space="preserve"> - Droit criminel - Droit à la vie, à la liberté et à la sécurité de la personne - Abus de procédure - Fouilles, perquisitions et saisies - Provocation policière - Réparations - Arrêt des procédures - Exclusion de la preuve - Le policier banalisé a-t-il piégé l’appelant? - La juge du procès pouvait-elle trancher cette question dans le cadre d’une demande fondée sur la </w:t>
            </w:r>
            <w:r w:rsidRPr="00204B41">
              <w:rPr>
                <w:rFonts w:eastAsia="Calibri" w:cs="Times New Roman"/>
                <w:i/>
                <w:sz w:val="20"/>
                <w:szCs w:val="20"/>
                <w:lang w:val="fr-CA"/>
              </w:rPr>
              <w:t>Charte</w:t>
            </w:r>
            <w:r w:rsidRPr="00204B41">
              <w:rPr>
                <w:rFonts w:eastAsia="Calibri" w:cs="Times New Roman"/>
                <w:sz w:val="20"/>
                <w:szCs w:val="20"/>
                <w:lang w:val="fr-CA"/>
              </w:rPr>
              <w:t xml:space="preserve"> avant de statuer sur la culpabilité? - Un élément de preuve peut-il être écarté en application du par. 24(2) de la </w:t>
            </w:r>
            <w:r w:rsidRPr="00204B41">
              <w:rPr>
                <w:rFonts w:eastAsia="Calibri" w:cs="Times New Roman"/>
                <w:i/>
                <w:sz w:val="20"/>
                <w:szCs w:val="20"/>
                <w:lang w:val="fr-CA"/>
              </w:rPr>
              <w:t>Charte canadienne des droits et libertés</w:t>
            </w:r>
            <w:r w:rsidRPr="00204B41">
              <w:rPr>
                <w:rFonts w:eastAsia="Calibri" w:cs="Times New Roman"/>
                <w:sz w:val="20"/>
                <w:szCs w:val="20"/>
                <w:lang w:val="fr-CA"/>
              </w:rPr>
              <w:t xml:space="preserve"> en guise de réparation par suite de provocation policière?</w:t>
            </w:r>
          </w:p>
        </w:tc>
      </w:tr>
    </w:tbl>
    <w:p w:rsidR="00A97BF6" w:rsidRPr="00C21C1B" w:rsidRDefault="00A97BF6" w:rsidP="00A97BF6">
      <w:pPr>
        <w:widowControl w:val="0"/>
        <w:rPr>
          <w:sz w:val="20"/>
          <w:szCs w:val="20"/>
          <w:lang w:val="fr-CA"/>
        </w:rPr>
      </w:pPr>
    </w:p>
    <w:p w:rsidR="00A97BF6" w:rsidRPr="00C21C1B" w:rsidRDefault="0047571A" w:rsidP="00A97BF6">
      <w:pPr>
        <w:widowControl w:val="0"/>
        <w:rPr>
          <w:sz w:val="20"/>
          <w:szCs w:val="20"/>
          <w:lang w:val="fr-CA"/>
        </w:rPr>
      </w:pPr>
      <w:r w:rsidRPr="0047571A">
        <w:rPr>
          <w:sz w:val="20"/>
          <w:szCs w:val="20"/>
          <w:lang w:val="fr-CA"/>
        </w:rPr>
        <w:pict>
          <v:rect id="_x0000_i1039" style="width:142.2pt;height:1pt" o:hrpct="300" o:hralign="center" o:hrstd="t" o:hrnoshade="t" o:hr="t" fillcolor="black" stroked="f"/>
        </w:pict>
      </w:r>
    </w:p>
    <w:p w:rsidR="00A97BF6" w:rsidRDefault="00A97BF6" w:rsidP="00732DB7">
      <w:pPr>
        <w:widowControl w:val="0"/>
        <w:rPr>
          <w:sz w:val="20"/>
          <w:szCs w:val="20"/>
          <w:lang w:val="en-US"/>
        </w:rPr>
      </w:pPr>
      <w:r>
        <w:rPr>
          <w:sz w:val="20"/>
          <w:szCs w:val="20"/>
          <w:lang w:val="en-US"/>
        </w:rPr>
        <w:lastRenderedPageBreak/>
        <w:t>09.11.2010</w:t>
      </w:r>
    </w:p>
    <w:p w:rsidR="00A97BF6" w:rsidRDefault="00A97BF6" w:rsidP="00732DB7">
      <w:pPr>
        <w:widowControl w:val="0"/>
        <w:rPr>
          <w:sz w:val="20"/>
          <w:szCs w:val="20"/>
          <w:lang w:val="en-US"/>
        </w:rPr>
      </w:pPr>
    </w:p>
    <w:p w:rsidR="00A97BF6" w:rsidRDefault="00A97BF6" w:rsidP="00A97BF6">
      <w:pPr>
        <w:widowControl w:val="0"/>
        <w:rPr>
          <w:sz w:val="20"/>
          <w:szCs w:val="20"/>
          <w:u w:val="single"/>
        </w:rPr>
      </w:pPr>
      <w:r w:rsidRPr="00A97BF6">
        <w:rPr>
          <w:sz w:val="20"/>
          <w:szCs w:val="20"/>
          <w:lang w:val="en-GB"/>
        </w:rPr>
        <w:t xml:space="preserve">Coram: </w:t>
      </w:r>
      <w:r w:rsidRPr="00A97BF6">
        <w:rPr>
          <w:sz w:val="20"/>
          <w:szCs w:val="20"/>
          <w:lang w:val="en-GB"/>
        </w:rPr>
        <w:tab/>
      </w:r>
      <w:r w:rsidRPr="00A97BF6">
        <w:rPr>
          <w:sz w:val="20"/>
          <w:szCs w:val="20"/>
          <w:u w:val="single"/>
        </w:rPr>
        <w:t>McLachlin C.J. and Binnie, LeBel, Deschamps, Abella, Rothstein and Cromwell JJ.</w:t>
      </w:r>
    </w:p>
    <w:p w:rsidR="00B74625" w:rsidRPr="00A97BF6" w:rsidRDefault="00B74625" w:rsidP="00A97BF6">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B74625" w:rsidRPr="00C21C1B" w:rsidTr="00B74625">
        <w:tc>
          <w:tcPr>
            <w:tcW w:w="4380" w:type="dxa"/>
            <w:tcMar>
              <w:left w:w="0" w:type="dxa"/>
              <w:right w:w="0" w:type="dxa"/>
            </w:tcMar>
          </w:tcPr>
          <w:p w:rsidR="00B74625" w:rsidRDefault="00B74625" w:rsidP="00B74625">
            <w:pPr>
              <w:widowControl w:val="0"/>
              <w:jc w:val="both"/>
              <w:rPr>
                <w:b/>
                <w:sz w:val="20"/>
                <w:szCs w:val="20"/>
              </w:rPr>
            </w:pPr>
            <w:r w:rsidRPr="00B74625">
              <w:rPr>
                <w:b/>
                <w:sz w:val="20"/>
                <w:szCs w:val="20"/>
              </w:rPr>
              <w:t xml:space="preserve">Susan Wilma Schreyer </w:t>
            </w:r>
          </w:p>
          <w:p w:rsidR="00B74625" w:rsidRDefault="00B74625" w:rsidP="00B74625">
            <w:pPr>
              <w:widowControl w:val="0"/>
              <w:jc w:val="both"/>
              <w:rPr>
                <w:b/>
                <w:sz w:val="20"/>
                <w:szCs w:val="20"/>
              </w:rPr>
            </w:pPr>
          </w:p>
          <w:p w:rsidR="00B74625" w:rsidRPr="00B74625" w:rsidRDefault="00DA23F5" w:rsidP="00B74625">
            <w:pPr>
              <w:widowControl w:val="0"/>
              <w:jc w:val="both"/>
              <w:rPr>
                <w:sz w:val="20"/>
                <w:szCs w:val="20"/>
              </w:rPr>
            </w:pPr>
            <w:r>
              <w:rPr>
                <w:b/>
                <w:sz w:val="20"/>
                <w:szCs w:val="20"/>
              </w:rPr>
              <w:tab/>
            </w:r>
            <w:r w:rsidR="00B74625" w:rsidRPr="00B74625">
              <w:rPr>
                <w:b/>
                <w:sz w:val="20"/>
                <w:szCs w:val="20"/>
              </w:rPr>
              <w:t>v.</w:t>
            </w:r>
            <w:r w:rsidR="00B74625">
              <w:rPr>
                <w:b/>
                <w:sz w:val="20"/>
                <w:szCs w:val="20"/>
              </w:rPr>
              <w:t xml:space="preserve"> </w:t>
            </w:r>
            <w:r w:rsidR="00B74625" w:rsidRPr="00B74625">
              <w:rPr>
                <w:b/>
                <w:sz w:val="20"/>
                <w:szCs w:val="20"/>
                <w:lang w:val="en-US"/>
              </w:rPr>
              <w:t>(33443)</w:t>
            </w:r>
          </w:p>
          <w:p w:rsidR="00B74625" w:rsidRDefault="00B74625" w:rsidP="00B74625">
            <w:pPr>
              <w:widowControl w:val="0"/>
              <w:jc w:val="both"/>
              <w:rPr>
                <w:b/>
                <w:sz w:val="20"/>
                <w:szCs w:val="20"/>
              </w:rPr>
            </w:pPr>
          </w:p>
          <w:p w:rsidR="00B74625" w:rsidRDefault="00B74625" w:rsidP="00B74625">
            <w:pPr>
              <w:widowControl w:val="0"/>
              <w:jc w:val="both"/>
              <w:rPr>
                <w:b/>
                <w:sz w:val="20"/>
                <w:szCs w:val="20"/>
              </w:rPr>
            </w:pPr>
            <w:r w:rsidRPr="00B74625">
              <w:rPr>
                <w:b/>
                <w:sz w:val="20"/>
                <w:szCs w:val="20"/>
              </w:rPr>
              <w:t>Anthony Leonard Schreyer</w:t>
            </w:r>
            <w:r>
              <w:rPr>
                <w:b/>
                <w:sz w:val="20"/>
                <w:szCs w:val="20"/>
              </w:rPr>
              <w:t xml:space="preserve"> </w:t>
            </w:r>
            <w:r w:rsidRPr="00B74625">
              <w:rPr>
                <w:b/>
                <w:sz w:val="20"/>
                <w:szCs w:val="20"/>
              </w:rPr>
              <w:t>(Man.) (Civil)</w:t>
            </w:r>
          </w:p>
          <w:p w:rsidR="00B74625" w:rsidRPr="00A97BF6" w:rsidRDefault="00B74625" w:rsidP="00B74625">
            <w:pPr>
              <w:widowControl w:val="0"/>
              <w:jc w:val="both"/>
              <w:rPr>
                <w:sz w:val="20"/>
                <w:szCs w:val="20"/>
              </w:rPr>
            </w:pPr>
            <w:r w:rsidRPr="00B74625">
              <w:rPr>
                <w:b/>
                <w:sz w:val="20"/>
                <w:szCs w:val="20"/>
              </w:rPr>
              <w:t>(By Leave)</w:t>
            </w:r>
          </w:p>
        </w:tc>
        <w:tc>
          <w:tcPr>
            <w:tcW w:w="720" w:type="dxa"/>
            <w:tcMar>
              <w:left w:w="0" w:type="dxa"/>
              <w:right w:w="0" w:type="dxa"/>
            </w:tcMar>
          </w:tcPr>
          <w:p w:rsidR="00B74625" w:rsidRPr="00C21C1B" w:rsidRDefault="00B74625" w:rsidP="00B74625">
            <w:pPr>
              <w:widowControl w:val="0"/>
              <w:rPr>
                <w:sz w:val="20"/>
                <w:szCs w:val="20"/>
              </w:rPr>
            </w:pPr>
          </w:p>
        </w:tc>
        <w:tc>
          <w:tcPr>
            <w:tcW w:w="4380" w:type="dxa"/>
            <w:tcMar>
              <w:left w:w="0" w:type="dxa"/>
              <w:right w:w="0" w:type="dxa"/>
            </w:tcMar>
          </w:tcPr>
          <w:p w:rsidR="00B74625" w:rsidRDefault="00B74625" w:rsidP="00B74625">
            <w:pPr>
              <w:widowControl w:val="0"/>
              <w:jc w:val="both"/>
              <w:rPr>
                <w:sz w:val="20"/>
                <w:szCs w:val="20"/>
              </w:rPr>
            </w:pPr>
            <w:r w:rsidRPr="00B74625">
              <w:rPr>
                <w:sz w:val="20"/>
                <w:szCs w:val="20"/>
              </w:rPr>
              <w:t>Martin W. Mason</w:t>
            </w:r>
            <w:r>
              <w:rPr>
                <w:sz w:val="20"/>
                <w:szCs w:val="20"/>
              </w:rPr>
              <w:t xml:space="preserve">, </w:t>
            </w:r>
            <w:r w:rsidRPr="00B74625">
              <w:rPr>
                <w:sz w:val="20"/>
                <w:szCs w:val="20"/>
              </w:rPr>
              <w:t>Robert A. Klotz, Alain J. Hogue and Matthew Estabrooks</w:t>
            </w:r>
            <w:r>
              <w:rPr>
                <w:sz w:val="20"/>
                <w:szCs w:val="20"/>
              </w:rPr>
              <w:t xml:space="preserve"> for </w:t>
            </w:r>
            <w:r w:rsidRPr="00B74625">
              <w:rPr>
                <w:sz w:val="20"/>
                <w:szCs w:val="20"/>
              </w:rPr>
              <w:t xml:space="preserve">the </w:t>
            </w:r>
            <w:r>
              <w:rPr>
                <w:sz w:val="20"/>
                <w:szCs w:val="20"/>
              </w:rPr>
              <w:t>a</w:t>
            </w:r>
            <w:r w:rsidRPr="00B74625">
              <w:rPr>
                <w:sz w:val="20"/>
                <w:szCs w:val="20"/>
              </w:rPr>
              <w:t>ppellant</w:t>
            </w:r>
            <w:r w:rsidR="009E1BE6">
              <w:rPr>
                <w:sz w:val="20"/>
                <w:szCs w:val="20"/>
              </w:rPr>
              <w:t>.</w:t>
            </w:r>
          </w:p>
          <w:p w:rsidR="009E1BE6" w:rsidRDefault="009E1BE6" w:rsidP="00B74625">
            <w:pPr>
              <w:widowControl w:val="0"/>
              <w:jc w:val="both"/>
              <w:rPr>
                <w:sz w:val="20"/>
                <w:szCs w:val="20"/>
              </w:rPr>
            </w:pPr>
          </w:p>
          <w:p w:rsidR="009E1BE6" w:rsidRPr="009E1BE6" w:rsidRDefault="009E1BE6" w:rsidP="00B74625">
            <w:pPr>
              <w:widowControl w:val="0"/>
              <w:jc w:val="both"/>
              <w:rPr>
                <w:sz w:val="20"/>
                <w:szCs w:val="20"/>
              </w:rPr>
            </w:pPr>
            <w:r w:rsidRPr="009E1BE6">
              <w:rPr>
                <w:sz w:val="20"/>
                <w:szCs w:val="20"/>
              </w:rPr>
              <w:t>Gerald S. Ashcroft for the respondent.</w:t>
            </w:r>
          </w:p>
          <w:p w:rsidR="00B74625" w:rsidRPr="00B74625" w:rsidRDefault="00B74625" w:rsidP="00B74625">
            <w:pPr>
              <w:widowControl w:val="0"/>
              <w:jc w:val="both"/>
              <w:rPr>
                <w:sz w:val="20"/>
                <w:szCs w:val="20"/>
                <w:lang w:val="en-US"/>
              </w:rPr>
            </w:pPr>
          </w:p>
        </w:tc>
      </w:tr>
    </w:tbl>
    <w:p w:rsidR="00A97BF6" w:rsidRPr="00B74625" w:rsidRDefault="00A97BF6" w:rsidP="00732DB7">
      <w:pPr>
        <w:widowControl w:val="0"/>
        <w:rPr>
          <w:sz w:val="20"/>
          <w:szCs w:val="20"/>
          <w:lang w:val="en-US"/>
        </w:rPr>
      </w:pPr>
    </w:p>
    <w:p w:rsidR="00A97BF6" w:rsidRPr="00A97BF6" w:rsidRDefault="00A97BF6" w:rsidP="00A97BF6">
      <w:pPr>
        <w:widowControl w:val="0"/>
        <w:rPr>
          <w:b/>
          <w:bCs/>
          <w:sz w:val="20"/>
          <w:szCs w:val="20"/>
          <w:lang w:val="fr-CA"/>
        </w:rPr>
      </w:pPr>
      <w:r w:rsidRPr="00A97BF6">
        <w:rPr>
          <w:b/>
          <w:bCs/>
          <w:sz w:val="20"/>
          <w:szCs w:val="20"/>
          <w:lang w:val="fr-CA"/>
        </w:rPr>
        <w:t>RESERVED / EN DÉLIBÉRÉ</w:t>
      </w:r>
    </w:p>
    <w:p w:rsidR="00A97BF6" w:rsidRDefault="00A97BF6" w:rsidP="00732DB7">
      <w:pPr>
        <w:widowControl w:val="0"/>
        <w:rPr>
          <w:sz w:val="20"/>
          <w:szCs w:val="20"/>
          <w:lang w:val="en-GB"/>
        </w:rPr>
      </w:pPr>
    </w:p>
    <w:tbl>
      <w:tblPr>
        <w:tblW w:w="9480" w:type="dxa"/>
        <w:tblLayout w:type="fixed"/>
        <w:tblCellMar>
          <w:left w:w="0" w:type="dxa"/>
          <w:right w:w="0" w:type="dxa"/>
        </w:tblCellMar>
        <w:tblLook w:val="0000"/>
      </w:tblPr>
      <w:tblGrid>
        <w:gridCol w:w="4380"/>
        <w:gridCol w:w="720"/>
        <w:gridCol w:w="4380"/>
      </w:tblGrid>
      <w:tr w:rsidR="00A97BF6" w:rsidRPr="00063E53" w:rsidTr="00A97BF6">
        <w:tc>
          <w:tcPr>
            <w:tcW w:w="4380" w:type="dxa"/>
            <w:tcMar>
              <w:left w:w="0" w:type="dxa"/>
              <w:right w:w="0" w:type="dxa"/>
            </w:tcMar>
          </w:tcPr>
          <w:p w:rsidR="00A97BF6" w:rsidRPr="00C21C1B" w:rsidRDefault="00A97BF6" w:rsidP="00A97BF6">
            <w:pPr>
              <w:widowControl w:val="0"/>
              <w:jc w:val="both"/>
              <w:rPr>
                <w:sz w:val="20"/>
                <w:szCs w:val="20"/>
              </w:rPr>
            </w:pPr>
            <w:r w:rsidRPr="00C21C1B">
              <w:rPr>
                <w:b/>
                <w:sz w:val="20"/>
                <w:szCs w:val="20"/>
                <w:u w:val="single"/>
              </w:rPr>
              <w:t>Nature of the case:</w:t>
            </w:r>
          </w:p>
          <w:p w:rsidR="00A97BF6" w:rsidRPr="00C21C1B" w:rsidRDefault="00A97BF6" w:rsidP="00A97BF6">
            <w:pPr>
              <w:widowControl w:val="0"/>
              <w:jc w:val="both"/>
              <w:rPr>
                <w:sz w:val="20"/>
                <w:szCs w:val="20"/>
              </w:rPr>
            </w:pPr>
          </w:p>
          <w:p w:rsidR="00A97BF6" w:rsidRPr="00C21C1B" w:rsidRDefault="009E1BE6" w:rsidP="009E1BE6">
            <w:pPr>
              <w:widowControl w:val="0"/>
              <w:jc w:val="both"/>
              <w:rPr>
                <w:sz w:val="20"/>
                <w:szCs w:val="20"/>
              </w:rPr>
            </w:pPr>
            <w:r w:rsidRPr="009E1BE6">
              <w:rPr>
                <w:sz w:val="20"/>
                <w:szCs w:val="20"/>
              </w:rPr>
              <w:t>Family law - Division of assets by equalization - Bankruptcy - Equalization determined on date of separation - Bankruptcy declared and discharge issued after separation - Equalization found payable on separation found to be debt subject to bankruptcy - Farm property exempt from bankruptcy - Whether the Court of Appeal erred in holding that the Appellant’s equalization entitlement was extinguished by the Respondent’s discharge from bankruptcy.</w:t>
            </w:r>
          </w:p>
        </w:tc>
        <w:tc>
          <w:tcPr>
            <w:tcW w:w="720" w:type="dxa"/>
            <w:tcMar>
              <w:left w:w="0" w:type="dxa"/>
              <w:right w:w="0" w:type="dxa"/>
            </w:tcMar>
          </w:tcPr>
          <w:p w:rsidR="00A97BF6" w:rsidRPr="00C21C1B" w:rsidRDefault="00A97BF6" w:rsidP="00A97BF6">
            <w:pPr>
              <w:widowControl w:val="0"/>
              <w:rPr>
                <w:sz w:val="20"/>
                <w:szCs w:val="20"/>
              </w:rPr>
            </w:pPr>
          </w:p>
        </w:tc>
        <w:tc>
          <w:tcPr>
            <w:tcW w:w="4380" w:type="dxa"/>
            <w:tcMar>
              <w:left w:w="0" w:type="dxa"/>
              <w:right w:w="0" w:type="dxa"/>
            </w:tcMar>
          </w:tcPr>
          <w:p w:rsidR="00A97BF6" w:rsidRPr="00C21C1B" w:rsidRDefault="00A97BF6" w:rsidP="00A97BF6">
            <w:pPr>
              <w:widowControl w:val="0"/>
              <w:jc w:val="both"/>
              <w:rPr>
                <w:sz w:val="20"/>
                <w:szCs w:val="20"/>
                <w:lang w:val="fr-CA"/>
              </w:rPr>
            </w:pPr>
            <w:r w:rsidRPr="00C21C1B">
              <w:rPr>
                <w:b/>
                <w:sz w:val="20"/>
                <w:szCs w:val="20"/>
                <w:u w:val="single"/>
                <w:lang w:val="fr-CA"/>
              </w:rPr>
              <w:t>Nature de la cause :</w:t>
            </w:r>
          </w:p>
          <w:p w:rsidR="00A97BF6" w:rsidRDefault="00A97BF6" w:rsidP="00A97BF6">
            <w:pPr>
              <w:widowControl w:val="0"/>
              <w:jc w:val="both"/>
              <w:rPr>
                <w:sz w:val="20"/>
                <w:szCs w:val="20"/>
                <w:lang w:val="fr-CA"/>
              </w:rPr>
            </w:pPr>
          </w:p>
          <w:p w:rsidR="009E1BE6" w:rsidRPr="00C21C1B" w:rsidRDefault="009E1BE6" w:rsidP="009E1BE6">
            <w:pPr>
              <w:widowControl w:val="0"/>
              <w:jc w:val="both"/>
              <w:rPr>
                <w:sz w:val="20"/>
                <w:szCs w:val="20"/>
                <w:lang w:val="fr-CA"/>
              </w:rPr>
            </w:pPr>
            <w:r w:rsidRPr="009E1BE6">
              <w:rPr>
                <w:sz w:val="20"/>
                <w:szCs w:val="20"/>
                <w:lang w:val="fr-CA"/>
              </w:rPr>
              <w:t>Droit de la famille - Partage des biens par compensation - Faillite - Compensation déterminée à la date de la séparation - Faillite déclarée et libération prononcée après la séparation - La compensation jugée payable à la séparation est jugée être une dette de la faillite - Immeuble agricole exclu de la faillite - La Cour d’appel a-t-elle eu tort de conclure que la libération du failli intimé a eu pour effet d’éteindre le droit de l’appelante à la compensation?</w:t>
            </w:r>
          </w:p>
        </w:tc>
      </w:tr>
    </w:tbl>
    <w:p w:rsidR="009E1BE6" w:rsidRDefault="009E1BE6" w:rsidP="00732DB7">
      <w:pPr>
        <w:widowControl w:val="0"/>
        <w:rPr>
          <w:sz w:val="20"/>
          <w:szCs w:val="20"/>
          <w:lang w:val="fr-CA"/>
        </w:rPr>
      </w:pPr>
    </w:p>
    <w:p w:rsidR="00A97BF6" w:rsidRDefault="0047571A" w:rsidP="00732DB7">
      <w:pPr>
        <w:widowControl w:val="0"/>
        <w:rPr>
          <w:sz w:val="20"/>
          <w:szCs w:val="20"/>
          <w:lang w:val="en-GB"/>
        </w:rPr>
      </w:pPr>
      <w:r w:rsidRPr="0047571A">
        <w:rPr>
          <w:sz w:val="20"/>
          <w:szCs w:val="20"/>
          <w:lang w:val="fr-CA"/>
        </w:rPr>
        <w:pict>
          <v:rect id="_x0000_i1040" style="width:142.2pt;height:1pt" o:hrpct="300" o:hralign="center" o:hrstd="t" o:hrnoshade="t" o:hr="t" fillcolor="black" stroked="f"/>
        </w:pict>
      </w:r>
    </w:p>
    <w:p w:rsidR="00A97BF6" w:rsidRDefault="00A97BF6" w:rsidP="00732DB7">
      <w:pPr>
        <w:widowControl w:val="0"/>
        <w:rPr>
          <w:sz w:val="20"/>
          <w:szCs w:val="20"/>
          <w:lang w:val="en-GB"/>
        </w:rPr>
      </w:pPr>
    </w:p>
    <w:p w:rsidR="00A97BF6" w:rsidRDefault="00DA23F5" w:rsidP="00732DB7">
      <w:pPr>
        <w:widowControl w:val="0"/>
        <w:rPr>
          <w:sz w:val="20"/>
          <w:szCs w:val="20"/>
          <w:lang w:val="en-GB"/>
        </w:rPr>
      </w:pPr>
      <w:r>
        <w:rPr>
          <w:sz w:val="20"/>
          <w:szCs w:val="20"/>
          <w:lang w:val="en-GB"/>
        </w:rPr>
        <w:t>1</w:t>
      </w:r>
      <w:r w:rsidR="00A97BF6">
        <w:rPr>
          <w:sz w:val="20"/>
          <w:szCs w:val="20"/>
          <w:lang w:val="en-GB"/>
        </w:rPr>
        <w:t>0.11.2010</w:t>
      </w:r>
    </w:p>
    <w:p w:rsidR="00A97BF6" w:rsidRDefault="00A97BF6" w:rsidP="00732DB7">
      <w:pPr>
        <w:widowControl w:val="0"/>
        <w:rPr>
          <w:sz w:val="20"/>
          <w:szCs w:val="20"/>
          <w:lang w:val="en-GB"/>
        </w:rPr>
      </w:pPr>
    </w:p>
    <w:p w:rsidR="006F51AE" w:rsidRPr="006F51AE" w:rsidRDefault="006F51AE" w:rsidP="006F51AE">
      <w:pPr>
        <w:widowControl w:val="0"/>
        <w:rPr>
          <w:sz w:val="20"/>
          <w:szCs w:val="20"/>
          <w:lang w:val="en-GB"/>
        </w:rPr>
      </w:pPr>
      <w:r w:rsidRPr="006F51AE">
        <w:rPr>
          <w:sz w:val="20"/>
          <w:szCs w:val="20"/>
          <w:lang w:val="en-GB"/>
        </w:rPr>
        <w:t xml:space="preserve">Coram: </w:t>
      </w:r>
      <w:r w:rsidRPr="006F51AE">
        <w:rPr>
          <w:sz w:val="20"/>
          <w:szCs w:val="20"/>
          <w:lang w:val="en-GB"/>
        </w:rPr>
        <w:tab/>
      </w:r>
      <w:r w:rsidRPr="006F51AE">
        <w:rPr>
          <w:sz w:val="20"/>
          <w:szCs w:val="20"/>
          <w:u w:val="single"/>
        </w:rPr>
        <w:t>McLachlin C.J. and Binnie, LeBel, Deschamps, Fish, Abella, Charron, Rothstein and Cromwell JJ.</w:t>
      </w:r>
    </w:p>
    <w:p w:rsidR="006F51AE" w:rsidRDefault="006F51AE" w:rsidP="00B74625">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B74625" w:rsidRPr="00C21C1B" w:rsidTr="00B74625">
        <w:tc>
          <w:tcPr>
            <w:tcW w:w="4380" w:type="dxa"/>
            <w:tcMar>
              <w:left w:w="0" w:type="dxa"/>
              <w:right w:w="0" w:type="dxa"/>
            </w:tcMar>
          </w:tcPr>
          <w:p w:rsidR="006F51AE" w:rsidRPr="006F51AE" w:rsidRDefault="006F51AE" w:rsidP="00B74625">
            <w:pPr>
              <w:widowControl w:val="0"/>
              <w:jc w:val="both"/>
              <w:rPr>
                <w:b/>
                <w:sz w:val="20"/>
                <w:szCs w:val="20"/>
              </w:rPr>
            </w:pPr>
            <w:r w:rsidRPr="006F51AE">
              <w:rPr>
                <w:b/>
                <w:sz w:val="20"/>
                <w:szCs w:val="20"/>
              </w:rPr>
              <w:t>Celgene Corporation</w:t>
            </w:r>
          </w:p>
          <w:p w:rsidR="006F51AE" w:rsidRPr="006F51AE" w:rsidRDefault="006F51AE" w:rsidP="00B74625">
            <w:pPr>
              <w:widowControl w:val="0"/>
              <w:jc w:val="both"/>
              <w:rPr>
                <w:b/>
                <w:sz w:val="20"/>
                <w:szCs w:val="20"/>
              </w:rPr>
            </w:pPr>
          </w:p>
          <w:p w:rsidR="006F51AE" w:rsidRPr="006F51AE" w:rsidRDefault="00DA23F5" w:rsidP="00B74625">
            <w:pPr>
              <w:widowControl w:val="0"/>
              <w:jc w:val="both"/>
              <w:rPr>
                <w:b/>
                <w:sz w:val="20"/>
                <w:szCs w:val="20"/>
              </w:rPr>
            </w:pPr>
            <w:r>
              <w:rPr>
                <w:b/>
                <w:sz w:val="20"/>
                <w:szCs w:val="20"/>
              </w:rPr>
              <w:tab/>
            </w:r>
            <w:r w:rsidR="006F51AE" w:rsidRPr="006F51AE">
              <w:rPr>
                <w:b/>
                <w:sz w:val="20"/>
                <w:szCs w:val="20"/>
              </w:rPr>
              <w:t>v. (33579)</w:t>
            </w:r>
          </w:p>
          <w:p w:rsidR="006F51AE" w:rsidRPr="006F51AE" w:rsidRDefault="006F51AE" w:rsidP="00B74625">
            <w:pPr>
              <w:widowControl w:val="0"/>
              <w:jc w:val="both"/>
              <w:rPr>
                <w:b/>
                <w:sz w:val="20"/>
                <w:szCs w:val="20"/>
              </w:rPr>
            </w:pPr>
          </w:p>
          <w:p w:rsidR="006F51AE" w:rsidRPr="006F51AE" w:rsidRDefault="006F51AE" w:rsidP="006F51AE">
            <w:pPr>
              <w:widowControl w:val="0"/>
              <w:jc w:val="both"/>
              <w:rPr>
                <w:b/>
                <w:sz w:val="20"/>
                <w:szCs w:val="20"/>
                <w:lang w:val="en-US"/>
              </w:rPr>
            </w:pPr>
            <w:r w:rsidRPr="006F51AE">
              <w:rPr>
                <w:b/>
                <w:sz w:val="20"/>
                <w:szCs w:val="20"/>
              </w:rPr>
              <w:t>Attorney General of Canada</w:t>
            </w:r>
            <w:r w:rsidRPr="006F51AE">
              <w:rPr>
                <w:b/>
                <w:sz w:val="20"/>
                <w:szCs w:val="20"/>
                <w:lang w:val="en-US"/>
              </w:rPr>
              <w:t xml:space="preserve"> (F.C.) (Civil)</w:t>
            </w:r>
          </w:p>
          <w:p w:rsidR="00B74625" w:rsidRPr="00A97BF6" w:rsidRDefault="006F51AE" w:rsidP="006F51AE">
            <w:pPr>
              <w:widowControl w:val="0"/>
              <w:jc w:val="both"/>
              <w:rPr>
                <w:sz w:val="20"/>
                <w:szCs w:val="20"/>
              </w:rPr>
            </w:pPr>
            <w:r w:rsidRPr="006F51AE">
              <w:rPr>
                <w:b/>
                <w:sz w:val="20"/>
                <w:szCs w:val="20"/>
                <w:lang w:val="en-US"/>
              </w:rPr>
              <w:t>(By Leave)</w:t>
            </w:r>
          </w:p>
        </w:tc>
        <w:tc>
          <w:tcPr>
            <w:tcW w:w="720" w:type="dxa"/>
            <w:tcMar>
              <w:left w:w="0" w:type="dxa"/>
              <w:right w:w="0" w:type="dxa"/>
            </w:tcMar>
          </w:tcPr>
          <w:p w:rsidR="00B74625" w:rsidRPr="00C21C1B" w:rsidRDefault="00B74625" w:rsidP="00B74625">
            <w:pPr>
              <w:widowControl w:val="0"/>
              <w:rPr>
                <w:sz w:val="20"/>
                <w:szCs w:val="20"/>
              </w:rPr>
            </w:pPr>
          </w:p>
        </w:tc>
        <w:tc>
          <w:tcPr>
            <w:tcW w:w="4380" w:type="dxa"/>
            <w:tcMar>
              <w:left w:w="0" w:type="dxa"/>
              <w:right w:w="0" w:type="dxa"/>
            </w:tcMar>
          </w:tcPr>
          <w:p w:rsidR="00B74625" w:rsidRDefault="004D3EDD" w:rsidP="004D3EDD">
            <w:pPr>
              <w:widowControl w:val="0"/>
              <w:jc w:val="both"/>
              <w:rPr>
                <w:sz w:val="20"/>
                <w:szCs w:val="20"/>
                <w:lang w:val="en-US"/>
              </w:rPr>
            </w:pPr>
            <w:r w:rsidRPr="004D3EDD">
              <w:rPr>
                <w:sz w:val="20"/>
                <w:szCs w:val="20"/>
                <w:lang w:val="en-US"/>
              </w:rPr>
              <w:t xml:space="preserve">William Vanveen </w:t>
            </w:r>
            <w:r>
              <w:rPr>
                <w:sz w:val="20"/>
                <w:szCs w:val="20"/>
                <w:lang w:val="en-US"/>
              </w:rPr>
              <w:t xml:space="preserve">and </w:t>
            </w:r>
            <w:r w:rsidRPr="004D3EDD">
              <w:rPr>
                <w:sz w:val="20"/>
                <w:szCs w:val="20"/>
                <w:lang w:val="en-US"/>
              </w:rPr>
              <w:t>Henry S. Brown, Q.C.</w:t>
            </w:r>
            <w:r>
              <w:rPr>
                <w:sz w:val="20"/>
                <w:szCs w:val="20"/>
                <w:lang w:val="en-US"/>
              </w:rPr>
              <w:t xml:space="preserve"> </w:t>
            </w:r>
            <w:r w:rsidRPr="004D3EDD">
              <w:rPr>
                <w:sz w:val="20"/>
                <w:szCs w:val="20"/>
                <w:lang w:val="en-US"/>
              </w:rPr>
              <w:t>for the appellant</w:t>
            </w:r>
            <w:r>
              <w:rPr>
                <w:sz w:val="20"/>
                <w:szCs w:val="20"/>
                <w:lang w:val="en-US"/>
              </w:rPr>
              <w:t>.</w:t>
            </w:r>
          </w:p>
          <w:p w:rsidR="004D3EDD" w:rsidRDefault="004D3EDD" w:rsidP="004D3EDD">
            <w:pPr>
              <w:widowControl w:val="0"/>
              <w:jc w:val="both"/>
              <w:rPr>
                <w:sz w:val="20"/>
                <w:szCs w:val="20"/>
                <w:lang w:val="en-US"/>
              </w:rPr>
            </w:pPr>
          </w:p>
          <w:p w:rsidR="004D3EDD" w:rsidRPr="004D3EDD" w:rsidRDefault="004D3EDD" w:rsidP="004D3EDD">
            <w:pPr>
              <w:widowControl w:val="0"/>
              <w:jc w:val="both"/>
              <w:rPr>
                <w:sz w:val="20"/>
                <w:szCs w:val="20"/>
                <w:lang w:val="en-US"/>
              </w:rPr>
            </w:pPr>
            <w:r w:rsidRPr="004D3EDD">
              <w:rPr>
                <w:sz w:val="20"/>
                <w:szCs w:val="20"/>
                <w:lang w:val="en-US"/>
              </w:rPr>
              <w:t xml:space="preserve">Christopher Rupar </w:t>
            </w:r>
            <w:r>
              <w:rPr>
                <w:sz w:val="20"/>
                <w:szCs w:val="20"/>
                <w:lang w:val="en-US"/>
              </w:rPr>
              <w:t xml:space="preserve">and </w:t>
            </w:r>
            <w:r w:rsidRPr="004D3EDD">
              <w:rPr>
                <w:sz w:val="20"/>
                <w:szCs w:val="20"/>
                <w:lang w:val="en-US"/>
              </w:rPr>
              <w:t xml:space="preserve">Jan Brongers for the </w:t>
            </w:r>
            <w:r>
              <w:rPr>
                <w:sz w:val="20"/>
                <w:szCs w:val="20"/>
                <w:lang w:val="en-US"/>
              </w:rPr>
              <w:t>r</w:t>
            </w:r>
            <w:r w:rsidRPr="004D3EDD">
              <w:rPr>
                <w:sz w:val="20"/>
                <w:szCs w:val="20"/>
                <w:lang w:val="en-US"/>
              </w:rPr>
              <w:t>espondent</w:t>
            </w:r>
            <w:r>
              <w:rPr>
                <w:sz w:val="20"/>
                <w:szCs w:val="20"/>
                <w:lang w:val="en-US"/>
              </w:rPr>
              <w:t>.</w:t>
            </w:r>
          </w:p>
        </w:tc>
      </w:tr>
    </w:tbl>
    <w:p w:rsidR="00B74625" w:rsidRDefault="00B74625" w:rsidP="00732DB7">
      <w:pPr>
        <w:widowControl w:val="0"/>
        <w:rPr>
          <w:sz w:val="20"/>
          <w:szCs w:val="20"/>
          <w:lang w:val="en-GB"/>
        </w:rPr>
      </w:pPr>
    </w:p>
    <w:p w:rsidR="00DA23F5" w:rsidRPr="00A97BF6" w:rsidRDefault="00DA23F5" w:rsidP="00DA23F5">
      <w:pPr>
        <w:widowControl w:val="0"/>
        <w:rPr>
          <w:b/>
          <w:bCs/>
          <w:sz w:val="20"/>
          <w:szCs w:val="20"/>
          <w:lang w:val="fr-CA"/>
        </w:rPr>
      </w:pPr>
      <w:r w:rsidRPr="00A97BF6">
        <w:rPr>
          <w:b/>
          <w:bCs/>
          <w:sz w:val="20"/>
          <w:szCs w:val="20"/>
          <w:lang w:val="fr-CA"/>
        </w:rPr>
        <w:t>RESERVED / EN DÉLIBÉRÉ</w:t>
      </w:r>
    </w:p>
    <w:p w:rsidR="00DA23F5" w:rsidRDefault="00DA23F5" w:rsidP="00732DB7">
      <w:pPr>
        <w:widowControl w:val="0"/>
        <w:rPr>
          <w:sz w:val="20"/>
          <w:szCs w:val="20"/>
          <w:lang w:val="en-GB"/>
        </w:rPr>
      </w:pPr>
    </w:p>
    <w:tbl>
      <w:tblPr>
        <w:tblW w:w="9480" w:type="dxa"/>
        <w:tblLayout w:type="fixed"/>
        <w:tblCellMar>
          <w:left w:w="0" w:type="dxa"/>
          <w:right w:w="0" w:type="dxa"/>
        </w:tblCellMar>
        <w:tblLook w:val="0000"/>
      </w:tblPr>
      <w:tblGrid>
        <w:gridCol w:w="4380"/>
        <w:gridCol w:w="720"/>
        <w:gridCol w:w="4380"/>
      </w:tblGrid>
      <w:tr w:rsidR="00A97BF6" w:rsidRPr="00063E53" w:rsidTr="00A97BF6">
        <w:tc>
          <w:tcPr>
            <w:tcW w:w="4380" w:type="dxa"/>
            <w:tcMar>
              <w:left w:w="0" w:type="dxa"/>
              <w:right w:w="0" w:type="dxa"/>
            </w:tcMar>
          </w:tcPr>
          <w:p w:rsidR="00A97BF6" w:rsidRPr="00C21C1B" w:rsidRDefault="00A97BF6" w:rsidP="00A97BF6">
            <w:pPr>
              <w:widowControl w:val="0"/>
              <w:jc w:val="both"/>
              <w:rPr>
                <w:sz w:val="20"/>
                <w:szCs w:val="20"/>
              </w:rPr>
            </w:pPr>
            <w:r w:rsidRPr="00C21C1B">
              <w:rPr>
                <w:b/>
                <w:sz w:val="20"/>
                <w:szCs w:val="20"/>
                <w:u w:val="single"/>
              </w:rPr>
              <w:t>Nature of the case:</w:t>
            </w:r>
          </w:p>
          <w:p w:rsidR="00A97BF6" w:rsidRPr="00C21C1B" w:rsidRDefault="00A97BF6" w:rsidP="00A97BF6">
            <w:pPr>
              <w:widowControl w:val="0"/>
              <w:jc w:val="both"/>
              <w:rPr>
                <w:sz w:val="20"/>
                <w:szCs w:val="20"/>
              </w:rPr>
            </w:pPr>
          </w:p>
          <w:p w:rsidR="00DA23F5" w:rsidRPr="00DA23F5" w:rsidRDefault="00DA23F5" w:rsidP="00DA23F5">
            <w:pPr>
              <w:widowControl w:val="0"/>
              <w:jc w:val="both"/>
              <w:rPr>
                <w:sz w:val="20"/>
                <w:szCs w:val="20"/>
              </w:rPr>
            </w:pPr>
            <w:r w:rsidRPr="00DA23F5">
              <w:rPr>
                <w:sz w:val="20"/>
                <w:szCs w:val="20"/>
              </w:rPr>
              <w:t xml:space="preserve">Health law - Drugs - </w:t>
            </w:r>
            <w:r w:rsidRPr="00DA23F5">
              <w:rPr>
                <w:i/>
                <w:sz w:val="20"/>
                <w:szCs w:val="20"/>
              </w:rPr>
              <w:t>Patent Act</w:t>
            </w:r>
            <w:r w:rsidRPr="00DA23F5">
              <w:rPr>
                <w:sz w:val="20"/>
                <w:szCs w:val="20"/>
              </w:rPr>
              <w:t>, s. 80(1)(b) - Patented Medicine Prices Review Board’s decision holding that Board had jurisdiction to require Celgene Corporation to provide information about the pricing of the drug Thalomid - Board decision set aside on appeal - Federal Court of Appeal upheld Board’s decision - Whether the Patented Medicine Prices Review Board has jurisdiction with respect to medicine not sold in Canada.</w:t>
            </w:r>
          </w:p>
          <w:p w:rsidR="00A97BF6" w:rsidRPr="00C21C1B" w:rsidRDefault="00A97BF6" w:rsidP="00A97BF6">
            <w:pPr>
              <w:widowControl w:val="0"/>
              <w:rPr>
                <w:sz w:val="20"/>
                <w:szCs w:val="20"/>
              </w:rPr>
            </w:pPr>
          </w:p>
        </w:tc>
        <w:tc>
          <w:tcPr>
            <w:tcW w:w="720" w:type="dxa"/>
            <w:tcMar>
              <w:left w:w="0" w:type="dxa"/>
              <w:right w:w="0" w:type="dxa"/>
            </w:tcMar>
          </w:tcPr>
          <w:p w:rsidR="00A97BF6" w:rsidRPr="00C21C1B" w:rsidRDefault="00A97BF6" w:rsidP="00A97BF6">
            <w:pPr>
              <w:widowControl w:val="0"/>
              <w:rPr>
                <w:sz w:val="20"/>
                <w:szCs w:val="20"/>
              </w:rPr>
            </w:pPr>
          </w:p>
        </w:tc>
        <w:tc>
          <w:tcPr>
            <w:tcW w:w="4380" w:type="dxa"/>
            <w:tcMar>
              <w:left w:w="0" w:type="dxa"/>
              <w:right w:w="0" w:type="dxa"/>
            </w:tcMar>
          </w:tcPr>
          <w:p w:rsidR="00A97BF6" w:rsidRPr="00337357" w:rsidRDefault="00A97BF6" w:rsidP="00A97BF6">
            <w:pPr>
              <w:widowControl w:val="0"/>
              <w:jc w:val="both"/>
              <w:rPr>
                <w:sz w:val="20"/>
                <w:szCs w:val="20"/>
                <w:lang w:val="fr-CA"/>
              </w:rPr>
            </w:pPr>
            <w:r w:rsidRPr="00337357">
              <w:rPr>
                <w:b/>
                <w:sz w:val="20"/>
                <w:szCs w:val="20"/>
                <w:u w:val="single"/>
                <w:lang w:val="fr-CA"/>
              </w:rPr>
              <w:t>Nature de la cause :</w:t>
            </w:r>
          </w:p>
          <w:p w:rsidR="00A97BF6" w:rsidRPr="00337357" w:rsidRDefault="00A97BF6" w:rsidP="00A97BF6">
            <w:pPr>
              <w:widowControl w:val="0"/>
              <w:jc w:val="both"/>
              <w:rPr>
                <w:sz w:val="20"/>
                <w:szCs w:val="20"/>
                <w:lang w:val="fr-CA"/>
              </w:rPr>
            </w:pPr>
          </w:p>
          <w:p w:rsidR="00DA23F5" w:rsidRPr="00DA23F5" w:rsidRDefault="00DA23F5" w:rsidP="00DA23F5">
            <w:pPr>
              <w:widowControl w:val="0"/>
              <w:jc w:val="both"/>
              <w:rPr>
                <w:sz w:val="20"/>
                <w:szCs w:val="20"/>
                <w:lang w:val="fr-CA"/>
              </w:rPr>
            </w:pPr>
            <w:r w:rsidRPr="00DA23F5">
              <w:rPr>
                <w:sz w:val="20"/>
                <w:szCs w:val="20"/>
                <w:lang w:val="fr-CA"/>
              </w:rPr>
              <w:t xml:space="preserve">Droit de la santé - Médicaments - </w:t>
            </w:r>
            <w:r w:rsidRPr="00DA23F5">
              <w:rPr>
                <w:i/>
                <w:sz w:val="20"/>
                <w:szCs w:val="20"/>
                <w:lang w:val="fr-CA"/>
              </w:rPr>
              <w:t>Loi sur les brevets</w:t>
            </w:r>
            <w:r w:rsidRPr="00DA23F5">
              <w:rPr>
                <w:sz w:val="20"/>
                <w:szCs w:val="20"/>
                <w:lang w:val="fr-CA"/>
              </w:rPr>
              <w:t>, al. 80(1) b) - Décision du Conseil d’examen du prix des médicaments brevetés statuant que le Conseil était habilité à obliger Celgene Corporation de fournir des renseignements sur le prix d’un médicament, le Thalomid - Décision du Conseil annulée en appel - La Cour d’appel fédérale a confirmé la décision du Conseil - Le Conseil d’examen du prix des médicaments brevetés a-t-il compétence en ce qui a trait à un médicament qui n’est pas vendu au Canada?</w:t>
            </w:r>
          </w:p>
          <w:p w:rsidR="00DA23F5" w:rsidRPr="00DA23F5" w:rsidRDefault="00DA23F5" w:rsidP="00A97BF6">
            <w:pPr>
              <w:widowControl w:val="0"/>
              <w:jc w:val="both"/>
              <w:rPr>
                <w:sz w:val="20"/>
                <w:szCs w:val="20"/>
                <w:lang w:val="fr-CA"/>
              </w:rPr>
            </w:pPr>
          </w:p>
        </w:tc>
      </w:tr>
    </w:tbl>
    <w:p w:rsidR="00732DB7" w:rsidRPr="00C21C1B" w:rsidRDefault="0047571A" w:rsidP="00732DB7">
      <w:pPr>
        <w:widowControl w:val="0"/>
        <w:rPr>
          <w:sz w:val="20"/>
          <w:szCs w:val="20"/>
        </w:rPr>
      </w:pPr>
      <w:r w:rsidRPr="0047571A">
        <w:rPr>
          <w:sz w:val="20"/>
          <w:szCs w:val="20"/>
          <w:lang w:val="fr-CA"/>
        </w:rPr>
        <w:pict>
          <v:rect id="_x0000_i1041" style="width:142.2pt;height:1pt" o:hrpct="300" o:hralign="center" o:hrstd="t" o:hrnoshade="t" o:hr="t" fillcolor="black" stroked="f"/>
        </w:pict>
      </w:r>
    </w:p>
    <w:p w:rsidR="00732DB7" w:rsidRPr="00C21C1B" w:rsidRDefault="00732DB7" w:rsidP="00732DB7">
      <w:pPr>
        <w:widowControl w:val="0"/>
        <w:rPr>
          <w:sz w:val="20"/>
          <w:szCs w:val="20"/>
        </w:rPr>
        <w:sectPr w:rsidR="00732DB7" w:rsidRPr="00C21C1B" w:rsidSect="00732DB7">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63E5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1738F3" w:rsidRPr="001738F3" w:rsidRDefault="001738F3" w:rsidP="00FF6EEC">
      <w:pPr>
        <w:rPr>
          <w:b/>
          <w:sz w:val="20"/>
          <w:szCs w:val="20"/>
          <w:lang w:val="fr-CA"/>
        </w:rPr>
      </w:pPr>
      <w:r w:rsidRPr="001738F3">
        <w:rPr>
          <w:b/>
          <w:sz w:val="20"/>
          <w:szCs w:val="20"/>
          <w:lang w:val="fr-CA"/>
        </w:rPr>
        <w:t>NOVEMBER 5, 2010 / LE 5 NOVEMBRE 2010</w:t>
      </w:r>
    </w:p>
    <w:p w:rsidR="001738F3" w:rsidRDefault="001738F3" w:rsidP="00FF6EEC">
      <w:pPr>
        <w:rPr>
          <w:sz w:val="20"/>
          <w:szCs w:val="20"/>
          <w:lang w:val="fr-CA"/>
        </w:rPr>
      </w:pPr>
    </w:p>
    <w:p w:rsidR="00BB6D36" w:rsidRPr="00063E53" w:rsidRDefault="00BB6D36" w:rsidP="00BB6D36">
      <w:pPr>
        <w:widowControl w:val="0"/>
        <w:autoSpaceDE w:val="0"/>
        <w:autoSpaceDN w:val="0"/>
        <w:adjustRightInd w:val="0"/>
        <w:rPr>
          <w:rFonts w:eastAsiaTheme="minorEastAsia" w:cs="Times New Roman"/>
          <w:sz w:val="20"/>
          <w:szCs w:val="20"/>
          <w:lang w:val="fr-CA"/>
        </w:rPr>
      </w:pPr>
      <w:r w:rsidRPr="00063E53">
        <w:rPr>
          <w:rFonts w:eastAsiaTheme="minorEastAsia" w:cs="Times New Roman"/>
          <w:b/>
          <w:sz w:val="20"/>
          <w:szCs w:val="20"/>
          <w:lang w:val="fr-CA"/>
        </w:rPr>
        <w:t>33723</w:t>
      </w:r>
      <w:r w:rsidRPr="00063E53">
        <w:rPr>
          <w:rFonts w:eastAsiaTheme="minorEastAsia" w:cs="Times New Roman"/>
          <w:b/>
          <w:sz w:val="20"/>
          <w:szCs w:val="20"/>
          <w:lang w:val="fr-CA"/>
        </w:rPr>
        <w:tab/>
      </w:r>
      <w:r w:rsidRPr="00063E53">
        <w:rPr>
          <w:rFonts w:eastAsiaTheme="minorEastAsia" w:cs="Times New Roman"/>
          <w:b/>
          <w:sz w:val="20"/>
          <w:szCs w:val="20"/>
          <w:lang w:val="fr-CA"/>
        </w:rPr>
        <w:tab/>
      </w:r>
      <w:r w:rsidRPr="00063E53">
        <w:rPr>
          <w:rFonts w:eastAsiaTheme="minorEastAsia" w:cs="Times New Roman"/>
          <w:b/>
          <w:sz w:val="20"/>
          <w:szCs w:val="20"/>
          <w:u w:val="single"/>
          <w:lang w:val="fr-CA"/>
        </w:rPr>
        <w:t>Jaroslaw Lutoslawski v. Her Majesty the Queen</w:t>
      </w:r>
      <w:r w:rsidRPr="00063E53">
        <w:rPr>
          <w:rFonts w:eastAsiaTheme="minorEastAsia" w:cs="Times New Roman"/>
          <w:sz w:val="20"/>
          <w:szCs w:val="20"/>
          <w:lang w:val="fr-CA"/>
        </w:rPr>
        <w:t xml:space="preserve"> (Ont.)</w:t>
      </w:r>
    </w:p>
    <w:p w:rsidR="00BB6D36" w:rsidRPr="00063E53" w:rsidRDefault="00BB6D36" w:rsidP="00BB6D36">
      <w:pPr>
        <w:widowControl w:val="0"/>
        <w:tabs>
          <w:tab w:val="left" w:pos="720"/>
          <w:tab w:val="left" w:pos="1440"/>
          <w:tab w:val="left" w:pos="2851"/>
          <w:tab w:val="left" w:pos="4320"/>
        </w:tabs>
        <w:autoSpaceDE w:val="0"/>
        <w:autoSpaceDN w:val="0"/>
        <w:adjustRightInd w:val="0"/>
        <w:jc w:val="both"/>
        <w:rPr>
          <w:rFonts w:eastAsiaTheme="minorEastAsia" w:cs="Times New Roman"/>
          <w:b/>
          <w:sz w:val="20"/>
          <w:szCs w:val="20"/>
          <w:lang w:val="fr-CA"/>
        </w:rPr>
      </w:pPr>
      <w:r w:rsidRPr="00063E53">
        <w:rPr>
          <w:rFonts w:eastAsiaTheme="minorEastAsia" w:cs="Times New Roman"/>
          <w:sz w:val="20"/>
          <w:szCs w:val="20"/>
          <w:lang w:val="fr-CA"/>
        </w:rPr>
        <w:tab/>
      </w:r>
      <w:r w:rsidRPr="00063E53">
        <w:rPr>
          <w:rFonts w:eastAsiaTheme="minorEastAsia" w:cs="Times New Roman"/>
          <w:sz w:val="20"/>
          <w:szCs w:val="20"/>
          <w:lang w:val="fr-CA"/>
        </w:rPr>
        <w:tab/>
      </w:r>
      <w:r w:rsidRPr="00063E53">
        <w:rPr>
          <w:rFonts w:eastAsiaTheme="minorEastAsia" w:cs="Times New Roman"/>
          <w:b/>
          <w:sz w:val="20"/>
          <w:szCs w:val="20"/>
          <w:lang w:val="fr-CA"/>
        </w:rPr>
        <w:t>2010 SCC 49 / 2010 CSC 49</w:t>
      </w:r>
    </w:p>
    <w:p w:rsidR="00BB6D36" w:rsidRPr="00063E53" w:rsidRDefault="00BB6D36" w:rsidP="00BB6D36">
      <w:pPr>
        <w:widowControl w:val="0"/>
        <w:tabs>
          <w:tab w:val="left" w:pos="720"/>
          <w:tab w:val="left" w:pos="1440"/>
          <w:tab w:val="left" w:pos="2851"/>
          <w:tab w:val="left" w:pos="4320"/>
        </w:tabs>
        <w:autoSpaceDE w:val="0"/>
        <w:autoSpaceDN w:val="0"/>
        <w:adjustRightInd w:val="0"/>
        <w:jc w:val="both"/>
        <w:rPr>
          <w:rFonts w:eastAsiaTheme="minorEastAsia" w:cs="Times New Roman"/>
          <w:sz w:val="20"/>
          <w:szCs w:val="20"/>
          <w:lang w:val="fr-CA"/>
        </w:rPr>
      </w:pPr>
    </w:p>
    <w:p w:rsidR="00BB6D36" w:rsidRPr="00063E53" w:rsidRDefault="00BB6D36" w:rsidP="00BB6D36">
      <w:pPr>
        <w:widowControl w:val="0"/>
        <w:tabs>
          <w:tab w:val="left" w:pos="720"/>
          <w:tab w:val="left" w:pos="1440"/>
          <w:tab w:val="left" w:pos="2851"/>
          <w:tab w:val="left" w:pos="4320"/>
        </w:tabs>
        <w:autoSpaceDE w:val="0"/>
        <w:autoSpaceDN w:val="0"/>
        <w:adjustRightInd w:val="0"/>
        <w:ind w:left="1440" w:hanging="1440"/>
        <w:jc w:val="both"/>
        <w:rPr>
          <w:rFonts w:eastAsiaTheme="minorEastAsia" w:cs="Times New Roman"/>
          <w:sz w:val="20"/>
          <w:szCs w:val="20"/>
          <w:lang w:val="fr-CA"/>
        </w:rPr>
      </w:pPr>
      <w:r w:rsidRPr="00063E53">
        <w:rPr>
          <w:rFonts w:eastAsiaTheme="minorEastAsia" w:cs="Times New Roman"/>
          <w:sz w:val="20"/>
          <w:szCs w:val="20"/>
          <w:lang w:val="fr-CA"/>
        </w:rPr>
        <w:t xml:space="preserve">Coram: </w:t>
      </w:r>
      <w:r w:rsidR="0048629D" w:rsidRPr="00063E53">
        <w:rPr>
          <w:rFonts w:eastAsiaTheme="minorEastAsia" w:cs="Times New Roman"/>
          <w:sz w:val="20"/>
          <w:szCs w:val="20"/>
          <w:lang w:val="fr-CA"/>
        </w:rPr>
        <w:tab/>
      </w:r>
      <w:r w:rsidRPr="00063E53">
        <w:rPr>
          <w:rFonts w:eastAsiaTheme="minorEastAsia" w:cs="Times New Roman"/>
          <w:sz w:val="20"/>
          <w:szCs w:val="20"/>
          <w:lang w:val="fr-CA"/>
        </w:rPr>
        <w:tab/>
      </w:r>
      <w:r w:rsidRPr="00063E53">
        <w:rPr>
          <w:rFonts w:eastAsiaTheme="minorEastAsia" w:cs="Times New Roman"/>
          <w:sz w:val="20"/>
          <w:szCs w:val="20"/>
          <w:u w:val="single"/>
          <w:lang w:val="fr-CA"/>
        </w:rPr>
        <w:t>Binnie, LeBel, Deschamps, Fish, Abella, Charron and Rothstein JJ.</w:t>
      </w:r>
      <w:r w:rsidRPr="00063E53">
        <w:rPr>
          <w:rFonts w:eastAsiaTheme="minorEastAsia" w:cs="Times New Roman"/>
          <w:sz w:val="20"/>
          <w:szCs w:val="20"/>
          <w:lang w:val="fr-CA"/>
        </w:rPr>
        <w:t xml:space="preserve"> </w:t>
      </w:r>
    </w:p>
    <w:p w:rsidR="00BB6D36" w:rsidRPr="00063E53" w:rsidRDefault="00BB6D36" w:rsidP="00BB6D36">
      <w:pPr>
        <w:widowControl w:val="0"/>
        <w:tabs>
          <w:tab w:val="left" w:pos="720"/>
          <w:tab w:val="left" w:pos="1440"/>
          <w:tab w:val="left" w:pos="2851"/>
          <w:tab w:val="left" w:pos="4320"/>
        </w:tabs>
        <w:autoSpaceDE w:val="0"/>
        <w:autoSpaceDN w:val="0"/>
        <w:adjustRightInd w:val="0"/>
        <w:jc w:val="both"/>
        <w:rPr>
          <w:rFonts w:eastAsiaTheme="minorEastAsia" w:cs="Times New Roman"/>
          <w:sz w:val="20"/>
          <w:szCs w:val="20"/>
          <w:lang w:val="fr-CA"/>
        </w:rPr>
      </w:pPr>
    </w:p>
    <w:p w:rsidR="00091626" w:rsidRPr="00091626" w:rsidRDefault="00091626" w:rsidP="00091626">
      <w:pPr>
        <w:jc w:val="both"/>
        <w:rPr>
          <w:sz w:val="20"/>
          <w:szCs w:val="20"/>
        </w:rPr>
      </w:pPr>
      <w:r w:rsidRPr="00091626">
        <w:rPr>
          <w:sz w:val="20"/>
          <w:szCs w:val="20"/>
        </w:rPr>
        <w:t xml:space="preserve">The appeal from the judgment of the Court of Appeal for Ontario, Number C49601, 2010 ONCA 207, dated March 18, 2010, was heard on November 5, 2010 and the following judgment was rendered orally: </w:t>
      </w:r>
    </w:p>
    <w:p w:rsidR="00091626" w:rsidRPr="00091626" w:rsidRDefault="00091626" w:rsidP="00091626">
      <w:pPr>
        <w:jc w:val="both"/>
        <w:rPr>
          <w:sz w:val="20"/>
          <w:szCs w:val="20"/>
        </w:rPr>
      </w:pPr>
    </w:p>
    <w:p w:rsidR="00BB6D36" w:rsidRPr="00337357" w:rsidRDefault="00091626" w:rsidP="00091626">
      <w:pPr>
        <w:jc w:val="both"/>
        <w:rPr>
          <w:rFonts w:cs="Times New Roman"/>
          <w:sz w:val="20"/>
          <w:szCs w:val="20"/>
          <w:lang w:val="fr-CA"/>
        </w:rPr>
      </w:pPr>
      <w:r w:rsidRPr="00091626">
        <w:rPr>
          <w:smallCaps/>
          <w:sz w:val="20"/>
          <w:szCs w:val="20"/>
        </w:rPr>
        <w:t xml:space="preserve">Justice Binnie </w:t>
      </w:r>
      <w:r w:rsidRPr="00091626">
        <w:rPr>
          <w:rFonts w:cs="Times New Roman"/>
          <w:sz w:val="20"/>
          <w:szCs w:val="20"/>
        </w:rPr>
        <w:t xml:space="preserve">— The only issue on this appeal is whether the Court of Appeal for Ontario erred in substituting a conviction instead of ordering a new trial on three counts of sexual assault.  It was established in </w:t>
      </w:r>
      <w:r w:rsidRPr="00091626">
        <w:rPr>
          <w:rFonts w:cs="Times New Roman"/>
          <w:i/>
          <w:sz w:val="20"/>
          <w:szCs w:val="20"/>
        </w:rPr>
        <w:t>R. v. Chase</w:t>
      </w:r>
      <w:r w:rsidRPr="00091626">
        <w:rPr>
          <w:rFonts w:cs="Times New Roman"/>
          <w:sz w:val="20"/>
          <w:szCs w:val="20"/>
        </w:rPr>
        <w:t>, [1987] 2 S.C.R. 293, that “[t]he test to be applied in determining whether the impugned conduct has the requisite sexual nature is an objective one: ‘Viewed in the light of all the circumstances, is the sexual or carnal context of the assault visible to a reasonable observer?’” (p. 302).  As found by the Court of Appeal, the trial judge misdirected himself on this question of law.  Sexual assault does not require proof of an improper or ulterior purpose.  The Crown at trial proved beyond a reasonable doubt that the touching of the complainants occurred in circumstances of a sexual nature such as to compromise the sexual integrity of the complainants.  Section 686(4)(</w:t>
      </w:r>
      <w:r w:rsidRPr="00091626">
        <w:rPr>
          <w:rFonts w:cs="Times New Roman"/>
          <w:i/>
          <w:sz w:val="20"/>
          <w:szCs w:val="20"/>
        </w:rPr>
        <w:t>b</w:t>
      </w:r>
      <w:r w:rsidRPr="00091626">
        <w:rPr>
          <w:rFonts w:cs="Times New Roman"/>
          <w:sz w:val="20"/>
          <w:szCs w:val="20"/>
        </w:rPr>
        <w:t xml:space="preserve">)(ii) [of the </w:t>
      </w:r>
      <w:r w:rsidRPr="00091626">
        <w:rPr>
          <w:rFonts w:cs="Times New Roman"/>
          <w:i/>
          <w:sz w:val="20"/>
          <w:szCs w:val="20"/>
        </w:rPr>
        <w:t>Criminal Code</w:t>
      </w:r>
      <w:r w:rsidRPr="00091626">
        <w:rPr>
          <w:rFonts w:cs="Times New Roman"/>
          <w:sz w:val="20"/>
          <w:szCs w:val="20"/>
        </w:rPr>
        <w:t xml:space="preserve">, R.S.C. 1985, c. C-46] permits an appellate court on appeal from a judge alone to “enter a verdict of guilty, with respect to the offence of which, in its opinion, the accused should have been found guilty but for the error in law”.  Here the Crown established that an error of law was committed at trial, and that but for that error the appellant would necessarily have been convicted: </w:t>
      </w:r>
      <w:r w:rsidRPr="00091626">
        <w:rPr>
          <w:rFonts w:cs="Times New Roman"/>
          <w:i/>
          <w:sz w:val="20"/>
          <w:szCs w:val="20"/>
        </w:rPr>
        <w:t>R. v. Cassidy</w:t>
      </w:r>
      <w:r w:rsidRPr="00091626">
        <w:rPr>
          <w:rFonts w:cs="Times New Roman"/>
          <w:sz w:val="20"/>
          <w:szCs w:val="20"/>
        </w:rPr>
        <w:t xml:space="preserve">, [1989] 2 S.C.R. 345.  Accordingly, despite the able submissions of Mr. Kapoor, we are all of the view that the Court of Appeal reached the proper conclusion.  </w:t>
      </w:r>
      <w:r w:rsidRPr="00337357">
        <w:rPr>
          <w:rFonts w:cs="Times New Roman"/>
          <w:sz w:val="20"/>
          <w:szCs w:val="20"/>
          <w:lang w:val="fr-CA"/>
        </w:rPr>
        <w:t>Accordingly, the appeal is dismissed.</w:t>
      </w:r>
    </w:p>
    <w:p w:rsidR="00091626" w:rsidRPr="00337357" w:rsidRDefault="00091626" w:rsidP="00091626">
      <w:pPr>
        <w:jc w:val="both"/>
        <w:rPr>
          <w:rFonts w:cs="Times New Roman"/>
          <w:sz w:val="20"/>
          <w:szCs w:val="20"/>
          <w:lang w:val="fr-CA"/>
        </w:rPr>
      </w:pPr>
    </w:p>
    <w:p w:rsidR="00091626" w:rsidRPr="00091626" w:rsidRDefault="00091626" w:rsidP="00091626">
      <w:pPr>
        <w:jc w:val="both"/>
        <w:rPr>
          <w:sz w:val="20"/>
          <w:szCs w:val="20"/>
          <w:lang w:val="fr-CA"/>
        </w:rPr>
      </w:pPr>
      <w:r w:rsidRPr="00091626">
        <w:rPr>
          <w:sz w:val="20"/>
          <w:szCs w:val="20"/>
          <w:lang w:val="fr-CA"/>
        </w:rPr>
        <w:t>L’appel contre l’arrêt de la Cour d’appel de l’Ontario, numéro C49601, 2010 ONCA 207, en date du 18 mars 2010, a été entendu le 5 novembre 2010 et le jugement suivant a été rendu oralement :</w:t>
      </w:r>
    </w:p>
    <w:p w:rsidR="00091626" w:rsidRPr="00091626" w:rsidRDefault="00091626" w:rsidP="00091626">
      <w:pPr>
        <w:jc w:val="both"/>
        <w:rPr>
          <w:sz w:val="20"/>
          <w:szCs w:val="20"/>
          <w:lang w:val="fr-CA"/>
        </w:rPr>
      </w:pPr>
      <w:r w:rsidRPr="00091626">
        <w:rPr>
          <w:sz w:val="20"/>
          <w:szCs w:val="20"/>
          <w:lang w:val="fr-CA"/>
        </w:rPr>
        <w:tab/>
      </w:r>
    </w:p>
    <w:p w:rsidR="00091626" w:rsidRPr="00091626" w:rsidRDefault="00091626" w:rsidP="00091626">
      <w:pPr>
        <w:jc w:val="both"/>
        <w:rPr>
          <w:sz w:val="20"/>
          <w:szCs w:val="20"/>
          <w:lang w:val="en-GB"/>
        </w:rPr>
      </w:pPr>
      <w:r w:rsidRPr="00091626">
        <w:rPr>
          <w:smallCaps/>
          <w:sz w:val="20"/>
          <w:szCs w:val="20"/>
          <w:lang w:val="fr-CA"/>
        </w:rPr>
        <w:t>Le juge Binnie</w:t>
      </w:r>
      <w:r w:rsidRPr="00091626">
        <w:rPr>
          <w:sz w:val="20"/>
          <w:szCs w:val="20"/>
          <w:lang w:val="fr-CA"/>
        </w:rPr>
        <w:t xml:space="preserve"> — La seule question en litige dans le présent pourvoi consiste à décider si la Cour d’appel de l’Ontario a fait erreur en consignant un verdict de culpabilité au lieu d’ordonner la tenue d’un nouveau procès à l’égard de trois chefs d’accusation d’agression sexuelle. Depuis l’arrêt </w:t>
      </w:r>
      <w:r w:rsidRPr="00091626">
        <w:rPr>
          <w:i/>
          <w:sz w:val="20"/>
          <w:szCs w:val="20"/>
          <w:lang w:val="fr-CA"/>
        </w:rPr>
        <w:t>R. c. Chase</w:t>
      </w:r>
      <w:r w:rsidRPr="00091626">
        <w:rPr>
          <w:sz w:val="20"/>
          <w:szCs w:val="20"/>
          <w:lang w:val="fr-CA"/>
        </w:rPr>
        <w:t>, [1987] 2 R.C.S. 293, « [l]e critère qui doit être appliqué pour déterminer si la conduite reprochée comporte la nature sexuelle requise est objectif : “Compte tenu de toutes les circonstances, une personne raisonnable peut-elle percevoir le contexte sexuel ou charnel de l’agression?” » (p. 302).  Comme a conclu la Cour d’appel, le juge du procès s’est fondé sur des considérations erronées sur cette question de droit.  Pour faire la preuve d’une agression sexuelle, il n’est pas nécessaire de démontrer un but illégitime ou inavoué.  Au procès, le ministère public a établi hors de tout doute raisonnable que les attouchements ont été commis sur les plaignantes dans des circonstances de nature sexuelle de manière à porter atteinte à l’intégrité sexuelle de ces dernières.  Le sous-al. 686(4)</w:t>
      </w:r>
      <w:r w:rsidRPr="00091626">
        <w:rPr>
          <w:i/>
          <w:sz w:val="20"/>
          <w:szCs w:val="20"/>
          <w:lang w:val="fr-CA"/>
        </w:rPr>
        <w:t>b</w:t>
      </w:r>
      <w:r w:rsidRPr="00091626">
        <w:rPr>
          <w:sz w:val="20"/>
          <w:szCs w:val="20"/>
          <w:lang w:val="fr-CA"/>
        </w:rPr>
        <w:t xml:space="preserve">)ii) [du </w:t>
      </w:r>
      <w:r w:rsidRPr="00091626">
        <w:rPr>
          <w:i/>
          <w:sz w:val="20"/>
          <w:szCs w:val="20"/>
          <w:lang w:val="fr-CA"/>
        </w:rPr>
        <w:t>Code criminel</w:t>
      </w:r>
      <w:r w:rsidRPr="00091626">
        <w:rPr>
          <w:sz w:val="20"/>
          <w:szCs w:val="20"/>
          <w:lang w:val="fr-CA"/>
        </w:rPr>
        <w:t>, L.R.C. 1985, ch. C-46] habilite la cour d’appel saisie de l’appel d’une décision d’un juge siégeant seul à « consigner un verdict de culpabilité à l’égard de l’infraction dont, à son avis, l’accusé aurait dû être déclaré coupable ».  En l’espèce, le ministère public a prouvé qu’il y avait eu au procès une erreur de droit sans laquelle l’appelant aurait forcément été déclaré coupable (</w:t>
      </w:r>
      <w:r w:rsidRPr="00091626">
        <w:rPr>
          <w:i/>
          <w:sz w:val="20"/>
          <w:szCs w:val="20"/>
          <w:lang w:val="fr-CA"/>
        </w:rPr>
        <w:t>R. c. Cassidy</w:t>
      </w:r>
      <w:r w:rsidRPr="00091626">
        <w:rPr>
          <w:sz w:val="20"/>
          <w:szCs w:val="20"/>
          <w:lang w:val="fr-CA"/>
        </w:rPr>
        <w:t>, [1989] 2 R.C.S. 345).  Par conséquent, malgré l’excellente argumentation de M</w:t>
      </w:r>
      <w:r w:rsidRPr="00091626">
        <w:rPr>
          <w:sz w:val="20"/>
          <w:szCs w:val="20"/>
          <w:vertAlign w:val="superscript"/>
          <w:lang w:val="fr-CA"/>
        </w:rPr>
        <w:t>e</w:t>
      </w:r>
      <w:r w:rsidRPr="00091626">
        <w:rPr>
          <w:sz w:val="20"/>
          <w:szCs w:val="20"/>
          <w:lang w:val="fr-CA"/>
        </w:rPr>
        <w:t> Kapoor, nous sommes tous d’avis que la Cour d’appel est arrivée à la bonne conclusion.  L’appel est donc rejeté.</w:t>
      </w:r>
    </w:p>
    <w:p w:rsidR="00BB6D36" w:rsidRDefault="00BB6D36" w:rsidP="00FF6EEC">
      <w:pPr>
        <w:rPr>
          <w:sz w:val="20"/>
          <w:szCs w:val="20"/>
        </w:rPr>
      </w:pPr>
    </w:p>
    <w:p w:rsidR="00091626" w:rsidRDefault="0047571A" w:rsidP="00FF6EEC">
      <w:pPr>
        <w:rPr>
          <w:sz w:val="20"/>
          <w:szCs w:val="20"/>
        </w:rPr>
      </w:pPr>
      <w:r w:rsidRPr="0047571A">
        <w:rPr>
          <w:b/>
          <w:sz w:val="20"/>
          <w:szCs w:val="20"/>
        </w:rPr>
        <w:pict>
          <v:rect id="_x0000_i1044" style="width:2in;height:1pt" o:hrpct="0" o:hralign="center" o:hrstd="t" o:hrnoshade="t" o:hr="t" fillcolor="black [3213]" stroked="f"/>
        </w:pict>
      </w:r>
    </w:p>
    <w:p w:rsidR="00DA3969" w:rsidRDefault="00DA3969">
      <w:pPr>
        <w:rPr>
          <w:sz w:val="20"/>
          <w:szCs w:val="20"/>
        </w:rPr>
      </w:pPr>
      <w:r>
        <w:rPr>
          <w:sz w:val="20"/>
          <w:szCs w:val="20"/>
        </w:rPr>
        <w:br w:type="page"/>
      </w:r>
    </w:p>
    <w:p w:rsidR="00C2690D" w:rsidRPr="00063E53" w:rsidRDefault="00C2690D" w:rsidP="00FF6EEC">
      <w:pPr>
        <w:rPr>
          <w:b/>
          <w:sz w:val="20"/>
          <w:szCs w:val="20"/>
        </w:rPr>
      </w:pPr>
      <w:r w:rsidRPr="00063E53">
        <w:rPr>
          <w:b/>
          <w:sz w:val="20"/>
          <w:szCs w:val="20"/>
        </w:rPr>
        <w:lastRenderedPageBreak/>
        <w:t xml:space="preserve">NOVEMBER 8, 2010 / LE 8 NOVEMBRE 2010 </w:t>
      </w:r>
    </w:p>
    <w:p w:rsidR="00C2690D" w:rsidRPr="00063E53" w:rsidRDefault="00C2690D" w:rsidP="00FF6EEC">
      <w:pPr>
        <w:rPr>
          <w:sz w:val="20"/>
          <w:szCs w:val="20"/>
        </w:rPr>
      </w:pPr>
    </w:p>
    <w:p w:rsidR="00BB6D36" w:rsidRPr="00BB6D36" w:rsidRDefault="00BB6D36" w:rsidP="00BB6D36">
      <w:pPr>
        <w:rPr>
          <w:sz w:val="20"/>
          <w:szCs w:val="20"/>
        </w:rPr>
      </w:pPr>
      <w:r>
        <w:rPr>
          <w:b/>
          <w:sz w:val="20"/>
          <w:szCs w:val="20"/>
        </w:rPr>
        <w:t>33649</w:t>
      </w:r>
      <w:r>
        <w:rPr>
          <w:b/>
          <w:sz w:val="20"/>
          <w:szCs w:val="20"/>
        </w:rPr>
        <w:tab/>
      </w:r>
      <w:r>
        <w:rPr>
          <w:b/>
          <w:sz w:val="20"/>
          <w:szCs w:val="20"/>
        </w:rPr>
        <w:tab/>
      </w:r>
      <w:r w:rsidRPr="00BB6D36">
        <w:rPr>
          <w:b/>
          <w:sz w:val="20"/>
          <w:szCs w:val="20"/>
          <w:u w:val="single"/>
        </w:rPr>
        <w:t>Aliu Imoro v. Her Majesty the Queen</w:t>
      </w:r>
      <w:r w:rsidRPr="00BB6D36">
        <w:rPr>
          <w:b/>
          <w:sz w:val="20"/>
          <w:szCs w:val="20"/>
        </w:rPr>
        <w:t xml:space="preserve"> </w:t>
      </w:r>
      <w:r w:rsidRPr="00BB6D36">
        <w:rPr>
          <w:sz w:val="20"/>
          <w:szCs w:val="20"/>
        </w:rPr>
        <w:t>(Ont.)</w:t>
      </w:r>
    </w:p>
    <w:p w:rsidR="00BB6D36" w:rsidRPr="00BB6D36" w:rsidRDefault="00BB6D36" w:rsidP="00BB6D36">
      <w:pPr>
        <w:tabs>
          <w:tab w:val="left" w:pos="720"/>
          <w:tab w:val="left" w:pos="1440"/>
          <w:tab w:val="left" w:pos="2851"/>
          <w:tab w:val="left" w:pos="4320"/>
        </w:tabs>
        <w:jc w:val="both"/>
        <w:rPr>
          <w:b/>
          <w:sz w:val="20"/>
          <w:szCs w:val="20"/>
        </w:rPr>
      </w:pPr>
      <w:r>
        <w:rPr>
          <w:sz w:val="20"/>
          <w:szCs w:val="20"/>
        </w:rPr>
        <w:tab/>
      </w:r>
      <w:r>
        <w:rPr>
          <w:sz w:val="20"/>
          <w:szCs w:val="20"/>
        </w:rPr>
        <w:tab/>
      </w:r>
      <w:r w:rsidRPr="00BB6D36">
        <w:rPr>
          <w:b/>
          <w:sz w:val="20"/>
          <w:szCs w:val="20"/>
        </w:rPr>
        <w:t>2010 SCC 50 / 2010 CSC 50</w:t>
      </w:r>
    </w:p>
    <w:p w:rsidR="00BB6D36" w:rsidRDefault="00BB6D36" w:rsidP="00BB6D36"/>
    <w:p w:rsidR="00C2690D" w:rsidRPr="00BB6D36" w:rsidRDefault="00BB6D36" w:rsidP="00BB6D36">
      <w:pPr>
        <w:rPr>
          <w:sz w:val="20"/>
          <w:szCs w:val="20"/>
        </w:rPr>
      </w:pPr>
      <w:r w:rsidRPr="00BB6D36">
        <w:rPr>
          <w:sz w:val="20"/>
          <w:szCs w:val="20"/>
          <w:lang w:val="en-GB"/>
        </w:rPr>
        <w:t xml:space="preserve">Coram: </w:t>
      </w:r>
      <w:r w:rsidR="0048629D">
        <w:rPr>
          <w:sz w:val="20"/>
          <w:szCs w:val="20"/>
          <w:lang w:val="en-GB"/>
        </w:rPr>
        <w:tab/>
      </w:r>
      <w:r w:rsidRPr="00BB6D36">
        <w:rPr>
          <w:sz w:val="20"/>
          <w:szCs w:val="20"/>
          <w:lang w:val="en-GB"/>
        </w:rPr>
        <w:tab/>
      </w:r>
      <w:r w:rsidRPr="00BB6D36">
        <w:rPr>
          <w:sz w:val="20"/>
          <w:szCs w:val="20"/>
          <w:u w:val="single"/>
          <w:lang w:val="en-GB"/>
        </w:rPr>
        <w:t>LeBel, Deschamps, Fish, Abella, Charron, Rothstein, and Cromwell JJ.</w:t>
      </w:r>
    </w:p>
    <w:p w:rsidR="00BB6D36" w:rsidRPr="00BB6D36" w:rsidRDefault="00BB6D36" w:rsidP="00FF6EEC">
      <w:pPr>
        <w:rPr>
          <w:sz w:val="20"/>
          <w:szCs w:val="20"/>
        </w:rPr>
      </w:pPr>
    </w:p>
    <w:p w:rsidR="008A03E0" w:rsidRDefault="008A03E0" w:rsidP="008A03E0">
      <w:pPr>
        <w:jc w:val="both"/>
        <w:rPr>
          <w:sz w:val="20"/>
          <w:szCs w:val="20"/>
        </w:rPr>
      </w:pPr>
      <w:r w:rsidRPr="008A03E0">
        <w:rPr>
          <w:sz w:val="20"/>
          <w:szCs w:val="20"/>
        </w:rPr>
        <w:t xml:space="preserve">The appeal from the judgment of the Court of Appeal for Ontario, Number C49159, 2010 ONCA 122, dated February 12, 2010, was heard on November 8, 2010, and the following judgment was rendered orally: </w:t>
      </w:r>
    </w:p>
    <w:p w:rsidR="00355CD4" w:rsidRDefault="00355CD4" w:rsidP="008A03E0">
      <w:pPr>
        <w:jc w:val="both"/>
        <w:rPr>
          <w:sz w:val="20"/>
          <w:szCs w:val="20"/>
        </w:rPr>
      </w:pPr>
    </w:p>
    <w:p w:rsidR="00355CD4" w:rsidRPr="00337357" w:rsidRDefault="00355CD4" w:rsidP="008A03E0">
      <w:pPr>
        <w:jc w:val="both"/>
        <w:rPr>
          <w:sz w:val="20"/>
          <w:szCs w:val="20"/>
          <w:lang w:val="fr-CA"/>
        </w:rPr>
      </w:pPr>
      <w:r w:rsidRPr="00355CD4">
        <w:rPr>
          <w:smallCaps/>
          <w:sz w:val="20"/>
          <w:szCs w:val="20"/>
        </w:rPr>
        <w:t>LeBel J.</w:t>
      </w:r>
      <w:r w:rsidRPr="00355CD4">
        <w:rPr>
          <w:sz w:val="20"/>
          <w:szCs w:val="20"/>
        </w:rPr>
        <w:t xml:space="preserve"> – Like the Court of Appeal for Ontario, we are all of the view that there was no entrapment. On the facts of this case, the brief conversation between the police officer and the appellant near his apartment could not ground a finding of entrapment. The appellant himself allowed the police officer to witness a criminal drug transaction. The appellant was not induced to commit a crime, but was actually engaged in his criminal activities. By reason of our conclusion on entrapment, we need not express any opinion on the procedural</w:t>
      </w:r>
      <w:r w:rsidRPr="00355CD4">
        <w:rPr>
          <w:color w:val="FF0000"/>
          <w:sz w:val="20"/>
          <w:szCs w:val="20"/>
        </w:rPr>
        <w:t xml:space="preserve"> </w:t>
      </w:r>
      <w:r w:rsidRPr="00355CD4">
        <w:rPr>
          <w:sz w:val="20"/>
          <w:szCs w:val="20"/>
        </w:rPr>
        <w:t xml:space="preserve">issues raised by the parties in the courts below. </w:t>
      </w:r>
      <w:r w:rsidRPr="00337357">
        <w:rPr>
          <w:sz w:val="20"/>
          <w:szCs w:val="20"/>
          <w:lang w:val="fr-CA"/>
        </w:rPr>
        <w:t>The appeal is dismissed.</w:t>
      </w:r>
    </w:p>
    <w:p w:rsidR="008A03E0" w:rsidRPr="00337357" w:rsidRDefault="008A03E0" w:rsidP="008A03E0">
      <w:pPr>
        <w:jc w:val="both"/>
        <w:rPr>
          <w:sz w:val="20"/>
          <w:szCs w:val="20"/>
          <w:lang w:val="fr-CA"/>
        </w:rPr>
      </w:pPr>
    </w:p>
    <w:p w:rsidR="008A03E0" w:rsidRDefault="008A03E0" w:rsidP="008A03E0">
      <w:pPr>
        <w:jc w:val="both"/>
        <w:rPr>
          <w:sz w:val="20"/>
          <w:szCs w:val="20"/>
          <w:lang w:val="fr-CA"/>
        </w:rPr>
      </w:pPr>
      <w:r w:rsidRPr="008A03E0">
        <w:rPr>
          <w:sz w:val="20"/>
          <w:szCs w:val="20"/>
          <w:lang w:val="fr-CA"/>
        </w:rPr>
        <w:t>L’appel contre l’arrêt de la Cour d’appel de l’Ontario, numéro C49159, 2010 ONCA 122, en date du 12 février 2010, a été entendu le 8 novembre 2010 et le jugement suivant a été rendu oralement :</w:t>
      </w:r>
    </w:p>
    <w:p w:rsidR="00355CD4" w:rsidRDefault="00355CD4" w:rsidP="008A03E0">
      <w:pPr>
        <w:jc w:val="both"/>
        <w:rPr>
          <w:sz w:val="20"/>
          <w:szCs w:val="20"/>
          <w:lang w:val="fr-CA"/>
        </w:rPr>
      </w:pPr>
    </w:p>
    <w:p w:rsidR="00355CD4" w:rsidRPr="00355CD4" w:rsidRDefault="00355CD4" w:rsidP="00355CD4">
      <w:pPr>
        <w:jc w:val="both"/>
        <w:rPr>
          <w:sz w:val="20"/>
          <w:szCs w:val="20"/>
          <w:lang w:val="fr-CA"/>
        </w:rPr>
      </w:pPr>
      <w:r w:rsidRPr="00355CD4">
        <w:rPr>
          <w:sz w:val="20"/>
          <w:szCs w:val="20"/>
          <w:lang w:val="fr-CA"/>
        </w:rPr>
        <w:t>[</w:t>
      </w:r>
      <w:r w:rsidRPr="00355CD4">
        <w:rPr>
          <w:smallCaps/>
          <w:sz w:val="20"/>
          <w:szCs w:val="20"/>
          <w:lang w:val="fr-CA"/>
        </w:rPr>
        <w:t>traduction</w:t>
      </w:r>
      <w:r w:rsidRPr="00355CD4">
        <w:rPr>
          <w:sz w:val="20"/>
          <w:szCs w:val="20"/>
          <w:lang w:val="fr-CA"/>
        </w:rPr>
        <w:t>]</w:t>
      </w:r>
    </w:p>
    <w:p w:rsidR="00355CD4" w:rsidRPr="00355CD4" w:rsidRDefault="00355CD4" w:rsidP="00355CD4">
      <w:pPr>
        <w:jc w:val="both"/>
        <w:rPr>
          <w:sz w:val="20"/>
          <w:szCs w:val="20"/>
          <w:lang w:val="fr-CA"/>
        </w:rPr>
      </w:pPr>
      <w:r w:rsidRPr="00355CD4">
        <w:rPr>
          <w:smallCaps/>
          <w:sz w:val="20"/>
          <w:szCs w:val="20"/>
          <w:lang w:val="fr-CA"/>
        </w:rPr>
        <w:t>Le juge LeBel</w:t>
      </w:r>
      <w:r w:rsidRPr="00355CD4">
        <w:rPr>
          <w:sz w:val="20"/>
          <w:szCs w:val="20"/>
          <w:lang w:val="fr-CA"/>
        </w:rPr>
        <w:t xml:space="preserve"> – À l’instar de la Cour d’appel de l’Ontario, nous sommes tous d’avis qu’il n’y a pas eu de provocation policière.  Au vu des faits de l’espèce, la brève conversation que le policier a eue avec l’appelant près de l’appartement de ce dernier ne permettait pas de conclure à la provocation policière.  L’appelant a lui</w:t>
      </w:r>
      <w:r w:rsidRPr="00355CD4">
        <w:rPr>
          <w:sz w:val="20"/>
          <w:szCs w:val="20"/>
          <w:lang w:val="fr-CA"/>
        </w:rPr>
        <w:noBreakHyphen/>
        <w:t>même laissé le policier assister à la vente d’une substance illicite.  Il n’a pas été incité à commettre un acte criminel, car il s’adonnait en fait à ses activités criminelles.  Étant donné notre conclusion au sujet de la provocation policière, point n’est besoin de nous prononcer sur les questions de procédure soulevées par les parties devant les juridictions inférieures.  L’appel est rejeté.</w:t>
      </w:r>
    </w:p>
    <w:p w:rsidR="008A03E0" w:rsidRPr="008A03E0" w:rsidRDefault="008A03E0" w:rsidP="00FF6EEC">
      <w:pPr>
        <w:rPr>
          <w:sz w:val="20"/>
          <w:szCs w:val="20"/>
          <w:lang w:val="fr-CA"/>
        </w:rPr>
      </w:pPr>
    </w:p>
    <w:p w:rsidR="00C2690D" w:rsidRDefault="0047571A" w:rsidP="00FF6EEC">
      <w:pPr>
        <w:rPr>
          <w:sz w:val="20"/>
          <w:szCs w:val="20"/>
          <w:lang w:val="fr-CA"/>
        </w:rPr>
      </w:pPr>
      <w:r w:rsidRPr="0047571A">
        <w:rPr>
          <w:b/>
          <w:sz w:val="20"/>
          <w:szCs w:val="20"/>
        </w:rPr>
        <w:pict>
          <v:rect id="_x0000_i1045" style="width:2in;height:1pt" o:hrpct="0" o:hralign="center" o:hrstd="t" o:hrnoshade="t" o:hr="t" fillcolor="black [3213]" stroked="f"/>
        </w:pict>
      </w:r>
    </w:p>
    <w:p w:rsidR="00BB6D36" w:rsidRPr="00BB6D36" w:rsidRDefault="00BB6D36" w:rsidP="00FF6EEC">
      <w:pPr>
        <w:rPr>
          <w:sz w:val="20"/>
          <w:szCs w:val="20"/>
          <w:lang w:val="fr-CA"/>
        </w:rPr>
      </w:pPr>
    </w:p>
    <w:p w:rsidR="00D65051" w:rsidRPr="00337357" w:rsidRDefault="00D65051" w:rsidP="00FF6EEC">
      <w:pPr>
        <w:rPr>
          <w:b/>
          <w:sz w:val="20"/>
          <w:szCs w:val="20"/>
          <w:lang w:val="fr-CA"/>
        </w:rPr>
      </w:pPr>
      <w:r w:rsidRPr="00337357">
        <w:rPr>
          <w:b/>
          <w:sz w:val="20"/>
          <w:szCs w:val="20"/>
          <w:lang w:val="fr-CA"/>
        </w:rPr>
        <w:t>NOVEMBER 10, 2010 / LE 10 NOVEMBRE 2010</w:t>
      </w:r>
    </w:p>
    <w:p w:rsidR="00D65051" w:rsidRPr="00337357" w:rsidRDefault="00D65051" w:rsidP="00FF6EEC">
      <w:pPr>
        <w:rPr>
          <w:b/>
          <w:sz w:val="20"/>
          <w:szCs w:val="20"/>
          <w:lang w:val="fr-CA"/>
        </w:rPr>
      </w:pPr>
    </w:p>
    <w:p w:rsidR="00D65051" w:rsidRPr="004060A7"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lang w:val="fr-CA"/>
        </w:rPr>
      </w:pPr>
      <w:r w:rsidRPr="00CD1673">
        <w:rPr>
          <w:b/>
          <w:sz w:val="20"/>
          <w:lang w:val="fr-CA"/>
        </w:rPr>
        <w:t>32860</w:t>
      </w:r>
      <w:r w:rsidRPr="004060A7">
        <w:rPr>
          <w:sz w:val="20"/>
          <w:lang w:val="fr-CA"/>
        </w:rPr>
        <w:tab/>
      </w:r>
      <w:r w:rsidRPr="004060A7">
        <w:rPr>
          <w:sz w:val="20"/>
          <w:lang w:val="fr-CA"/>
        </w:rPr>
        <w:tab/>
      </w:r>
      <w:r w:rsidRPr="00E71D68">
        <w:rPr>
          <w:b/>
          <w:sz w:val="20"/>
          <w:u w:val="single"/>
          <w:lang w:val="fr-CA"/>
        </w:rPr>
        <w:t>Marcel de Montigny, personnellement et ès qualités d’héritier et de liquidateur de la succession de Liliane de Montigny, et ès qualité d’héritier des successions de Claudia et Béatrice Brossard, Sandra de Montigny, personnellement et ès qualités d’héritière et de liquidatrice de la succession de Liliane de Montigny, et Karen de Montigny, personnellement et ès qualités d’héritière et de liquidatrice de la succession de Liliane de Montigny</w:t>
      </w:r>
      <w:r w:rsidRPr="004060A7">
        <w:rPr>
          <w:b/>
          <w:iCs/>
          <w:sz w:val="20"/>
          <w:u w:val="single"/>
          <w:lang w:val="fr-CA"/>
        </w:rPr>
        <w:t xml:space="preserve"> c. </w:t>
      </w:r>
      <w:r w:rsidRPr="00E71D68">
        <w:rPr>
          <w:b/>
          <w:iCs/>
          <w:sz w:val="20"/>
          <w:u w:val="single"/>
          <w:lang w:val="fr-CA"/>
        </w:rPr>
        <w:t>Succession de feu Martin Brossard, représentée par Roger Brossard, son liquidateur</w:t>
      </w:r>
      <w:r>
        <w:rPr>
          <w:b/>
          <w:iCs/>
          <w:sz w:val="20"/>
          <w:u w:val="single"/>
          <w:lang w:val="fr-CA"/>
        </w:rPr>
        <w:t xml:space="preserve"> – et – </w:t>
      </w:r>
      <w:r w:rsidRPr="00E71D68">
        <w:rPr>
          <w:b/>
          <w:iCs/>
          <w:sz w:val="20"/>
          <w:u w:val="single"/>
          <w:lang w:val="fr-CA"/>
        </w:rPr>
        <w:t>Procureur général du Québec</w:t>
      </w:r>
      <w:r w:rsidRPr="00E71D68">
        <w:rPr>
          <w:b/>
          <w:iCs/>
          <w:sz w:val="20"/>
          <w:lang w:val="fr-CA"/>
        </w:rPr>
        <w:t xml:space="preserve"> </w:t>
      </w:r>
      <w:r w:rsidRPr="004060A7">
        <w:rPr>
          <w:sz w:val="20"/>
          <w:lang w:val="fr-CA"/>
        </w:rPr>
        <w:t>(</w:t>
      </w:r>
      <w:r>
        <w:rPr>
          <w:sz w:val="20"/>
          <w:lang w:val="fr-CA"/>
        </w:rPr>
        <w:t>Qc</w:t>
      </w:r>
      <w:r w:rsidRPr="004060A7">
        <w:rPr>
          <w:sz w:val="20"/>
          <w:lang w:val="fr-CA"/>
        </w:rPr>
        <w:t>)</w:t>
      </w:r>
    </w:p>
    <w:p w:rsidR="00D65051" w:rsidRPr="004060A7"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4060A7">
        <w:rPr>
          <w:b/>
          <w:sz w:val="20"/>
          <w:lang w:val="fr-CA"/>
        </w:rPr>
        <w:t xml:space="preserve">2010 SCC </w:t>
      </w:r>
      <w:r>
        <w:rPr>
          <w:b/>
          <w:sz w:val="20"/>
          <w:lang w:val="fr-CA"/>
        </w:rPr>
        <w:t>51</w:t>
      </w:r>
      <w:r w:rsidRPr="004060A7">
        <w:rPr>
          <w:b/>
          <w:sz w:val="20"/>
          <w:lang w:val="fr-CA"/>
        </w:rPr>
        <w:t xml:space="preserve"> / 2010 CSC </w:t>
      </w:r>
      <w:r>
        <w:rPr>
          <w:b/>
          <w:sz w:val="20"/>
          <w:lang w:val="fr-CA"/>
        </w:rPr>
        <w:t>51</w:t>
      </w:r>
    </w:p>
    <w:p w:rsidR="00D65051" w:rsidRPr="004060A7"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D65051" w:rsidRPr="004060A7"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fr-CA"/>
        </w:rPr>
      </w:pPr>
      <w:r w:rsidRPr="004060A7">
        <w:rPr>
          <w:sz w:val="20"/>
          <w:lang w:val="fr-CA"/>
        </w:rPr>
        <w:t>Coram:</w:t>
      </w:r>
      <w:r w:rsidR="004C233F">
        <w:rPr>
          <w:sz w:val="20"/>
          <w:lang w:val="fr-CA"/>
        </w:rPr>
        <w:tab/>
      </w:r>
      <w:r w:rsidRPr="004060A7">
        <w:rPr>
          <w:sz w:val="20"/>
          <w:lang w:val="fr-CA"/>
        </w:rPr>
        <w:tab/>
      </w:r>
      <w:r w:rsidRPr="004060A7">
        <w:rPr>
          <w:sz w:val="20"/>
          <w:u w:val="single"/>
          <w:lang w:val="fr-CA"/>
        </w:rPr>
        <w:t>La juge en chef McLachlin et les juges LeBel, Deschamps, Fish, Abella, Charron et Cromwell</w:t>
      </w:r>
    </w:p>
    <w:p w:rsidR="00D65051" w:rsidRPr="004060A7"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D65051" w:rsidRPr="00244FD0"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244FD0">
        <w:rPr>
          <w:sz w:val="20"/>
          <w:lang w:val="fr-CA"/>
        </w:rPr>
        <w:t>L’appel interjeté contre l’arrêt de la Cour d’appel du Québec (Montréal), numéro 500-09-016606-063, 2008 QCCA 1577, en date du 26 août 2008, entendu le 14 avril 2010, est accueilli en partie, avec dépens dans toutes les cours. Il est octroyé aux appelants, en leur qualité d’héritiers des successions de Liliane de Montigny et de Béatrice et Claudia Brossard, la somme de 10 000 $, plus intérêt au taux légal à partir de la date d’introduction de l’instance.</w:t>
      </w:r>
    </w:p>
    <w:p w:rsidR="00D65051" w:rsidRPr="00244FD0"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D65051" w:rsidRPr="00244FD0" w:rsidRDefault="00D65051" w:rsidP="00D650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244FD0">
        <w:rPr>
          <w:sz w:val="20"/>
        </w:rPr>
        <w:t>The appeal from the judgment of the Court of Appeal of Quebec (Montréal), Number 500-09-016606-063, 2008 QCCA 1577, dated August 26, 2008, heard on April 14, 2010, is allowed in part, with costs throughout. The appellants, in their capacity as heirs of the successions of Liliane de Montigny and Béatrice and Claudia Brossard, are awarded $10,000 plus interest at the legal rate from the date the proceedings were instituted.</w:t>
      </w:r>
    </w:p>
    <w:p w:rsidR="00FF6EEC" w:rsidRPr="00337357" w:rsidRDefault="00FF6EEC" w:rsidP="00FF6EEC">
      <w:pPr>
        <w:rPr>
          <w:sz w:val="20"/>
          <w:szCs w:val="20"/>
        </w:rPr>
      </w:pPr>
    </w:p>
    <w:p w:rsidR="00FF6EEC" w:rsidRPr="00C50A5C" w:rsidRDefault="0047571A" w:rsidP="00FF6EEC">
      <w:pPr>
        <w:spacing w:line="0" w:lineRule="atLeast"/>
        <w:rPr>
          <w:sz w:val="20"/>
          <w:szCs w:val="20"/>
        </w:rPr>
      </w:pPr>
      <w:r w:rsidRPr="0047571A">
        <w:rPr>
          <w:b/>
          <w:sz w:val="20"/>
          <w:szCs w:val="20"/>
        </w:rPr>
        <w:pict>
          <v:rect id="_x0000_i1046" style="width:2in;height:1pt" o:hrpct="0" o:hralign="center" o:hrstd="t" o:hrnoshade="t" o:hr="t" fillcolor="black [3213]" stroked="f"/>
        </w:pict>
      </w:r>
    </w:p>
    <w:p w:rsidR="00732DB7" w:rsidRDefault="00732DB7" w:rsidP="00732DB7">
      <w:pPr>
        <w:widowControl w:val="0"/>
        <w:rPr>
          <w:sz w:val="20"/>
          <w:szCs w:val="20"/>
        </w:rPr>
      </w:pPr>
    </w:p>
    <w:p w:rsidR="0048629D" w:rsidRDefault="0048629D" w:rsidP="0048629D">
      <w:pPr>
        <w:rPr>
          <w:b/>
          <w:sz w:val="20"/>
          <w:szCs w:val="20"/>
        </w:rPr>
      </w:pPr>
      <w:r>
        <w:rPr>
          <w:b/>
          <w:sz w:val="20"/>
          <w:szCs w:val="20"/>
        </w:rPr>
        <w:lastRenderedPageBreak/>
        <w:t>NOVEMBER 12, 2010 / LE 12 NOVEMBRE 2010</w:t>
      </w:r>
    </w:p>
    <w:p w:rsidR="0048629D" w:rsidRDefault="0048629D" w:rsidP="00732DB7">
      <w:pPr>
        <w:widowControl w:val="0"/>
        <w:rPr>
          <w:sz w:val="20"/>
          <w:szCs w:val="20"/>
        </w:rPr>
      </w:pPr>
    </w:p>
    <w:p w:rsidR="0048629D" w:rsidRPr="000906BD"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Calibri" w:cs="Times New Roman"/>
          <w:b/>
          <w:sz w:val="20"/>
        </w:rPr>
      </w:pPr>
      <w:r w:rsidRPr="000906BD">
        <w:rPr>
          <w:rFonts w:eastAsia="Calibri" w:cs="Times New Roman"/>
          <w:b/>
          <w:sz w:val="20"/>
        </w:rPr>
        <w:t>33575</w:t>
      </w:r>
      <w:r w:rsidRPr="000906BD">
        <w:rPr>
          <w:rFonts w:eastAsia="Calibri" w:cs="Times New Roman"/>
          <w:sz w:val="20"/>
        </w:rPr>
        <w:tab/>
      </w:r>
      <w:r w:rsidRPr="000906BD">
        <w:rPr>
          <w:rFonts w:eastAsia="Calibri" w:cs="Times New Roman"/>
          <w:sz w:val="20"/>
        </w:rPr>
        <w:tab/>
      </w:r>
      <w:r w:rsidRPr="000906BD">
        <w:rPr>
          <w:rFonts w:eastAsia="Calibri" w:cs="Times New Roman"/>
          <w:b/>
          <w:sz w:val="20"/>
          <w:u w:val="single"/>
        </w:rPr>
        <w:t>Christopher John Lee</w:t>
      </w:r>
      <w:r w:rsidRPr="000906BD">
        <w:rPr>
          <w:rFonts w:eastAsia="Calibri" w:cs="Times New Roman"/>
          <w:b/>
          <w:iCs/>
          <w:sz w:val="20"/>
          <w:u w:val="single"/>
        </w:rPr>
        <w:t xml:space="preserve"> v. Her Majesty the Queen</w:t>
      </w:r>
      <w:r w:rsidRPr="000906BD">
        <w:rPr>
          <w:rFonts w:eastAsia="Calibri" w:cs="Times New Roman"/>
          <w:b/>
          <w:iCs/>
          <w:sz w:val="20"/>
        </w:rPr>
        <w:t xml:space="preserve"> </w:t>
      </w:r>
      <w:r w:rsidRPr="000906BD">
        <w:rPr>
          <w:rFonts w:eastAsia="Calibri" w:cs="Times New Roman"/>
          <w:sz w:val="20"/>
        </w:rPr>
        <w:t>(</w:t>
      </w:r>
      <w:r>
        <w:rPr>
          <w:rFonts w:eastAsia="Calibri" w:cs="Times New Roman"/>
          <w:sz w:val="20"/>
        </w:rPr>
        <w:t>Alta.</w:t>
      </w:r>
      <w:r w:rsidRPr="000906BD">
        <w:rPr>
          <w:rFonts w:eastAsia="Calibri" w:cs="Times New Roman"/>
          <w:sz w:val="20"/>
        </w:rPr>
        <w:t>)</w:t>
      </w:r>
    </w:p>
    <w:p w:rsidR="0048629D" w:rsidRPr="0048629D"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Calibri" w:cs="Times New Roman"/>
          <w:sz w:val="20"/>
        </w:rPr>
      </w:pPr>
      <w:r w:rsidRPr="0048629D">
        <w:rPr>
          <w:rFonts w:eastAsia="Calibri" w:cs="Times New Roman"/>
          <w:b/>
          <w:sz w:val="20"/>
        </w:rPr>
        <w:t>2010 SCC 52 / 2010 CSC 52</w:t>
      </w:r>
    </w:p>
    <w:p w:rsidR="0048629D" w:rsidRPr="0048629D"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48629D" w:rsidRPr="0048629D"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Calibri" w:cs="Times New Roman"/>
          <w:sz w:val="20"/>
        </w:rPr>
      </w:pPr>
      <w:r w:rsidRPr="0048629D">
        <w:rPr>
          <w:rFonts w:eastAsia="Calibri" w:cs="Times New Roman"/>
          <w:sz w:val="20"/>
        </w:rPr>
        <w:t>Coram:</w:t>
      </w:r>
      <w:r>
        <w:rPr>
          <w:sz w:val="20"/>
        </w:rPr>
        <w:tab/>
      </w:r>
      <w:r w:rsidRPr="0048629D">
        <w:rPr>
          <w:rFonts w:eastAsia="Calibri" w:cs="Times New Roman"/>
          <w:sz w:val="20"/>
        </w:rPr>
        <w:tab/>
      </w:r>
      <w:r w:rsidRPr="0048629D">
        <w:rPr>
          <w:rFonts w:eastAsia="Calibri" w:cs="Times New Roman"/>
          <w:sz w:val="20"/>
          <w:u w:val="single"/>
        </w:rPr>
        <w:t>Binnie, LeBel, Deschamps, Fish, Abella, Charron and Cromwell JJ.</w:t>
      </w:r>
    </w:p>
    <w:p w:rsidR="0048629D" w:rsidRPr="0048629D"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48629D" w:rsidRPr="00FC572B"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r w:rsidRPr="00FC572B">
        <w:rPr>
          <w:rFonts w:eastAsia="Calibri" w:cs="Times New Roman"/>
          <w:sz w:val="20"/>
        </w:rPr>
        <w:t>The appeal from the judgment of the Court of Appeal of Alberta (Edmonton), Number 0803-0163-A, 2010 ABCA 1, dated February 1, 2010, heard on November 3, 2010, is dismissed.</w:t>
      </w:r>
    </w:p>
    <w:p w:rsidR="0048629D" w:rsidRPr="00FC572B"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48629D" w:rsidRPr="0048629D" w:rsidRDefault="0048629D" w:rsidP="004862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lang w:val="fr-CA"/>
        </w:rPr>
      </w:pPr>
      <w:r w:rsidRPr="0048629D">
        <w:rPr>
          <w:rFonts w:eastAsia="Calibri" w:cs="Times New Roman"/>
          <w:sz w:val="20"/>
          <w:lang w:val="fr-CA"/>
        </w:rPr>
        <w:t>L’appel interjeté contre l’arrêt de la Cour d’appel de l’Alberta (Edmonton), numéro 0803-0163-A, 2010 ABCA 1, en date du 1</w:t>
      </w:r>
      <w:r w:rsidRPr="0048629D">
        <w:rPr>
          <w:rFonts w:eastAsia="Calibri" w:cs="Times New Roman"/>
          <w:sz w:val="20"/>
          <w:vertAlign w:val="superscript"/>
          <w:lang w:val="fr-CA"/>
        </w:rPr>
        <w:t>er</w:t>
      </w:r>
      <w:r w:rsidRPr="0048629D">
        <w:rPr>
          <w:rFonts w:eastAsia="Calibri" w:cs="Times New Roman"/>
          <w:sz w:val="20"/>
          <w:lang w:val="fr-CA"/>
        </w:rPr>
        <w:t> février 2010, entendu le 3 novembre 2010, est rejeté.</w:t>
      </w:r>
    </w:p>
    <w:p w:rsidR="0048629D" w:rsidRDefault="0048629D" w:rsidP="00732DB7">
      <w:pPr>
        <w:widowControl w:val="0"/>
        <w:rPr>
          <w:sz w:val="20"/>
          <w:szCs w:val="20"/>
          <w:lang w:val="fr-CA"/>
        </w:rPr>
      </w:pPr>
    </w:p>
    <w:p w:rsidR="0048629D" w:rsidRDefault="0047571A" w:rsidP="00732DB7">
      <w:pPr>
        <w:widowControl w:val="0"/>
        <w:rPr>
          <w:sz w:val="20"/>
          <w:szCs w:val="20"/>
          <w:lang w:val="fr-CA"/>
        </w:rPr>
      </w:pPr>
      <w:r w:rsidRPr="0047571A">
        <w:rPr>
          <w:b/>
          <w:sz w:val="20"/>
          <w:szCs w:val="20"/>
        </w:rPr>
        <w:pict>
          <v:rect id="_x0000_i1047" style="width:2in;height:1pt" o:hrpct="0" o:hralign="center" o:hrstd="t" o:hrnoshade="t" o:hr="t" fillcolor="black [3213]" stroked="f"/>
        </w:pict>
      </w:r>
    </w:p>
    <w:p w:rsidR="0048629D" w:rsidRPr="0048629D" w:rsidRDefault="0048629D" w:rsidP="00732DB7">
      <w:pPr>
        <w:widowControl w:val="0"/>
        <w:rPr>
          <w:sz w:val="20"/>
          <w:szCs w:val="20"/>
          <w:lang w:val="fr-CA"/>
        </w:rPr>
      </w:pPr>
    </w:p>
    <w:p w:rsidR="0048629D" w:rsidRPr="0048629D" w:rsidRDefault="0048629D" w:rsidP="00732DB7">
      <w:pPr>
        <w:widowControl w:val="0"/>
        <w:rPr>
          <w:sz w:val="20"/>
          <w:szCs w:val="20"/>
          <w:lang w:val="fr-CA"/>
        </w:rPr>
      </w:pPr>
    </w:p>
    <w:p w:rsidR="00697C62" w:rsidRPr="0048629D" w:rsidRDefault="00697C62" w:rsidP="00732DB7">
      <w:pPr>
        <w:widowControl w:val="0"/>
        <w:rPr>
          <w:sz w:val="20"/>
          <w:szCs w:val="20"/>
          <w:lang w:val="fr-CA"/>
        </w:rPr>
        <w:sectPr w:rsidR="00697C62" w:rsidRPr="0048629D"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CF1582" w:rsidRDefault="00CF1582" w:rsidP="00CB5A94">
      <w:pPr>
        <w:jc w:val="both"/>
        <w:rPr>
          <w:rFonts w:eastAsia="Times New Roman" w:cs="Times New Roman"/>
          <w:i/>
          <w:sz w:val="20"/>
          <w:szCs w:val="20"/>
          <w:lang w:val="fr-CA"/>
        </w:rPr>
      </w:pPr>
    </w:p>
    <w:p w:rsidR="00CB5A94" w:rsidRPr="00CB5A94" w:rsidRDefault="00CB5A94" w:rsidP="00CB5A94">
      <w:pPr>
        <w:jc w:val="both"/>
        <w:rPr>
          <w:sz w:val="20"/>
          <w:szCs w:val="20"/>
          <w:lang w:val="fr-CA"/>
        </w:rPr>
      </w:pPr>
      <w:r w:rsidRPr="00CB5A94">
        <w:rPr>
          <w:rFonts w:eastAsia="Times New Roman" w:cs="Times New Roman"/>
          <w:i/>
          <w:sz w:val="20"/>
          <w:szCs w:val="20"/>
          <w:lang w:val="fr-CA"/>
        </w:rPr>
        <w:t>Marcel de Montigny, personnellement et ès qualités d’héritier et de liquidateur de la succession</w:t>
      </w:r>
      <w:r>
        <w:rPr>
          <w:rFonts w:eastAsia="Times New Roman" w:cs="Times New Roman"/>
          <w:i/>
          <w:sz w:val="20"/>
          <w:szCs w:val="20"/>
          <w:lang w:val="fr-CA"/>
        </w:rPr>
        <w:t xml:space="preserve"> </w:t>
      </w:r>
      <w:r w:rsidRPr="00CB5A94">
        <w:rPr>
          <w:rFonts w:eastAsia="Times New Roman" w:cs="Times New Roman"/>
          <w:i/>
          <w:sz w:val="20"/>
          <w:szCs w:val="20"/>
          <w:lang w:val="fr-CA"/>
        </w:rPr>
        <w:t>de Liliane de Montigny et a</w:t>
      </w:r>
      <w:r>
        <w:rPr>
          <w:rFonts w:eastAsia="Times New Roman" w:cs="Times New Roman"/>
          <w:i/>
          <w:sz w:val="20"/>
          <w:szCs w:val="20"/>
          <w:lang w:val="fr-CA"/>
        </w:rPr>
        <w:t>utres</w:t>
      </w:r>
      <w:r w:rsidRPr="00CB5A94">
        <w:rPr>
          <w:rFonts w:eastAsia="Times New Roman" w:cs="Times New Roman"/>
          <w:i/>
          <w:sz w:val="20"/>
          <w:szCs w:val="20"/>
          <w:lang w:val="fr-CA"/>
        </w:rPr>
        <w:t xml:space="preserve"> c. </w:t>
      </w:r>
      <w:r w:rsidR="0047571A" w:rsidRPr="0047571A">
        <w:rPr>
          <w:rFonts w:eastAsia="Times New Roman" w:cs="Times New Roman"/>
          <w:i/>
          <w:sz w:val="20"/>
          <w:szCs w:val="20"/>
        </w:rPr>
        <w:fldChar w:fldCharType="begin"/>
      </w:r>
      <w:r w:rsidRPr="00CB5A94">
        <w:rPr>
          <w:rFonts w:eastAsia="Times New Roman" w:cs="Times New Roman"/>
          <w:i/>
          <w:sz w:val="20"/>
          <w:szCs w:val="20"/>
          <w:lang w:val="fr-CA"/>
        </w:rPr>
        <w:instrText xml:space="preserve"> SEQ CHAPTER \h \r 1</w:instrText>
      </w:r>
      <w:r w:rsidR="0047571A" w:rsidRPr="00CB5A94">
        <w:rPr>
          <w:rFonts w:eastAsia="Times New Roman" w:cs="Times New Roman"/>
          <w:i/>
          <w:sz w:val="20"/>
          <w:szCs w:val="20"/>
          <w:lang w:val="en-US"/>
        </w:rPr>
        <w:fldChar w:fldCharType="end"/>
      </w:r>
      <w:r w:rsidRPr="00CB5A94">
        <w:rPr>
          <w:rFonts w:eastAsia="Times New Roman" w:cs="Times New Roman"/>
          <w:bCs/>
          <w:i/>
          <w:iCs/>
          <w:sz w:val="20"/>
          <w:szCs w:val="20"/>
          <w:lang w:val="fr-CA"/>
        </w:rPr>
        <w:t>Succession de feu Martin Brossard représentée par M. Roger Brossard, son liquidateur</w:t>
      </w:r>
      <w:r w:rsidRPr="00CB5A94">
        <w:rPr>
          <w:rFonts w:eastAsia="Times New Roman" w:cs="Times New Roman"/>
          <w:sz w:val="20"/>
          <w:szCs w:val="20"/>
          <w:lang w:val="fr-CA"/>
        </w:rPr>
        <w:t xml:space="preserve"> (Qc) (32860)</w:t>
      </w:r>
    </w:p>
    <w:p w:rsidR="0027330D" w:rsidRPr="00492DCE" w:rsidRDefault="0027330D" w:rsidP="0027330D">
      <w:pPr>
        <w:jc w:val="both"/>
        <w:rPr>
          <w:rFonts w:cs="Times New Roman"/>
          <w:b/>
          <w:sz w:val="20"/>
          <w:szCs w:val="20"/>
          <w:lang w:val="fr-CA"/>
        </w:rPr>
      </w:pPr>
      <w:r w:rsidRPr="00492DCE">
        <w:rPr>
          <w:rFonts w:cs="Times New Roman"/>
          <w:b/>
          <w:sz w:val="20"/>
          <w:szCs w:val="20"/>
          <w:lang w:val="fr-CA"/>
        </w:rPr>
        <w:t>Indexed as:  </w:t>
      </w:r>
      <w:r w:rsidRPr="00492DCE">
        <w:rPr>
          <w:rStyle w:val="SCCAppellantForIndexChar"/>
          <w:rFonts w:eastAsiaTheme="minorHAnsi"/>
          <w:sz w:val="20"/>
          <w:lang w:val="fr-CA"/>
        </w:rPr>
        <w:t>de Montigny</w:t>
      </w:r>
      <w:r w:rsidRPr="00492DCE">
        <w:rPr>
          <w:rFonts w:cs="Times New Roman"/>
          <w:b/>
          <w:sz w:val="20"/>
          <w:szCs w:val="20"/>
          <w:lang w:val="fr-CA"/>
        </w:rPr>
        <w:t xml:space="preserve"> </w:t>
      </w:r>
      <w:r w:rsidRPr="00492DCE">
        <w:rPr>
          <w:rFonts w:cs="Times New Roman"/>
          <w:b/>
          <w:i/>
          <w:sz w:val="20"/>
          <w:szCs w:val="20"/>
          <w:lang w:val="fr-CA"/>
        </w:rPr>
        <w:t>v.</w:t>
      </w:r>
      <w:r w:rsidRPr="00492DCE">
        <w:rPr>
          <w:rFonts w:cs="Times New Roman"/>
          <w:b/>
          <w:sz w:val="20"/>
          <w:szCs w:val="20"/>
          <w:lang w:val="fr-CA"/>
        </w:rPr>
        <w:t xml:space="preserve"> Brossard (Succession) / Répertorié : </w:t>
      </w:r>
      <w:r w:rsidRPr="00492DCE">
        <w:rPr>
          <w:rStyle w:val="SCCAppellantForIndexChar"/>
          <w:rFonts w:eastAsiaTheme="minorHAnsi"/>
          <w:sz w:val="20"/>
          <w:lang w:val="fr-CA"/>
        </w:rPr>
        <w:t>de Montigny</w:t>
      </w:r>
      <w:r w:rsidRPr="00492DCE">
        <w:rPr>
          <w:rFonts w:cs="Times New Roman"/>
          <w:b/>
          <w:sz w:val="20"/>
          <w:szCs w:val="20"/>
          <w:lang w:val="fr-CA"/>
        </w:rPr>
        <w:t xml:space="preserve"> </w:t>
      </w:r>
      <w:r w:rsidRPr="00492DCE">
        <w:rPr>
          <w:rFonts w:cs="Times New Roman"/>
          <w:b/>
          <w:i/>
          <w:sz w:val="20"/>
          <w:szCs w:val="20"/>
          <w:lang w:val="fr-CA"/>
        </w:rPr>
        <w:t>c.</w:t>
      </w:r>
      <w:r w:rsidRPr="00492DCE">
        <w:rPr>
          <w:rFonts w:cs="Times New Roman"/>
          <w:b/>
          <w:sz w:val="20"/>
          <w:szCs w:val="20"/>
          <w:lang w:val="fr-CA"/>
        </w:rPr>
        <w:t xml:space="preserve"> Brossard (</w:t>
      </w:r>
      <w:r w:rsidRPr="00492DCE">
        <w:rPr>
          <w:rStyle w:val="SCCRespondentForIndexChar"/>
          <w:rFonts w:eastAsiaTheme="minorHAnsi"/>
          <w:sz w:val="20"/>
        </w:rPr>
        <w:t>Succession)</w:t>
      </w:r>
    </w:p>
    <w:p w:rsidR="00782AE4" w:rsidRPr="00492DCE" w:rsidRDefault="00782AE4" w:rsidP="00782AE4">
      <w:pPr>
        <w:rPr>
          <w:sz w:val="20"/>
          <w:szCs w:val="20"/>
          <w:lang w:val="fr-CA"/>
        </w:rPr>
      </w:pPr>
      <w:r w:rsidRPr="00492DCE">
        <w:rPr>
          <w:b/>
          <w:sz w:val="20"/>
          <w:szCs w:val="20"/>
          <w:lang w:val="fr-CA"/>
        </w:rPr>
        <w:t xml:space="preserve">Neutral citation:  2010 SCC </w:t>
      </w:r>
      <w:r w:rsidR="0027330D" w:rsidRPr="00492DCE">
        <w:rPr>
          <w:b/>
          <w:sz w:val="20"/>
          <w:szCs w:val="20"/>
          <w:lang w:val="fr-CA"/>
        </w:rPr>
        <w:t>51</w:t>
      </w:r>
      <w:r w:rsidRPr="00492DCE">
        <w:rPr>
          <w:sz w:val="20"/>
          <w:szCs w:val="20"/>
          <w:lang w:val="fr-CA"/>
        </w:rPr>
        <w:t xml:space="preserve"> / </w:t>
      </w:r>
      <w:r w:rsidRPr="00492DCE">
        <w:rPr>
          <w:b/>
          <w:sz w:val="20"/>
          <w:szCs w:val="20"/>
          <w:lang w:val="fr-CA"/>
        </w:rPr>
        <w:t xml:space="preserve">Référence neutre : 2010 CSC </w:t>
      </w:r>
      <w:r w:rsidR="0027330D" w:rsidRPr="00492DCE">
        <w:rPr>
          <w:b/>
          <w:sz w:val="20"/>
          <w:szCs w:val="20"/>
          <w:lang w:val="fr-CA"/>
        </w:rPr>
        <w:t>51</w:t>
      </w:r>
    </w:p>
    <w:p w:rsidR="00782AE4" w:rsidRPr="00DA4D2A" w:rsidRDefault="00782AE4" w:rsidP="00782AE4">
      <w:pPr>
        <w:rPr>
          <w:sz w:val="20"/>
          <w:szCs w:val="20"/>
          <w:lang w:val="fr-CA"/>
        </w:rPr>
      </w:pPr>
      <w:r w:rsidRPr="00DA4D2A">
        <w:rPr>
          <w:sz w:val="20"/>
          <w:szCs w:val="20"/>
          <w:lang w:val="fr-CA"/>
        </w:rPr>
        <w:t xml:space="preserve">Hearing:  </w:t>
      </w:r>
      <w:r w:rsidR="0027330D" w:rsidRPr="00DA4D2A">
        <w:rPr>
          <w:sz w:val="20"/>
          <w:szCs w:val="20"/>
          <w:lang w:val="fr-CA"/>
        </w:rPr>
        <w:t>April</w:t>
      </w:r>
      <w:r w:rsidRPr="00DA4D2A">
        <w:rPr>
          <w:sz w:val="20"/>
          <w:szCs w:val="20"/>
          <w:lang w:val="fr-CA"/>
        </w:rPr>
        <w:t xml:space="preserve"> 1</w:t>
      </w:r>
      <w:r w:rsidR="0027330D" w:rsidRPr="00DA4D2A">
        <w:rPr>
          <w:sz w:val="20"/>
          <w:szCs w:val="20"/>
          <w:lang w:val="fr-CA"/>
        </w:rPr>
        <w:t>4</w:t>
      </w:r>
      <w:r w:rsidRPr="00DA4D2A">
        <w:rPr>
          <w:sz w:val="20"/>
          <w:szCs w:val="20"/>
          <w:lang w:val="fr-CA"/>
        </w:rPr>
        <w:t>, 20</w:t>
      </w:r>
      <w:r w:rsidR="0027330D" w:rsidRPr="00DA4D2A">
        <w:rPr>
          <w:sz w:val="20"/>
          <w:szCs w:val="20"/>
          <w:lang w:val="fr-CA"/>
        </w:rPr>
        <w:t>1</w:t>
      </w:r>
      <w:r w:rsidRPr="00DA4D2A">
        <w:rPr>
          <w:sz w:val="20"/>
          <w:szCs w:val="20"/>
          <w:lang w:val="fr-CA"/>
        </w:rPr>
        <w:t xml:space="preserve">0 / Judgment:  </w:t>
      </w:r>
      <w:r w:rsidR="0027330D" w:rsidRPr="00DA4D2A">
        <w:rPr>
          <w:sz w:val="20"/>
          <w:szCs w:val="20"/>
          <w:lang w:val="fr-CA"/>
        </w:rPr>
        <w:t>November 10</w:t>
      </w:r>
      <w:r w:rsidRPr="00DA4D2A">
        <w:rPr>
          <w:sz w:val="20"/>
          <w:szCs w:val="20"/>
          <w:lang w:val="fr-CA"/>
        </w:rPr>
        <w:t>, 2010</w:t>
      </w:r>
    </w:p>
    <w:p w:rsidR="00782AE4" w:rsidRPr="00C50A5C" w:rsidRDefault="00782AE4" w:rsidP="00782AE4">
      <w:pPr>
        <w:rPr>
          <w:sz w:val="20"/>
          <w:szCs w:val="20"/>
          <w:lang w:val="fr-CA"/>
        </w:rPr>
      </w:pPr>
      <w:r w:rsidRPr="00C50A5C">
        <w:rPr>
          <w:sz w:val="20"/>
          <w:szCs w:val="20"/>
          <w:lang w:val="fr-CA"/>
        </w:rPr>
        <w:t>Audition : Le 1</w:t>
      </w:r>
      <w:r w:rsidR="0027330D">
        <w:rPr>
          <w:sz w:val="20"/>
          <w:szCs w:val="20"/>
          <w:lang w:val="fr-CA"/>
        </w:rPr>
        <w:t>4 avril</w:t>
      </w:r>
      <w:r w:rsidRPr="00C50A5C">
        <w:rPr>
          <w:sz w:val="20"/>
          <w:szCs w:val="20"/>
          <w:lang w:val="fr-CA"/>
        </w:rPr>
        <w:t xml:space="preserve"> 20</w:t>
      </w:r>
      <w:r w:rsidR="0027330D">
        <w:rPr>
          <w:sz w:val="20"/>
          <w:szCs w:val="20"/>
          <w:lang w:val="fr-CA"/>
        </w:rPr>
        <w:t>1</w:t>
      </w:r>
      <w:r w:rsidRPr="00C50A5C">
        <w:rPr>
          <w:sz w:val="20"/>
          <w:szCs w:val="20"/>
          <w:lang w:val="fr-CA"/>
        </w:rPr>
        <w:t xml:space="preserve">0 / Jugement : Le </w:t>
      </w:r>
      <w:r w:rsidR="0027330D">
        <w:rPr>
          <w:sz w:val="20"/>
          <w:szCs w:val="20"/>
          <w:lang w:val="fr-CA"/>
        </w:rPr>
        <w:t>10 novembre</w:t>
      </w:r>
      <w:r w:rsidRPr="00C50A5C">
        <w:rPr>
          <w:sz w:val="20"/>
          <w:szCs w:val="20"/>
          <w:lang w:val="fr-CA"/>
        </w:rPr>
        <w:t xml:space="preserve"> 2010</w:t>
      </w:r>
    </w:p>
    <w:p w:rsidR="00782AE4" w:rsidRPr="00C50A5C" w:rsidRDefault="0047571A" w:rsidP="00782AE4">
      <w:pPr>
        <w:rPr>
          <w:sz w:val="20"/>
          <w:szCs w:val="20"/>
          <w:lang w:val="fr-CA"/>
        </w:rPr>
      </w:pPr>
      <w:r w:rsidRPr="0047571A">
        <w:rPr>
          <w:i/>
          <w:sz w:val="20"/>
          <w:szCs w:val="20"/>
        </w:rPr>
        <w:pict>
          <v:rect id="_x0000_i1050" style="width:480.95pt;height:1pt" o:hralign="center" o:hrstd="t" o:hrnoshade="t" o:hr="t" fillcolor="black [3213]" stroked="f"/>
        </w:pict>
      </w:r>
    </w:p>
    <w:p w:rsidR="00782AE4" w:rsidRDefault="00782AE4" w:rsidP="00782AE4">
      <w:pPr>
        <w:rPr>
          <w:sz w:val="20"/>
          <w:szCs w:val="20"/>
          <w:lang w:val="fr-CA"/>
        </w:rPr>
      </w:pPr>
    </w:p>
    <w:p w:rsidR="00DA4D2A" w:rsidRPr="00DA4D2A" w:rsidRDefault="00DA4D2A" w:rsidP="00DA4D2A">
      <w:pPr>
        <w:jc w:val="both"/>
        <w:rPr>
          <w:sz w:val="20"/>
          <w:lang w:val="fr-CA"/>
        </w:rPr>
      </w:pPr>
      <w:r w:rsidRPr="00DA4D2A">
        <w:rPr>
          <w:sz w:val="20"/>
          <w:lang w:val="fr-CA"/>
        </w:rPr>
        <w:t>Présents : La juge en chef McLachlin et les juges LeBel, Deschamps, Fish, Abella, Charron et Cromwell.</w:t>
      </w:r>
    </w:p>
    <w:p w:rsidR="00DA4D2A" w:rsidRDefault="00DA4D2A" w:rsidP="00782AE4">
      <w:pPr>
        <w:rPr>
          <w:sz w:val="20"/>
          <w:szCs w:val="20"/>
          <w:lang w:val="fr-CA"/>
        </w:rPr>
      </w:pPr>
    </w:p>
    <w:p w:rsidR="00DA4D2A" w:rsidRPr="00DA4D2A" w:rsidRDefault="00DA4D2A" w:rsidP="00DA4D2A">
      <w:pPr>
        <w:jc w:val="both"/>
        <w:rPr>
          <w:i/>
          <w:sz w:val="20"/>
          <w:lang w:val="fr-CA"/>
        </w:rPr>
      </w:pPr>
      <w:r w:rsidRPr="00492DCE">
        <w:rPr>
          <w:sz w:val="20"/>
          <w:lang w:val="fr-CA"/>
        </w:rPr>
        <w:tab/>
      </w:r>
      <w:r w:rsidRPr="00DA4D2A">
        <w:rPr>
          <w:i/>
          <w:sz w:val="20"/>
          <w:lang w:val="fr-CA"/>
        </w:rPr>
        <w:t>Dommages</w:t>
      </w:r>
      <w:r w:rsidRPr="00DA4D2A">
        <w:rPr>
          <w:i/>
          <w:sz w:val="20"/>
          <w:lang w:val="fr-CA"/>
        </w:rPr>
        <w:noBreakHyphen/>
        <w:t>intérêts — Quantum — Préjudice moral — Conjoint tuant son ex</w:t>
      </w:r>
      <w:r w:rsidRPr="00DA4D2A">
        <w:rPr>
          <w:i/>
          <w:sz w:val="20"/>
          <w:lang w:val="fr-CA"/>
        </w:rPr>
        <w:noBreakHyphen/>
        <w:t>conjointe, ainsi que leurs deux enfants, avant de se suicider — Membres de la famille des défuntes intentant personnellement et en leurs qualités d’héritiers et de liquidateurs des successions des défuntes une action en responsabilité civile contre la succession du meurtrier — Juge de première instance accueillant le recours personnel en dommages</w:t>
      </w:r>
      <w:r w:rsidRPr="00DA4D2A">
        <w:rPr>
          <w:i/>
          <w:sz w:val="20"/>
          <w:lang w:val="fr-CA"/>
        </w:rPr>
        <w:noBreakHyphen/>
        <w:t>intérêts pour solatium doloris et perte de soutien moral et rejetant le recours successoral — Les indemnités pour solatium doloris et perte de soutien moral sont</w:t>
      </w:r>
      <w:r w:rsidRPr="00DA4D2A">
        <w:rPr>
          <w:i/>
          <w:sz w:val="20"/>
          <w:lang w:val="fr-CA"/>
        </w:rPr>
        <w:noBreakHyphen/>
        <w:t>elles adéquates?</w:t>
      </w:r>
    </w:p>
    <w:p w:rsidR="00DA4D2A" w:rsidRPr="00DA4D2A" w:rsidRDefault="00DA4D2A" w:rsidP="00DA4D2A">
      <w:pPr>
        <w:jc w:val="both"/>
        <w:rPr>
          <w:i/>
          <w:sz w:val="20"/>
          <w:lang w:val="fr-CA"/>
        </w:rPr>
      </w:pPr>
    </w:p>
    <w:p w:rsidR="00DA4D2A" w:rsidRPr="00DA4D2A" w:rsidRDefault="00DA4D2A" w:rsidP="00DA4D2A">
      <w:pPr>
        <w:jc w:val="both"/>
        <w:rPr>
          <w:i/>
          <w:sz w:val="20"/>
          <w:lang w:val="fr-CA"/>
        </w:rPr>
      </w:pPr>
      <w:r w:rsidRPr="00DA4D2A">
        <w:rPr>
          <w:i/>
          <w:sz w:val="20"/>
          <w:lang w:val="fr-CA"/>
        </w:rPr>
        <w:tab/>
        <w:t>Droits de la personne — Réparation — Dommages</w:t>
      </w:r>
      <w:r w:rsidRPr="00DA4D2A">
        <w:rPr>
          <w:i/>
          <w:sz w:val="20"/>
          <w:lang w:val="fr-CA"/>
        </w:rPr>
        <w:noBreakHyphen/>
        <w:t>intérêts punitifs — Caractère autonome — Décès de l’auteur d’actes illicites et intentionnels — Membres de la famille des défuntes présentant personnellement et en leurs qualités d’héritiers et de liquidateurs des successions des défuntes une demande de dommages</w:t>
      </w:r>
      <w:r w:rsidRPr="00DA4D2A">
        <w:rPr>
          <w:i/>
          <w:sz w:val="20"/>
          <w:lang w:val="fr-CA"/>
        </w:rPr>
        <w:noBreakHyphen/>
        <w:t>intérêts punitifs contre la succession du meurtrier — L’absence d’octroi de dommages</w:t>
      </w:r>
      <w:r w:rsidRPr="00DA4D2A">
        <w:rPr>
          <w:i/>
          <w:sz w:val="20"/>
          <w:lang w:val="fr-CA"/>
        </w:rPr>
        <w:noBreakHyphen/>
        <w:t>intérêts compensatoires rend</w:t>
      </w:r>
      <w:r w:rsidRPr="00DA4D2A">
        <w:rPr>
          <w:i/>
          <w:sz w:val="20"/>
          <w:lang w:val="fr-CA"/>
        </w:rPr>
        <w:noBreakHyphen/>
        <w:t>elle irrecevable une demande de dommages</w:t>
      </w:r>
      <w:r w:rsidRPr="00DA4D2A">
        <w:rPr>
          <w:i/>
          <w:sz w:val="20"/>
          <w:lang w:val="fr-CA"/>
        </w:rPr>
        <w:noBreakHyphen/>
        <w:t>intérêts punitifs? — Le décès de l’auteur d’actes fautifs intentionnels empêche</w:t>
      </w:r>
      <w:r w:rsidRPr="00DA4D2A">
        <w:rPr>
          <w:i/>
          <w:sz w:val="20"/>
          <w:lang w:val="fr-CA"/>
        </w:rPr>
        <w:noBreakHyphen/>
        <w:t>t</w:t>
      </w:r>
      <w:r w:rsidRPr="00DA4D2A">
        <w:rPr>
          <w:i/>
          <w:sz w:val="20"/>
          <w:lang w:val="fr-CA"/>
        </w:rPr>
        <w:noBreakHyphen/>
        <w:t>il la condamnation de sa succession à des dommages</w:t>
      </w:r>
      <w:r w:rsidRPr="00DA4D2A">
        <w:rPr>
          <w:i/>
          <w:sz w:val="20"/>
          <w:lang w:val="fr-CA"/>
        </w:rPr>
        <w:noBreakHyphen/>
        <w:t>intérêts punitifs? — Charte des droits et libertés de la personne, L.R.Q., ch. C</w:t>
      </w:r>
      <w:r w:rsidRPr="00DA4D2A">
        <w:rPr>
          <w:i/>
          <w:sz w:val="20"/>
          <w:lang w:val="fr-CA"/>
        </w:rPr>
        <w:noBreakHyphen/>
        <w:t xml:space="preserve">12, art  49 — </w:t>
      </w:r>
      <w:r w:rsidRPr="00DA4D2A">
        <w:rPr>
          <w:i/>
          <w:iCs/>
          <w:sz w:val="20"/>
          <w:lang w:val="fr-CA"/>
        </w:rPr>
        <w:t>Code civil du Québec</w:t>
      </w:r>
      <w:r w:rsidRPr="00DA4D2A">
        <w:rPr>
          <w:i/>
          <w:sz w:val="20"/>
          <w:lang w:val="fr-CA"/>
        </w:rPr>
        <w:t>, L.R.Q., ch. C</w:t>
      </w:r>
      <w:r w:rsidRPr="00DA4D2A">
        <w:rPr>
          <w:i/>
          <w:sz w:val="20"/>
          <w:lang w:val="fr-CA"/>
        </w:rPr>
        <w:noBreakHyphen/>
        <w:t>1991, art. 1621.</w:t>
      </w:r>
    </w:p>
    <w:p w:rsidR="00DA4D2A" w:rsidRPr="00684669" w:rsidRDefault="00DA4D2A" w:rsidP="00DA4D2A">
      <w:pPr>
        <w:pStyle w:val="SCCNormalDoubleSpacing"/>
        <w:spacing w:line="240" w:lineRule="auto"/>
        <w:rPr>
          <w:sz w:val="20"/>
        </w:rPr>
      </w:pPr>
    </w:p>
    <w:p w:rsidR="00DA4D2A" w:rsidRPr="00DA4D2A" w:rsidRDefault="00DA4D2A" w:rsidP="00DA4D2A">
      <w:pPr>
        <w:jc w:val="both"/>
        <w:rPr>
          <w:sz w:val="20"/>
          <w:lang w:val="fr-CA"/>
        </w:rPr>
      </w:pPr>
      <w:r w:rsidRPr="00DA4D2A">
        <w:rPr>
          <w:sz w:val="20"/>
          <w:lang w:val="fr-CA"/>
        </w:rPr>
        <w:tab/>
        <w:t>En avril 2002, B étrangle son ex</w:t>
      </w:r>
      <w:r w:rsidRPr="00DA4D2A">
        <w:rPr>
          <w:sz w:val="20"/>
          <w:lang w:val="fr-CA"/>
        </w:rPr>
        <w:noBreakHyphen/>
        <w:t>conjointe, noie les deux enfants du couple, et se suicide. M, S et K intentent par la suite en leurs noms personnels ainsi qu’en leurs qualités d’héritiers et de liquidateurs des successions des défuntes, une action en responsabilité civile réclamant à la succession de B des dommages</w:t>
      </w:r>
      <w:r w:rsidRPr="00DA4D2A">
        <w:rPr>
          <w:sz w:val="20"/>
          <w:lang w:val="fr-CA"/>
        </w:rPr>
        <w:noBreakHyphen/>
        <w:t>intérêts compensatoires et punitifs.  Le juge de première instance rejette le recours successoral pour deux motifs.  D’abord, il conclut que l’indemnité réclamée pour douleurs, souffrances et perte d’espérance de vie ne se transmet aux héritiers que lorsque la preuve établit l’écoulement d’un temps suffisant entre l’acte fautif et le décès et démontre que la victime a réellement souffert.  Or, la nature quasi instantanée du décès des victimes en l’espèce empêche l’octroi de dommages</w:t>
      </w:r>
      <w:r w:rsidRPr="00DA4D2A">
        <w:rPr>
          <w:sz w:val="20"/>
          <w:lang w:val="fr-CA"/>
        </w:rPr>
        <w:noBreakHyphen/>
        <w:t>intérêts sous ce chef.  Parce qu’il estime que les dommages</w:t>
      </w:r>
      <w:r w:rsidRPr="00DA4D2A">
        <w:rPr>
          <w:sz w:val="20"/>
          <w:lang w:val="fr-CA"/>
        </w:rPr>
        <w:noBreakHyphen/>
        <w:t>intérêts punitifs sont accessoires aux dommages</w:t>
      </w:r>
      <w:r w:rsidRPr="00DA4D2A">
        <w:rPr>
          <w:sz w:val="20"/>
          <w:lang w:val="fr-CA"/>
        </w:rPr>
        <w:noBreakHyphen/>
        <w:t>intérêts compensatoires, le juge de première instance conclut qu’aucun droit à ces dommages</w:t>
      </w:r>
      <w:r w:rsidRPr="00DA4D2A">
        <w:rPr>
          <w:sz w:val="20"/>
          <w:lang w:val="fr-CA"/>
        </w:rPr>
        <w:noBreakHyphen/>
        <w:t>intérêts n’est entré dans le patrimoine des défuntes à être transmis à leurs héritiers.  Le juge ajoute que l’aspect dissuasif de ces dommages</w:t>
      </w:r>
      <w:r w:rsidRPr="00DA4D2A">
        <w:rPr>
          <w:sz w:val="20"/>
          <w:lang w:val="fr-CA"/>
        </w:rPr>
        <w:noBreakHyphen/>
        <w:t>intérêts ne se pose plus de toute façon puisque B est décédé.  Toutefois, le juge accueille le recours personnel de M, S et K et leur accorde des dommages</w:t>
      </w:r>
      <w:r w:rsidRPr="00DA4D2A">
        <w:rPr>
          <w:sz w:val="20"/>
          <w:lang w:val="fr-CA"/>
        </w:rPr>
        <w:noBreakHyphen/>
        <w:t xml:space="preserve">intérêts pour </w:t>
      </w:r>
      <w:r w:rsidRPr="00DA4D2A">
        <w:rPr>
          <w:i/>
          <w:sz w:val="20"/>
          <w:lang w:val="fr-CA"/>
        </w:rPr>
        <w:t>solatium doloris</w:t>
      </w:r>
      <w:r w:rsidRPr="00DA4D2A">
        <w:rPr>
          <w:sz w:val="20"/>
          <w:lang w:val="fr-CA"/>
        </w:rPr>
        <w:t xml:space="preserve"> et perte de soutien moral.  La Cour d’appel confirme la décision de première instance.</w:t>
      </w:r>
    </w:p>
    <w:p w:rsidR="00DA4D2A" w:rsidRPr="00684669" w:rsidRDefault="00DA4D2A" w:rsidP="00DA4D2A">
      <w:pPr>
        <w:pStyle w:val="SCCNormalDoubleSpacing"/>
        <w:spacing w:line="240" w:lineRule="auto"/>
        <w:rPr>
          <w:sz w:val="20"/>
        </w:rPr>
      </w:pPr>
    </w:p>
    <w:p w:rsidR="00DA4D2A" w:rsidRPr="00684669" w:rsidRDefault="00DA4D2A" w:rsidP="00DA4D2A">
      <w:pPr>
        <w:pStyle w:val="SCCNormalDoubleSpacing"/>
        <w:spacing w:line="240" w:lineRule="auto"/>
        <w:rPr>
          <w:sz w:val="20"/>
        </w:rPr>
      </w:pPr>
      <w:r w:rsidRPr="00684669">
        <w:rPr>
          <w:sz w:val="20"/>
        </w:rPr>
        <w:tab/>
      </w:r>
      <w:r w:rsidRPr="00684669">
        <w:rPr>
          <w:i/>
          <w:sz w:val="20"/>
        </w:rPr>
        <w:t>Arrêt </w:t>
      </w:r>
      <w:r w:rsidRPr="00684669">
        <w:rPr>
          <w:sz w:val="20"/>
        </w:rPr>
        <w:t>:</w:t>
      </w:r>
      <w:r w:rsidRPr="00684669">
        <w:rPr>
          <w:i/>
          <w:sz w:val="20"/>
        </w:rPr>
        <w:t xml:space="preserve"> </w:t>
      </w:r>
      <w:r w:rsidRPr="00684669">
        <w:rPr>
          <w:sz w:val="20"/>
        </w:rPr>
        <w:t>Le pourvoi est accueilli en partie.</w:t>
      </w:r>
    </w:p>
    <w:p w:rsidR="00DA4D2A" w:rsidRPr="00684669" w:rsidRDefault="00DA4D2A" w:rsidP="00DA4D2A">
      <w:pPr>
        <w:pStyle w:val="SCCNormalDoubleSpacing"/>
        <w:spacing w:line="240" w:lineRule="auto"/>
        <w:rPr>
          <w:sz w:val="20"/>
        </w:rPr>
      </w:pPr>
    </w:p>
    <w:p w:rsidR="00DA4D2A" w:rsidRPr="00DA4D2A" w:rsidRDefault="00DA4D2A" w:rsidP="00DA4D2A">
      <w:pPr>
        <w:jc w:val="both"/>
        <w:rPr>
          <w:sz w:val="20"/>
          <w:lang w:val="fr-CA"/>
        </w:rPr>
      </w:pPr>
      <w:r w:rsidRPr="00DA4D2A">
        <w:rPr>
          <w:sz w:val="20"/>
          <w:lang w:val="fr-CA"/>
        </w:rPr>
        <w:tab/>
        <w:t>Il n’y a pas lieu d’intervenir afin de modifier les sommes accordées à M, S et K à titre personnel en compensation du préjudice moral qu’ils ont subi en raison des actes de B, car le juge de première instance n’a pas commis d’erreur manifeste et dominante dans la détermination du quantum des dommages compensatoires.  En l’espèce, les montants octroyés par le juge de première instance se situent bien à l’intérieur de la fourchette des indemnités acceptables en la matière et semblent raisonnables, même si les niveaux d’indemnisation de ce type de préjudice demeurent modérés.  Le fait que le juge de première instance n’ait pas considéré le préjudice psychologique de façon distincte des autres éléments du préjudice moral subi par M, S et K ne constitue pas en soi une erreur de principe révisable.  En l’espèce, le juge a adéquatement considéré le préjudice psychologique subi par M, S et K dans la détermination des indemnités qu’il leur a accordées.</w:t>
      </w:r>
    </w:p>
    <w:p w:rsidR="00DA4D2A" w:rsidRPr="00DA4D2A" w:rsidRDefault="00DA4D2A" w:rsidP="00DA4D2A">
      <w:pPr>
        <w:jc w:val="both"/>
        <w:rPr>
          <w:sz w:val="20"/>
          <w:lang w:val="fr-CA"/>
        </w:rPr>
      </w:pPr>
    </w:p>
    <w:p w:rsidR="00DA4D2A" w:rsidRPr="00DA4D2A" w:rsidRDefault="00DA4D2A" w:rsidP="00DA4D2A">
      <w:pPr>
        <w:jc w:val="both"/>
        <w:rPr>
          <w:sz w:val="20"/>
          <w:lang w:val="fr-CA"/>
        </w:rPr>
      </w:pPr>
      <w:r w:rsidRPr="00DA4D2A">
        <w:rPr>
          <w:sz w:val="20"/>
          <w:lang w:val="fr-CA"/>
        </w:rPr>
        <w:tab/>
        <w:t>Cependant, la demande de dommages</w:t>
      </w:r>
      <w:r w:rsidRPr="00DA4D2A">
        <w:rPr>
          <w:sz w:val="20"/>
          <w:lang w:val="fr-CA"/>
        </w:rPr>
        <w:noBreakHyphen/>
        <w:t xml:space="preserve">intérêts punitifs présentée en vertu de l’art. 49, al. 2 de la </w:t>
      </w:r>
      <w:r w:rsidRPr="00DA4D2A">
        <w:rPr>
          <w:i/>
          <w:sz w:val="20"/>
          <w:lang w:val="fr-CA"/>
        </w:rPr>
        <w:t>Charte</w:t>
      </w:r>
      <w:r w:rsidRPr="00DA4D2A">
        <w:rPr>
          <w:sz w:val="20"/>
          <w:lang w:val="fr-CA"/>
        </w:rPr>
        <w:t xml:space="preserve"> québécoise par M, S et K en leurs qualités d’héritiers et de liquidateurs des successions était admissible et ce, même en </w:t>
      </w:r>
      <w:r w:rsidRPr="00DA4D2A">
        <w:rPr>
          <w:sz w:val="20"/>
          <w:lang w:val="fr-CA"/>
        </w:rPr>
        <w:lastRenderedPageBreak/>
        <w:t>l’absence, en l’espèce, de condamnation à leur payer des dommages</w:t>
      </w:r>
      <w:r w:rsidRPr="00DA4D2A">
        <w:rPr>
          <w:sz w:val="20"/>
          <w:lang w:val="fr-CA"/>
        </w:rPr>
        <w:noBreakHyphen/>
        <w:t xml:space="preserve">intérêts compensatoires à ce titre.  À cet égard, une portée trop large a été donnée à l’opinion majoritaire dans l’affaire </w:t>
      </w:r>
      <w:r w:rsidRPr="00DA4D2A">
        <w:rPr>
          <w:i/>
          <w:sz w:val="20"/>
          <w:lang w:val="fr-CA"/>
        </w:rPr>
        <w:t>Béliveau St</w:t>
      </w:r>
      <w:r w:rsidRPr="00DA4D2A">
        <w:rPr>
          <w:i/>
          <w:sz w:val="20"/>
          <w:lang w:val="fr-CA"/>
        </w:rPr>
        <w:noBreakHyphen/>
        <w:t>Jacques</w:t>
      </w:r>
      <w:r w:rsidRPr="00DA4D2A">
        <w:rPr>
          <w:sz w:val="20"/>
          <w:lang w:val="fr-CA"/>
        </w:rPr>
        <w:t xml:space="preserve">, laquelle écarte le recours de l’art. 49, al. 2 de la </w:t>
      </w:r>
      <w:r w:rsidRPr="00DA4D2A">
        <w:rPr>
          <w:i/>
          <w:sz w:val="20"/>
          <w:lang w:val="fr-CA"/>
        </w:rPr>
        <w:t>Charte</w:t>
      </w:r>
      <w:r w:rsidRPr="00DA4D2A">
        <w:rPr>
          <w:sz w:val="20"/>
          <w:lang w:val="fr-CA"/>
        </w:rPr>
        <w:t xml:space="preserve"> dans les seuls cas visés par des régimes publics d’indemnisation.  En dehors de ce contexte, rien n’empêche de reconnaître le caractère autonome des dommages</w:t>
      </w:r>
      <w:r w:rsidRPr="00DA4D2A">
        <w:rPr>
          <w:sz w:val="20"/>
          <w:lang w:val="fr-CA"/>
        </w:rPr>
        <w:noBreakHyphen/>
        <w:t xml:space="preserve">intérêts punitifs.  En raison de son statut quasi constitutionnel, la </w:t>
      </w:r>
      <w:r w:rsidRPr="00DA4D2A">
        <w:rPr>
          <w:i/>
          <w:sz w:val="20"/>
          <w:lang w:val="fr-CA"/>
        </w:rPr>
        <w:t>Charte</w:t>
      </w:r>
      <w:r w:rsidRPr="00DA4D2A">
        <w:rPr>
          <w:sz w:val="20"/>
          <w:lang w:val="fr-CA"/>
        </w:rPr>
        <w:t xml:space="preserve"> a préséance, dans l’ordre normatif québécois, sur les règles de droit commun.  Nier l’autonomie du droit à ces dommages conféré par la </w:t>
      </w:r>
      <w:r w:rsidRPr="00DA4D2A">
        <w:rPr>
          <w:i/>
          <w:sz w:val="20"/>
          <w:lang w:val="fr-CA"/>
        </w:rPr>
        <w:t>Charte</w:t>
      </w:r>
      <w:r w:rsidRPr="00DA4D2A">
        <w:rPr>
          <w:sz w:val="20"/>
          <w:lang w:val="fr-CA"/>
        </w:rPr>
        <w:t xml:space="preserve"> en imposant à ceux qui l’invoquent le fardeau supplémentaire de démontrer d’abord qu’ils ont le droit d’exercer un recours dont ils ne veulent, ou ne peuvent pas, nécessairement se prévaloir revient à assujettir la mise en œuvre des droits et libertés que protège la </w:t>
      </w:r>
      <w:r w:rsidRPr="00DA4D2A">
        <w:rPr>
          <w:i/>
          <w:sz w:val="20"/>
          <w:lang w:val="fr-CA"/>
        </w:rPr>
        <w:t>Charte</w:t>
      </w:r>
      <w:r w:rsidRPr="00DA4D2A">
        <w:rPr>
          <w:sz w:val="20"/>
          <w:lang w:val="fr-CA"/>
        </w:rPr>
        <w:t xml:space="preserve"> aux règles des recours de droit civil.  Rien ne justifie que soit maintenu cet obstacle.</w:t>
      </w:r>
    </w:p>
    <w:p w:rsidR="00DA4D2A" w:rsidRPr="00DA4D2A" w:rsidRDefault="00DA4D2A" w:rsidP="00DA4D2A">
      <w:pPr>
        <w:jc w:val="both"/>
        <w:rPr>
          <w:sz w:val="20"/>
          <w:lang w:val="fr-CA"/>
        </w:rPr>
      </w:pPr>
    </w:p>
    <w:p w:rsidR="00DA4D2A" w:rsidRPr="00DA4D2A" w:rsidRDefault="00DA4D2A" w:rsidP="00DA4D2A">
      <w:pPr>
        <w:ind w:firstLine="720"/>
        <w:jc w:val="both"/>
        <w:rPr>
          <w:sz w:val="20"/>
          <w:lang w:val="fr-CA"/>
        </w:rPr>
      </w:pPr>
      <w:r w:rsidRPr="00DA4D2A">
        <w:rPr>
          <w:sz w:val="20"/>
          <w:lang w:val="fr-CA"/>
        </w:rPr>
        <w:t xml:space="preserve">De même, la conception du rôle des dommages punitifs selon laquelle il est inutile d’en octroyer lorsque l’auteur d’un acte illicite est décédé s’avère trop étroite et ne tient pas compte de l’utilité sociale que revêt cette forme d’intervention judiciaire.  L’article 1621 </w:t>
      </w:r>
      <w:r w:rsidRPr="00DA4D2A">
        <w:rPr>
          <w:i/>
          <w:sz w:val="20"/>
          <w:lang w:val="fr-CA"/>
        </w:rPr>
        <w:t>C.c.Q.</w:t>
      </w:r>
      <w:r w:rsidRPr="00DA4D2A">
        <w:rPr>
          <w:sz w:val="20"/>
          <w:lang w:val="fr-CA"/>
        </w:rPr>
        <w:t xml:space="preserve"> reconnaît aux dommages</w:t>
      </w:r>
      <w:r w:rsidRPr="00DA4D2A">
        <w:rPr>
          <w:sz w:val="20"/>
          <w:lang w:val="fr-CA"/>
        </w:rPr>
        <w:noBreakHyphen/>
        <w:t>intérêts punitifs une fonction préventive.  En raison du caractère exceptionnel de ces dommages</w:t>
      </w:r>
      <w:r w:rsidRPr="00DA4D2A">
        <w:rPr>
          <w:sz w:val="20"/>
          <w:lang w:val="fr-CA"/>
        </w:rPr>
        <w:noBreakHyphen/>
        <w:t xml:space="preserve">intérêts, les tribunaux ont limité leur emploi à la punition et à la dissuasion (particulière et générale) de comportements jugés socialement inacceptables.  Toutefois, puisqu’il contribue autant que la punition et la dissuasion à l’objectif préventif que vise l’art. 1621 </w:t>
      </w:r>
      <w:r w:rsidRPr="00DA4D2A">
        <w:rPr>
          <w:i/>
          <w:sz w:val="20"/>
          <w:lang w:val="fr-CA"/>
        </w:rPr>
        <w:t>C.c.Q.</w:t>
      </w:r>
      <w:r w:rsidRPr="00DA4D2A">
        <w:rPr>
          <w:sz w:val="20"/>
          <w:lang w:val="fr-CA"/>
        </w:rPr>
        <w:t>, aucune raison ne justifie le refus de reconnaître en droit civil québécois l’objectif de dénonciation des dommages</w:t>
      </w:r>
      <w:r w:rsidRPr="00DA4D2A">
        <w:rPr>
          <w:sz w:val="20"/>
          <w:lang w:val="fr-CA"/>
        </w:rPr>
        <w:noBreakHyphen/>
        <w:t xml:space="preserve">intérêts punitifs, surtout lorsque l’enjeu est le respect des droits et libertés que garantit la </w:t>
      </w:r>
      <w:r w:rsidRPr="00DA4D2A">
        <w:rPr>
          <w:i/>
          <w:sz w:val="20"/>
          <w:lang w:val="fr-CA"/>
        </w:rPr>
        <w:t>Charte</w:t>
      </w:r>
      <w:r w:rsidRPr="00DA4D2A">
        <w:rPr>
          <w:sz w:val="20"/>
          <w:lang w:val="fr-CA"/>
        </w:rPr>
        <w:t>.</w:t>
      </w:r>
    </w:p>
    <w:p w:rsidR="00DA4D2A" w:rsidRPr="00DA4D2A" w:rsidRDefault="00DA4D2A" w:rsidP="00DA4D2A">
      <w:pPr>
        <w:jc w:val="both"/>
        <w:rPr>
          <w:sz w:val="20"/>
          <w:lang w:val="fr-CA"/>
        </w:rPr>
      </w:pPr>
    </w:p>
    <w:p w:rsidR="00DA4D2A" w:rsidRPr="00684669" w:rsidRDefault="00DA4D2A" w:rsidP="00DA4D2A">
      <w:pPr>
        <w:pStyle w:val="SCCNormalDoubleSpacing"/>
        <w:spacing w:line="240" w:lineRule="auto"/>
        <w:rPr>
          <w:sz w:val="20"/>
        </w:rPr>
      </w:pPr>
      <w:r w:rsidRPr="00684669">
        <w:rPr>
          <w:sz w:val="20"/>
        </w:rPr>
        <w:tab/>
        <w:t>En l’espèce, l’imposition de dommages</w:t>
      </w:r>
      <w:r w:rsidRPr="00684669">
        <w:rPr>
          <w:sz w:val="20"/>
        </w:rPr>
        <w:noBreakHyphen/>
        <w:t xml:space="preserve">intérêts punitifs semble tout à fait indiquée dans les circonstances pour remplir la fonction de dénonciation des actes en cause et affirmer l’importance du droit à la vie.  Les meurtres commis par B constituent pour ses victimes une atteinte illicite à un droit protégé par la </w:t>
      </w:r>
      <w:r w:rsidRPr="00684669">
        <w:rPr>
          <w:i/>
          <w:sz w:val="20"/>
        </w:rPr>
        <w:t>Charte</w:t>
      </w:r>
      <w:r w:rsidRPr="00684669">
        <w:rPr>
          <w:sz w:val="20"/>
        </w:rPr>
        <w:t xml:space="preserve"> et étaient aussi une faute civile au sens du droit de la responsabilité civile.  L’atteinte était intentionnelle car B avait l’intention de porter atteinte à la vie de ses victimes au moment de commettre ses actes.  Puisque la succession de B est insolvable, une somme</w:t>
      </w:r>
      <w:r w:rsidRPr="00684669">
        <w:rPr>
          <w:color w:val="000000"/>
          <w:sz w:val="20"/>
        </w:rPr>
        <w:t xml:space="preserve"> globale </w:t>
      </w:r>
      <w:r w:rsidRPr="00684669">
        <w:rPr>
          <w:sz w:val="20"/>
        </w:rPr>
        <w:t>symbolique de 10 000 $</w:t>
      </w:r>
      <w:r w:rsidRPr="00684669">
        <w:rPr>
          <w:color w:val="000000"/>
          <w:sz w:val="20"/>
        </w:rPr>
        <w:t>,</w:t>
      </w:r>
      <w:r w:rsidRPr="00684669">
        <w:rPr>
          <w:sz w:val="20"/>
        </w:rPr>
        <w:t xml:space="preserve"> </w:t>
      </w:r>
      <w:r w:rsidRPr="00684669">
        <w:rPr>
          <w:color w:val="000000"/>
          <w:sz w:val="20"/>
        </w:rPr>
        <w:t xml:space="preserve">payable aux trois successions qui se la partageront également, </w:t>
      </w:r>
      <w:r w:rsidRPr="00684669">
        <w:rPr>
          <w:sz w:val="20"/>
        </w:rPr>
        <w:t>suffit pour atteindre l’objectif de dénonciation visé.  Puisque le droit successoral</w:t>
      </w:r>
      <w:r w:rsidRPr="00684669">
        <w:rPr>
          <w:color w:val="000000"/>
          <w:sz w:val="20"/>
        </w:rPr>
        <w:t xml:space="preserve"> du Québec</w:t>
      </w:r>
      <w:r w:rsidRPr="00684669">
        <w:rPr>
          <w:sz w:val="20"/>
        </w:rPr>
        <w:t xml:space="preserve"> prévoit la transmissibilité du droit d’action en dommages</w:t>
      </w:r>
      <w:r w:rsidRPr="00684669">
        <w:rPr>
          <w:sz w:val="20"/>
        </w:rPr>
        <w:noBreakHyphen/>
        <w:t xml:space="preserve">intérêts punitifs sous le régime de la </w:t>
      </w:r>
      <w:r w:rsidRPr="00684669">
        <w:rPr>
          <w:i/>
          <w:sz w:val="20"/>
        </w:rPr>
        <w:t>Charte</w:t>
      </w:r>
      <w:r w:rsidRPr="00684669">
        <w:rPr>
          <w:sz w:val="20"/>
        </w:rPr>
        <w:t xml:space="preserve"> aux héritiers, M, S et K pouvaient exercer ce recours successoral au nom des défuntes.  Toutefois, parce que rien n’indique que B avait l’intention de porter atteinte à l’intégrité psychologique de M, S et K, ni même qu’il ait réellement pensé aux conséquences qu’auraient pour eux les gestes qu’il a commis, leur recours personnel en dommages</w:t>
      </w:r>
      <w:r w:rsidRPr="00684669">
        <w:rPr>
          <w:sz w:val="20"/>
        </w:rPr>
        <w:noBreakHyphen/>
        <w:t>intérêts punitifs doit échouer.</w:t>
      </w:r>
    </w:p>
    <w:p w:rsidR="00DA4D2A" w:rsidRDefault="00DA4D2A" w:rsidP="00782AE4">
      <w:pPr>
        <w:rPr>
          <w:sz w:val="20"/>
          <w:szCs w:val="20"/>
          <w:lang w:val="fr-CA"/>
        </w:rPr>
      </w:pPr>
    </w:p>
    <w:p w:rsidR="00DA4D2A" w:rsidRPr="00684669" w:rsidRDefault="00DA4D2A" w:rsidP="00DA4D2A">
      <w:pPr>
        <w:pStyle w:val="SCCNormalDoubleSpacing"/>
        <w:spacing w:line="240" w:lineRule="auto"/>
        <w:rPr>
          <w:sz w:val="20"/>
        </w:rPr>
      </w:pPr>
      <w:r w:rsidRPr="00684669">
        <w:rPr>
          <w:sz w:val="20"/>
        </w:rPr>
        <w:tab/>
        <w:t xml:space="preserve">POURVOI </w:t>
      </w:r>
      <w:r w:rsidR="0047571A" w:rsidRPr="00684669">
        <w:rPr>
          <w:sz w:val="20"/>
          <w:lang w:val="en-CA"/>
        </w:rPr>
        <w:fldChar w:fldCharType="begin"/>
      </w:r>
      <w:r w:rsidRPr="00684669">
        <w:rPr>
          <w:sz w:val="20"/>
        </w:rPr>
        <w:instrText xml:space="preserve"> SEQ CHAPTER \h \r 1</w:instrText>
      </w:r>
      <w:r w:rsidR="0047571A" w:rsidRPr="00684669">
        <w:rPr>
          <w:sz w:val="20"/>
          <w:lang w:val="en-CA"/>
        </w:rPr>
        <w:fldChar w:fldCharType="end"/>
      </w:r>
      <w:r w:rsidRPr="00684669">
        <w:rPr>
          <w:sz w:val="20"/>
        </w:rPr>
        <w:t>contre un arrêt de la Cour d’appel du Québec (les juges Pelletier, Bich et Côté), 2008 QCCA 1577, [2008] R.J.Q. 2015, [2008] J.Q. n</w:t>
      </w:r>
      <w:r w:rsidRPr="00684669">
        <w:rPr>
          <w:sz w:val="20"/>
          <w:vertAlign w:val="superscript"/>
        </w:rPr>
        <w:t>o</w:t>
      </w:r>
      <w:r w:rsidRPr="00684669">
        <w:rPr>
          <w:sz w:val="20"/>
        </w:rPr>
        <w:t> 8007 (QL), 2008 CarswellQue 7957, qui a confirmé en partie un jugement du juge Trudel, 2006 QCCS 1677, [2006] R.J.Q. 1371, 40 C.C.L.T. (3d) 109, [2006] J.Q. n</w:t>
      </w:r>
      <w:r w:rsidRPr="00684669">
        <w:rPr>
          <w:sz w:val="20"/>
          <w:vertAlign w:val="superscript"/>
        </w:rPr>
        <w:t>o</w:t>
      </w:r>
      <w:r w:rsidRPr="00684669">
        <w:rPr>
          <w:sz w:val="20"/>
        </w:rPr>
        <w:t> 2848 (QL), 2006 CarswellQue 2552.  Pourvoi accueilli en partie.</w:t>
      </w:r>
    </w:p>
    <w:p w:rsidR="00DA4D2A" w:rsidRPr="00684669" w:rsidRDefault="00DA4D2A" w:rsidP="00DA4D2A">
      <w:pPr>
        <w:pStyle w:val="SCCNormalDoubleSpacing"/>
        <w:spacing w:line="240" w:lineRule="auto"/>
        <w:rPr>
          <w:sz w:val="20"/>
        </w:rPr>
      </w:pPr>
    </w:p>
    <w:p w:rsidR="00DA4D2A" w:rsidRPr="00DA4D2A" w:rsidRDefault="0047571A" w:rsidP="00DA4D2A">
      <w:pPr>
        <w:jc w:val="both"/>
        <w:rPr>
          <w:sz w:val="20"/>
          <w:lang w:val="fr-CA"/>
        </w:rPr>
      </w:pPr>
      <w:r w:rsidRPr="00684669">
        <w:rPr>
          <w:sz w:val="20"/>
        </w:rPr>
        <w:fldChar w:fldCharType="begin"/>
      </w:r>
      <w:r w:rsidR="00DA4D2A" w:rsidRPr="00DA4D2A">
        <w:rPr>
          <w:sz w:val="20"/>
          <w:lang w:val="fr-CA"/>
        </w:rPr>
        <w:instrText xml:space="preserve"> SEQ CHAPTER \h \r 1</w:instrText>
      </w:r>
      <w:r w:rsidRPr="00684669">
        <w:rPr>
          <w:sz w:val="20"/>
        </w:rPr>
        <w:fldChar w:fldCharType="end"/>
      </w:r>
      <w:r w:rsidR="00DA4D2A" w:rsidRPr="00DA4D2A">
        <w:rPr>
          <w:sz w:val="20"/>
          <w:lang w:val="fr-CA"/>
        </w:rPr>
        <w:tab/>
      </w:r>
      <w:r w:rsidR="00DA4D2A" w:rsidRPr="00DA4D2A">
        <w:rPr>
          <w:i/>
          <w:iCs/>
          <w:sz w:val="20"/>
          <w:lang w:val="fr-CA"/>
        </w:rPr>
        <w:t>Jean</w:t>
      </w:r>
      <w:r w:rsidR="00DA4D2A" w:rsidRPr="00DA4D2A">
        <w:rPr>
          <w:i/>
          <w:iCs/>
          <w:sz w:val="20"/>
          <w:lang w:val="fr-CA"/>
        </w:rPr>
        <w:noBreakHyphen/>
        <w:t>Félix</w:t>
      </w:r>
      <w:r w:rsidR="00DA4D2A" w:rsidRPr="00DA4D2A">
        <w:rPr>
          <w:sz w:val="20"/>
          <w:lang w:val="fr-CA"/>
        </w:rPr>
        <w:t xml:space="preserve"> </w:t>
      </w:r>
      <w:r w:rsidR="00DA4D2A" w:rsidRPr="00DA4D2A">
        <w:rPr>
          <w:i/>
          <w:iCs/>
          <w:sz w:val="20"/>
          <w:lang w:val="fr-CA"/>
        </w:rPr>
        <w:t>Racicot</w:t>
      </w:r>
      <w:r w:rsidR="00DA4D2A" w:rsidRPr="00DA4D2A">
        <w:rPr>
          <w:sz w:val="20"/>
          <w:lang w:val="fr-CA"/>
        </w:rPr>
        <w:t>, pour les appelants.</w:t>
      </w:r>
    </w:p>
    <w:p w:rsidR="00DA4D2A" w:rsidRPr="00DA4D2A" w:rsidRDefault="00DA4D2A" w:rsidP="00DA4D2A">
      <w:pPr>
        <w:jc w:val="both"/>
        <w:rPr>
          <w:sz w:val="20"/>
          <w:lang w:val="fr-CA"/>
        </w:rPr>
      </w:pPr>
    </w:p>
    <w:p w:rsidR="00DA4D2A" w:rsidRPr="00DA4D2A" w:rsidRDefault="00DA4D2A" w:rsidP="00DA4D2A">
      <w:pPr>
        <w:jc w:val="both"/>
        <w:rPr>
          <w:sz w:val="20"/>
          <w:lang w:val="fr-CA"/>
        </w:rPr>
      </w:pPr>
      <w:r w:rsidRPr="00DA4D2A">
        <w:rPr>
          <w:sz w:val="20"/>
          <w:lang w:val="fr-CA"/>
        </w:rPr>
        <w:tab/>
        <w:t>Personne n’a comparu pour l’intimée.</w:t>
      </w:r>
    </w:p>
    <w:p w:rsidR="00DA4D2A" w:rsidRPr="00DA4D2A" w:rsidRDefault="00DA4D2A" w:rsidP="00DA4D2A">
      <w:pPr>
        <w:jc w:val="both"/>
        <w:rPr>
          <w:sz w:val="20"/>
          <w:lang w:val="fr-CA"/>
        </w:rPr>
      </w:pPr>
    </w:p>
    <w:p w:rsidR="00DA4D2A" w:rsidRPr="00DA4D2A" w:rsidRDefault="00DA4D2A" w:rsidP="00DA4D2A">
      <w:pPr>
        <w:jc w:val="both"/>
        <w:rPr>
          <w:sz w:val="20"/>
          <w:lang w:val="fr-CA"/>
        </w:rPr>
      </w:pPr>
      <w:r w:rsidRPr="00DA4D2A">
        <w:rPr>
          <w:sz w:val="20"/>
          <w:lang w:val="fr-CA"/>
        </w:rPr>
        <w:tab/>
      </w:r>
      <w:r w:rsidRPr="00DA4D2A">
        <w:rPr>
          <w:i/>
          <w:iCs/>
          <w:sz w:val="20"/>
          <w:lang w:val="fr-CA"/>
        </w:rPr>
        <w:t>Jean</w:t>
      </w:r>
      <w:r w:rsidRPr="00DA4D2A">
        <w:rPr>
          <w:i/>
          <w:iCs/>
          <w:sz w:val="20"/>
          <w:lang w:val="fr-CA"/>
        </w:rPr>
        <w:noBreakHyphen/>
        <w:t>Yves Bernard</w:t>
      </w:r>
      <w:r w:rsidRPr="00DA4D2A">
        <w:rPr>
          <w:sz w:val="20"/>
          <w:lang w:val="fr-CA"/>
        </w:rPr>
        <w:t>, pour l’intervenant le procureur général du Québec.</w:t>
      </w:r>
    </w:p>
    <w:p w:rsidR="00DA4D2A" w:rsidRPr="00DA4D2A" w:rsidRDefault="00DA4D2A" w:rsidP="00DA4D2A">
      <w:pPr>
        <w:jc w:val="both"/>
        <w:rPr>
          <w:sz w:val="20"/>
          <w:lang w:val="fr-CA"/>
        </w:rPr>
      </w:pPr>
    </w:p>
    <w:p w:rsidR="00DA4D2A" w:rsidRPr="00DA4D2A" w:rsidRDefault="00DA4D2A" w:rsidP="00DA4D2A">
      <w:pPr>
        <w:jc w:val="both"/>
        <w:rPr>
          <w:sz w:val="20"/>
          <w:lang w:val="fr-CA"/>
        </w:rPr>
      </w:pPr>
      <w:r w:rsidRPr="00DA4D2A">
        <w:rPr>
          <w:sz w:val="20"/>
          <w:lang w:val="fr-CA"/>
        </w:rPr>
        <w:tab/>
      </w:r>
      <w:r w:rsidRPr="00DA4D2A">
        <w:rPr>
          <w:i/>
          <w:iCs/>
          <w:sz w:val="20"/>
          <w:lang w:val="fr-CA"/>
        </w:rPr>
        <w:t>Sébastien</w:t>
      </w:r>
      <w:r w:rsidRPr="00DA4D2A">
        <w:rPr>
          <w:sz w:val="20"/>
          <w:lang w:val="fr-CA"/>
        </w:rPr>
        <w:t xml:space="preserve"> </w:t>
      </w:r>
      <w:r w:rsidRPr="00DA4D2A">
        <w:rPr>
          <w:i/>
          <w:iCs/>
          <w:sz w:val="20"/>
          <w:lang w:val="fr-CA"/>
        </w:rPr>
        <w:t>Grammond</w:t>
      </w:r>
      <w:r w:rsidRPr="00DA4D2A">
        <w:rPr>
          <w:sz w:val="20"/>
          <w:lang w:val="fr-CA"/>
        </w:rPr>
        <w:t>, en qualité d’</w:t>
      </w:r>
      <w:r w:rsidRPr="00DA4D2A">
        <w:rPr>
          <w:i/>
          <w:iCs/>
          <w:sz w:val="20"/>
          <w:lang w:val="fr-CA"/>
        </w:rPr>
        <w:t>amicus curiae</w:t>
      </w:r>
      <w:r w:rsidRPr="00DA4D2A">
        <w:rPr>
          <w:sz w:val="20"/>
          <w:lang w:val="fr-CA"/>
        </w:rPr>
        <w:t>.</w:t>
      </w:r>
    </w:p>
    <w:p w:rsidR="00DA4D2A" w:rsidRPr="00DA4D2A" w:rsidRDefault="00DA4D2A" w:rsidP="00DA4D2A">
      <w:pPr>
        <w:jc w:val="both"/>
        <w:rPr>
          <w:sz w:val="20"/>
          <w:lang w:val="fr-CA"/>
        </w:rPr>
      </w:pPr>
    </w:p>
    <w:p w:rsidR="00DA4D2A" w:rsidRPr="00DA4D2A" w:rsidRDefault="00DA4D2A" w:rsidP="00DA4D2A">
      <w:pPr>
        <w:jc w:val="both"/>
        <w:rPr>
          <w:i/>
          <w:iCs/>
          <w:sz w:val="20"/>
          <w:lang w:val="fr-CA"/>
        </w:rPr>
      </w:pPr>
      <w:r w:rsidRPr="00DA4D2A">
        <w:rPr>
          <w:sz w:val="20"/>
          <w:lang w:val="fr-CA"/>
        </w:rPr>
        <w:tab/>
      </w:r>
      <w:r w:rsidRPr="00DA4D2A">
        <w:rPr>
          <w:i/>
          <w:iCs/>
          <w:sz w:val="20"/>
          <w:lang w:val="fr-CA"/>
        </w:rPr>
        <w:t>Procureur des appelants : Jean</w:t>
      </w:r>
      <w:r w:rsidRPr="00DA4D2A">
        <w:rPr>
          <w:i/>
          <w:iCs/>
          <w:sz w:val="20"/>
          <w:lang w:val="fr-CA"/>
        </w:rPr>
        <w:noBreakHyphen/>
        <w:t>Félix Racicot, Mont</w:t>
      </w:r>
      <w:r w:rsidRPr="00DA4D2A">
        <w:rPr>
          <w:i/>
          <w:iCs/>
          <w:sz w:val="20"/>
          <w:lang w:val="fr-CA"/>
        </w:rPr>
        <w:noBreakHyphen/>
        <w:t>St</w:t>
      </w:r>
      <w:r w:rsidRPr="00DA4D2A">
        <w:rPr>
          <w:i/>
          <w:iCs/>
          <w:sz w:val="20"/>
          <w:lang w:val="fr-CA"/>
        </w:rPr>
        <w:noBreakHyphen/>
        <w:t>Hilaire, Québec.</w:t>
      </w:r>
    </w:p>
    <w:p w:rsidR="00DA4D2A" w:rsidRPr="00DA4D2A" w:rsidRDefault="00DA4D2A" w:rsidP="00DA4D2A">
      <w:pPr>
        <w:jc w:val="both"/>
        <w:rPr>
          <w:sz w:val="20"/>
          <w:lang w:val="fr-CA"/>
        </w:rPr>
      </w:pPr>
    </w:p>
    <w:p w:rsidR="00DA4D2A" w:rsidRPr="00DA4D2A" w:rsidRDefault="00DA4D2A" w:rsidP="00DA4D2A">
      <w:pPr>
        <w:jc w:val="both"/>
        <w:rPr>
          <w:i/>
          <w:iCs/>
          <w:sz w:val="20"/>
          <w:lang w:val="fr-CA"/>
        </w:rPr>
      </w:pPr>
      <w:r w:rsidRPr="00DA4D2A">
        <w:rPr>
          <w:sz w:val="20"/>
          <w:lang w:val="fr-CA"/>
        </w:rPr>
        <w:tab/>
      </w:r>
      <w:r w:rsidRPr="00DA4D2A">
        <w:rPr>
          <w:i/>
          <w:iCs/>
          <w:sz w:val="20"/>
          <w:lang w:val="fr-CA"/>
        </w:rPr>
        <w:t>Procureur de l’intervenant le procureur général du Québec : Procureur général du Québec, Québec.</w:t>
      </w:r>
    </w:p>
    <w:p w:rsidR="00DA4D2A" w:rsidRPr="00DA4D2A" w:rsidRDefault="00DA4D2A" w:rsidP="00DA4D2A">
      <w:pPr>
        <w:jc w:val="both"/>
        <w:rPr>
          <w:i/>
          <w:iCs/>
          <w:sz w:val="20"/>
          <w:lang w:val="fr-CA"/>
        </w:rPr>
      </w:pPr>
    </w:p>
    <w:p w:rsidR="00DA4D2A" w:rsidRPr="00FB24F5" w:rsidRDefault="00DA4D2A" w:rsidP="00DA4D2A">
      <w:pPr>
        <w:rPr>
          <w:i/>
          <w:iCs/>
          <w:sz w:val="20"/>
          <w:lang w:val="fr-CA"/>
        </w:rPr>
      </w:pPr>
      <w:r w:rsidRPr="00DA4D2A">
        <w:rPr>
          <w:iCs/>
          <w:sz w:val="20"/>
          <w:lang w:val="fr-CA"/>
        </w:rPr>
        <w:tab/>
      </w:r>
      <w:r w:rsidRPr="00FB24F5">
        <w:rPr>
          <w:i/>
          <w:iCs/>
          <w:sz w:val="20"/>
          <w:lang w:val="fr-CA"/>
        </w:rPr>
        <w:t>Procureur nommé par la Cour en qualité d’amicus curiae : Sébastien Grammond, Ottawa.</w:t>
      </w:r>
    </w:p>
    <w:p w:rsidR="00DA4D2A" w:rsidRPr="00492DCE" w:rsidRDefault="00DA4D2A" w:rsidP="00DA4D2A">
      <w:pPr>
        <w:rPr>
          <w:sz w:val="20"/>
          <w:szCs w:val="20"/>
        </w:rPr>
      </w:pPr>
      <w:r w:rsidRPr="00492DCE">
        <w:rPr>
          <w:sz w:val="20"/>
          <w:szCs w:val="20"/>
        </w:rPr>
        <w:t>________________________</w:t>
      </w:r>
    </w:p>
    <w:p w:rsidR="00063E53" w:rsidRDefault="00063E53">
      <w:pPr>
        <w:rPr>
          <w:sz w:val="20"/>
          <w:szCs w:val="20"/>
        </w:rPr>
      </w:pPr>
      <w:r>
        <w:rPr>
          <w:sz w:val="20"/>
          <w:szCs w:val="20"/>
        </w:rPr>
        <w:br w:type="page"/>
      </w:r>
    </w:p>
    <w:p w:rsidR="00DA4D2A" w:rsidRPr="00E318CD" w:rsidRDefault="00DA4D2A" w:rsidP="00DA4D2A">
      <w:pPr>
        <w:jc w:val="both"/>
        <w:rPr>
          <w:sz w:val="20"/>
        </w:rPr>
      </w:pPr>
      <w:r w:rsidRPr="00E318CD">
        <w:rPr>
          <w:sz w:val="20"/>
        </w:rPr>
        <w:lastRenderedPageBreak/>
        <w:t>Present:  </w:t>
      </w:r>
      <w:proofErr w:type="spellStart"/>
      <w:r w:rsidRPr="00E318CD">
        <w:rPr>
          <w:sz w:val="20"/>
        </w:rPr>
        <w:t>McLachlin</w:t>
      </w:r>
      <w:proofErr w:type="spellEnd"/>
      <w:r w:rsidRPr="00E318CD">
        <w:rPr>
          <w:sz w:val="20"/>
        </w:rPr>
        <w:t xml:space="preserve"> C.J. and </w:t>
      </w:r>
      <w:proofErr w:type="spellStart"/>
      <w:r w:rsidRPr="00E318CD">
        <w:rPr>
          <w:sz w:val="20"/>
        </w:rPr>
        <w:t>LeBel</w:t>
      </w:r>
      <w:proofErr w:type="spellEnd"/>
      <w:r w:rsidRPr="00E318CD">
        <w:rPr>
          <w:sz w:val="20"/>
        </w:rPr>
        <w:t xml:space="preserve">, </w:t>
      </w:r>
      <w:proofErr w:type="spellStart"/>
      <w:r w:rsidRPr="00E318CD">
        <w:rPr>
          <w:sz w:val="20"/>
        </w:rPr>
        <w:t>Deschamps</w:t>
      </w:r>
      <w:proofErr w:type="spellEnd"/>
      <w:r w:rsidRPr="00E318CD">
        <w:rPr>
          <w:sz w:val="20"/>
        </w:rPr>
        <w:t>, Fish, Abella, Charron and Cromwell JJ.</w:t>
      </w:r>
    </w:p>
    <w:p w:rsidR="00DA4D2A" w:rsidRDefault="00DA4D2A" w:rsidP="00DA4D2A">
      <w:pPr>
        <w:rPr>
          <w:sz w:val="20"/>
          <w:szCs w:val="20"/>
        </w:rPr>
      </w:pPr>
    </w:p>
    <w:p w:rsidR="00DA4D2A" w:rsidRPr="00E318CD" w:rsidRDefault="00DA4D2A" w:rsidP="00DA4D2A">
      <w:pPr>
        <w:jc w:val="both"/>
        <w:rPr>
          <w:i/>
          <w:sz w:val="20"/>
        </w:rPr>
      </w:pPr>
      <w:r w:rsidRPr="00E318CD">
        <w:rPr>
          <w:i/>
          <w:sz w:val="20"/>
        </w:rPr>
        <w:tab/>
        <w:t>Damages — Quantum — Moral prejudice — Spouse killing former spouse and their two children before committing suicide — Relatives of victims bringing civil liability action against murderer’s succession both personally and in their capacity as heirs and liquidators of victims’ successions — Trial judge allowing personal damages claim for solatium doloris and loss of moral support and dismissing action by successions — Whether compensation for solatium doloris and loss of support adequate.</w:t>
      </w:r>
    </w:p>
    <w:p w:rsidR="00DA4D2A" w:rsidRPr="00E318CD" w:rsidRDefault="00DA4D2A" w:rsidP="00DA4D2A">
      <w:pPr>
        <w:jc w:val="both"/>
        <w:rPr>
          <w:i/>
          <w:sz w:val="20"/>
        </w:rPr>
      </w:pPr>
    </w:p>
    <w:p w:rsidR="00DA4D2A" w:rsidRPr="00E318CD" w:rsidRDefault="00DA4D2A" w:rsidP="00DA4D2A">
      <w:pPr>
        <w:jc w:val="both"/>
        <w:rPr>
          <w:i/>
          <w:sz w:val="20"/>
        </w:rPr>
      </w:pPr>
      <w:r w:rsidRPr="00E318CD">
        <w:rPr>
          <w:i/>
          <w:sz w:val="20"/>
        </w:rPr>
        <w:tab/>
        <w:t>Human rights — Compensation — Punitive damages — Autonomous nature — Death of perpetrator of illegal and intentional acts — Relatives of victims claiming punitive damages from murderer’s succession both personally and in their capacity as heirs and liquidators of victims’ successions — Whether absence of award of compensatory damages bars claim for punitive damages — Whether death of perpetrator of intentional wrong precludes award of punitive damages against his succession — Charter of human rights and freedoms, R.S.Q., c. C</w:t>
      </w:r>
      <w:r w:rsidRPr="00E318CD">
        <w:rPr>
          <w:i/>
          <w:sz w:val="20"/>
        </w:rPr>
        <w:noBreakHyphen/>
        <w:t>12, s. 49 — Civil Code of Québec, R.S.Q., c. C</w:t>
      </w:r>
      <w:r w:rsidRPr="00E318CD">
        <w:rPr>
          <w:i/>
          <w:sz w:val="20"/>
        </w:rPr>
        <w:noBreakHyphen/>
        <w:t>1991, art. 1621.</w:t>
      </w:r>
    </w:p>
    <w:p w:rsidR="00DA4D2A" w:rsidRPr="00E318CD" w:rsidRDefault="00DA4D2A" w:rsidP="00DA4D2A">
      <w:pPr>
        <w:jc w:val="both"/>
        <w:rPr>
          <w:sz w:val="20"/>
        </w:rPr>
      </w:pPr>
    </w:p>
    <w:p w:rsidR="00DA4D2A" w:rsidRPr="00E318CD" w:rsidRDefault="00DA4D2A" w:rsidP="00DA4D2A">
      <w:pPr>
        <w:ind w:firstLine="720"/>
        <w:jc w:val="both"/>
        <w:rPr>
          <w:sz w:val="20"/>
        </w:rPr>
      </w:pPr>
      <w:r w:rsidRPr="00E318CD">
        <w:rPr>
          <w:sz w:val="20"/>
          <w:lang w:val="en-US"/>
        </w:rPr>
        <w:t xml:space="preserve">In April 2002, B strangled his former spouse, drowned the couple’s two children, and then committed suicide.  M, S and K later instituted an action in civil liability, on their own behalf and as heirs and liquidators of the victims’ successions, claiming compensatory and punitive damages from B’s succession.  The trial judge denied the claim by the successions for two reasons.  First of all, he concluded that compensation claimed for pain, suffering and loss of expectation of life could be transmitted to heirs only where the evidence showed that a sufficient period of time had elapsed between the wrongful act and the death and that the victim had actually felt pain.  The fact that the deaths of the victims in this case were almost instantaneous meant that damages could not be awarded under this head.  Because the trial judge took the view that punitive damages are incidental to compensatory damages, he concluded that a right to punitive damages did not become part of the victims’ patrimony that would be transmitted to their heirs.  The judge added that the deterrent aspect of punitive damages no longer applied in any event because B was deceased.  However, the judge allowed the personal action of M, S and K and awarded them damages for </w:t>
      </w:r>
      <w:r w:rsidRPr="00E318CD">
        <w:rPr>
          <w:i/>
          <w:sz w:val="20"/>
          <w:lang w:val="en-US"/>
        </w:rPr>
        <w:t>solatium doloris</w:t>
      </w:r>
      <w:r w:rsidRPr="00E318CD">
        <w:rPr>
          <w:sz w:val="20"/>
          <w:lang w:val="en-US"/>
        </w:rPr>
        <w:t xml:space="preserve"> and loss of moral support.  </w:t>
      </w:r>
      <w:r w:rsidRPr="00E318CD">
        <w:rPr>
          <w:sz w:val="20"/>
        </w:rPr>
        <w:t>The Court of Appeal upheld the trial decision.</w:t>
      </w:r>
    </w:p>
    <w:p w:rsidR="00DA4D2A" w:rsidRPr="00E318CD" w:rsidRDefault="00DA4D2A" w:rsidP="00DA4D2A">
      <w:pPr>
        <w:jc w:val="both"/>
        <w:rPr>
          <w:sz w:val="20"/>
        </w:rPr>
      </w:pPr>
    </w:p>
    <w:p w:rsidR="00DA4D2A" w:rsidRPr="00E318CD" w:rsidRDefault="00DA4D2A" w:rsidP="00DA4D2A">
      <w:pPr>
        <w:jc w:val="both"/>
        <w:rPr>
          <w:sz w:val="20"/>
        </w:rPr>
      </w:pPr>
      <w:r w:rsidRPr="00E318CD">
        <w:rPr>
          <w:sz w:val="20"/>
        </w:rPr>
        <w:tab/>
      </w:r>
      <w:r w:rsidRPr="00E318CD">
        <w:rPr>
          <w:i/>
          <w:sz w:val="20"/>
        </w:rPr>
        <w:t>Held</w:t>
      </w:r>
      <w:r w:rsidRPr="00E318CD">
        <w:rPr>
          <w:sz w:val="20"/>
        </w:rPr>
        <w:t>:  The appeal should be allowed in part.</w:t>
      </w:r>
    </w:p>
    <w:p w:rsidR="00DA4D2A" w:rsidRPr="00E318CD" w:rsidRDefault="00DA4D2A" w:rsidP="00DA4D2A">
      <w:pPr>
        <w:jc w:val="both"/>
        <w:rPr>
          <w:sz w:val="20"/>
        </w:rPr>
      </w:pPr>
    </w:p>
    <w:p w:rsidR="00DA4D2A" w:rsidRPr="00E318CD" w:rsidRDefault="00DA4D2A" w:rsidP="00DA4D2A">
      <w:pPr>
        <w:jc w:val="both"/>
        <w:rPr>
          <w:sz w:val="20"/>
          <w:lang w:val="en-US"/>
        </w:rPr>
      </w:pPr>
      <w:r w:rsidRPr="00E318CD">
        <w:rPr>
          <w:sz w:val="20"/>
        </w:rPr>
        <w:tab/>
      </w:r>
      <w:r w:rsidRPr="00E318CD">
        <w:rPr>
          <w:sz w:val="20"/>
          <w:lang w:val="en-US"/>
        </w:rPr>
        <w:t>There is no reason to intervene to vary the amounts awarded to M, S and K personally as compensation for the moral prejudice they suffered as a result of B’s actions, because the trial judge did not commit any palpable and overriding error in determining the quantum of compensatory damages.  In this case, the amounts awarded by the trial judge are well within the range of acceptable compensation and seem reasonable, even if the compensation levels for this type of prejudice remain conservative.  T</w:t>
      </w:r>
      <w:r w:rsidRPr="00E318CD">
        <w:rPr>
          <w:sz w:val="20"/>
        </w:rPr>
        <w:t>he fact that the trial judge did not consider psychological prejudice separately from the other aspects of the moral prejudice suffered by M, S and K is not in itself a reviewable error in principle.</w:t>
      </w:r>
      <w:r w:rsidRPr="00E318CD">
        <w:rPr>
          <w:sz w:val="20"/>
          <w:lang w:val="en-US"/>
        </w:rPr>
        <w:t xml:space="preserve">  Here, the judge </w:t>
      </w:r>
      <w:r w:rsidRPr="00E318CD">
        <w:rPr>
          <w:sz w:val="20"/>
        </w:rPr>
        <w:t>properly considered the psychological prejudice suffered by M, S and K in determining the compensation he awarded them.</w:t>
      </w:r>
    </w:p>
    <w:p w:rsidR="00DA4D2A" w:rsidRPr="00E318CD" w:rsidRDefault="00DA4D2A" w:rsidP="00DA4D2A">
      <w:pPr>
        <w:jc w:val="both"/>
        <w:rPr>
          <w:sz w:val="20"/>
          <w:lang w:val="en-US"/>
        </w:rPr>
      </w:pPr>
    </w:p>
    <w:p w:rsidR="00DA4D2A" w:rsidRPr="00E318CD" w:rsidRDefault="00DA4D2A" w:rsidP="00DA4D2A">
      <w:pPr>
        <w:jc w:val="both"/>
        <w:rPr>
          <w:sz w:val="20"/>
        </w:rPr>
      </w:pPr>
      <w:r w:rsidRPr="00E318CD">
        <w:rPr>
          <w:sz w:val="20"/>
          <w:lang w:val="en-US"/>
        </w:rPr>
        <w:tab/>
      </w:r>
      <w:r w:rsidRPr="00E318CD">
        <w:rPr>
          <w:sz w:val="20"/>
        </w:rPr>
        <w:t xml:space="preserve">However, the claim for punitive damages under s. 49, para. 2 of the Quebec </w:t>
      </w:r>
      <w:r w:rsidRPr="00E318CD">
        <w:rPr>
          <w:i/>
          <w:sz w:val="20"/>
        </w:rPr>
        <w:t>Charter</w:t>
      </w:r>
      <w:r w:rsidRPr="00E318CD">
        <w:rPr>
          <w:sz w:val="20"/>
        </w:rPr>
        <w:t xml:space="preserve"> made by M, S and K in their capacity as heirs and liquidators of the successions was admissible, even in the absence, in this case, of an award of compensatory damages.  In this regard, the majority opinion in </w:t>
      </w:r>
      <w:r w:rsidRPr="00E318CD">
        <w:rPr>
          <w:i/>
          <w:sz w:val="20"/>
        </w:rPr>
        <w:t>Béliveau St</w:t>
      </w:r>
      <w:r w:rsidRPr="00E318CD">
        <w:rPr>
          <w:i/>
          <w:sz w:val="20"/>
        </w:rPr>
        <w:noBreakHyphen/>
        <w:t>Jacques</w:t>
      </w:r>
      <w:r w:rsidRPr="00E318CD">
        <w:rPr>
          <w:sz w:val="20"/>
        </w:rPr>
        <w:t xml:space="preserve"> has been given too broad a scope.  That opinion excluded an action under s. 49, para. 2 of the </w:t>
      </w:r>
      <w:r w:rsidRPr="00E318CD">
        <w:rPr>
          <w:i/>
          <w:sz w:val="20"/>
        </w:rPr>
        <w:t>Charter</w:t>
      </w:r>
      <w:r w:rsidRPr="00E318CD">
        <w:rPr>
          <w:sz w:val="20"/>
        </w:rPr>
        <w:t xml:space="preserve"> only in cases involving public compensation systems.  Outside that context, there is no reason not to recognize the autonomous nature of punitive damages.  The </w:t>
      </w:r>
      <w:r w:rsidRPr="00E318CD">
        <w:rPr>
          <w:i/>
          <w:sz w:val="20"/>
        </w:rPr>
        <w:t>Charter</w:t>
      </w:r>
      <w:r w:rsidRPr="00E318CD">
        <w:rPr>
          <w:sz w:val="20"/>
        </w:rPr>
        <w:t>’s quasi</w:t>
      </w:r>
      <w:r w:rsidRPr="00E318CD">
        <w:rPr>
          <w:sz w:val="20"/>
        </w:rPr>
        <w:noBreakHyphen/>
        <w:t xml:space="preserve">constitutional status means that it prevails over general legal rules in the Quebec normative order.  If the autonomy of the right to such damages conferred by the </w:t>
      </w:r>
      <w:r w:rsidRPr="00E318CD">
        <w:rPr>
          <w:i/>
          <w:sz w:val="20"/>
        </w:rPr>
        <w:t>Charter</w:t>
      </w:r>
      <w:r w:rsidRPr="00E318CD">
        <w:rPr>
          <w:sz w:val="20"/>
        </w:rPr>
        <w:t xml:space="preserve"> is denied by imposing on those asserting it the additional burden of first proving that they are entitled to bring an action that they may not necessarily wish or be able to bring, this amounts to making the implementation of the </w:t>
      </w:r>
      <w:r w:rsidRPr="00E318CD">
        <w:rPr>
          <w:i/>
          <w:sz w:val="20"/>
        </w:rPr>
        <w:t>Charter</w:t>
      </w:r>
      <w:r w:rsidRPr="00E318CD">
        <w:rPr>
          <w:sz w:val="20"/>
        </w:rPr>
        <w:t xml:space="preserve"> rights and freedoms subject to the rules applicable to civil law actions.  There is no justification for maintaining this obstacle.</w:t>
      </w:r>
    </w:p>
    <w:p w:rsidR="00DA4D2A" w:rsidRPr="00E318CD" w:rsidRDefault="00DA4D2A" w:rsidP="00DA4D2A">
      <w:pPr>
        <w:jc w:val="both"/>
        <w:rPr>
          <w:sz w:val="20"/>
        </w:rPr>
      </w:pPr>
    </w:p>
    <w:p w:rsidR="00DA4D2A" w:rsidRPr="00E318CD" w:rsidRDefault="00DA4D2A" w:rsidP="00DA4D2A">
      <w:pPr>
        <w:jc w:val="both"/>
        <w:rPr>
          <w:sz w:val="20"/>
        </w:rPr>
      </w:pPr>
      <w:r w:rsidRPr="00E318CD">
        <w:rPr>
          <w:sz w:val="20"/>
        </w:rPr>
        <w:tab/>
        <w:t xml:space="preserve">Similarly, it is too narrow a view of the role of punitive damages to say that there is no point in awarding them where the person who committed an unlawful act is deceased.  That view does not take account of the social utility of this form of judicial intervention.  Article 1621 </w:t>
      </w:r>
      <w:r w:rsidRPr="00E318CD">
        <w:rPr>
          <w:i/>
          <w:sz w:val="20"/>
        </w:rPr>
        <w:t>C.C.Q.</w:t>
      </w:r>
      <w:r w:rsidRPr="00E318CD">
        <w:rPr>
          <w:sz w:val="20"/>
        </w:rPr>
        <w:t xml:space="preserve"> recognizes the preventive purpose of punitive damages.  Because of the exceptional nature of these damages, the courts have been using them only for punishment and </w:t>
      </w:r>
      <w:r w:rsidRPr="00E318CD">
        <w:rPr>
          <w:sz w:val="20"/>
        </w:rPr>
        <w:lastRenderedPageBreak/>
        <w:t xml:space="preserve">deterrence (both specific and general) of conduct that is considered socially unacceptable.  However, since denunciation contributes to the preventive objective of art. 1621 </w:t>
      </w:r>
      <w:r w:rsidRPr="00E318CD">
        <w:rPr>
          <w:i/>
          <w:sz w:val="20"/>
        </w:rPr>
        <w:t>C.C.Q.</w:t>
      </w:r>
      <w:r w:rsidRPr="00E318CD">
        <w:rPr>
          <w:sz w:val="20"/>
        </w:rPr>
        <w:t xml:space="preserve"> just as much as punishment and deterrence, there is no reason to refuse to recognize denunciation as an objective of punitive damages in Quebec civil law, especially where the issue is respect for the rights and freedoms guaranteed by the </w:t>
      </w:r>
      <w:r w:rsidRPr="00E318CD">
        <w:rPr>
          <w:i/>
          <w:sz w:val="20"/>
        </w:rPr>
        <w:t>Charter</w:t>
      </w:r>
      <w:r w:rsidRPr="00E318CD">
        <w:rPr>
          <w:sz w:val="20"/>
        </w:rPr>
        <w:t>.</w:t>
      </w:r>
    </w:p>
    <w:p w:rsidR="00DA4D2A" w:rsidRPr="00E318CD" w:rsidRDefault="00DA4D2A" w:rsidP="00DA4D2A">
      <w:pPr>
        <w:jc w:val="both"/>
        <w:rPr>
          <w:sz w:val="20"/>
        </w:rPr>
      </w:pPr>
    </w:p>
    <w:p w:rsidR="00DA4D2A" w:rsidRDefault="00DA4D2A" w:rsidP="00DA4D2A">
      <w:pPr>
        <w:pStyle w:val="ListParagraph"/>
        <w:ind w:left="0"/>
        <w:jc w:val="both"/>
        <w:rPr>
          <w:sz w:val="20"/>
        </w:rPr>
      </w:pPr>
      <w:r w:rsidRPr="00E318CD">
        <w:rPr>
          <w:sz w:val="20"/>
        </w:rPr>
        <w:tab/>
        <w:t xml:space="preserve">In this case, awarding punitive damages seems entirely appropriate in the circumstances to denounce the acts in question and affirm the importance of the right to life.  The murders committed by B were for the victims an unlawful interference with a right protected by the </w:t>
      </w:r>
      <w:r w:rsidRPr="00E318CD">
        <w:rPr>
          <w:i/>
          <w:sz w:val="20"/>
        </w:rPr>
        <w:t xml:space="preserve">Charter </w:t>
      </w:r>
      <w:r w:rsidRPr="00E318CD">
        <w:rPr>
          <w:sz w:val="20"/>
        </w:rPr>
        <w:t xml:space="preserve">and were also a civil fault within the meaning of the law of civil liability.  The interference was intentional because B intended to deprive his victims of life at the time he acted.  Since B’s succession is insolvent, a symbolic lump sum of $10,000, payable to the three successions and to be shared among them equally, is sufficient to achieve the objective of denunciation.  Since the Quebec law of succession allows the right of action for punitive damages under the </w:t>
      </w:r>
      <w:r w:rsidRPr="00E318CD">
        <w:rPr>
          <w:i/>
          <w:sz w:val="20"/>
        </w:rPr>
        <w:t>Charter</w:t>
      </w:r>
      <w:r w:rsidRPr="00E318CD">
        <w:rPr>
          <w:sz w:val="20"/>
        </w:rPr>
        <w:t xml:space="preserve"> to be transmitted to a person’s heirs, M, S and K could bring this action by the successions on behalf of the victims.  However, because there is no reason to believe that B intended to interfere with the psychological inviolability of M, S and K or even that he actually thought about the consequences of his actions for them, their personal action for punitive damages cannot succeed.</w:t>
      </w:r>
    </w:p>
    <w:p w:rsidR="00DA4D2A" w:rsidRDefault="00DA4D2A" w:rsidP="00DA4D2A">
      <w:pPr>
        <w:pStyle w:val="ListParagraph"/>
        <w:ind w:left="0"/>
        <w:jc w:val="both"/>
        <w:rPr>
          <w:sz w:val="20"/>
        </w:rPr>
      </w:pPr>
    </w:p>
    <w:p w:rsidR="00DA4D2A" w:rsidRPr="00DA4D2A" w:rsidRDefault="00DA4D2A" w:rsidP="00DA4D2A">
      <w:pPr>
        <w:pStyle w:val="SCCNormalDoubleSpacing"/>
        <w:spacing w:line="240" w:lineRule="auto"/>
        <w:rPr>
          <w:sz w:val="20"/>
          <w:lang w:val="en-CA"/>
        </w:rPr>
      </w:pPr>
      <w:r w:rsidRPr="00492DCE">
        <w:rPr>
          <w:sz w:val="20"/>
          <w:lang w:val="en-CA"/>
        </w:rPr>
        <w:tab/>
      </w:r>
      <w:r w:rsidRPr="00DA4D2A">
        <w:rPr>
          <w:sz w:val="20"/>
          <w:lang w:val="en-CA"/>
        </w:rPr>
        <w:t>APPEAL from a judgment of the Quebec Court of Appeal (Pelletier, Bich and Côté JJ.A.), 2008 QCCA 1577, [2008] R.J.Q. 2015, [2008] J.Q. n</w:t>
      </w:r>
      <w:r w:rsidRPr="00DA4D2A">
        <w:rPr>
          <w:sz w:val="20"/>
          <w:vertAlign w:val="superscript"/>
          <w:lang w:val="en-CA"/>
        </w:rPr>
        <w:t>o</w:t>
      </w:r>
      <w:r w:rsidRPr="00DA4D2A">
        <w:rPr>
          <w:sz w:val="20"/>
          <w:lang w:val="en-CA"/>
        </w:rPr>
        <w:t> 8007 (QL), 2008 CarswellQue 7957, affirming in part a judgment of Trudel J., 2006 QCCS 1677, [2006] R.J.Q. 1371, 40 C.C.L.T. (3d) 109, [2006] J.Q. n</w:t>
      </w:r>
      <w:r w:rsidRPr="00DA4D2A">
        <w:rPr>
          <w:sz w:val="20"/>
          <w:vertAlign w:val="superscript"/>
          <w:lang w:val="en-CA"/>
        </w:rPr>
        <w:t>o</w:t>
      </w:r>
      <w:r w:rsidRPr="00DA4D2A">
        <w:rPr>
          <w:sz w:val="20"/>
          <w:lang w:val="en-CA"/>
        </w:rPr>
        <w:t> 2848 (QL), 2006 CarswellQue 2552.  Appeal allowed in part.</w:t>
      </w:r>
    </w:p>
    <w:p w:rsidR="00DA4D2A" w:rsidRPr="00DA4D2A" w:rsidRDefault="00DA4D2A" w:rsidP="00DA4D2A">
      <w:pPr>
        <w:pStyle w:val="SCCNormalDoubleSpacing"/>
        <w:spacing w:line="240" w:lineRule="auto"/>
        <w:rPr>
          <w:sz w:val="20"/>
          <w:lang w:val="en-CA"/>
        </w:rPr>
      </w:pPr>
    </w:p>
    <w:p w:rsidR="00DA4D2A" w:rsidRPr="00E318CD" w:rsidRDefault="0047571A" w:rsidP="00DA4D2A">
      <w:pPr>
        <w:jc w:val="both"/>
        <w:rPr>
          <w:sz w:val="20"/>
        </w:rPr>
      </w:pPr>
      <w:r w:rsidRPr="00E318CD">
        <w:rPr>
          <w:sz w:val="20"/>
        </w:rPr>
        <w:fldChar w:fldCharType="begin"/>
      </w:r>
      <w:r w:rsidR="00DA4D2A" w:rsidRPr="00E318CD">
        <w:rPr>
          <w:sz w:val="20"/>
        </w:rPr>
        <w:instrText xml:space="preserve"> SEQ CHAPTER \h \r 1</w:instrText>
      </w:r>
      <w:r w:rsidRPr="00E318CD">
        <w:rPr>
          <w:sz w:val="20"/>
        </w:rPr>
        <w:fldChar w:fldCharType="end"/>
      </w:r>
      <w:r w:rsidR="00DA4D2A" w:rsidRPr="00E318CD">
        <w:rPr>
          <w:sz w:val="20"/>
        </w:rPr>
        <w:tab/>
      </w:r>
      <w:r w:rsidR="00DA4D2A" w:rsidRPr="00E318CD">
        <w:rPr>
          <w:i/>
          <w:iCs/>
          <w:sz w:val="20"/>
        </w:rPr>
        <w:t>Jean</w:t>
      </w:r>
      <w:r w:rsidR="00DA4D2A" w:rsidRPr="00E318CD">
        <w:rPr>
          <w:i/>
          <w:iCs/>
          <w:sz w:val="20"/>
        </w:rPr>
        <w:noBreakHyphen/>
        <w:t>Félix</w:t>
      </w:r>
      <w:r w:rsidR="00DA4D2A" w:rsidRPr="00E318CD">
        <w:rPr>
          <w:sz w:val="20"/>
        </w:rPr>
        <w:t xml:space="preserve"> </w:t>
      </w:r>
      <w:r w:rsidR="00DA4D2A" w:rsidRPr="00E318CD">
        <w:rPr>
          <w:i/>
          <w:iCs/>
          <w:sz w:val="20"/>
        </w:rPr>
        <w:t>Racicot</w:t>
      </w:r>
      <w:r w:rsidR="00DA4D2A" w:rsidRPr="00E318CD">
        <w:rPr>
          <w:sz w:val="20"/>
        </w:rPr>
        <w:t>, for the appellants.</w:t>
      </w:r>
    </w:p>
    <w:p w:rsidR="00DA4D2A" w:rsidRPr="00E318CD" w:rsidRDefault="00DA4D2A" w:rsidP="00DA4D2A">
      <w:pPr>
        <w:jc w:val="both"/>
        <w:rPr>
          <w:sz w:val="20"/>
        </w:rPr>
      </w:pPr>
    </w:p>
    <w:p w:rsidR="00DA4D2A" w:rsidRPr="00E318CD" w:rsidRDefault="00DA4D2A" w:rsidP="00DA4D2A">
      <w:pPr>
        <w:jc w:val="both"/>
        <w:rPr>
          <w:sz w:val="20"/>
        </w:rPr>
      </w:pPr>
      <w:r w:rsidRPr="00E318CD">
        <w:rPr>
          <w:sz w:val="20"/>
        </w:rPr>
        <w:tab/>
        <w:t>No one appeared for the respondent.</w:t>
      </w:r>
    </w:p>
    <w:p w:rsidR="00DA4D2A" w:rsidRPr="00E318CD" w:rsidRDefault="00DA4D2A" w:rsidP="00DA4D2A">
      <w:pPr>
        <w:jc w:val="both"/>
        <w:rPr>
          <w:sz w:val="20"/>
        </w:rPr>
      </w:pPr>
    </w:p>
    <w:p w:rsidR="00DA4D2A" w:rsidRPr="00E318CD" w:rsidRDefault="00DA4D2A" w:rsidP="00DA4D2A">
      <w:pPr>
        <w:jc w:val="both"/>
        <w:rPr>
          <w:sz w:val="20"/>
        </w:rPr>
      </w:pPr>
      <w:r w:rsidRPr="00E318CD">
        <w:rPr>
          <w:sz w:val="20"/>
        </w:rPr>
        <w:tab/>
      </w:r>
      <w:r w:rsidRPr="00E318CD">
        <w:rPr>
          <w:i/>
          <w:iCs/>
          <w:sz w:val="20"/>
        </w:rPr>
        <w:t>Jean</w:t>
      </w:r>
      <w:r w:rsidRPr="00E318CD">
        <w:rPr>
          <w:i/>
          <w:iCs/>
          <w:sz w:val="20"/>
        </w:rPr>
        <w:noBreakHyphen/>
        <w:t>Yves Bernard</w:t>
      </w:r>
      <w:r w:rsidRPr="00E318CD">
        <w:rPr>
          <w:sz w:val="20"/>
        </w:rPr>
        <w:t>, for the intervener the Attorney General of Quebec.</w:t>
      </w:r>
    </w:p>
    <w:p w:rsidR="00DA4D2A" w:rsidRPr="00E318CD" w:rsidRDefault="00DA4D2A" w:rsidP="00DA4D2A">
      <w:pPr>
        <w:jc w:val="both"/>
        <w:rPr>
          <w:sz w:val="20"/>
        </w:rPr>
      </w:pPr>
    </w:p>
    <w:p w:rsidR="00DA4D2A" w:rsidRPr="00E318CD" w:rsidRDefault="00DA4D2A" w:rsidP="00DA4D2A">
      <w:pPr>
        <w:jc w:val="both"/>
        <w:rPr>
          <w:sz w:val="20"/>
        </w:rPr>
      </w:pPr>
      <w:r w:rsidRPr="00E318CD">
        <w:rPr>
          <w:sz w:val="20"/>
        </w:rPr>
        <w:tab/>
      </w:r>
      <w:r w:rsidRPr="00E318CD">
        <w:rPr>
          <w:i/>
          <w:iCs/>
          <w:sz w:val="20"/>
        </w:rPr>
        <w:t>Sébastien</w:t>
      </w:r>
      <w:r w:rsidRPr="00E318CD">
        <w:rPr>
          <w:sz w:val="20"/>
        </w:rPr>
        <w:t xml:space="preserve"> </w:t>
      </w:r>
      <w:r w:rsidRPr="00E318CD">
        <w:rPr>
          <w:i/>
          <w:iCs/>
          <w:sz w:val="20"/>
        </w:rPr>
        <w:t>Grammond</w:t>
      </w:r>
      <w:r w:rsidRPr="00E318CD">
        <w:rPr>
          <w:sz w:val="20"/>
        </w:rPr>
        <w:t xml:space="preserve">, as </w:t>
      </w:r>
      <w:r w:rsidRPr="00E318CD">
        <w:rPr>
          <w:i/>
          <w:iCs/>
          <w:sz w:val="20"/>
        </w:rPr>
        <w:t>amicus curiae</w:t>
      </w:r>
      <w:r w:rsidRPr="00E318CD">
        <w:rPr>
          <w:sz w:val="20"/>
        </w:rPr>
        <w:t>.</w:t>
      </w:r>
    </w:p>
    <w:p w:rsidR="00DA4D2A" w:rsidRPr="00E318CD" w:rsidRDefault="00DA4D2A" w:rsidP="00DA4D2A">
      <w:pPr>
        <w:jc w:val="both"/>
        <w:rPr>
          <w:sz w:val="20"/>
        </w:rPr>
      </w:pPr>
    </w:p>
    <w:p w:rsidR="00DA4D2A" w:rsidRPr="00E318CD" w:rsidRDefault="00DA4D2A" w:rsidP="00DA4D2A">
      <w:pPr>
        <w:jc w:val="both"/>
        <w:rPr>
          <w:i/>
          <w:iCs/>
          <w:sz w:val="20"/>
        </w:rPr>
      </w:pPr>
      <w:r w:rsidRPr="00E318CD">
        <w:rPr>
          <w:sz w:val="20"/>
        </w:rPr>
        <w:tab/>
      </w:r>
      <w:r w:rsidRPr="00E318CD">
        <w:rPr>
          <w:i/>
          <w:iCs/>
          <w:sz w:val="20"/>
        </w:rPr>
        <w:t>Solicitor for the appellants:  Jean</w:t>
      </w:r>
      <w:r w:rsidRPr="00E318CD">
        <w:rPr>
          <w:i/>
          <w:iCs/>
          <w:sz w:val="20"/>
        </w:rPr>
        <w:noBreakHyphen/>
        <w:t>Félix Racicot, Mont</w:t>
      </w:r>
      <w:r w:rsidRPr="00E318CD">
        <w:rPr>
          <w:i/>
          <w:iCs/>
          <w:sz w:val="20"/>
        </w:rPr>
        <w:noBreakHyphen/>
        <w:t>St</w:t>
      </w:r>
      <w:r w:rsidRPr="00E318CD">
        <w:rPr>
          <w:i/>
          <w:iCs/>
          <w:sz w:val="20"/>
        </w:rPr>
        <w:noBreakHyphen/>
        <w:t>Hilaire, Quebec.</w:t>
      </w:r>
    </w:p>
    <w:p w:rsidR="00DA4D2A" w:rsidRPr="00E318CD" w:rsidRDefault="00DA4D2A" w:rsidP="00DA4D2A">
      <w:pPr>
        <w:jc w:val="both"/>
        <w:rPr>
          <w:sz w:val="20"/>
        </w:rPr>
      </w:pPr>
    </w:p>
    <w:p w:rsidR="00DA4D2A" w:rsidRPr="00E318CD" w:rsidRDefault="00DA4D2A" w:rsidP="00DA4D2A">
      <w:pPr>
        <w:jc w:val="both"/>
        <w:rPr>
          <w:i/>
          <w:iCs/>
          <w:sz w:val="20"/>
        </w:rPr>
      </w:pPr>
      <w:r w:rsidRPr="00E318CD">
        <w:rPr>
          <w:sz w:val="20"/>
        </w:rPr>
        <w:tab/>
      </w:r>
      <w:r w:rsidRPr="00E318CD">
        <w:rPr>
          <w:i/>
          <w:iCs/>
          <w:sz w:val="20"/>
        </w:rPr>
        <w:t>Solicitor for the intervener the Attorney General of Quebec:  Attorney General of Quebec, Québec.</w:t>
      </w:r>
    </w:p>
    <w:p w:rsidR="00DA4D2A" w:rsidRPr="00E318CD" w:rsidRDefault="00DA4D2A" w:rsidP="00DA4D2A">
      <w:pPr>
        <w:jc w:val="both"/>
        <w:rPr>
          <w:i/>
          <w:iCs/>
          <w:sz w:val="20"/>
        </w:rPr>
      </w:pPr>
    </w:p>
    <w:p w:rsidR="00DA4D2A" w:rsidRPr="00891092" w:rsidRDefault="00DA4D2A" w:rsidP="00DA4D2A">
      <w:pPr>
        <w:pStyle w:val="ListParagraph"/>
        <w:ind w:left="0"/>
        <w:jc w:val="both"/>
        <w:rPr>
          <w:i/>
          <w:sz w:val="20"/>
        </w:rPr>
      </w:pPr>
      <w:r w:rsidRPr="00E318CD">
        <w:rPr>
          <w:iCs/>
          <w:sz w:val="20"/>
        </w:rPr>
        <w:tab/>
      </w:r>
      <w:r w:rsidRPr="00891092">
        <w:rPr>
          <w:i/>
          <w:iCs/>
          <w:sz w:val="20"/>
        </w:rPr>
        <w:t>Solicitor appointed by the Court as amicus curiae:  Sébastien Grammond, Ottawa.</w:t>
      </w:r>
    </w:p>
    <w:p w:rsidR="00DA4D2A" w:rsidRPr="00DA4D2A" w:rsidRDefault="00DA4D2A" w:rsidP="00DA4D2A">
      <w:pPr>
        <w:rPr>
          <w:sz w:val="20"/>
          <w:szCs w:val="20"/>
        </w:rPr>
      </w:pPr>
    </w:p>
    <w:p w:rsidR="00DA4D2A" w:rsidRDefault="0047571A" w:rsidP="00DA4D2A">
      <w:pPr>
        <w:rPr>
          <w:b/>
        </w:rPr>
      </w:pPr>
      <w:r w:rsidRPr="0047571A">
        <w:rPr>
          <w:b/>
        </w:rPr>
        <w:pict>
          <v:rect id="_x0000_i1051" style="width:2in;height:1pt" o:hrpct="0" o:hralign="center" o:hrstd="t" o:hrnoshade="t" o:hr="t" fillcolor="black [3213]" stroked="f"/>
        </w:pict>
      </w:r>
    </w:p>
    <w:p w:rsidR="00273CBA" w:rsidRDefault="00273CBA" w:rsidP="00DA4D2A">
      <w:pPr>
        <w:rPr>
          <w:b/>
        </w:rPr>
      </w:pPr>
    </w:p>
    <w:p w:rsidR="00273CBA" w:rsidRDefault="00273CBA">
      <w:pPr>
        <w:rPr>
          <w:iCs/>
          <w:sz w:val="20"/>
          <w:lang w:val="fr-CA"/>
        </w:rPr>
      </w:pPr>
      <w:r>
        <w:rPr>
          <w:iCs/>
          <w:sz w:val="20"/>
          <w:lang w:val="fr-CA"/>
        </w:rPr>
        <w:br w:type="page"/>
      </w:r>
    </w:p>
    <w:p w:rsidR="00273CBA" w:rsidRPr="00063E53" w:rsidRDefault="00273CBA" w:rsidP="00273CBA">
      <w:pPr>
        <w:jc w:val="both"/>
        <w:rPr>
          <w:rFonts w:eastAsia="Calibri" w:cs="Times New Roman"/>
          <w:sz w:val="20"/>
          <w:szCs w:val="20"/>
        </w:rPr>
      </w:pPr>
      <w:r w:rsidRPr="00273CBA">
        <w:rPr>
          <w:rFonts w:eastAsia="Calibri" w:cs="Times New Roman"/>
          <w:i/>
          <w:sz w:val="20"/>
          <w:szCs w:val="20"/>
        </w:rPr>
        <w:lastRenderedPageBreak/>
        <w:t>Christopher John Lee v. Her Majesty the Queen</w:t>
      </w:r>
      <w:r w:rsidRPr="00273CBA">
        <w:rPr>
          <w:rFonts w:eastAsia="Calibri" w:cs="Times New Roman"/>
          <w:sz w:val="20"/>
          <w:szCs w:val="20"/>
        </w:rPr>
        <w:t xml:space="preserve"> (Alta.) </w:t>
      </w:r>
      <w:r w:rsidRPr="00063E53">
        <w:rPr>
          <w:rFonts w:eastAsia="Calibri" w:cs="Times New Roman"/>
          <w:sz w:val="20"/>
          <w:szCs w:val="20"/>
        </w:rPr>
        <w:t>(33575)</w:t>
      </w:r>
    </w:p>
    <w:p w:rsidR="00337357" w:rsidRPr="00337357" w:rsidRDefault="00337357" w:rsidP="00337357">
      <w:pPr>
        <w:jc w:val="both"/>
        <w:rPr>
          <w:rFonts w:cs="Times New Roman"/>
          <w:b/>
          <w:sz w:val="20"/>
          <w:szCs w:val="20"/>
        </w:rPr>
      </w:pPr>
      <w:r w:rsidRPr="00F3488B">
        <w:rPr>
          <w:rFonts w:cs="Times New Roman"/>
          <w:b/>
          <w:sz w:val="20"/>
          <w:szCs w:val="20"/>
        </w:rPr>
        <w:t xml:space="preserve">Indexed as:  R. </w:t>
      </w:r>
      <w:r w:rsidRPr="00F3488B">
        <w:rPr>
          <w:rFonts w:cs="Times New Roman"/>
          <w:b/>
          <w:i/>
          <w:sz w:val="20"/>
          <w:szCs w:val="20"/>
        </w:rPr>
        <w:t>v</w:t>
      </w:r>
      <w:r w:rsidRPr="00F3488B">
        <w:rPr>
          <w:rFonts w:cs="Times New Roman"/>
          <w:b/>
          <w:sz w:val="20"/>
          <w:szCs w:val="20"/>
        </w:rPr>
        <w:t xml:space="preserve">. </w:t>
      </w:r>
      <w:r w:rsidRPr="00F3488B">
        <w:rPr>
          <w:rStyle w:val="SCCAppellantForIndexChar"/>
          <w:rFonts w:eastAsiaTheme="minorHAnsi"/>
          <w:sz w:val="20"/>
        </w:rPr>
        <w:t>Lee</w:t>
      </w:r>
      <w:r>
        <w:rPr>
          <w:rStyle w:val="SCCAppellantForIndexChar"/>
          <w:rFonts w:eastAsiaTheme="minorHAnsi"/>
          <w:sz w:val="20"/>
        </w:rPr>
        <w:t xml:space="preserve"> / </w:t>
      </w:r>
      <w:proofErr w:type="gramStart"/>
      <w:r w:rsidRPr="00337357">
        <w:rPr>
          <w:rFonts w:cs="Times New Roman"/>
          <w:b/>
          <w:sz w:val="20"/>
          <w:szCs w:val="20"/>
        </w:rPr>
        <w:t>Répertorié :</w:t>
      </w:r>
      <w:proofErr w:type="gramEnd"/>
      <w:r w:rsidRPr="00337357">
        <w:rPr>
          <w:rFonts w:cs="Times New Roman"/>
          <w:b/>
          <w:sz w:val="20"/>
          <w:szCs w:val="20"/>
        </w:rPr>
        <w:t xml:space="preserve"> R. </w:t>
      </w:r>
      <w:r w:rsidRPr="00337357">
        <w:rPr>
          <w:rFonts w:cs="Times New Roman"/>
          <w:b/>
          <w:i/>
          <w:sz w:val="20"/>
          <w:szCs w:val="20"/>
        </w:rPr>
        <w:t>c</w:t>
      </w:r>
      <w:r w:rsidRPr="00337357">
        <w:rPr>
          <w:rFonts w:cs="Times New Roman"/>
          <w:b/>
          <w:sz w:val="20"/>
          <w:szCs w:val="20"/>
        </w:rPr>
        <w:t xml:space="preserve">. </w:t>
      </w:r>
      <w:r w:rsidRPr="00337357">
        <w:rPr>
          <w:rStyle w:val="SCCAppellantForIndexChar"/>
          <w:rFonts w:eastAsiaTheme="minorHAnsi"/>
          <w:sz w:val="20"/>
        </w:rPr>
        <w:t>Lee</w:t>
      </w:r>
    </w:p>
    <w:p w:rsidR="00273CBA" w:rsidRPr="00492DCE" w:rsidRDefault="00273CBA" w:rsidP="00273CBA">
      <w:pPr>
        <w:rPr>
          <w:sz w:val="20"/>
          <w:szCs w:val="20"/>
          <w:lang w:val="fr-CA"/>
        </w:rPr>
      </w:pPr>
      <w:r w:rsidRPr="00492DCE">
        <w:rPr>
          <w:b/>
          <w:sz w:val="20"/>
          <w:szCs w:val="20"/>
          <w:lang w:val="fr-CA"/>
        </w:rPr>
        <w:t>Neutral citation:  2010 SCC 5</w:t>
      </w:r>
      <w:r w:rsidR="00337357">
        <w:rPr>
          <w:b/>
          <w:sz w:val="20"/>
          <w:szCs w:val="20"/>
          <w:lang w:val="fr-CA"/>
        </w:rPr>
        <w:t>2</w:t>
      </w:r>
      <w:r w:rsidRPr="00492DCE">
        <w:rPr>
          <w:sz w:val="20"/>
          <w:szCs w:val="20"/>
          <w:lang w:val="fr-CA"/>
        </w:rPr>
        <w:t xml:space="preserve"> / </w:t>
      </w:r>
      <w:r w:rsidRPr="00492DCE">
        <w:rPr>
          <w:b/>
          <w:sz w:val="20"/>
          <w:szCs w:val="20"/>
          <w:lang w:val="fr-CA"/>
        </w:rPr>
        <w:t>Référence neutre : 2010 CSC 5</w:t>
      </w:r>
      <w:r w:rsidR="00337357">
        <w:rPr>
          <w:b/>
          <w:sz w:val="20"/>
          <w:szCs w:val="20"/>
          <w:lang w:val="fr-CA"/>
        </w:rPr>
        <w:t>2</w:t>
      </w:r>
    </w:p>
    <w:p w:rsidR="00273CBA" w:rsidRPr="00DA4D2A" w:rsidRDefault="00273CBA" w:rsidP="00273CBA">
      <w:pPr>
        <w:rPr>
          <w:sz w:val="20"/>
          <w:szCs w:val="20"/>
          <w:lang w:val="fr-CA"/>
        </w:rPr>
      </w:pPr>
      <w:r w:rsidRPr="00DA4D2A">
        <w:rPr>
          <w:sz w:val="20"/>
          <w:szCs w:val="20"/>
          <w:lang w:val="fr-CA"/>
        </w:rPr>
        <w:t xml:space="preserve">Hearing:  </w:t>
      </w:r>
      <w:r w:rsidR="00337357">
        <w:rPr>
          <w:sz w:val="20"/>
          <w:szCs w:val="20"/>
          <w:lang w:val="fr-CA"/>
        </w:rPr>
        <w:t>November 3</w:t>
      </w:r>
      <w:r w:rsidRPr="00DA4D2A">
        <w:rPr>
          <w:sz w:val="20"/>
          <w:szCs w:val="20"/>
          <w:lang w:val="fr-CA"/>
        </w:rPr>
        <w:t>, 2010 / Judgment:  November 1</w:t>
      </w:r>
      <w:r w:rsidR="00337357">
        <w:rPr>
          <w:sz w:val="20"/>
          <w:szCs w:val="20"/>
          <w:lang w:val="fr-CA"/>
        </w:rPr>
        <w:t>2</w:t>
      </w:r>
      <w:r w:rsidRPr="00DA4D2A">
        <w:rPr>
          <w:sz w:val="20"/>
          <w:szCs w:val="20"/>
          <w:lang w:val="fr-CA"/>
        </w:rPr>
        <w:t>, 2010</w:t>
      </w:r>
    </w:p>
    <w:p w:rsidR="00273CBA" w:rsidRPr="00C50A5C" w:rsidRDefault="00273CBA" w:rsidP="00273CBA">
      <w:pPr>
        <w:rPr>
          <w:sz w:val="20"/>
          <w:szCs w:val="20"/>
          <w:lang w:val="fr-CA"/>
        </w:rPr>
      </w:pPr>
      <w:r w:rsidRPr="00C50A5C">
        <w:rPr>
          <w:sz w:val="20"/>
          <w:szCs w:val="20"/>
          <w:lang w:val="fr-CA"/>
        </w:rPr>
        <w:t xml:space="preserve">Audition : Le </w:t>
      </w:r>
      <w:r w:rsidR="00337357">
        <w:rPr>
          <w:sz w:val="20"/>
          <w:szCs w:val="20"/>
          <w:lang w:val="fr-CA"/>
        </w:rPr>
        <w:t>3 novembre</w:t>
      </w:r>
      <w:r w:rsidRPr="00C50A5C">
        <w:rPr>
          <w:sz w:val="20"/>
          <w:szCs w:val="20"/>
          <w:lang w:val="fr-CA"/>
        </w:rPr>
        <w:t xml:space="preserve"> 20</w:t>
      </w:r>
      <w:r>
        <w:rPr>
          <w:sz w:val="20"/>
          <w:szCs w:val="20"/>
          <w:lang w:val="fr-CA"/>
        </w:rPr>
        <w:t>1</w:t>
      </w:r>
      <w:r w:rsidRPr="00C50A5C">
        <w:rPr>
          <w:sz w:val="20"/>
          <w:szCs w:val="20"/>
          <w:lang w:val="fr-CA"/>
        </w:rPr>
        <w:t xml:space="preserve">0 / Jugement : Le </w:t>
      </w:r>
      <w:r>
        <w:rPr>
          <w:sz w:val="20"/>
          <w:szCs w:val="20"/>
          <w:lang w:val="fr-CA"/>
        </w:rPr>
        <w:t>1</w:t>
      </w:r>
      <w:r w:rsidR="00337357">
        <w:rPr>
          <w:sz w:val="20"/>
          <w:szCs w:val="20"/>
          <w:lang w:val="fr-CA"/>
        </w:rPr>
        <w:t>2</w:t>
      </w:r>
      <w:r>
        <w:rPr>
          <w:sz w:val="20"/>
          <w:szCs w:val="20"/>
          <w:lang w:val="fr-CA"/>
        </w:rPr>
        <w:t xml:space="preserve"> novembre</w:t>
      </w:r>
      <w:r w:rsidRPr="00C50A5C">
        <w:rPr>
          <w:sz w:val="20"/>
          <w:szCs w:val="20"/>
          <w:lang w:val="fr-CA"/>
        </w:rPr>
        <w:t xml:space="preserve"> 2010</w:t>
      </w:r>
    </w:p>
    <w:p w:rsidR="00273CBA" w:rsidRPr="00C50A5C" w:rsidRDefault="0047571A" w:rsidP="00273CBA">
      <w:pPr>
        <w:rPr>
          <w:sz w:val="20"/>
          <w:szCs w:val="20"/>
          <w:lang w:val="fr-CA"/>
        </w:rPr>
      </w:pPr>
      <w:r w:rsidRPr="0047571A">
        <w:rPr>
          <w:i/>
          <w:sz w:val="20"/>
          <w:szCs w:val="20"/>
        </w:rPr>
        <w:pict>
          <v:rect id="_x0000_i1052" style="width:480.95pt;height:1pt" o:hralign="center" o:hrstd="t" o:hrnoshade="t" o:hr="t" fillcolor="black [3213]" stroked="f"/>
        </w:pict>
      </w:r>
    </w:p>
    <w:p w:rsidR="00273CBA" w:rsidRDefault="00273CBA" w:rsidP="00DA4D2A">
      <w:pPr>
        <w:rPr>
          <w:iCs/>
          <w:sz w:val="20"/>
          <w:lang w:val="fr-CA"/>
        </w:rPr>
      </w:pPr>
    </w:p>
    <w:p w:rsidR="00337357" w:rsidRPr="00F3488B" w:rsidRDefault="00337357" w:rsidP="00337357">
      <w:pPr>
        <w:jc w:val="both"/>
        <w:rPr>
          <w:rFonts w:cs="Times New Roman"/>
          <w:sz w:val="20"/>
          <w:szCs w:val="20"/>
        </w:rPr>
      </w:pPr>
      <w:r w:rsidRPr="00F3488B">
        <w:rPr>
          <w:rFonts w:cs="Times New Roman"/>
          <w:sz w:val="20"/>
          <w:szCs w:val="20"/>
        </w:rPr>
        <w:t>Present:  Binnie, LeBel, Deschamps, Fish, Abella, Charron and Cromwell JJ.</w:t>
      </w:r>
    </w:p>
    <w:p w:rsidR="00337357" w:rsidRDefault="00337357" w:rsidP="00DA4D2A">
      <w:pPr>
        <w:rPr>
          <w:iCs/>
          <w:sz w:val="20"/>
        </w:rPr>
      </w:pPr>
    </w:p>
    <w:p w:rsidR="00337357" w:rsidRPr="00337357" w:rsidRDefault="00337357" w:rsidP="00337357">
      <w:pPr>
        <w:pStyle w:val="SCCNormalDoubleSpacing"/>
        <w:spacing w:line="240" w:lineRule="auto"/>
        <w:rPr>
          <w:i/>
          <w:sz w:val="20"/>
          <w:lang w:val="en-CA"/>
        </w:rPr>
      </w:pPr>
      <w:r w:rsidRPr="008C2525">
        <w:rPr>
          <w:i/>
          <w:sz w:val="20"/>
          <w:lang w:val="en-CA"/>
        </w:rPr>
        <w:tab/>
      </w:r>
      <w:r w:rsidRPr="00337357">
        <w:rPr>
          <w:i/>
          <w:sz w:val="20"/>
          <w:lang w:val="en-CA"/>
        </w:rPr>
        <w:t>Criminal law — Reasonable verdict — Accused convicted on charges of sexual assault with a weapon and unlawful confinement — Whether correct standard of review was applied — Whether evidence admissible — Whether test for assessing reasonable doubt applied properly.</w:t>
      </w:r>
    </w:p>
    <w:p w:rsidR="00337357" w:rsidRPr="00337357" w:rsidRDefault="00337357" w:rsidP="00337357">
      <w:pPr>
        <w:pStyle w:val="SCCNormalDoubleSpacing"/>
        <w:spacing w:line="240" w:lineRule="auto"/>
        <w:rPr>
          <w:sz w:val="20"/>
          <w:lang w:val="en-CA"/>
        </w:rPr>
      </w:pPr>
    </w:p>
    <w:p w:rsidR="00337357" w:rsidRPr="00337357" w:rsidRDefault="00337357" w:rsidP="00337357">
      <w:pPr>
        <w:pStyle w:val="SCCNormalDoubleSpacing"/>
        <w:spacing w:line="240" w:lineRule="auto"/>
        <w:rPr>
          <w:sz w:val="20"/>
          <w:lang w:val="en-CA"/>
        </w:rPr>
      </w:pPr>
      <w:r w:rsidRPr="00337357">
        <w:rPr>
          <w:sz w:val="20"/>
          <w:lang w:val="en-CA"/>
        </w:rPr>
        <w:tab/>
      </w:r>
      <w:r w:rsidRPr="00F3488B">
        <w:rPr>
          <w:rStyle w:val="QuoteChar"/>
          <w:sz w:val="20"/>
        </w:rPr>
        <w:t>Held:</w:t>
      </w:r>
      <w:r w:rsidRPr="00337357">
        <w:rPr>
          <w:sz w:val="20"/>
          <w:lang w:val="en-CA"/>
        </w:rPr>
        <w:t>  The appeal should be dismissed.</w:t>
      </w:r>
    </w:p>
    <w:p w:rsidR="00337357" w:rsidRPr="00337357" w:rsidRDefault="00337357" w:rsidP="00337357">
      <w:pPr>
        <w:pStyle w:val="SCCNormalDoubleSpacing"/>
        <w:spacing w:line="240" w:lineRule="auto"/>
        <w:rPr>
          <w:sz w:val="20"/>
          <w:lang w:val="en-CA"/>
        </w:rPr>
      </w:pPr>
    </w:p>
    <w:p w:rsidR="00337357" w:rsidRDefault="00337357" w:rsidP="00337357">
      <w:pPr>
        <w:pStyle w:val="SCCNormalDoubleSpacing"/>
        <w:spacing w:line="240" w:lineRule="auto"/>
        <w:rPr>
          <w:sz w:val="20"/>
          <w:lang w:val="en-CA"/>
        </w:rPr>
      </w:pPr>
      <w:r w:rsidRPr="00337357">
        <w:rPr>
          <w:sz w:val="20"/>
          <w:lang w:val="en-CA"/>
        </w:rPr>
        <w:tab/>
        <w:t>The verdict was one that a properly instructed jury acting judicially could reasonably have rendered.  There was no basis for appellate intervention in relation to evidentiary matters, and the trial judge did not err in her application of the reasonable doubt standard to the whole of the evidence.</w:t>
      </w:r>
    </w:p>
    <w:p w:rsidR="00337357" w:rsidRDefault="00337357" w:rsidP="00337357">
      <w:pPr>
        <w:pStyle w:val="SCCNormalDoubleSpacing"/>
        <w:spacing w:line="240" w:lineRule="auto"/>
        <w:rPr>
          <w:sz w:val="20"/>
          <w:lang w:val="en-CA"/>
        </w:rPr>
      </w:pPr>
    </w:p>
    <w:p w:rsidR="00337357" w:rsidRPr="00337357" w:rsidRDefault="00337357" w:rsidP="00337357">
      <w:pPr>
        <w:pStyle w:val="SCCNormalDoubleSpacing"/>
        <w:spacing w:line="240" w:lineRule="auto"/>
        <w:rPr>
          <w:sz w:val="20"/>
          <w:lang w:val="en-CA"/>
        </w:rPr>
      </w:pPr>
      <w:r w:rsidRPr="008C2525">
        <w:rPr>
          <w:sz w:val="20"/>
          <w:lang w:val="en-CA"/>
        </w:rPr>
        <w:tab/>
      </w:r>
      <w:r w:rsidRPr="00337357">
        <w:rPr>
          <w:sz w:val="20"/>
          <w:lang w:val="en-CA"/>
        </w:rPr>
        <w:t>APPEAL from a judgment of the Alberta Court of Appeal (MacFadyen, Berger and Slatter JJ.A.), 2010 ABCA 1, 23 Alta. L.R. (5th) 76, 251 C.C.C. (3d) 346, 474 A.R. 203, [2010] 7 W.W.R. 613, [2010] A.J. No. 72 (QL), 2010 CarswellAlta 135, upholding the accused’s conviction.  Appeal dismissed.</w:t>
      </w:r>
    </w:p>
    <w:p w:rsidR="00337357" w:rsidRPr="00337357" w:rsidRDefault="00337357" w:rsidP="00337357">
      <w:pPr>
        <w:pStyle w:val="SCCNormalDoubleSpacing"/>
        <w:spacing w:line="240" w:lineRule="auto"/>
        <w:rPr>
          <w:sz w:val="20"/>
          <w:lang w:val="en-CA"/>
        </w:rPr>
      </w:pPr>
    </w:p>
    <w:p w:rsidR="00337357" w:rsidRPr="00337357" w:rsidRDefault="00337357" w:rsidP="00337357">
      <w:pPr>
        <w:pStyle w:val="SCCNormalDoubleSpacing"/>
        <w:spacing w:line="240" w:lineRule="auto"/>
        <w:rPr>
          <w:sz w:val="20"/>
          <w:lang w:val="en-CA"/>
        </w:rPr>
      </w:pPr>
      <w:r w:rsidRPr="00F3488B">
        <w:rPr>
          <w:rStyle w:val="SCCCounselNameChar"/>
          <w:sz w:val="20"/>
        </w:rPr>
        <w:tab/>
        <w:t>Deborah R. Hatch</w:t>
      </w:r>
      <w:r w:rsidRPr="00F3488B">
        <w:rPr>
          <w:rStyle w:val="SCCCounselPartyRoleChar"/>
          <w:sz w:val="20"/>
        </w:rPr>
        <w:t>, for the appellant.</w:t>
      </w:r>
    </w:p>
    <w:p w:rsidR="00337357" w:rsidRPr="00337357" w:rsidRDefault="00337357" w:rsidP="00337357">
      <w:pPr>
        <w:pStyle w:val="SCCNormalDoubleSpacing"/>
        <w:spacing w:line="240" w:lineRule="auto"/>
        <w:rPr>
          <w:sz w:val="20"/>
          <w:lang w:val="en-CA"/>
        </w:rPr>
      </w:pPr>
    </w:p>
    <w:p w:rsidR="00337357" w:rsidRPr="00337357" w:rsidRDefault="00337357" w:rsidP="00337357">
      <w:pPr>
        <w:pStyle w:val="SCCNormalDoubleSpacing"/>
        <w:spacing w:line="240" w:lineRule="auto"/>
        <w:rPr>
          <w:sz w:val="20"/>
          <w:lang w:val="en-CA"/>
        </w:rPr>
      </w:pPr>
      <w:r w:rsidRPr="00F3488B">
        <w:rPr>
          <w:rStyle w:val="SCCCounselNameChar"/>
          <w:sz w:val="20"/>
        </w:rPr>
        <w:tab/>
        <w:t>Troy L. Couillard</w:t>
      </w:r>
      <w:r w:rsidRPr="00F3488B">
        <w:rPr>
          <w:rStyle w:val="SCCCounselPartyRoleChar"/>
          <w:sz w:val="20"/>
        </w:rPr>
        <w:t>, for the respondent.</w:t>
      </w:r>
    </w:p>
    <w:p w:rsidR="00337357" w:rsidRPr="00337357" w:rsidRDefault="00337357" w:rsidP="00337357">
      <w:pPr>
        <w:pStyle w:val="SCCNormalDoubleSpacing"/>
        <w:spacing w:line="240" w:lineRule="auto"/>
        <w:rPr>
          <w:sz w:val="20"/>
          <w:lang w:val="en-CA"/>
        </w:rPr>
      </w:pPr>
    </w:p>
    <w:p w:rsidR="00337357" w:rsidRPr="00F3488B" w:rsidRDefault="00337357" w:rsidP="00337357">
      <w:pPr>
        <w:pStyle w:val="SCCLawFirm"/>
        <w:spacing w:line="240" w:lineRule="auto"/>
        <w:rPr>
          <w:sz w:val="20"/>
        </w:rPr>
      </w:pPr>
      <w:r w:rsidRPr="00F3488B">
        <w:rPr>
          <w:sz w:val="20"/>
        </w:rPr>
        <w:tab/>
        <w:t>Solicitors for the appellant:  Gunn Law Group, Edmonton.</w:t>
      </w:r>
    </w:p>
    <w:p w:rsidR="00337357" w:rsidRPr="00F3488B" w:rsidRDefault="00337357" w:rsidP="00337357">
      <w:pPr>
        <w:pStyle w:val="SCCLawFirm"/>
        <w:spacing w:line="240" w:lineRule="auto"/>
        <w:rPr>
          <w:sz w:val="20"/>
        </w:rPr>
      </w:pPr>
    </w:p>
    <w:p w:rsidR="00337357" w:rsidRPr="00337357" w:rsidRDefault="00337357" w:rsidP="00337357">
      <w:pPr>
        <w:pStyle w:val="SCCNormalDoubleSpacing"/>
        <w:spacing w:line="240" w:lineRule="auto"/>
        <w:rPr>
          <w:sz w:val="20"/>
          <w:lang w:val="en-CA"/>
        </w:rPr>
      </w:pPr>
      <w:r w:rsidRPr="00337357">
        <w:rPr>
          <w:sz w:val="20"/>
          <w:lang w:val="en-CA"/>
        </w:rPr>
        <w:tab/>
        <w:t>Solicitor for the respondent:  Alberta Justice, Edmonton.</w:t>
      </w:r>
    </w:p>
    <w:p w:rsidR="00337357" w:rsidRPr="00337357" w:rsidRDefault="00337357" w:rsidP="00337357">
      <w:pPr>
        <w:rPr>
          <w:sz w:val="20"/>
          <w:szCs w:val="20"/>
          <w:lang w:val="fr-CA"/>
        </w:rPr>
      </w:pPr>
      <w:r w:rsidRPr="00337357">
        <w:rPr>
          <w:sz w:val="20"/>
          <w:szCs w:val="20"/>
          <w:lang w:val="fr-CA"/>
        </w:rPr>
        <w:t>________________________</w:t>
      </w:r>
    </w:p>
    <w:p w:rsidR="00337357" w:rsidRPr="00337357" w:rsidRDefault="00337357" w:rsidP="00337357">
      <w:pPr>
        <w:rPr>
          <w:sz w:val="20"/>
          <w:szCs w:val="20"/>
          <w:lang w:val="fr-CA"/>
        </w:rPr>
      </w:pPr>
    </w:p>
    <w:p w:rsidR="00337357" w:rsidRPr="00337357" w:rsidRDefault="00337357" w:rsidP="00337357">
      <w:pPr>
        <w:jc w:val="both"/>
        <w:rPr>
          <w:rFonts w:cs="Times New Roman"/>
          <w:sz w:val="20"/>
          <w:szCs w:val="20"/>
          <w:lang w:val="fr-CA"/>
        </w:rPr>
      </w:pPr>
      <w:r w:rsidRPr="00337357">
        <w:rPr>
          <w:rFonts w:cs="Times New Roman"/>
          <w:sz w:val="20"/>
          <w:szCs w:val="20"/>
          <w:lang w:val="fr-CA"/>
        </w:rPr>
        <w:t>Présents : Les juges Binnie, LeBel, Deschamps, Fish, Abella, Charron et Cromwell.</w:t>
      </w:r>
    </w:p>
    <w:p w:rsidR="00337357" w:rsidRDefault="00337357" w:rsidP="00DA4D2A">
      <w:pPr>
        <w:rPr>
          <w:iCs/>
          <w:sz w:val="20"/>
          <w:lang w:val="fr-CA"/>
        </w:rPr>
      </w:pPr>
    </w:p>
    <w:p w:rsidR="00337357" w:rsidRPr="007B02B3" w:rsidRDefault="00337357" w:rsidP="00337357">
      <w:pPr>
        <w:pStyle w:val="SCCNormalDoubleSpacing"/>
        <w:spacing w:line="240" w:lineRule="auto"/>
        <w:rPr>
          <w:i/>
          <w:sz w:val="20"/>
        </w:rPr>
      </w:pPr>
      <w:r w:rsidRPr="007B02B3">
        <w:rPr>
          <w:sz w:val="20"/>
        </w:rPr>
        <w:tab/>
      </w:r>
      <w:r w:rsidRPr="007B02B3">
        <w:rPr>
          <w:i/>
          <w:sz w:val="20"/>
        </w:rPr>
        <w:t>Droit criminel ― Verdict raisonnable ― Accusé déclaré coupable d’agression sexuelle armée et de séquestration ― Y a</w:t>
      </w:r>
      <w:r w:rsidRPr="007B02B3">
        <w:rPr>
          <w:i/>
          <w:sz w:val="20"/>
        </w:rPr>
        <w:noBreakHyphen/>
        <w:t>t</w:t>
      </w:r>
      <w:r w:rsidRPr="007B02B3">
        <w:rPr>
          <w:i/>
          <w:sz w:val="20"/>
        </w:rPr>
        <w:noBreakHyphen/>
        <w:t>il eu application de la bonne norme de contrôle? ― La preuve était</w:t>
      </w:r>
      <w:r w:rsidRPr="007B02B3">
        <w:rPr>
          <w:i/>
          <w:sz w:val="20"/>
        </w:rPr>
        <w:noBreakHyphen/>
        <w:t>elle recevable? ― Le critère d’appréciation du doute raisonnable a</w:t>
      </w:r>
      <w:r w:rsidRPr="007B02B3">
        <w:rPr>
          <w:i/>
          <w:sz w:val="20"/>
        </w:rPr>
        <w:noBreakHyphen/>
        <w:t>t</w:t>
      </w:r>
      <w:r w:rsidRPr="007B02B3">
        <w:rPr>
          <w:i/>
          <w:sz w:val="20"/>
        </w:rPr>
        <w:noBreakHyphen/>
        <w:t>il été appliqué correctement?</w:t>
      </w:r>
    </w:p>
    <w:p w:rsidR="00337357" w:rsidRPr="007B02B3" w:rsidRDefault="00337357" w:rsidP="00337357">
      <w:pPr>
        <w:pStyle w:val="SCCNormalDoubleSpacing"/>
        <w:spacing w:line="240" w:lineRule="auto"/>
        <w:rPr>
          <w:sz w:val="20"/>
        </w:rPr>
      </w:pPr>
    </w:p>
    <w:p w:rsidR="00337357" w:rsidRPr="007B02B3" w:rsidRDefault="00337357" w:rsidP="00337357">
      <w:pPr>
        <w:pStyle w:val="SCCNormalDoubleSpacing"/>
        <w:spacing w:line="240" w:lineRule="auto"/>
        <w:rPr>
          <w:sz w:val="20"/>
        </w:rPr>
      </w:pPr>
      <w:r w:rsidRPr="007B02B3">
        <w:rPr>
          <w:sz w:val="20"/>
        </w:rPr>
        <w:tab/>
      </w:r>
      <w:r w:rsidRPr="007B02B3">
        <w:rPr>
          <w:i/>
          <w:sz w:val="20"/>
        </w:rPr>
        <w:t>Arrêt </w:t>
      </w:r>
      <w:r w:rsidRPr="007B02B3">
        <w:rPr>
          <w:rStyle w:val="QuoteChar"/>
          <w:sz w:val="20"/>
          <w:lang w:val="fr-CA"/>
        </w:rPr>
        <w:t>: </w:t>
      </w:r>
      <w:r w:rsidRPr="007B02B3">
        <w:rPr>
          <w:sz w:val="20"/>
        </w:rPr>
        <w:t>Le pourvoi est rejeté.</w:t>
      </w:r>
    </w:p>
    <w:p w:rsidR="00337357" w:rsidRPr="007B02B3" w:rsidRDefault="00337357" w:rsidP="00337357">
      <w:pPr>
        <w:pStyle w:val="SCCNormalDoubleSpacing"/>
        <w:spacing w:line="240" w:lineRule="auto"/>
        <w:rPr>
          <w:sz w:val="20"/>
        </w:rPr>
      </w:pPr>
    </w:p>
    <w:p w:rsidR="00337357" w:rsidRPr="007B02B3" w:rsidRDefault="00337357" w:rsidP="00337357">
      <w:pPr>
        <w:pStyle w:val="SCCNormalDoubleSpacing"/>
        <w:spacing w:line="240" w:lineRule="auto"/>
        <w:rPr>
          <w:sz w:val="20"/>
        </w:rPr>
      </w:pPr>
      <w:r w:rsidRPr="007B02B3">
        <w:rPr>
          <w:sz w:val="20"/>
        </w:rPr>
        <w:tab/>
        <w:t>Le verdict était l’un de ceux qu’un jury qui a reçu des directives appropriées et qui agit d’une manière judiciaire aurait pu raisonnablement rendre.  Il n’y avait pas matière à réformation en appel relativement à des questions de preuve, et la juge du procès n’a pas appliqué erronément la norme du doute raisonnable à l’ensemble de la preuve.</w:t>
      </w:r>
    </w:p>
    <w:p w:rsidR="00337357" w:rsidRPr="00337357" w:rsidRDefault="00337357" w:rsidP="00DA4D2A">
      <w:pPr>
        <w:rPr>
          <w:iCs/>
          <w:sz w:val="20"/>
          <w:lang w:val="fr-CA"/>
        </w:rPr>
      </w:pPr>
    </w:p>
    <w:p w:rsidR="00337357" w:rsidRPr="007B02B3" w:rsidRDefault="00337357" w:rsidP="00337357">
      <w:pPr>
        <w:pStyle w:val="SCCNormalDoubleSpacing"/>
        <w:spacing w:line="240" w:lineRule="auto"/>
        <w:rPr>
          <w:sz w:val="20"/>
        </w:rPr>
      </w:pPr>
      <w:r w:rsidRPr="007B02B3">
        <w:rPr>
          <w:sz w:val="20"/>
        </w:rPr>
        <w:tab/>
        <w:t>POURVOI contre un arrêt de la Cour d’appel de l’Alberta (les juges MacFadyen, Berger et Slatter), 2010 ABCA 1, 23 Alta. L.R. (5th) 76, 251 C.C.C. (3d) 346, 474 A.R. 203, [2010] 7 W.W.R. 613, [2010] A.J. No. 72 (QL), 2010 CarswellAlta 135, qui a confirmé la déclaration de culpabilité de l’accusé.  Pourvoi rejeté.</w:t>
      </w:r>
    </w:p>
    <w:p w:rsidR="00337357" w:rsidRPr="007B02B3" w:rsidRDefault="00337357" w:rsidP="00337357">
      <w:pPr>
        <w:pStyle w:val="SCCNormalDoubleSpacing"/>
        <w:spacing w:line="240" w:lineRule="auto"/>
        <w:rPr>
          <w:sz w:val="20"/>
        </w:rPr>
      </w:pPr>
    </w:p>
    <w:p w:rsidR="00337357" w:rsidRPr="007B02B3" w:rsidRDefault="00337357" w:rsidP="00337357">
      <w:pPr>
        <w:pStyle w:val="SCCNormalDoubleSpacing"/>
        <w:spacing w:line="240" w:lineRule="auto"/>
        <w:rPr>
          <w:sz w:val="20"/>
        </w:rPr>
      </w:pPr>
      <w:r w:rsidRPr="00337357">
        <w:rPr>
          <w:rStyle w:val="SCCCounselNameChar"/>
          <w:sz w:val="20"/>
          <w:lang w:val="fr-CA"/>
        </w:rPr>
        <w:tab/>
        <w:t>Deborah R. Hatch</w:t>
      </w:r>
      <w:r w:rsidRPr="00337357">
        <w:rPr>
          <w:rStyle w:val="SCCCounselPartyRoleChar"/>
          <w:sz w:val="20"/>
          <w:lang w:val="fr-CA"/>
        </w:rPr>
        <w:t>, pour l’appelant.</w:t>
      </w:r>
    </w:p>
    <w:p w:rsidR="00337357" w:rsidRPr="007B02B3" w:rsidRDefault="00337357" w:rsidP="00337357">
      <w:pPr>
        <w:pStyle w:val="SCCNormalDoubleSpacing"/>
        <w:spacing w:line="240" w:lineRule="auto"/>
        <w:rPr>
          <w:sz w:val="20"/>
        </w:rPr>
      </w:pPr>
    </w:p>
    <w:p w:rsidR="00337357" w:rsidRPr="007B02B3" w:rsidRDefault="00337357" w:rsidP="00337357">
      <w:pPr>
        <w:pStyle w:val="SCCNormalDoubleSpacing"/>
        <w:spacing w:line="240" w:lineRule="auto"/>
        <w:rPr>
          <w:sz w:val="20"/>
        </w:rPr>
      </w:pPr>
      <w:r w:rsidRPr="00337357">
        <w:rPr>
          <w:rStyle w:val="SCCCounselNameChar"/>
          <w:sz w:val="20"/>
          <w:lang w:val="fr-CA"/>
        </w:rPr>
        <w:tab/>
        <w:t>Troy L. Couillard</w:t>
      </w:r>
      <w:r w:rsidRPr="00337357">
        <w:rPr>
          <w:rStyle w:val="SCCCounselPartyRoleChar"/>
          <w:sz w:val="20"/>
          <w:lang w:val="fr-CA"/>
        </w:rPr>
        <w:t>, pour l’intimée.</w:t>
      </w:r>
    </w:p>
    <w:p w:rsidR="00337357" w:rsidRDefault="00337357">
      <w:pPr>
        <w:rPr>
          <w:rFonts w:eastAsia="Times New Roman" w:cs="Times New Roman"/>
          <w:sz w:val="20"/>
          <w:szCs w:val="20"/>
          <w:lang w:val="fr-CA" w:eastAsia="en-CA"/>
        </w:rPr>
      </w:pPr>
      <w:r w:rsidRPr="008C2525">
        <w:rPr>
          <w:sz w:val="20"/>
          <w:lang w:val="fr-CA"/>
        </w:rPr>
        <w:br w:type="page"/>
      </w:r>
    </w:p>
    <w:p w:rsidR="00337357" w:rsidRPr="00337357" w:rsidRDefault="00337357" w:rsidP="00337357">
      <w:pPr>
        <w:pStyle w:val="SCCLawFirm"/>
        <w:spacing w:line="240" w:lineRule="auto"/>
        <w:rPr>
          <w:sz w:val="20"/>
          <w:lang w:val="fr-CA"/>
        </w:rPr>
      </w:pPr>
      <w:r w:rsidRPr="00337357">
        <w:rPr>
          <w:sz w:val="20"/>
          <w:lang w:val="fr-CA"/>
        </w:rPr>
        <w:lastRenderedPageBreak/>
        <w:tab/>
        <w:t>Procureurs de l’appelant : Gunn Law Group, Edmonton.</w:t>
      </w:r>
    </w:p>
    <w:p w:rsidR="00337357" w:rsidRPr="00337357" w:rsidRDefault="00337357" w:rsidP="00337357">
      <w:pPr>
        <w:pStyle w:val="SCCLawFirm"/>
        <w:spacing w:line="240" w:lineRule="auto"/>
        <w:rPr>
          <w:sz w:val="20"/>
          <w:lang w:val="fr-CA"/>
        </w:rPr>
      </w:pPr>
    </w:p>
    <w:p w:rsidR="00337357" w:rsidRPr="00337357" w:rsidRDefault="00337357" w:rsidP="00337357">
      <w:pPr>
        <w:pStyle w:val="SCCLawFirm"/>
        <w:spacing w:line="240" w:lineRule="auto"/>
        <w:rPr>
          <w:sz w:val="20"/>
          <w:lang w:val="fr-CA"/>
        </w:rPr>
      </w:pPr>
      <w:r w:rsidRPr="00337357">
        <w:rPr>
          <w:sz w:val="20"/>
          <w:lang w:val="fr-CA"/>
        </w:rPr>
        <w:tab/>
        <w:t>Procureur de l’intimée : Justice Alberta, Edmonton.</w:t>
      </w:r>
    </w:p>
    <w:p w:rsidR="00337357" w:rsidRDefault="00337357" w:rsidP="00DA4D2A">
      <w:pPr>
        <w:rPr>
          <w:iCs/>
          <w:sz w:val="20"/>
          <w:lang w:val="fr-CA"/>
        </w:rPr>
      </w:pPr>
    </w:p>
    <w:p w:rsidR="00337357" w:rsidRDefault="0047571A" w:rsidP="00DA4D2A">
      <w:pPr>
        <w:rPr>
          <w:b/>
        </w:rPr>
      </w:pPr>
      <w:r w:rsidRPr="0047571A">
        <w:rPr>
          <w:b/>
        </w:rPr>
        <w:pict>
          <v:rect id="_x0000_i1053" style="width:2in;height:1pt" o:hrpct="0" o:hralign="center" o:hrstd="t" o:hrnoshade="t" o:hr="t" fillcolor="black [3213]" stroked="f"/>
        </w:pict>
      </w:r>
    </w:p>
    <w:p w:rsidR="00337357" w:rsidRPr="00337357" w:rsidRDefault="00337357" w:rsidP="00DA4D2A">
      <w:pPr>
        <w:rPr>
          <w:iCs/>
          <w:sz w:val="20"/>
          <w:lang w:val="fr-CA"/>
        </w:rPr>
      </w:pPr>
    </w:p>
    <w:p w:rsidR="00102926" w:rsidRPr="00C50A5C" w:rsidRDefault="00102926" w:rsidP="00102926">
      <w:pPr>
        <w:rPr>
          <w:sz w:val="20"/>
          <w:szCs w:val="20"/>
        </w:rPr>
      </w:pPr>
    </w:p>
    <w:p w:rsidR="00C1697B" w:rsidRDefault="00C1697B" w:rsidP="00782AE4">
      <w:pPr>
        <w:jc w:val="both"/>
        <w:rPr>
          <w:sz w:val="20"/>
          <w:szCs w:val="20"/>
        </w:rPr>
      </w:pPr>
    </w:p>
    <w:p w:rsidR="00C1697B" w:rsidRPr="00C50A5C" w:rsidRDefault="00C1697B" w:rsidP="00782AE4">
      <w:pPr>
        <w:jc w:val="both"/>
        <w:rPr>
          <w:sz w:val="20"/>
          <w:szCs w:val="20"/>
        </w:rPr>
        <w:sectPr w:rsidR="00C1697B" w:rsidRPr="00C50A5C" w:rsidSect="00102926">
          <w:headerReference w:type="even" r:id="rId41"/>
          <w:headerReference w:type="default" r:id="rId42"/>
          <w:footerReference w:type="even" r:id="rId43"/>
          <w:footerReference w:type="default" r:id="rId44"/>
          <w:headerReference w:type="first" r:id="rId45"/>
          <w:footerReference w:type="first" r:id="rId46"/>
          <w:pgSz w:w="12240" w:h="15840"/>
          <w:pgMar w:top="720" w:right="965" w:bottom="965" w:left="1656" w:header="720" w:footer="965" w:gutter="0"/>
          <w:cols w:space="720"/>
          <w:titlePg/>
          <w:docGrid w:linePitch="326"/>
        </w:sectPr>
      </w:pPr>
    </w:p>
    <w:p w:rsidR="008C2525" w:rsidRPr="00DE5525" w:rsidRDefault="0047571A" w:rsidP="008C2525">
      <w:pPr>
        <w:jc w:val="center"/>
        <w:rPr>
          <w:b/>
          <w:szCs w:val="24"/>
        </w:rPr>
      </w:pPr>
      <w:r w:rsidRPr="00DE5525">
        <w:rPr>
          <w:b/>
          <w:szCs w:val="24"/>
        </w:rPr>
        <w:lastRenderedPageBreak/>
        <w:fldChar w:fldCharType="begin"/>
      </w:r>
      <w:r w:rsidR="008C2525" w:rsidRPr="00DE5525">
        <w:rPr>
          <w:b/>
          <w:szCs w:val="24"/>
        </w:rPr>
        <w:instrText xml:space="preserve"> SEQ CHAPTER \h \r 1</w:instrText>
      </w:r>
      <w:r w:rsidRPr="00DE5525">
        <w:rPr>
          <w:b/>
          <w:szCs w:val="24"/>
        </w:rPr>
        <w:fldChar w:fldCharType="end"/>
      </w:r>
      <w:r w:rsidR="008C2525" w:rsidRPr="00DE5525">
        <w:rPr>
          <w:b/>
          <w:szCs w:val="24"/>
        </w:rPr>
        <w:t>SUPREME COURT OF CANADA SCHEDULE / CALENDRIER DE LA COUR SUPREME</w:t>
      </w:r>
    </w:p>
    <w:p w:rsidR="008C2525" w:rsidRPr="00DE5525" w:rsidRDefault="008C2525" w:rsidP="008C2525">
      <w:pPr>
        <w:widowControl w:val="0"/>
        <w:spacing w:line="180" w:lineRule="auto"/>
        <w:rPr>
          <w:szCs w:val="24"/>
        </w:rPr>
      </w:pPr>
    </w:p>
    <w:p w:rsidR="008C2525" w:rsidRPr="00267AE0" w:rsidRDefault="008C2525" w:rsidP="008C252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8C2525" w:rsidRPr="00267AE0" w:rsidTr="00FB24F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DECEMBER - DÉCEMBRE</w:t>
            </w:r>
          </w:p>
        </w:tc>
      </w:tr>
      <w:tr w:rsidR="008C2525" w:rsidRPr="00267AE0" w:rsidTr="00FB24F5">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r>
      <w:tr w:rsidR="008C2525" w:rsidRPr="00267AE0" w:rsidTr="00FB24F5">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20"/>
              </w:rPr>
            </w:pPr>
          </w:p>
          <w:p w:rsidR="008C2525" w:rsidRPr="00267AE0" w:rsidRDefault="008C2525" w:rsidP="00FB24F5">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r>
      <w:tr w:rsidR="008C2525" w:rsidRPr="00267AE0" w:rsidTr="00FB24F5">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r>
      <w:tr w:rsidR="008C2525" w:rsidRPr="00267AE0" w:rsidTr="00FB24F5">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r>
      <w:tr w:rsidR="008C2525" w:rsidRPr="00267AE0" w:rsidTr="00FB24F5">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r>
      <w:tr w:rsidR="008C2525" w:rsidRPr="00267AE0" w:rsidTr="00FB24F5">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24</w:t>
            </w:r>
          </w:p>
          <w:p w:rsidR="008C2525" w:rsidRPr="00267AE0" w:rsidRDefault="008C2525" w:rsidP="00FB24F5">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r>
    </w:tbl>
    <w:p w:rsidR="008C2525" w:rsidRPr="00267AE0" w:rsidRDefault="008C2525" w:rsidP="008C252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8C2525" w:rsidRPr="00267AE0" w:rsidTr="00FB24F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MARCH - MARS</w:t>
            </w:r>
          </w:p>
        </w:tc>
      </w:tr>
      <w:tr w:rsidR="008C2525" w:rsidRPr="00267AE0" w:rsidTr="00FB24F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r>
      <w:tr w:rsidR="008C2525" w:rsidRPr="00267AE0" w:rsidTr="00FB24F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r>
      <w:tr w:rsidR="008C2525" w:rsidRPr="00267AE0" w:rsidTr="00FB24F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 xml:space="preserve">   </w:t>
            </w: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r>
      <w:tr w:rsidR="008C2525" w:rsidRPr="00267AE0" w:rsidTr="00FB24F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r>
      <w:tr w:rsidR="008C2525" w:rsidRPr="00267AE0" w:rsidTr="00FB24F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r>
      <w:tr w:rsidR="008C2525" w:rsidRPr="00267AE0" w:rsidTr="00FB24F5">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23</w:t>
            </w:r>
          </w:p>
          <w:p w:rsidR="008C2525" w:rsidRPr="00267AE0" w:rsidRDefault="008C2525" w:rsidP="00FB24F5">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24</w:t>
            </w:r>
          </w:p>
          <w:p w:rsidR="008C2525" w:rsidRPr="00267AE0" w:rsidRDefault="008C2525" w:rsidP="00FB24F5">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r>
    </w:tbl>
    <w:p w:rsidR="008C2525" w:rsidRPr="00267AE0" w:rsidRDefault="008C2525" w:rsidP="008C2525">
      <w:pPr>
        <w:widowControl w:val="0"/>
        <w:spacing w:before="120" w:after="120"/>
        <w:rPr>
          <w:rFonts w:ascii="Arial" w:hAnsi="Arial" w:cs="Arial"/>
          <w:vanish/>
          <w:sz w:val="22"/>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8C2525" w:rsidRPr="00267AE0" w:rsidTr="00FB24F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JUNE - JUIN</w:t>
            </w:r>
          </w:p>
        </w:tc>
      </w:tr>
      <w:tr w:rsidR="008C2525" w:rsidRPr="00267AE0" w:rsidTr="00FB24F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W</w:t>
            </w:r>
          </w:p>
          <w:p w:rsidR="008C2525" w:rsidRPr="00267AE0" w:rsidRDefault="008C2525" w:rsidP="00FB24F5">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T</w:t>
            </w:r>
          </w:p>
          <w:p w:rsidR="008C2525" w:rsidRPr="00267AE0" w:rsidRDefault="008C2525" w:rsidP="00FB24F5">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F</w:t>
            </w:r>
          </w:p>
          <w:p w:rsidR="008C2525" w:rsidRPr="00267AE0" w:rsidRDefault="008C2525" w:rsidP="00FB24F5">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s</w:t>
            </w:r>
          </w:p>
          <w:p w:rsidR="008C2525" w:rsidRPr="00267AE0" w:rsidRDefault="008C2525" w:rsidP="00FB24F5">
            <w:pPr>
              <w:widowControl w:val="0"/>
              <w:jc w:val="center"/>
              <w:rPr>
                <w:rFonts w:ascii="Arial" w:hAnsi="Arial" w:cs="Arial"/>
                <w:sz w:val="14"/>
              </w:rPr>
            </w:pPr>
            <w:r w:rsidRPr="00267AE0">
              <w:rPr>
                <w:rFonts w:ascii="Arial" w:hAnsi="Arial" w:cs="Arial"/>
                <w:sz w:val="14"/>
              </w:rPr>
              <w:t>s</w:t>
            </w:r>
          </w:p>
        </w:tc>
      </w:tr>
      <w:tr w:rsidR="008C2525" w:rsidRPr="00267AE0" w:rsidTr="00FB24F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sz w:val="14"/>
              </w:rPr>
              <w:t xml:space="preserve"> </w:t>
            </w: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b/>
                <w:sz w:val="14"/>
              </w:rPr>
            </w:pPr>
          </w:p>
          <w:p w:rsidR="008C2525" w:rsidRPr="00267AE0" w:rsidRDefault="008C2525" w:rsidP="00FB24F5">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r>
      <w:tr w:rsidR="008C2525" w:rsidRPr="00267AE0" w:rsidTr="00FB24F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r>
      <w:tr w:rsidR="008C2525" w:rsidRPr="00267AE0" w:rsidTr="00FB24F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M</w:t>
            </w:r>
          </w:p>
          <w:p w:rsidR="008C2525" w:rsidRPr="00267AE0" w:rsidRDefault="008C2525" w:rsidP="00FB24F5">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r>
      <w:tr w:rsidR="008C2525" w:rsidRPr="00267AE0" w:rsidTr="00FB24F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r>
      <w:tr w:rsidR="008C2525" w:rsidRPr="00267AE0" w:rsidTr="00FB24F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r w:rsidRPr="00267AE0">
              <w:rPr>
                <w:rFonts w:ascii="Arial" w:hAnsi="Arial" w:cs="Arial"/>
                <w:b/>
                <w:sz w:val="14"/>
              </w:rPr>
              <w:t>H</w:t>
            </w:r>
          </w:p>
          <w:p w:rsidR="008C2525" w:rsidRPr="00267AE0" w:rsidRDefault="008C2525" w:rsidP="00FB24F5">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C2525" w:rsidRPr="00267AE0" w:rsidRDefault="008C2525" w:rsidP="00FB24F5">
            <w:pPr>
              <w:widowControl w:val="0"/>
              <w:jc w:val="center"/>
              <w:rPr>
                <w:rFonts w:ascii="Arial" w:hAnsi="Arial" w:cs="Arial"/>
                <w:sz w:val="14"/>
              </w:rPr>
            </w:pPr>
          </w:p>
          <w:p w:rsidR="008C2525" w:rsidRPr="00267AE0" w:rsidRDefault="008C2525" w:rsidP="00FB24F5">
            <w:pPr>
              <w:widowControl w:val="0"/>
              <w:jc w:val="center"/>
              <w:rPr>
                <w:rFonts w:ascii="Arial" w:hAnsi="Arial" w:cs="Arial"/>
                <w:sz w:val="16"/>
              </w:rPr>
            </w:pPr>
          </w:p>
        </w:tc>
      </w:tr>
    </w:tbl>
    <w:p w:rsidR="008C2525" w:rsidRPr="00267AE0" w:rsidRDefault="008C2525" w:rsidP="008C252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C2525" w:rsidRPr="00267AE0" w:rsidTr="00FB24F5">
        <w:trPr>
          <w:cantSplit/>
          <w:trHeight w:val="368"/>
        </w:trPr>
        <w:tc>
          <w:tcPr>
            <w:tcW w:w="1710" w:type="dxa"/>
            <w:tcBorders>
              <w:top w:val="nil"/>
              <w:left w:val="nil"/>
              <w:bottom w:val="nil"/>
              <w:right w:val="nil"/>
            </w:tcBorders>
            <w:tcMar>
              <w:top w:w="43" w:type="dxa"/>
              <w:left w:w="120" w:type="dxa"/>
              <w:bottom w:w="29" w:type="dxa"/>
              <w:right w:w="120" w:type="dxa"/>
            </w:tcMar>
          </w:tcPr>
          <w:p w:rsidR="008C2525" w:rsidRPr="00267AE0" w:rsidRDefault="008C2525" w:rsidP="00FB24F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8C2525" w:rsidRPr="00267AE0" w:rsidRDefault="008C2525" w:rsidP="00FB24F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C2525" w:rsidRPr="00267AE0" w:rsidRDefault="008C2525" w:rsidP="00FB24F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8C2525" w:rsidRPr="00267AE0" w:rsidRDefault="008C2525" w:rsidP="00FB24F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8C2525" w:rsidRPr="00267AE0" w:rsidTr="00FB24F5">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8C2525" w:rsidRPr="00267AE0" w:rsidTr="00FB24F5">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C2525" w:rsidRPr="00267AE0" w:rsidRDefault="008C2525" w:rsidP="00FB24F5">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C2525" w:rsidRPr="00267AE0" w:rsidRDefault="008C2525" w:rsidP="00FB24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8C2525">
      <w:pPr>
        <w:jc w:val="both"/>
        <w:rPr>
          <w:lang w:val="fr-CA"/>
        </w:rPr>
      </w:pPr>
    </w:p>
    <w:sectPr w:rsidR="002410B8" w:rsidRPr="0022323B" w:rsidSect="008C2525">
      <w:headerReference w:type="default" r:id="rId47"/>
      <w:footerReference w:type="default" r:id="rId48"/>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C8" w:rsidRDefault="001D5FC8" w:rsidP="00A87207">
      <w:r>
        <w:separator/>
      </w:r>
    </w:p>
  </w:endnote>
  <w:endnote w:type="continuationSeparator" w:id="0">
    <w:p w:rsidR="001D5FC8" w:rsidRDefault="001D5FC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EB2B90">
    <w:pPr>
      <w:tabs>
        <w:tab w:val="center" w:pos="4680"/>
      </w:tabs>
    </w:pPr>
    <w:r>
      <w:pict>
        <v:rect id="_x0000_i1036" style="width:480.95pt;height:1pt" o:hralign="center" o:hrstd="t" o:hrnoshade="t" o:hr="t" fillcolor="black [3213]" stroked="f"/>
      </w:pict>
    </w:r>
  </w:p>
  <w:p w:rsidR="001D5FC8" w:rsidRPr="0031432F" w:rsidRDefault="001D5FC8" w:rsidP="00EB2B90">
    <w:pPr>
      <w:tabs>
        <w:tab w:val="center" w:pos="4680"/>
      </w:tabs>
    </w:pPr>
    <w:r>
      <w:tab/>
      <w:t xml:space="preserve">- </w:t>
    </w:r>
    <w:fldSimple w:instr=" PAGE   \* MERGEFORMAT ">
      <w:r w:rsidR="00CB599C">
        <w:rPr>
          <w:noProof/>
        </w:rPr>
        <w:t>1430</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5FC8" w:rsidRDefault="001D5FC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732DB7">
    <w:r>
      <w:pict>
        <v:rect id="_x0000_i1042" style="width:480.95pt;height:1pt" o:hralign="center" o:hrstd="t" o:hrnoshade="t" o:hr="t" fillcolor="black" stroked="f"/>
      </w:pict>
    </w:r>
  </w:p>
  <w:p w:rsidR="001D5FC8" w:rsidRDefault="001D5FC8">
    <w:pPr>
      <w:tabs>
        <w:tab w:val="center" w:pos="4740"/>
      </w:tabs>
      <w:spacing w:line="0" w:lineRule="atLeast"/>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pPr>
      <w:pStyle w:val="Footer"/>
    </w:pPr>
    <w:r>
      <w:pict>
        <v:rect id="_x0000_i1043" style="width:480.95pt;height:1pt" o:hralign="center" o:hrstd="t" o:hrnoshade="t" o:hr="t" fillcolor="black" stroked="f"/>
      </w:pict>
    </w:r>
  </w:p>
  <w:p w:rsidR="001D5FC8" w:rsidRPr="00283C52" w:rsidRDefault="001D5FC8">
    <w:pPr>
      <w:pStyle w:val="Footer"/>
    </w:pPr>
    <w:r>
      <w:tab/>
    </w:r>
    <w:r w:rsidRPr="00283C52">
      <w:t xml:space="preserve">- </w:t>
    </w:r>
    <w:r w:rsidRPr="00283C52">
      <w:pgNum/>
    </w:r>
    <w:r w:rsidRPr="00283C52">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5FC8" w:rsidRDefault="001D5FC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732DB7">
    <w:r>
      <w:pict>
        <v:rect id="_x0000_i1048" style="width:480.95pt;height:1pt" o:hralign="center" o:hrstd="t" o:hrnoshade="t" o:hr="t" fillcolor="black" stroked="f"/>
      </w:pict>
    </w:r>
  </w:p>
  <w:p w:rsidR="001D5FC8" w:rsidRDefault="001D5FC8">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pPr>
      <w:pStyle w:val="Footer"/>
    </w:pPr>
    <w:r>
      <w:pict>
        <v:rect id="_x0000_i1049" style="width:480.95pt;height:1pt" o:hralign="center" o:hrstd="t" o:hrnoshade="t" o:hr="t" fillcolor="black [3213]" stroked="f"/>
      </w:pict>
    </w:r>
  </w:p>
  <w:p w:rsidR="001D5FC8" w:rsidRPr="003C2C0F" w:rsidRDefault="001D5FC8" w:rsidP="00697C62">
    <w:pPr>
      <w:tabs>
        <w:tab w:val="center" w:pos="4680"/>
      </w:tabs>
    </w:pPr>
    <w:r>
      <w:tab/>
      <w:t xml:space="preserve">- </w:t>
    </w:r>
    <w:fldSimple w:instr=" PAGE   \* MERGEFORMAT ">
      <w:r w:rsidR="00CB599C">
        <w:rPr>
          <w:noProof/>
        </w:rPr>
        <w:t>1436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1D5FC8" w:rsidRDefault="001D5FC8">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1D5FC8" w:rsidRDefault="001D5FC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7A3EAE">
    <w:pPr>
      <w:pStyle w:val="Footer"/>
    </w:pPr>
    <w:r>
      <w:pict>
        <v:rect id="_x0000_i1054" style="width:480.95pt;height:1pt" o:hralign="center" o:hrstd="t" o:hrnoshade="t" o:hr="t" fillcolor="black [3213]" stroked="f"/>
      </w:pict>
    </w:r>
  </w:p>
  <w:p w:rsidR="001D5FC8" w:rsidRPr="003160AB" w:rsidRDefault="001D5FC8" w:rsidP="007A3EAE">
    <w:pPr>
      <w:pStyle w:val="Footer"/>
    </w:pPr>
    <w:r w:rsidRPr="003160AB">
      <w:tab/>
    </w:r>
    <w:r>
      <w:t xml:space="preserve">- </w:t>
    </w:r>
    <w:fldSimple w:instr=" PAGE   \* MERGEFORMAT ">
      <w:r w:rsidR="00CB599C">
        <w:rPr>
          <w:noProof/>
        </w:rPr>
        <w:t>1444</w:t>
      </w:r>
    </w:fldSimple>
    <w:r>
      <w: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782AE4">
    <w:pPr>
      <w:tabs>
        <w:tab w:val="center" w:pos="4680"/>
      </w:tabs>
    </w:pPr>
    <w:r>
      <w:pict>
        <v:rect id="_x0000_i1055" style="width:480.95pt;height:1pt" o:hralign="center" o:hrstd="t" o:hrnoshade="t" o:hr="t" fillcolor="black [3213]" stroked="f"/>
      </w:pict>
    </w:r>
  </w:p>
  <w:p w:rsidR="001D5FC8" w:rsidRDefault="001D5FC8" w:rsidP="00782AE4">
    <w:pPr>
      <w:tabs>
        <w:tab w:val="center" w:pos="4680"/>
      </w:tabs>
    </w:pPr>
    <w:r>
      <w:tab/>
      <w:t xml:space="preserve">- </w:t>
    </w:r>
    <w:r w:rsidR="0047571A" w:rsidRPr="001775C1">
      <w:rPr>
        <w:szCs w:val="24"/>
      </w:rPr>
      <w:fldChar w:fldCharType="begin"/>
    </w:r>
    <w:r w:rsidRPr="001775C1">
      <w:rPr>
        <w:szCs w:val="24"/>
      </w:rPr>
      <w:instrText xml:space="preserve"> PAGE   \* MERGEFORMAT </w:instrText>
    </w:r>
    <w:r w:rsidR="0047571A" w:rsidRPr="001775C1">
      <w:rPr>
        <w:szCs w:val="24"/>
      </w:rPr>
      <w:fldChar w:fldCharType="separate"/>
    </w:r>
    <w:r w:rsidR="00CB599C">
      <w:rPr>
        <w:noProof/>
        <w:szCs w:val="24"/>
      </w:rPr>
      <w:t>1439</w:t>
    </w:r>
    <w:r w:rsidR="0047571A"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Pr="008C2525" w:rsidRDefault="001D5FC8" w:rsidP="008C2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A87207">
    <w:pPr>
      <w:pStyle w:val="Footer"/>
    </w:pPr>
    <w:r>
      <w:pict>
        <v:rect id="_x0000_i1029" style="width:480.95pt;height:1pt" o:hralign="center" o:hrstd="t" o:hrnoshade="t" o:hr="t" fillcolor="black [3213]" stroked="f"/>
      </w:pict>
    </w:r>
  </w:p>
  <w:p w:rsidR="001D5FC8" w:rsidRPr="00B7374B" w:rsidRDefault="001D5FC8" w:rsidP="00B7374B">
    <w:pPr>
      <w:tabs>
        <w:tab w:val="center" w:pos="4680"/>
      </w:tabs>
      <w:rPr>
        <w:szCs w:val="24"/>
      </w:rPr>
    </w:pPr>
    <w:r w:rsidRPr="00954D22">
      <w:rPr>
        <w:szCs w:val="24"/>
      </w:rPr>
      <w:tab/>
      <w:t xml:space="preserve">- </w:t>
    </w:r>
    <w:r w:rsidR="0047571A" w:rsidRPr="00954D22">
      <w:rPr>
        <w:szCs w:val="24"/>
      </w:rPr>
      <w:fldChar w:fldCharType="begin"/>
    </w:r>
    <w:r w:rsidRPr="00954D22">
      <w:rPr>
        <w:szCs w:val="24"/>
      </w:rPr>
      <w:instrText xml:space="preserve"> PAGE   \* MERGEFORMAT </w:instrText>
    </w:r>
    <w:r w:rsidR="0047571A" w:rsidRPr="00954D22">
      <w:rPr>
        <w:szCs w:val="24"/>
      </w:rPr>
      <w:fldChar w:fldCharType="separate"/>
    </w:r>
    <w:r>
      <w:rPr>
        <w:noProof/>
        <w:szCs w:val="24"/>
      </w:rPr>
      <w:t>1429</w:t>
    </w:r>
    <w:r w:rsidR="0047571A"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755F22">
    <w:pPr>
      <w:tabs>
        <w:tab w:val="left" w:pos="-1440"/>
        <w:tab w:val="left" w:pos="-720"/>
      </w:tabs>
    </w:pPr>
    <w:r>
      <w:pict>
        <v:rect id="_x0000_i1030" style="width:480.95pt;height:1pt" o:hralign="center" o:hrstd="t" o:hrnoshade="t" o:hr="t" fillcolor="black [3213]" stroked="f"/>
      </w:pict>
    </w:r>
  </w:p>
  <w:p w:rsidR="001D5FC8" w:rsidRPr="00954D22" w:rsidRDefault="001D5FC8" w:rsidP="00B7374B">
    <w:pPr>
      <w:tabs>
        <w:tab w:val="center" w:pos="4680"/>
      </w:tabs>
      <w:rPr>
        <w:szCs w:val="24"/>
      </w:rPr>
    </w:pPr>
    <w:r w:rsidRPr="00954D22">
      <w:rPr>
        <w:szCs w:val="24"/>
      </w:rPr>
      <w:tab/>
      <w:t xml:space="preserve">- </w:t>
    </w:r>
    <w:r w:rsidR="0047571A">
      <w:rPr>
        <w:szCs w:val="24"/>
      </w:rPr>
      <w:fldChar w:fldCharType="begin"/>
    </w:r>
    <w:r>
      <w:rPr>
        <w:szCs w:val="24"/>
      </w:rPr>
      <w:instrText xml:space="preserve"> PAGE   \* MERGEFORMAT </w:instrText>
    </w:r>
    <w:r w:rsidR="0047571A">
      <w:rPr>
        <w:szCs w:val="24"/>
      </w:rPr>
      <w:fldChar w:fldCharType="separate"/>
    </w:r>
    <w:r w:rsidR="00CB599C">
      <w:rPr>
        <w:noProof/>
        <w:szCs w:val="24"/>
      </w:rPr>
      <w:t>1428</w:t>
    </w:r>
    <w:r w:rsidR="0047571A">
      <w:rPr>
        <w:szCs w:val="24"/>
      </w:rPr>
      <w:fldChar w:fldCharType="end"/>
    </w:r>
    <w:r w:rsidRPr="00954D22">
      <w:rPr>
        <w:szCs w:val="24"/>
      </w:rPr>
      <w:t xml:space="preserve"> -</w:t>
    </w:r>
  </w:p>
  <w:p w:rsidR="001D5FC8" w:rsidRDefault="001D5FC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A87207">
    <w:pPr>
      <w:pStyle w:val="Footer"/>
    </w:pPr>
    <w:r>
      <w:pict>
        <v:rect id="_x0000_i1032" style="width:480.95pt;height:1pt" o:hralign="center" o:hrstd="t" o:hrnoshade="t" o:hr="t" fillcolor="black [3213]" stroked="f"/>
      </w:pict>
    </w:r>
  </w:p>
  <w:p w:rsidR="001D5FC8" w:rsidRPr="00B7374B" w:rsidRDefault="001D5FC8" w:rsidP="00B7374B">
    <w:pPr>
      <w:tabs>
        <w:tab w:val="center" w:pos="4680"/>
      </w:tabs>
      <w:rPr>
        <w:szCs w:val="24"/>
      </w:rPr>
    </w:pPr>
    <w:r w:rsidRPr="00954D22">
      <w:rPr>
        <w:szCs w:val="24"/>
      </w:rPr>
      <w:tab/>
      <w:t xml:space="preserve">- </w:t>
    </w:r>
    <w:r w:rsidR="0047571A" w:rsidRPr="00954D22">
      <w:rPr>
        <w:szCs w:val="24"/>
      </w:rPr>
      <w:fldChar w:fldCharType="begin"/>
    </w:r>
    <w:r w:rsidRPr="00954D22">
      <w:rPr>
        <w:szCs w:val="24"/>
      </w:rPr>
      <w:instrText xml:space="preserve"> PAGE   \* MERGEFORMAT </w:instrText>
    </w:r>
    <w:r w:rsidR="0047571A" w:rsidRPr="00954D22">
      <w:rPr>
        <w:szCs w:val="24"/>
      </w:rPr>
      <w:fldChar w:fldCharType="separate"/>
    </w:r>
    <w:r>
      <w:rPr>
        <w:noProof/>
        <w:szCs w:val="24"/>
      </w:rPr>
      <w:t>1430</w:t>
    </w:r>
    <w:r w:rsidR="0047571A"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1D5FC8" w:rsidRPr="00954D22" w:rsidRDefault="001D5FC8" w:rsidP="00B7374B">
    <w:pPr>
      <w:tabs>
        <w:tab w:val="center" w:pos="4680"/>
      </w:tabs>
      <w:rPr>
        <w:szCs w:val="24"/>
      </w:rPr>
    </w:pPr>
    <w:r w:rsidRPr="00954D22">
      <w:rPr>
        <w:szCs w:val="24"/>
      </w:rPr>
      <w:tab/>
      <w:t xml:space="preserve">- </w:t>
    </w:r>
    <w:r w:rsidR="0047571A" w:rsidRPr="00954D22">
      <w:rPr>
        <w:szCs w:val="24"/>
      </w:rPr>
      <w:fldChar w:fldCharType="begin"/>
    </w:r>
    <w:r w:rsidRPr="00954D22">
      <w:rPr>
        <w:szCs w:val="24"/>
      </w:rPr>
      <w:instrText xml:space="preserve"> PAGE   \* MERGEFORMAT </w:instrText>
    </w:r>
    <w:r w:rsidR="0047571A" w:rsidRPr="00954D22">
      <w:rPr>
        <w:szCs w:val="24"/>
      </w:rPr>
      <w:fldChar w:fldCharType="separate"/>
    </w:r>
    <w:r w:rsidR="00CB599C">
      <w:rPr>
        <w:noProof/>
        <w:szCs w:val="24"/>
      </w:rPr>
      <w:t>1429</w:t>
    </w:r>
    <w:r w:rsidR="0047571A"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5FC8" w:rsidRDefault="001D5FC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47571A" w:rsidP="00755F22">
    <w:pPr>
      <w:tabs>
        <w:tab w:val="left" w:pos="-1440"/>
        <w:tab w:val="left" w:pos="-720"/>
      </w:tabs>
    </w:pPr>
    <w:r>
      <w:pict>
        <v:rect id="_x0000_i1035" style="width:480.95pt;height:1pt" o:hralign="center" o:hrstd="t" o:hrnoshade="t" o:hr="t" fillcolor="black [3213]" stroked="f"/>
      </w:pict>
    </w:r>
  </w:p>
  <w:p w:rsidR="001D5FC8" w:rsidRDefault="001D5FC8" w:rsidP="00EB2B90">
    <w:pPr>
      <w:tabs>
        <w:tab w:val="center" w:pos="4680"/>
      </w:tabs>
    </w:pPr>
    <w:r>
      <w:tab/>
      <w:t xml:space="preserve">- </w:t>
    </w:r>
    <w:fldSimple w:instr=" PAGE   \* MERGEFORMAT ">
      <w:r w:rsidR="00CB599C">
        <w:rPr>
          <w:noProof/>
        </w:rPr>
        <w:t>1431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C8" w:rsidRDefault="001D5FC8" w:rsidP="00A87207">
      <w:r>
        <w:separator/>
      </w:r>
    </w:p>
  </w:footnote>
  <w:footnote w:type="continuationSeparator" w:id="0">
    <w:p w:rsidR="001D5FC8" w:rsidRDefault="001D5FC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D5FC8" w:rsidRPr="00063E53">
      <w:tc>
        <w:tcPr>
          <w:tcW w:w="4200" w:type="dxa"/>
          <w:tcMar>
            <w:left w:w="0" w:type="dxa"/>
            <w:right w:w="0" w:type="dxa"/>
          </w:tcMar>
        </w:tcPr>
        <w:p w:rsidR="001D5FC8" w:rsidRDefault="001D5F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D5FC8" w:rsidRDefault="001D5F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D5FC8" w:rsidRPr="00283C52" w:rsidRDefault="001D5F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D5FC8" w:rsidRPr="00283C52"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D5FC8" w:rsidRPr="00283C52"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D5FC8" w:rsidRPr="00063E53" w:rsidTr="00245129">
      <w:tc>
        <w:tcPr>
          <w:tcW w:w="4200" w:type="dxa"/>
          <w:tcMar>
            <w:left w:w="0" w:type="dxa"/>
            <w:right w:w="0" w:type="dxa"/>
          </w:tcMar>
        </w:tcPr>
        <w:p w:rsidR="001D5FC8" w:rsidRPr="00732DB7" w:rsidRDefault="001D5FC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D5FC8" w:rsidRPr="00732DB7" w:rsidRDefault="001D5FC8" w:rsidP="00732DB7">
          <w:pPr>
            <w:keepNext/>
            <w:keepLines/>
            <w:tabs>
              <w:tab w:val="left" w:pos="-1440"/>
              <w:tab w:val="left" w:pos="-720"/>
            </w:tabs>
            <w:jc w:val="center"/>
            <w:rPr>
              <w:sz w:val="20"/>
              <w:szCs w:val="20"/>
            </w:rPr>
          </w:pPr>
        </w:p>
        <w:p w:rsidR="001D5FC8" w:rsidRPr="00732DB7" w:rsidRDefault="001D5FC8" w:rsidP="00732DB7">
          <w:pPr>
            <w:keepNext/>
            <w:keepLines/>
            <w:tabs>
              <w:tab w:val="left" w:pos="-1440"/>
              <w:tab w:val="left" w:pos="-720"/>
            </w:tabs>
            <w:jc w:val="center"/>
            <w:rPr>
              <w:sz w:val="20"/>
              <w:szCs w:val="20"/>
            </w:rPr>
          </w:pPr>
        </w:p>
        <w:p w:rsidR="001D5FC8" w:rsidRPr="00732DB7" w:rsidRDefault="001D5FC8" w:rsidP="00732DB7">
          <w:pPr>
            <w:keepNext/>
            <w:keepLines/>
            <w:tabs>
              <w:tab w:val="left" w:pos="-1440"/>
              <w:tab w:val="left" w:pos="-720"/>
            </w:tabs>
            <w:jc w:val="center"/>
            <w:rPr>
              <w:sz w:val="20"/>
              <w:szCs w:val="20"/>
            </w:rPr>
          </w:pPr>
        </w:p>
      </w:tc>
      <w:tc>
        <w:tcPr>
          <w:tcW w:w="4080" w:type="dxa"/>
          <w:tcMar>
            <w:left w:w="0" w:type="dxa"/>
            <w:right w:w="0" w:type="dxa"/>
          </w:tcMar>
        </w:tcPr>
        <w:p w:rsidR="001D5FC8" w:rsidRPr="00732DB7" w:rsidRDefault="001D5FC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D5FC8" w:rsidRPr="00283C52" w:rsidRDefault="001D5FC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D5FC8" w:rsidRPr="00063E53">
      <w:tc>
        <w:tcPr>
          <w:tcW w:w="4200" w:type="dxa"/>
          <w:tcMar>
            <w:left w:w="0" w:type="dxa"/>
            <w:right w:w="0" w:type="dxa"/>
          </w:tcMar>
        </w:tcPr>
        <w:p w:rsidR="001D5FC8" w:rsidRDefault="001D5F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D5FC8" w:rsidRDefault="001D5F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D5FC8" w:rsidRDefault="001D5F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D5FC8" w:rsidRPr="003C2C0F" w:rsidRDefault="001D5F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D5FC8" w:rsidRPr="003C2C0F"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D5FC8" w:rsidRPr="003C2C0F"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D5FC8" w:rsidRPr="00063E53" w:rsidTr="00245129">
      <w:tc>
        <w:tcPr>
          <w:tcW w:w="4200" w:type="dxa"/>
          <w:tcMar>
            <w:left w:w="0" w:type="dxa"/>
            <w:right w:w="0" w:type="dxa"/>
          </w:tcMar>
        </w:tcPr>
        <w:p w:rsidR="001D5FC8" w:rsidRPr="00FF6EEC" w:rsidRDefault="001D5FC8" w:rsidP="00FF6EEC">
          <w:pPr>
            <w:rPr>
              <w:sz w:val="20"/>
              <w:szCs w:val="20"/>
            </w:rPr>
          </w:pPr>
          <w:r w:rsidRPr="00FF6EEC">
            <w:rPr>
              <w:sz w:val="20"/>
              <w:szCs w:val="20"/>
            </w:rPr>
            <w:t>PRONOUNCEMENTS OF APPEALS RESERVED</w:t>
          </w:r>
        </w:p>
      </w:tc>
      <w:tc>
        <w:tcPr>
          <w:tcW w:w="1200" w:type="dxa"/>
          <w:tcMar>
            <w:left w:w="0" w:type="dxa"/>
            <w:right w:w="0" w:type="dxa"/>
          </w:tcMar>
        </w:tcPr>
        <w:p w:rsidR="001D5FC8" w:rsidRPr="00FF6EEC" w:rsidRDefault="001D5FC8" w:rsidP="00FF6EEC">
          <w:pPr>
            <w:jc w:val="center"/>
            <w:rPr>
              <w:sz w:val="20"/>
              <w:szCs w:val="20"/>
            </w:rPr>
          </w:pPr>
        </w:p>
        <w:p w:rsidR="001D5FC8" w:rsidRPr="00FF6EEC" w:rsidRDefault="001D5FC8" w:rsidP="00FF6EEC">
          <w:pPr>
            <w:jc w:val="center"/>
            <w:rPr>
              <w:sz w:val="20"/>
              <w:szCs w:val="20"/>
            </w:rPr>
          </w:pPr>
        </w:p>
        <w:p w:rsidR="001D5FC8" w:rsidRPr="00FF6EEC" w:rsidRDefault="001D5FC8" w:rsidP="00FF6EEC">
          <w:pPr>
            <w:jc w:val="center"/>
            <w:rPr>
              <w:sz w:val="20"/>
              <w:szCs w:val="20"/>
            </w:rPr>
          </w:pPr>
        </w:p>
      </w:tc>
      <w:tc>
        <w:tcPr>
          <w:tcW w:w="4080" w:type="dxa"/>
          <w:tcMar>
            <w:left w:w="0" w:type="dxa"/>
            <w:right w:w="0" w:type="dxa"/>
          </w:tcMar>
        </w:tcPr>
        <w:p w:rsidR="001D5FC8" w:rsidRPr="00FF6EEC" w:rsidRDefault="001D5FC8" w:rsidP="00FF6EEC">
          <w:pPr>
            <w:rPr>
              <w:sz w:val="20"/>
              <w:szCs w:val="20"/>
              <w:lang w:val="fr-CA"/>
            </w:rPr>
          </w:pPr>
          <w:r w:rsidRPr="00FF6EEC">
            <w:rPr>
              <w:sz w:val="20"/>
              <w:szCs w:val="20"/>
              <w:lang w:val="fr-CA"/>
            </w:rPr>
            <w:t>JUGEMENTS RENDUS SUR LES APPELS EN DÉLIBÉRÉ</w:t>
          </w:r>
        </w:p>
      </w:tc>
    </w:tr>
  </w:tbl>
  <w:p w:rsidR="001D5FC8" w:rsidRPr="003C2C0F" w:rsidRDefault="001D5FC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D5FC8">
      <w:tc>
        <w:tcPr>
          <w:tcW w:w="4200" w:type="dxa"/>
          <w:tcMar>
            <w:left w:w="0" w:type="dxa"/>
            <w:right w:w="0" w:type="dxa"/>
          </w:tcMar>
        </w:tcPr>
        <w:p w:rsidR="001D5FC8" w:rsidRDefault="001D5FC8">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1D5FC8" w:rsidRDefault="001D5FC8">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1D5FC8" w:rsidRDefault="001D5FC8">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1D5FC8" w:rsidRDefault="001D5FC8">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1D5FC8" w:rsidRDefault="001D5FC8">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D5FC8" w:rsidRPr="00102926" w:rsidTr="00245129">
      <w:tc>
        <w:tcPr>
          <w:tcW w:w="4200" w:type="dxa"/>
          <w:tcMar>
            <w:left w:w="0" w:type="dxa"/>
            <w:right w:w="0" w:type="dxa"/>
          </w:tcMar>
        </w:tcPr>
        <w:p w:rsidR="001D5FC8" w:rsidRDefault="001D5FC8" w:rsidP="008C2525">
          <w:pPr>
            <w:rPr>
              <w:sz w:val="20"/>
              <w:szCs w:val="20"/>
            </w:rPr>
          </w:pPr>
          <w:r w:rsidRPr="00102926">
            <w:rPr>
              <w:sz w:val="20"/>
              <w:szCs w:val="20"/>
            </w:rPr>
            <w:t>HEA</w:t>
          </w:r>
          <w:r>
            <w:rPr>
              <w:sz w:val="20"/>
              <w:szCs w:val="20"/>
            </w:rPr>
            <w:t>DNOTES OF RECENT</w:t>
          </w:r>
        </w:p>
        <w:p w:rsidR="001D5FC8" w:rsidRPr="00102926" w:rsidRDefault="001D5FC8" w:rsidP="008C2525">
          <w:pPr>
            <w:rPr>
              <w:sz w:val="20"/>
              <w:szCs w:val="20"/>
            </w:rPr>
          </w:pPr>
          <w:r>
            <w:rPr>
              <w:sz w:val="20"/>
              <w:szCs w:val="20"/>
            </w:rPr>
            <w:t>JUDGMENTS</w:t>
          </w:r>
        </w:p>
      </w:tc>
      <w:tc>
        <w:tcPr>
          <w:tcW w:w="1200" w:type="dxa"/>
          <w:tcMar>
            <w:left w:w="0" w:type="dxa"/>
            <w:right w:w="0" w:type="dxa"/>
          </w:tcMar>
        </w:tcPr>
        <w:p w:rsidR="001D5FC8" w:rsidRDefault="001D5FC8" w:rsidP="00102926">
          <w:pPr>
            <w:jc w:val="center"/>
            <w:rPr>
              <w:sz w:val="20"/>
              <w:szCs w:val="20"/>
            </w:rPr>
          </w:pPr>
        </w:p>
        <w:p w:rsidR="001D5FC8" w:rsidRDefault="001D5FC8" w:rsidP="00102926">
          <w:pPr>
            <w:jc w:val="center"/>
            <w:rPr>
              <w:sz w:val="20"/>
              <w:szCs w:val="20"/>
            </w:rPr>
          </w:pPr>
        </w:p>
        <w:p w:rsidR="001D5FC8" w:rsidRPr="00102926" w:rsidRDefault="001D5FC8" w:rsidP="00102926">
          <w:pPr>
            <w:jc w:val="center"/>
            <w:rPr>
              <w:sz w:val="20"/>
              <w:szCs w:val="20"/>
            </w:rPr>
          </w:pPr>
        </w:p>
      </w:tc>
      <w:tc>
        <w:tcPr>
          <w:tcW w:w="4080" w:type="dxa"/>
          <w:tcMar>
            <w:left w:w="0" w:type="dxa"/>
            <w:right w:w="0" w:type="dxa"/>
          </w:tcMar>
        </w:tcPr>
        <w:p w:rsidR="001D5FC8" w:rsidRDefault="001D5FC8" w:rsidP="007A3EAE">
          <w:pPr>
            <w:rPr>
              <w:sz w:val="20"/>
              <w:szCs w:val="20"/>
            </w:rPr>
          </w:pPr>
          <w:r>
            <w:rPr>
              <w:sz w:val="20"/>
              <w:szCs w:val="20"/>
            </w:rPr>
            <w:t>SOMMAIRE DE JUGEMENTS</w:t>
          </w:r>
        </w:p>
        <w:p w:rsidR="001D5FC8" w:rsidRPr="00102926" w:rsidRDefault="001D5FC8" w:rsidP="007A3EAE">
          <w:pPr>
            <w:rPr>
              <w:sz w:val="20"/>
              <w:szCs w:val="20"/>
            </w:rPr>
          </w:pPr>
          <w:r>
            <w:rPr>
              <w:sz w:val="20"/>
              <w:szCs w:val="20"/>
            </w:rPr>
            <w:t>RÉCENTS</w:t>
          </w:r>
        </w:p>
      </w:tc>
    </w:tr>
  </w:tbl>
  <w:p w:rsidR="001D5FC8" w:rsidRDefault="001D5FC8"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D5FC8" w:rsidRPr="00102926" w:rsidTr="008C2525">
      <w:tc>
        <w:tcPr>
          <w:tcW w:w="4200" w:type="dxa"/>
          <w:tcMar>
            <w:left w:w="0" w:type="dxa"/>
            <w:right w:w="0" w:type="dxa"/>
          </w:tcMar>
        </w:tcPr>
        <w:p w:rsidR="001D5FC8" w:rsidRPr="00102926" w:rsidRDefault="001D5FC8" w:rsidP="008C2525">
          <w:pPr>
            <w:rPr>
              <w:sz w:val="20"/>
              <w:szCs w:val="20"/>
            </w:rPr>
          </w:pPr>
        </w:p>
      </w:tc>
      <w:tc>
        <w:tcPr>
          <w:tcW w:w="1200" w:type="dxa"/>
          <w:tcMar>
            <w:left w:w="0" w:type="dxa"/>
            <w:right w:w="0" w:type="dxa"/>
          </w:tcMar>
        </w:tcPr>
        <w:p w:rsidR="001D5FC8" w:rsidRPr="00102926" w:rsidRDefault="001D5FC8" w:rsidP="00102926">
          <w:pPr>
            <w:jc w:val="center"/>
            <w:rPr>
              <w:sz w:val="20"/>
              <w:szCs w:val="20"/>
            </w:rPr>
          </w:pPr>
        </w:p>
      </w:tc>
      <w:tc>
        <w:tcPr>
          <w:tcW w:w="4080" w:type="dxa"/>
          <w:tcMar>
            <w:left w:w="0" w:type="dxa"/>
            <w:right w:w="0" w:type="dxa"/>
          </w:tcMar>
        </w:tcPr>
        <w:p w:rsidR="001D5FC8" w:rsidRPr="00102926" w:rsidRDefault="001D5FC8" w:rsidP="007A3EAE">
          <w:pPr>
            <w:rPr>
              <w:sz w:val="20"/>
              <w:szCs w:val="20"/>
            </w:rPr>
          </w:pPr>
        </w:p>
      </w:tc>
    </w:tr>
  </w:tbl>
  <w:p w:rsidR="001D5FC8" w:rsidRDefault="001D5FC8"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D5FC8" w:rsidRPr="0044776A" w:rsidTr="00245129">
      <w:tc>
        <w:tcPr>
          <w:tcW w:w="4290" w:type="dxa"/>
          <w:tcMar>
            <w:left w:w="0" w:type="dxa"/>
            <w:right w:w="0" w:type="dxa"/>
          </w:tcMar>
        </w:tcPr>
        <w:p w:rsidR="001D5FC8" w:rsidRPr="0044776A" w:rsidRDefault="001D5FC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D5FC8" w:rsidRPr="0044776A" w:rsidRDefault="001D5FC8" w:rsidP="002E2327">
          <w:pPr>
            <w:keepNext/>
            <w:keepLines/>
            <w:tabs>
              <w:tab w:val="left" w:pos="-1440"/>
              <w:tab w:val="left" w:pos="-720"/>
            </w:tabs>
            <w:jc w:val="center"/>
            <w:rPr>
              <w:sz w:val="20"/>
              <w:szCs w:val="20"/>
            </w:rPr>
          </w:pPr>
        </w:p>
        <w:p w:rsidR="001D5FC8" w:rsidRPr="0044776A" w:rsidRDefault="001D5FC8" w:rsidP="002E2327">
          <w:pPr>
            <w:keepNext/>
            <w:keepLines/>
            <w:tabs>
              <w:tab w:val="left" w:pos="-1440"/>
              <w:tab w:val="left" w:pos="-720"/>
            </w:tabs>
            <w:jc w:val="center"/>
            <w:rPr>
              <w:sz w:val="20"/>
              <w:szCs w:val="20"/>
            </w:rPr>
          </w:pPr>
        </w:p>
        <w:p w:rsidR="001D5FC8" w:rsidRPr="0044776A" w:rsidRDefault="001D5FC8" w:rsidP="002E2327">
          <w:pPr>
            <w:keepNext/>
            <w:keepLines/>
            <w:tabs>
              <w:tab w:val="left" w:pos="-1440"/>
              <w:tab w:val="left" w:pos="-720"/>
            </w:tabs>
            <w:jc w:val="center"/>
            <w:rPr>
              <w:sz w:val="20"/>
              <w:szCs w:val="20"/>
            </w:rPr>
          </w:pPr>
        </w:p>
      </w:tc>
      <w:tc>
        <w:tcPr>
          <w:tcW w:w="4320" w:type="dxa"/>
          <w:tcMar>
            <w:left w:w="0" w:type="dxa"/>
            <w:right w:w="0" w:type="dxa"/>
          </w:tcMar>
        </w:tcPr>
        <w:p w:rsidR="001D5FC8" w:rsidRPr="0044776A" w:rsidRDefault="001D5FC8" w:rsidP="002E2327">
          <w:pPr>
            <w:keepLines/>
            <w:rPr>
              <w:sz w:val="20"/>
              <w:szCs w:val="20"/>
              <w:lang w:val="fr-CA"/>
            </w:rPr>
          </w:pPr>
          <w:r w:rsidRPr="0044776A">
            <w:rPr>
              <w:sz w:val="20"/>
              <w:szCs w:val="20"/>
              <w:lang w:val="fr-CA"/>
            </w:rPr>
            <w:t>DEMANDES D'AUTORISATION D'APPEL DÉPOSÉES</w:t>
          </w:r>
        </w:p>
      </w:tc>
    </w:tr>
  </w:tbl>
  <w:p w:rsidR="001D5FC8" w:rsidRDefault="001D5FC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D5FC8" w:rsidRPr="00063E53" w:rsidTr="00245129">
      <w:tc>
        <w:tcPr>
          <w:tcW w:w="4200" w:type="dxa"/>
          <w:tcMar>
            <w:left w:w="0" w:type="dxa"/>
            <w:right w:w="0" w:type="dxa"/>
          </w:tcMar>
        </w:tcPr>
        <w:p w:rsidR="001D5FC8" w:rsidRPr="0044776A" w:rsidRDefault="001D5FC8" w:rsidP="0044776A">
          <w:pPr>
            <w:keepNext/>
            <w:keepLines/>
            <w:widowControl w:val="0"/>
            <w:rPr>
              <w:sz w:val="20"/>
              <w:szCs w:val="20"/>
            </w:rPr>
          </w:pPr>
          <w:r>
            <w:rPr>
              <w:sz w:val="20"/>
              <w:szCs w:val="20"/>
            </w:rPr>
            <w:t>APPLICATIONS FOR LEAVE</w:t>
          </w:r>
        </w:p>
        <w:p w:rsidR="001D5FC8" w:rsidRPr="0044776A" w:rsidRDefault="001D5FC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D5FC8" w:rsidRPr="0044776A" w:rsidRDefault="001D5FC8" w:rsidP="0044776A">
          <w:pPr>
            <w:keepNext/>
            <w:keepLines/>
            <w:widowControl w:val="0"/>
            <w:jc w:val="center"/>
            <w:rPr>
              <w:sz w:val="20"/>
              <w:szCs w:val="20"/>
            </w:rPr>
          </w:pPr>
        </w:p>
        <w:p w:rsidR="001D5FC8" w:rsidRPr="0044776A" w:rsidRDefault="001D5FC8" w:rsidP="0044776A">
          <w:pPr>
            <w:keepNext/>
            <w:keepLines/>
            <w:widowControl w:val="0"/>
            <w:jc w:val="center"/>
            <w:rPr>
              <w:sz w:val="20"/>
              <w:szCs w:val="20"/>
            </w:rPr>
          </w:pPr>
        </w:p>
        <w:p w:rsidR="001D5FC8" w:rsidRPr="0044776A" w:rsidRDefault="001D5FC8" w:rsidP="0044776A">
          <w:pPr>
            <w:keepNext/>
            <w:keepLines/>
            <w:widowControl w:val="0"/>
            <w:jc w:val="center"/>
            <w:rPr>
              <w:sz w:val="20"/>
              <w:szCs w:val="20"/>
            </w:rPr>
          </w:pPr>
        </w:p>
      </w:tc>
      <w:tc>
        <w:tcPr>
          <w:tcW w:w="4080" w:type="dxa"/>
          <w:tcMar>
            <w:left w:w="0" w:type="dxa"/>
            <w:right w:w="0" w:type="dxa"/>
          </w:tcMar>
        </w:tcPr>
        <w:p w:rsidR="001D5FC8" w:rsidRPr="0044776A" w:rsidRDefault="001D5FC8" w:rsidP="0044776A">
          <w:pPr>
            <w:keepLines/>
            <w:widowControl w:val="0"/>
            <w:rPr>
              <w:sz w:val="20"/>
              <w:szCs w:val="20"/>
              <w:lang w:val="fr-CA"/>
            </w:rPr>
          </w:pPr>
          <w:r w:rsidRPr="0044776A">
            <w:rPr>
              <w:sz w:val="20"/>
              <w:szCs w:val="20"/>
              <w:lang w:val="fr-CA"/>
            </w:rPr>
            <w:t>DEMANDES SOUMISES À LA COUR DEPUIS LA DERNIÈRE PARUTION</w:t>
          </w:r>
        </w:p>
        <w:p w:rsidR="001D5FC8" w:rsidRPr="0044776A" w:rsidRDefault="001D5FC8" w:rsidP="0044776A">
          <w:pPr>
            <w:widowControl w:val="0"/>
            <w:rPr>
              <w:sz w:val="20"/>
              <w:szCs w:val="20"/>
              <w:lang w:val="fr-CA"/>
            </w:rPr>
          </w:pPr>
        </w:p>
      </w:tc>
    </w:tr>
  </w:tbl>
  <w:p w:rsidR="001D5FC8" w:rsidRPr="002E2327" w:rsidRDefault="001D5FC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C8" w:rsidRDefault="001D5FC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D5FC8">
      <w:tc>
        <w:tcPr>
          <w:tcW w:w="4230" w:type="dxa"/>
          <w:tcMar>
            <w:left w:w="0" w:type="dxa"/>
            <w:right w:w="0" w:type="dxa"/>
          </w:tcMar>
        </w:tcPr>
        <w:p w:rsidR="001D5FC8" w:rsidRDefault="001D5F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D5FC8" w:rsidRDefault="001D5F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D5FC8" w:rsidRDefault="001D5F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D5FC8">
      <w:trPr>
        <w:gridAfter w:val="2"/>
        <w:wAfter w:w="5250" w:type="dxa"/>
      </w:trPr>
      <w:tc>
        <w:tcPr>
          <w:tcW w:w="4230" w:type="dxa"/>
          <w:tcMar>
            <w:left w:w="0" w:type="dxa"/>
            <w:right w:w="0" w:type="dxa"/>
          </w:tcMar>
        </w:tcPr>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D5FC8" w:rsidRDefault="001D5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D5FC8" w:rsidRPr="00755F22" w:rsidTr="00245129">
      <w:tc>
        <w:tcPr>
          <w:tcW w:w="4230" w:type="dxa"/>
          <w:tcMar>
            <w:left w:w="0" w:type="dxa"/>
            <w:right w:w="0" w:type="dxa"/>
          </w:tcMar>
        </w:tcPr>
        <w:p w:rsidR="001D5FC8" w:rsidRPr="00755F22" w:rsidRDefault="001D5FC8" w:rsidP="00831CA9">
          <w:pPr>
            <w:keepNext/>
            <w:keepLines/>
            <w:rPr>
              <w:sz w:val="20"/>
              <w:szCs w:val="20"/>
            </w:rPr>
          </w:pPr>
          <w:r w:rsidRPr="00755F22">
            <w:rPr>
              <w:sz w:val="20"/>
              <w:szCs w:val="20"/>
            </w:rPr>
            <w:t>MOTIONS</w:t>
          </w:r>
        </w:p>
      </w:tc>
      <w:tc>
        <w:tcPr>
          <w:tcW w:w="1170" w:type="dxa"/>
          <w:tcMar>
            <w:left w:w="0" w:type="dxa"/>
            <w:right w:w="0" w:type="dxa"/>
          </w:tcMar>
        </w:tcPr>
        <w:p w:rsidR="001D5FC8" w:rsidRPr="00755F22" w:rsidRDefault="001D5FC8" w:rsidP="00831CA9">
          <w:pPr>
            <w:keepLines/>
            <w:jc w:val="center"/>
            <w:rPr>
              <w:sz w:val="20"/>
              <w:szCs w:val="20"/>
            </w:rPr>
          </w:pPr>
        </w:p>
        <w:p w:rsidR="001D5FC8" w:rsidRPr="00755F22" w:rsidRDefault="001D5FC8" w:rsidP="00831CA9">
          <w:pPr>
            <w:keepLines/>
            <w:tabs>
              <w:tab w:val="left" w:pos="-1440"/>
              <w:tab w:val="left" w:pos="-720"/>
            </w:tabs>
            <w:jc w:val="center"/>
            <w:rPr>
              <w:sz w:val="20"/>
              <w:szCs w:val="20"/>
            </w:rPr>
          </w:pPr>
        </w:p>
      </w:tc>
      <w:tc>
        <w:tcPr>
          <w:tcW w:w="4080" w:type="dxa"/>
          <w:tcMar>
            <w:left w:w="0" w:type="dxa"/>
            <w:right w:w="0" w:type="dxa"/>
          </w:tcMar>
        </w:tcPr>
        <w:p w:rsidR="001D5FC8" w:rsidRPr="00BA6468" w:rsidRDefault="001D5FC8" w:rsidP="00BA6468">
          <w:pPr>
            <w:keepLines/>
            <w:rPr>
              <w:sz w:val="20"/>
              <w:szCs w:val="20"/>
              <w:lang w:val="fr-CA"/>
            </w:rPr>
          </w:pPr>
          <w:r w:rsidRPr="00BA6468">
            <w:rPr>
              <w:sz w:val="20"/>
              <w:szCs w:val="20"/>
              <w:lang w:val="fr-CA"/>
            </w:rPr>
            <w:t>REQUÊTES</w:t>
          </w:r>
        </w:p>
      </w:tc>
    </w:tr>
  </w:tbl>
  <w:p w:rsidR="001D5FC8" w:rsidRDefault="001D5FC8"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997"/>
  </w:hdrShapeDefaults>
  <w:footnotePr>
    <w:footnote w:id="-1"/>
    <w:footnote w:id="0"/>
  </w:footnotePr>
  <w:endnotePr>
    <w:endnote w:id="-1"/>
    <w:endnote w:id="0"/>
  </w:endnotePr>
  <w:compat/>
  <w:rsids>
    <w:rsidRoot w:val="000F40AA"/>
    <w:rsid w:val="000631FB"/>
    <w:rsid w:val="00063E53"/>
    <w:rsid w:val="00091626"/>
    <w:rsid w:val="00096BD9"/>
    <w:rsid w:val="000C0ACD"/>
    <w:rsid w:val="000F40AA"/>
    <w:rsid w:val="00102926"/>
    <w:rsid w:val="0015106A"/>
    <w:rsid w:val="00164E6D"/>
    <w:rsid w:val="001738F3"/>
    <w:rsid w:val="0018049E"/>
    <w:rsid w:val="001B5C23"/>
    <w:rsid w:val="001D0D5F"/>
    <w:rsid w:val="001D5FC8"/>
    <w:rsid w:val="001D6B8C"/>
    <w:rsid w:val="001E2E9A"/>
    <w:rsid w:val="001F1F83"/>
    <w:rsid w:val="00204B41"/>
    <w:rsid w:val="002139A7"/>
    <w:rsid w:val="00215F7C"/>
    <w:rsid w:val="0022323B"/>
    <w:rsid w:val="002410B8"/>
    <w:rsid w:val="00245129"/>
    <w:rsid w:val="00245879"/>
    <w:rsid w:val="0027330D"/>
    <w:rsid w:val="00273CBA"/>
    <w:rsid w:val="002A4CCE"/>
    <w:rsid w:val="002B516C"/>
    <w:rsid w:val="002D72EB"/>
    <w:rsid w:val="002E2327"/>
    <w:rsid w:val="002E3583"/>
    <w:rsid w:val="002E5576"/>
    <w:rsid w:val="00331B52"/>
    <w:rsid w:val="00337357"/>
    <w:rsid w:val="00355967"/>
    <w:rsid w:val="00355CD4"/>
    <w:rsid w:val="00382C47"/>
    <w:rsid w:val="00384384"/>
    <w:rsid w:val="0039700F"/>
    <w:rsid w:val="00432989"/>
    <w:rsid w:val="00440E24"/>
    <w:rsid w:val="0044776A"/>
    <w:rsid w:val="00460AFC"/>
    <w:rsid w:val="00462D25"/>
    <w:rsid w:val="0047471F"/>
    <w:rsid w:val="0047571A"/>
    <w:rsid w:val="0048629D"/>
    <w:rsid w:val="00492DCE"/>
    <w:rsid w:val="004C1AAC"/>
    <w:rsid w:val="004C233F"/>
    <w:rsid w:val="004D3EDD"/>
    <w:rsid w:val="004D7463"/>
    <w:rsid w:val="004F090E"/>
    <w:rsid w:val="005079BF"/>
    <w:rsid w:val="00527CC7"/>
    <w:rsid w:val="00571CA4"/>
    <w:rsid w:val="00582136"/>
    <w:rsid w:val="005A2C30"/>
    <w:rsid w:val="005F263E"/>
    <w:rsid w:val="00600252"/>
    <w:rsid w:val="00612A40"/>
    <w:rsid w:val="0063788C"/>
    <w:rsid w:val="00675479"/>
    <w:rsid w:val="00682B4E"/>
    <w:rsid w:val="00697C62"/>
    <w:rsid w:val="006A329B"/>
    <w:rsid w:val="006B6926"/>
    <w:rsid w:val="006C3F47"/>
    <w:rsid w:val="006F51AE"/>
    <w:rsid w:val="00723401"/>
    <w:rsid w:val="00725675"/>
    <w:rsid w:val="00732DB7"/>
    <w:rsid w:val="00755F22"/>
    <w:rsid w:val="00766E4A"/>
    <w:rsid w:val="00782AE4"/>
    <w:rsid w:val="0079724F"/>
    <w:rsid w:val="007A3EAE"/>
    <w:rsid w:val="007D3E0F"/>
    <w:rsid w:val="007E3DD4"/>
    <w:rsid w:val="008009D6"/>
    <w:rsid w:val="00802863"/>
    <w:rsid w:val="00815B3C"/>
    <w:rsid w:val="0082783A"/>
    <w:rsid w:val="00831CA9"/>
    <w:rsid w:val="00850E1F"/>
    <w:rsid w:val="0085476B"/>
    <w:rsid w:val="00861A95"/>
    <w:rsid w:val="00890FEB"/>
    <w:rsid w:val="00891092"/>
    <w:rsid w:val="008A03E0"/>
    <w:rsid w:val="008C2525"/>
    <w:rsid w:val="008D292F"/>
    <w:rsid w:val="008E03DC"/>
    <w:rsid w:val="00930D68"/>
    <w:rsid w:val="00932DB4"/>
    <w:rsid w:val="00946242"/>
    <w:rsid w:val="0095096B"/>
    <w:rsid w:val="009723FA"/>
    <w:rsid w:val="00984546"/>
    <w:rsid w:val="00996510"/>
    <w:rsid w:val="009D1F15"/>
    <w:rsid w:val="009D555E"/>
    <w:rsid w:val="009E1BE6"/>
    <w:rsid w:val="00A0355E"/>
    <w:rsid w:val="00A35A08"/>
    <w:rsid w:val="00A375D1"/>
    <w:rsid w:val="00A51D10"/>
    <w:rsid w:val="00A52A83"/>
    <w:rsid w:val="00A87207"/>
    <w:rsid w:val="00A97BF6"/>
    <w:rsid w:val="00AB2201"/>
    <w:rsid w:val="00AF3904"/>
    <w:rsid w:val="00B010C0"/>
    <w:rsid w:val="00B4740D"/>
    <w:rsid w:val="00B61629"/>
    <w:rsid w:val="00B7374B"/>
    <w:rsid w:val="00B74625"/>
    <w:rsid w:val="00BA116A"/>
    <w:rsid w:val="00BA6468"/>
    <w:rsid w:val="00BB6D36"/>
    <w:rsid w:val="00BD06DA"/>
    <w:rsid w:val="00BD4217"/>
    <w:rsid w:val="00BF25F3"/>
    <w:rsid w:val="00C15AFD"/>
    <w:rsid w:val="00C1697B"/>
    <w:rsid w:val="00C21C1B"/>
    <w:rsid w:val="00C2690D"/>
    <w:rsid w:val="00C50A5C"/>
    <w:rsid w:val="00C50FDF"/>
    <w:rsid w:val="00C657DE"/>
    <w:rsid w:val="00C73E1B"/>
    <w:rsid w:val="00CB599C"/>
    <w:rsid w:val="00CB5A94"/>
    <w:rsid w:val="00CC4D84"/>
    <w:rsid w:val="00CF1582"/>
    <w:rsid w:val="00D27C6C"/>
    <w:rsid w:val="00D65051"/>
    <w:rsid w:val="00D76BDF"/>
    <w:rsid w:val="00D8180B"/>
    <w:rsid w:val="00D862C1"/>
    <w:rsid w:val="00DA23F5"/>
    <w:rsid w:val="00DA3969"/>
    <w:rsid w:val="00DA4D2A"/>
    <w:rsid w:val="00E06DFA"/>
    <w:rsid w:val="00E356C7"/>
    <w:rsid w:val="00E64FA7"/>
    <w:rsid w:val="00E770CB"/>
    <w:rsid w:val="00E8755A"/>
    <w:rsid w:val="00E940EB"/>
    <w:rsid w:val="00E9639F"/>
    <w:rsid w:val="00EB2B90"/>
    <w:rsid w:val="00ED7E83"/>
    <w:rsid w:val="00EE4995"/>
    <w:rsid w:val="00EF4B63"/>
    <w:rsid w:val="00EF61D5"/>
    <w:rsid w:val="00F0068D"/>
    <w:rsid w:val="00F13C13"/>
    <w:rsid w:val="00F16C8D"/>
    <w:rsid w:val="00F16ECE"/>
    <w:rsid w:val="00F23D4B"/>
    <w:rsid w:val="00F33CCE"/>
    <w:rsid w:val="00F37BBC"/>
    <w:rsid w:val="00F40249"/>
    <w:rsid w:val="00F526C8"/>
    <w:rsid w:val="00F54B59"/>
    <w:rsid w:val="00F74A77"/>
    <w:rsid w:val="00F9518C"/>
    <w:rsid w:val="00FA1DBC"/>
    <w:rsid w:val="00FA59EF"/>
    <w:rsid w:val="00FB24F5"/>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table" w:customStyle="1" w:styleId="TableGrid1">
    <w:name w:val="Table Grid1"/>
    <w:basedOn w:val="TableNormal"/>
    <w:next w:val="TableGrid"/>
    <w:uiPriority w:val="59"/>
    <w:rsid w:val="007E3DD4"/>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AppellantForIndex">
    <w:name w:val="SCC.AppellantForIndex"/>
    <w:basedOn w:val="Normal"/>
    <w:next w:val="Normal"/>
    <w:link w:val="SCCAppellantForIndexChar"/>
    <w:rsid w:val="0027330D"/>
    <w:rPr>
      <w:rFonts w:eastAsia="Times New Roman" w:cs="Times New Roman"/>
      <w:b/>
      <w:szCs w:val="20"/>
      <w:lang w:eastAsia="en-CA"/>
    </w:rPr>
  </w:style>
  <w:style w:type="character" w:customStyle="1" w:styleId="SCCAppellantForIndexChar">
    <w:name w:val="SCC.AppellantForIndex Char"/>
    <w:basedOn w:val="DefaultParagraphFont"/>
    <w:link w:val="SCCAppellantForIndex"/>
    <w:rsid w:val="0027330D"/>
    <w:rPr>
      <w:rFonts w:eastAsia="Times New Roman" w:cs="Times New Roman"/>
      <w:b/>
      <w:szCs w:val="20"/>
      <w:lang w:val="en-CA" w:eastAsia="en-CA"/>
    </w:rPr>
  </w:style>
  <w:style w:type="paragraph" w:customStyle="1" w:styleId="SCCRespondentForIndex">
    <w:name w:val="SCC.RespondentForIndex"/>
    <w:basedOn w:val="Normal"/>
    <w:next w:val="Normal"/>
    <w:link w:val="SCCRespondentForIndexChar"/>
    <w:rsid w:val="0027330D"/>
    <w:rPr>
      <w:rFonts w:eastAsia="Times New Roman" w:cs="Times New Roman"/>
      <w:b/>
      <w:szCs w:val="20"/>
      <w:lang w:val="fr-CA" w:eastAsia="en-CA"/>
    </w:rPr>
  </w:style>
  <w:style w:type="character" w:customStyle="1" w:styleId="SCCRespondentForIndexChar">
    <w:name w:val="SCC.RespondentForIndex Char"/>
    <w:basedOn w:val="DefaultParagraphFont"/>
    <w:link w:val="SCCRespondentForIndex"/>
    <w:rsid w:val="0027330D"/>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DA4D2A"/>
    <w:pPr>
      <w:spacing w:line="480" w:lineRule="auto"/>
      <w:jc w:val="both"/>
    </w:pPr>
    <w:rPr>
      <w:rFonts w:eastAsia="Times New Roman" w:cs="Times New Roman"/>
      <w:szCs w:val="20"/>
      <w:lang w:val="fr-CA" w:eastAsia="en-CA"/>
    </w:rPr>
  </w:style>
  <w:style w:type="character" w:customStyle="1" w:styleId="SCCNormalDoubleSpacingChar">
    <w:name w:val="SCC.Normal.DoubleSpacing Char"/>
    <w:basedOn w:val="DefaultParagraphFont"/>
    <w:link w:val="SCCNormalDoubleSpacing"/>
    <w:rsid w:val="00DA4D2A"/>
    <w:rPr>
      <w:rFonts w:eastAsia="Times New Roman" w:cs="Times New Roman"/>
      <w:szCs w:val="20"/>
      <w:lang w:val="fr-CA" w:eastAsia="en-CA"/>
    </w:rPr>
  </w:style>
  <w:style w:type="paragraph" w:styleId="Quote">
    <w:name w:val="Quote"/>
    <w:basedOn w:val="Normal"/>
    <w:next w:val="Normal"/>
    <w:link w:val="QuoteChar"/>
    <w:uiPriority w:val="29"/>
    <w:qFormat/>
    <w:rsid w:val="00DA4D2A"/>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DA4D2A"/>
    <w:rPr>
      <w:rFonts w:eastAsia="Times New Roman" w:cs="Times New Roman"/>
      <w:i/>
      <w:iCs/>
      <w:color w:val="000000" w:themeColor="text1"/>
      <w:szCs w:val="20"/>
      <w:lang w:val="en-CA" w:eastAsia="en-CA"/>
    </w:rPr>
  </w:style>
  <w:style w:type="paragraph" w:customStyle="1" w:styleId="SCCLsocPartyRole">
    <w:name w:val="SCC.Lsoc.PartyRole"/>
    <w:basedOn w:val="Normal"/>
    <w:next w:val="Normal"/>
    <w:link w:val="SCCLsocPartyRoleChar"/>
    <w:rsid w:val="00337357"/>
    <w:pPr>
      <w:jc w:val="right"/>
    </w:pPr>
    <w:rPr>
      <w:rFonts w:eastAsia="Times New Roman" w:cs="Times New Roman"/>
      <w:i/>
      <w:szCs w:val="20"/>
      <w:lang w:eastAsia="en-CA"/>
    </w:rPr>
  </w:style>
  <w:style w:type="character" w:customStyle="1" w:styleId="SCCLsocPartyRoleChar">
    <w:name w:val="SCC.Lsoc.PartyRole Char"/>
    <w:basedOn w:val="DefaultParagraphFont"/>
    <w:link w:val="SCCLsocPartyRole"/>
    <w:rsid w:val="00337357"/>
    <w:rPr>
      <w:rFonts w:eastAsia="Times New Roman" w:cs="Times New Roman"/>
      <w:i/>
      <w:szCs w:val="20"/>
      <w:lang w:val="en-CA" w:eastAsia="en-CA"/>
    </w:rPr>
  </w:style>
  <w:style w:type="paragraph" w:customStyle="1" w:styleId="SCCCounselName">
    <w:name w:val="SCC.CounselName"/>
    <w:basedOn w:val="SCCNormalDoubleSpacing"/>
    <w:next w:val="SCCNormalDoubleSpacing"/>
    <w:link w:val="SCCCounselNameChar"/>
    <w:rsid w:val="00337357"/>
    <w:rPr>
      <w:i/>
      <w:lang w:val="en-CA"/>
    </w:rPr>
  </w:style>
  <w:style w:type="character" w:customStyle="1" w:styleId="SCCCounselNameChar">
    <w:name w:val="SCC.CounselName Char"/>
    <w:basedOn w:val="SCCNormalDoubleSpacingChar"/>
    <w:link w:val="SCCCounselName"/>
    <w:rsid w:val="00337357"/>
    <w:rPr>
      <w:i/>
      <w:lang w:val="en-CA"/>
    </w:rPr>
  </w:style>
  <w:style w:type="paragraph" w:customStyle="1" w:styleId="SCCLawFirm">
    <w:name w:val="SCC.LawFirm"/>
    <w:basedOn w:val="SCCNormalDoubleSpacing"/>
    <w:next w:val="SCCNormalDoubleSpacing"/>
    <w:link w:val="SCCLawFirmChar"/>
    <w:rsid w:val="00337357"/>
    <w:rPr>
      <w:i/>
      <w:lang w:val="en-CA"/>
    </w:rPr>
  </w:style>
  <w:style w:type="character" w:customStyle="1" w:styleId="SCCLawFirmChar">
    <w:name w:val="SCC.LawFirm Char"/>
    <w:basedOn w:val="SCCNormalDoubleSpacingChar"/>
    <w:link w:val="SCCLawFirm"/>
    <w:rsid w:val="00337357"/>
    <w:rPr>
      <w:i/>
      <w:lang w:val="en-CA"/>
    </w:rPr>
  </w:style>
  <w:style w:type="paragraph" w:customStyle="1" w:styleId="SCCCounselPartyRole">
    <w:name w:val="SCC.CounselPartyRole"/>
    <w:basedOn w:val="SCCNormalDoubleSpacing"/>
    <w:next w:val="SCCNormalDoubleSpacing"/>
    <w:link w:val="SCCCounselPartyRoleChar"/>
    <w:rsid w:val="00337357"/>
    <w:rPr>
      <w:lang w:val="en-CA"/>
    </w:rPr>
  </w:style>
  <w:style w:type="character" w:customStyle="1" w:styleId="SCCCounselPartyRoleChar">
    <w:name w:val="SCC.CounselPartyRole Char"/>
    <w:basedOn w:val="SCCNormalDoubleSpacingChar"/>
    <w:link w:val="SCCCounselPartyRole"/>
    <w:rsid w:val="00337357"/>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DD26-A467-478D-8F41-AE9857C5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2010-11-15T17:57:00Z</dcterms:created>
  <dcterms:modified xsi:type="dcterms:W3CDTF">2010-11-15T17:57:00Z</dcterms:modified>
</cp:coreProperties>
</file>