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7533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7533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7533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07533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75333" w:rsidTr="002E5576">
        <w:tc>
          <w:tcPr>
            <w:tcW w:w="4518" w:type="dxa"/>
          </w:tcPr>
          <w:p w:rsidR="00BF25F3" w:rsidRPr="002E2327" w:rsidRDefault="006D705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D705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C64FB" w:rsidP="00F0068D">
      <w:pPr>
        <w:pBdr>
          <w:bottom w:val="single" w:sz="6" w:space="1" w:color="auto"/>
        </w:pBdr>
        <w:tabs>
          <w:tab w:val="center" w:pos="4680"/>
          <w:tab w:val="right" w:pos="9360"/>
        </w:tabs>
        <w:rPr>
          <w:lang w:val="fr-CA"/>
        </w:rPr>
      </w:pPr>
      <w:proofErr w:type="spellStart"/>
      <w:r>
        <w:rPr>
          <w:lang w:val="fr-CA"/>
        </w:rPr>
        <w:t>December</w:t>
      </w:r>
      <w:proofErr w:type="spellEnd"/>
      <w:r>
        <w:rPr>
          <w:lang w:val="fr-CA"/>
        </w:rPr>
        <w:t xml:space="preserve"> 17</w:t>
      </w:r>
      <w:r w:rsidR="00440E24" w:rsidRPr="00675479">
        <w:rPr>
          <w:lang w:val="fr-CA"/>
        </w:rPr>
        <w:t>, 2010</w:t>
      </w:r>
      <w:r w:rsidR="00F0068D" w:rsidRPr="00675479">
        <w:rPr>
          <w:lang w:val="fr-CA"/>
        </w:rPr>
        <w:tab/>
        <w:t>1</w:t>
      </w:r>
      <w:r>
        <w:rPr>
          <w:lang w:val="fr-CA"/>
        </w:rPr>
        <w:t>645</w:t>
      </w:r>
      <w:r w:rsidR="00F0068D" w:rsidRPr="00675479">
        <w:rPr>
          <w:lang w:val="fr-CA"/>
        </w:rPr>
        <w:t xml:space="preserve"> - </w:t>
      </w:r>
      <w:r w:rsidR="00C5267B">
        <w:rPr>
          <w:lang w:val="fr-CA"/>
        </w:rPr>
        <w:t>167</w:t>
      </w:r>
      <w:r w:rsidR="00AA0126">
        <w:rPr>
          <w:lang w:val="fr-CA"/>
        </w:rPr>
        <w:t>1</w:t>
      </w:r>
      <w:r w:rsidR="00440E24" w:rsidRPr="00675479">
        <w:rPr>
          <w:lang w:val="fr-CA"/>
        </w:rPr>
        <w:tab/>
      </w:r>
      <w:r w:rsidR="00440E24" w:rsidRPr="002E2327">
        <w:rPr>
          <w:lang w:val="fr-CA"/>
        </w:rPr>
        <w:t xml:space="preserve">Le </w:t>
      </w:r>
      <w:r>
        <w:rPr>
          <w:lang w:val="fr-CA"/>
        </w:rPr>
        <w:t>17 décembre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Supreme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07533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4115E3">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tc>
        <w:tc>
          <w:tcPr>
            <w:tcW w:w="1980" w:type="dxa"/>
          </w:tcPr>
          <w:p w:rsidR="0095096B" w:rsidRPr="002E2327" w:rsidRDefault="004115E3" w:rsidP="0095096B">
            <w:pPr>
              <w:jc w:val="center"/>
              <w:rPr>
                <w:rFonts w:cs="Times New Roman"/>
                <w:sz w:val="20"/>
                <w:szCs w:val="20"/>
              </w:rPr>
            </w:pPr>
            <w:r>
              <w:rPr>
                <w:rFonts w:cs="Times New Roman"/>
                <w:sz w:val="20"/>
                <w:szCs w:val="20"/>
              </w:rPr>
              <w:t xml:space="preserve">1645 </w:t>
            </w:r>
            <w:r w:rsidR="006D705A" w:rsidRPr="002E2327">
              <w:rPr>
                <w:rFonts w:cs="Times New Roman"/>
                <w:sz w:val="20"/>
                <w:szCs w:val="20"/>
              </w:rPr>
              <w:fldChar w:fldCharType="begin"/>
            </w:r>
            <w:r w:rsidR="0095096B" w:rsidRPr="002E2327">
              <w:rPr>
                <w:rFonts w:cs="Times New Roman"/>
                <w:sz w:val="20"/>
                <w:szCs w:val="20"/>
              </w:rPr>
              <w:instrText xml:space="preserve"> SEQ CHAPTER \h \r 1</w:instrText>
            </w:r>
            <w:r w:rsidR="006D705A" w:rsidRPr="002E2327">
              <w:rPr>
                <w:rFonts w:cs="Times New Roman"/>
                <w:sz w:val="20"/>
                <w:szCs w:val="20"/>
              </w:rPr>
              <w:fldChar w:fldCharType="end"/>
            </w:r>
            <w:r w:rsidR="0095096B" w:rsidRPr="002E2327">
              <w:rPr>
                <w:rFonts w:cs="Times New Roman"/>
                <w:sz w:val="20"/>
                <w:szCs w:val="20"/>
              </w:rPr>
              <w:t>-</w:t>
            </w:r>
            <w:r w:rsidR="00C5267B">
              <w:rPr>
                <w:rFonts w:cs="Times New Roman"/>
                <w:sz w:val="20"/>
                <w:szCs w:val="20"/>
              </w:rPr>
              <w:t xml:space="preserve"> 1646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267B" w:rsidP="0095096B">
            <w:pPr>
              <w:jc w:val="center"/>
              <w:rPr>
                <w:rFonts w:cs="Times New Roman"/>
                <w:sz w:val="20"/>
                <w:szCs w:val="20"/>
              </w:rPr>
            </w:pPr>
            <w:r>
              <w:rPr>
                <w:rFonts w:cs="Times New Roman"/>
                <w:sz w:val="20"/>
                <w:szCs w:val="20"/>
              </w:rPr>
              <w:t>1647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267B" w:rsidP="0095096B">
            <w:pPr>
              <w:jc w:val="center"/>
              <w:rPr>
                <w:rFonts w:cs="Times New Roman"/>
                <w:sz w:val="20"/>
                <w:szCs w:val="20"/>
              </w:rPr>
            </w:pPr>
            <w:r>
              <w:rPr>
                <w:rFonts w:cs="Times New Roman"/>
                <w:sz w:val="20"/>
                <w:szCs w:val="20"/>
              </w:rPr>
              <w:t xml:space="preserve">1648 </w:t>
            </w:r>
            <w:r w:rsidR="0095096B" w:rsidRPr="002E2327">
              <w:rPr>
                <w:rFonts w:cs="Times New Roman"/>
                <w:sz w:val="20"/>
                <w:szCs w:val="20"/>
              </w:rPr>
              <w:t>-</w:t>
            </w:r>
            <w:r>
              <w:rPr>
                <w:rFonts w:cs="Times New Roman"/>
                <w:sz w:val="20"/>
                <w:szCs w:val="20"/>
              </w:rPr>
              <w:t xml:space="preserve"> 1656</w:t>
            </w:r>
          </w:p>
          <w:p w:rsidR="0095096B" w:rsidRDefault="0095096B" w:rsidP="0095096B">
            <w:pPr>
              <w:jc w:val="center"/>
              <w:rPr>
                <w:rFonts w:cs="Times New Roman"/>
                <w:sz w:val="20"/>
                <w:szCs w:val="20"/>
              </w:rPr>
            </w:pPr>
          </w:p>
          <w:p w:rsidR="00C5267B" w:rsidRPr="002E2327" w:rsidRDefault="00C5267B" w:rsidP="0095096B">
            <w:pPr>
              <w:jc w:val="center"/>
              <w:rPr>
                <w:rFonts w:cs="Times New Roman"/>
                <w:sz w:val="20"/>
                <w:szCs w:val="20"/>
              </w:rPr>
            </w:pPr>
          </w:p>
          <w:p w:rsidR="0095096B" w:rsidRPr="002E2327" w:rsidRDefault="00C5267B" w:rsidP="0095096B">
            <w:pPr>
              <w:jc w:val="center"/>
              <w:rPr>
                <w:rFonts w:cs="Times New Roman"/>
                <w:sz w:val="20"/>
                <w:szCs w:val="20"/>
              </w:rPr>
            </w:pPr>
            <w:r>
              <w:rPr>
                <w:rFonts w:cs="Times New Roman"/>
                <w:sz w:val="20"/>
                <w:szCs w:val="20"/>
              </w:rPr>
              <w:t>1657</w:t>
            </w:r>
          </w:p>
          <w:p w:rsidR="0095096B" w:rsidRPr="002E2327" w:rsidRDefault="0095096B" w:rsidP="0095096B">
            <w:pPr>
              <w:jc w:val="center"/>
              <w:rPr>
                <w:rFonts w:cs="Times New Roman"/>
                <w:sz w:val="20"/>
                <w:szCs w:val="20"/>
              </w:rPr>
            </w:pPr>
          </w:p>
          <w:p w:rsidR="0095096B" w:rsidRPr="002E2327" w:rsidRDefault="00C5267B" w:rsidP="0095096B">
            <w:pPr>
              <w:jc w:val="center"/>
              <w:rPr>
                <w:rFonts w:cs="Times New Roman"/>
                <w:sz w:val="20"/>
                <w:szCs w:val="20"/>
              </w:rPr>
            </w:pPr>
            <w:r>
              <w:rPr>
                <w:rFonts w:cs="Times New Roman"/>
                <w:sz w:val="20"/>
                <w:szCs w:val="20"/>
              </w:rPr>
              <w:t>1658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267B" w:rsidP="0095096B">
            <w:pPr>
              <w:jc w:val="center"/>
              <w:rPr>
                <w:rFonts w:cs="Times New Roman"/>
                <w:sz w:val="20"/>
                <w:szCs w:val="20"/>
              </w:rPr>
            </w:pPr>
            <w:r>
              <w:rPr>
                <w:rFonts w:cs="Times New Roman"/>
                <w:sz w:val="20"/>
                <w:szCs w:val="20"/>
              </w:rPr>
              <w:t xml:space="preserve">1659 </w:t>
            </w:r>
            <w:r w:rsidR="0095096B" w:rsidRPr="002E2327">
              <w:rPr>
                <w:rFonts w:cs="Times New Roman"/>
                <w:sz w:val="20"/>
                <w:szCs w:val="20"/>
              </w:rPr>
              <w:t>-</w:t>
            </w:r>
            <w:r>
              <w:rPr>
                <w:rFonts w:cs="Times New Roman"/>
                <w:sz w:val="20"/>
                <w:szCs w:val="20"/>
              </w:rPr>
              <w:t xml:space="preserve"> 166</w:t>
            </w:r>
            <w:r w:rsidR="00DE0F38">
              <w:rPr>
                <w:rFonts w:cs="Times New Roman"/>
                <w:sz w:val="20"/>
                <w:szCs w:val="20"/>
              </w:rPr>
              <w:t>3</w:t>
            </w:r>
          </w:p>
          <w:p w:rsidR="0095096B" w:rsidRDefault="0095096B" w:rsidP="0095096B">
            <w:pPr>
              <w:jc w:val="center"/>
              <w:rPr>
                <w:rFonts w:cs="Times New Roman"/>
                <w:sz w:val="20"/>
                <w:szCs w:val="20"/>
              </w:rPr>
            </w:pPr>
          </w:p>
          <w:p w:rsidR="00C5267B" w:rsidRPr="002E2327" w:rsidRDefault="00C5267B" w:rsidP="0095096B">
            <w:pPr>
              <w:jc w:val="center"/>
              <w:rPr>
                <w:rFonts w:cs="Times New Roman"/>
                <w:sz w:val="20"/>
                <w:szCs w:val="20"/>
              </w:rPr>
            </w:pPr>
          </w:p>
          <w:p w:rsidR="0095096B" w:rsidRDefault="00C5267B" w:rsidP="0095096B">
            <w:pPr>
              <w:jc w:val="center"/>
              <w:rPr>
                <w:rFonts w:cs="Times New Roman"/>
                <w:sz w:val="20"/>
                <w:szCs w:val="20"/>
              </w:rPr>
            </w:pPr>
            <w:r>
              <w:rPr>
                <w:rFonts w:cs="Times New Roman"/>
                <w:sz w:val="20"/>
                <w:szCs w:val="20"/>
              </w:rPr>
              <w:t>166</w:t>
            </w:r>
            <w:r w:rsidR="00DE0F38">
              <w:rPr>
                <w:rFonts w:cs="Times New Roman"/>
                <w:sz w:val="20"/>
                <w:szCs w:val="20"/>
              </w:rPr>
              <w:t>4</w:t>
            </w:r>
          </w:p>
          <w:p w:rsidR="00C5267B" w:rsidRDefault="00C5267B" w:rsidP="0095096B">
            <w:pPr>
              <w:jc w:val="center"/>
              <w:rPr>
                <w:rFonts w:cs="Times New Roman"/>
                <w:sz w:val="20"/>
                <w:szCs w:val="20"/>
              </w:rPr>
            </w:pPr>
          </w:p>
          <w:p w:rsidR="00C5267B" w:rsidRPr="002E2327" w:rsidRDefault="00C5267B" w:rsidP="0095096B">
            <w:pPr>
              <w:jc w:val="center"/>
              <w:rPr>
                <w:rFonts w:cs="Times New Roman"/>
                <w:sz w:val="20"/>
                <w:szCs w:val="20"/>
              </w:rPr>
            </w:pPr>
          </w:p>
          <w:p w:rsidR="00A87207" w:rsidRPr="002E2327" w:rsidRDefault="00C5267B" w:rsidP="00DE0F38">
            <w:pPr>
              <w:jc w:val="center"/>
              <w:rPr>
                <w:rFonts w:cs="Times New Roman"/>
                <w:sz w:val="20"/>
                <w:szCs w:val="20"/>
              </w:rPr>
            </w:pPr>
            <w:r>
              <w:rPr>
                <w:rFonts w:cs="Times New Roman"/>
                <w:sz w:val="20"/>
                <w:szCs w:val="20"/>
              </w:rPr>
              <w:t>166</w:t>
            </w:r>
            <w:r w:rsidR="00DE0F38">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167</w:t>
            </w:r>
            <w:r w:rsidR="00DE0F38">
              <w:rPr>
                <w:rFonts w:cs="Times New Roman"/>
                <w:sz w:val="20"/>
                <w:szCs w:val="20"/>
              </w:rPr>
              <w:t>1</w:t>
            </w:r>
          </w:p>
        </w:tc>
        <w:tc>
          <w:tcPr>
            <w:tcW w:w="3888" w:type="dxa"/>
          </w:tcPr>
          <w:p w:rsidR="0095096B" w:rsidRPr="002E2327" w:rsidRDefault="006D705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4115E3">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Default="0095096B" w:rsidP="0095096B">
      <w:pPr>
        <w:tabs>
          <w:tab w:val="right" w:pos="9360"/>
        </w:tabs>
        <w:rPr>
          <w:lang w:val="fr-CA"/>
        </w:rPr>
      </w:pPr>
    </w:p>
    <w:p w:rsidR="004115E3" w:rsidRDefault="004115E3" w:rsidP="0095096B">
      <w:pPr>
        <w:tabs>
          <w:tab w:val="right" w:pos="9360"/>
        </w:tabs>
        <w:rPr>
          <w:lang w:val="fr-CA"/>
        </w:rPr>
      </w:pPr>
    </w:p>
    <w:p w:rsidR="004115E3" w:rsidRDefault="004115E3" w:rsidP="0095096B">
      <w:pPr>
        <w:tabs>
          <w:tab w:val="right" w:pos="9360"/>
        </w:tabs>
        <w:rPr>
          <w:lang w:val="fr-CA"/>
        </w:rPr>
      </w:pPr>
    </w:p>
    <w:p w:rsidR="004115E3" w:rsidRDefault="004115E3" w:rsidP="0095096B">
      <w:pPr>
        <w:tabs>
          <w:tab w:val="right" w:pos="9360"/>
        </w:tabs>
        <w:rPr>
          <w:lang w:val="fr-CA"/>
        </w:rPr>
      </w:pPr>
    </w:p>
    <w:p w:rsidR="004115E3" w:rsidRDefault="004115E3" w:rsidP="0095096B">
      <w:pPr>
        <w:tabs>
          <w:tab w:val="right" w:pos="9360"/>
        </w:tabs>
        <w:rPr>
          <w:lang w:val="fr-CA"/>
        </w:rPr>
      </w:pPr>
    </w:p>
    <w:p w:rsidR="004115E3" w:rsidRPr="00333844" w:rsidRDefault="004115E3" w:rsidP="0095096B">
      <w:pPr>
        <w:tabs>
          <w:tab w:val="right" w:pos="9360"/>
        </w:tabs>
        <w:rPr>
          <w:lang w:val="fr-CA"/>
        </w:rPr>
      </w:pPr>
    </w:p>
    <w:tbl>
      <w:tblPr>
        <w:tblStyle w:val="TableGrid"/>
        <w:tblW w:w="0" w:type="auto"/>
        <w:tblLook w:val="04A0"/>
      </w:tblPr>
      <w:tblGrid>
        <w:gridCol w:w="9576"/>
      </w:tblGrid>
      <w:tr w:rsidR="0079724F" w:rsidRPr="0007533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4F6FAD">
        <w:trPr>
          <w:cantSplit/>
        </w:trPr>
        <w:tc>
          <w:tcPr>
            <w:tcW w:w="4320" w:type="dxa"/>
            <w:shd w:val="clear" w:color="auto" w:fill="auto"/>
          </w:tcPr>
          <w:p w:rsidR="00242AEE" w:rsidRPr="00C663EF" w:rsidRDefault="00C663EF" w:rsidP="003B3977">
            <w:pPr>
              <w:rPr>
                <w:b/>
                <w:sz w:val="20"/>
                <w:szCs w:val="20"/>
                <w:lang w:val="fr-CA"/>
              </w:rPr>
            </w:pPr>
            <w:r w:rsidRPr="00C663EF">
              <w:rPr>
                <w:b/>
                <w:sz w:val="20"/>
                <w:szCs w:val="20"/>
                <w:lang w:val="fr-CA"/>
              </w:rPr>
              <w:t>Alan Murphy</w:t>
            </w:r>
          </w:p>
          <w:p w:rsidR="00242AEE" w:rsidRPr="00C663EF" w:rsidRDefault="00242AEE" w:rsidP="003B3977">
            <w:pPr>
              <w:tabs>
                <w:tab w:val="left" w:pos="-1440"/>
                <w:tab w:val="left" w:pos="-720"/>
              </w:tabs>
              <w:rPr>
                <w:sz w:val="20"/>
                <w:szCs w:val="20"/>
                <w:lang w:val="fr-CA"/>
              </w:rPr>
            </w:pPr>
            <w:r w:rsidRPr="00C663EF">
              <w:rPr>
                <w:sz w:val="20"/>
                <w:szCs w:val="20"/>
                <w:lang w:val="fr-CA"/>
              </w:rPr>
              <w:tab/>
            </w:r>
            <w:r w:rsidR="00C663EF" w:rsidRPr="00C663EF">
              <w:rPr>
                <w:sz w:val="20"/>
                <w:szCs w:val="20"/>
                <w:lang w:val="fr-CA"/>
              </w:rPr>
              <w:t>Stéphane Rochette</w:t>
            </w:r>
          </w:p>
          <w:p w:rsidR="00242AEE" w:rsidRPr="00FD50B6" w:rsidRDefault="00242AEE" w:rsidP="003B3977">
            <w:pPr>
              <w:tabs>
                <w:tab w:val="left" w:pos="-1440"/>
                <w:tab w:val="left" w:pos="-720"/>
              </w:tabs>
              <w:rPr>
                <w:sz w:val="20"/>
                <w:szCs w:val="20"/>
                <w:lang w:val="fr-CA"/>
              </w:rPr>
            </w:pPr>
            <w:r w:rsidRPr="00C663EF">
              <w:rPr>
                <w:sz w:val="20"/>
                <w:szCs w:val="20"/>
                <w:lang w:val="fr-CA"/>
              </w:rPr>
              <w:tab/>
            </w:r>
            <w:r w:rsidR="00C663EF" w:rsidRPr="00FD50B6">
              <w:rPr>
                <w:sz w:val="20"/>
                <w:szCs w:val="20"/>
                <w:lang w:val="fr-CA"/>
              </w:rPr>
              <w:t xml:space="preserve">Tremblay Bois </w:t>
            </w:r>
            <w:proofErr w:type="spellStart"/>
            <w:r w:rsidR="00C663EF" w:rsidRPr="00FD50B6">
              <w:rPr>
                <w:sz w:val="20"/>
                <w:szCs w:val="20"/>
                <w:lang w:val="fr-CA"/>
              </w:rPr>
              <w:t>Mignault</w:t>
            </w:r>
            <w:proofErr w:type="spellEnd"/>
            <w:r w:rsidR="00C663EF" w:rsidRPr="00FD50B6">
              <w:rPr>
                <w:sz w:val="20"/>
                <w:szCs w:val="20"/>
                <w:lang w:val="fr-CA"/>
              </w:rPr>
              <w:t xml:space="preserve"> Lemay</w:t>
            </w:r>
          </w:p>
          <w:p w:rsidR="00242AEE" w:rsidRPr="00FD50B6" w:rsidRDefault="00242AEE" w:rsidP="003B3977">
            <w:pPr>
              <w:tabs>
                <w:tab w:val="left" w:pos="-1440"/>
                <w:tab w:val="left" w:pos="-720"/>
              </w:tabs>
              <w:rPr>
                <w:sz w:val="20"/>
                <w:szCs w:val="20"/>
                <w:lang w:val="fr-CA"/>
              </w:rPr>
            </w:pPr>
          </w:p>
          <w:p w:rsidR="00242AEE" w:rsidRPr="00FD50B6" w:rsidRDefault="00242AEE" w:rsidP="003B3977">
            <w:pPr>
              <w:tabs>
                <w:tab w:val="left" w:pos="-1440"/>
                <w:tab w:val="left" w:pos="-720"/>
              </w:tabs>
              <w:rPr>
                <w:sz w:val="20"/>
                <w:szCs w:val="20"/>
                <w:lang w:val="fr-CA"/>
              </w:rPr>
            </w:pPr>
            <w:r w:rsidRPr="00FD50B6">
              <w:rPr>
                <w:sz w:val="20"/>
                <w:szCs w:val="20"/>
                <w:lang w:val="fr-CA"/>
              </w:rPr>
              <w:tab/>
            </w:r>
            <w:r w:rsidR="00C663EF" w:rsidRPr="00FD50B6">
              <w:rPr>
                <w:sz w:val="20"/>
                <w:szCs w:val="20"/>
                <w:lang w:val="fr-CA"/>
              </w:rPr>
              <w:t>c</w:t>
            </w:r>
            <w:r w:rsidRPr="00FD50B6">
              <w:rPr>
                <w:sz w:val="20"/>
                <w:szCs w:val="20"/>
                <w:lang w:val="fr-CA"/>
              </w:rPr>
              <w:t>. (33</w:t>
            </w:r>
            <w:r w:rsidR="00C663EF" w:rsidRPr="00FD50B6">
              <w:rPr>
                <w:sz w:val="20"/>
                <w:szCs w:val="20"/>
                <w:lang w:val="fr-CA"/>
              </w:rPr>
              <w:t>860</w:t>
            </w:r>
            <w:r w:rsidRPr="00FD50B6">
              <w:rPr>
                <w:sz w:val="20"/>
                <w:szCs w:val="20"/>
                <w:lang w:val="fr-CA"/>
              </w:rPr>
              <w:t>)</w:t>
            </w:r>
          </w:p>
          <w:p w:rsidR="00242AEE" w:rsidRPr="00FD50B6" w:rsidRDefault="00242AEE" w:rsidP="003B3977">
            <w:pPr>
              <w:tabs>
                <w:tab w:val="left" w:pos="-1440"/>
                <w:tab w:val="left" w:pos="-720"/>
              </w:tabs>
              <w:rPr>
                <w:sz w:val="20"/>
                <w:szCs w:val="20"/>
                <w:lang w:val="fr-CA"/>
              </w:rPr>
            </w:pPr>
          </w:p>
          <w:p w:rsidR="00242AEE" w:rsidRPr="00C663EF" w:rsidRDefault="00C663EF" w:rsidP="003B3977">
            <w:pPr>
              <w:tabs>
                <w:tab w:val="left" w:pos="-1440"/>
                <w:tab w:val="left" w:pos="-720"/>
              </w:tabs>
              <w:rPr>
                <w:b/>
                <w:sz w:val="20"/>
                <w:szCs w:val="20"/>
                <w:lang w:val="fr-CA"/>
              </w:rPr>
            </w:pPr>
            <w:r w:rsidRPr="00C663EF">
              <w:rPr>
                <w:b/>
                <w:sz w:val="20"/>
                <w:szCs w:val="20"/>
                <w:lang w:val="fr-CA"/>
              </w:rPr>
              <w:t>Micheline Rioux, ès qualit</w:t>
            </w:r>
            <w:r w:rsidR="001952F8">
              <w:rPr>
                <w:b/>
                <w:sz w:val="20"/>
                <w:szCs w:val="20"/>
                <w:lang w:val="fr-CA"/>
              </w:rPr>
              <w:t>és</w:t>
            </w:r>
            <w:r w:rsidRPr="00C663EF">
              <w:rPr>
                <w:b/>
                <w:sz w:val="20"/>
                <w:szCs w:val="20"/>
                <w:lang w:val="fr-CA"/>
              </w:rPr>
              <w:t xml:space="preserve"> de syndic de la Chambre de la sécurité financi</w:t>
            </w:r>
            <w:r>
              <w:rPr>
                <w:b/>
                <w:sz w:val="20"/>
                <w:szCs w:val="20"/>
                <w:lang w:val="fr-CA"/>
              </w:rPr>
              <w:t>ère</w:t>
            </w:r>
            <w:r w:rsidR="001952F8">
              <w:rPr>
                <w:b/>
                <w:sz w:val="20"/>
                <w:szCs w:val="20"/>
                <w:lang w:val="fr-CA"/>
              </w:rPr>
              <w:t xml:space="preserve"> (</w:t>
            </w:r>
            <w:proofErr w:type="spellStart"/>
            <w:r w:rsidR="001952F8">
              <w:rPr>
                <w:b/>
                <w:sz w:val="20"/>
                <w:szCs w:val="20"/>
                <w:lang w:val="fr-CA"/>
              </w:rPr>
              <w:t>Qc</w:t>
            </w:r>
            <w:proofErr w:type="spellEnd"/>
            <w:r w:rsidR="001952F8">
              <w:rPr>
                <w:b/>
                <w:sz w:val="20"/>
                <w:szCs w:val="20"/>
                <w:lang w:val="fr-CA"/>
              </w:rPr>
              <w:t>)</w:t>
            </w:r>
          </w:p>
          <w:p w:rsidR="00242AEE" w:rsidRPr="00C663EF" w:rsidRDefault="00242AEE" w:rsidP="003B3977">
            <w:pPr>
              <w:tabs>
                <w:tab w:val="left" w:pos="-1440"/>
                <w:tab w:val="left" w:pos="-720"/>
              </w:tabs>
              <w:rPr>
                <w:sz w:val="20"/>
                <w:szCs w:val="20"/>
                <w:lang w:val="fr-CA"/>
              </w:rPr>
            </w:pPr>
            <w:r w:rsidRPr="00C663EF">
              <w:rPr>
                <w:sz w:val="20"/>
                <w:szCs w:val="20"/>
                <w:lang w:val="fr-CA"/>
              </w:rPr>
              <w:tab/>
            </w:r>
            <w:r w:rsidR="001952F8">
              <w:rPr>
                <w:sz w:val="20"/>
                <w:szCs w:val="20"/>
                <w:lang w:val="fr-CA"/>
              </w:rPr>
              <w:t>Nathalie Lavoie</w:t>
            </w:r>
          </w:p>
          <w:p w:rsidR="00242AEE" w:rsidRPr="00C663EF" w:rsidRDefault="00242AEE" w:rsidP="003B3977">
            <w:pPr>
              <w:tabs>
                <w:tab w:val="left" w:pos="-1440"/>
                <w:tab w:val="left" w:pos="-720"/>
              </w:tabs>
              <w:rPr>
                <w:sz w:val="20"/>
                <w:szCs w:val="20"/>
                <w:lang w:val="fr-CA"/>
              </w:rPr>
            </w:pPr>
            <w:r w:rsidRPr="00C663EF">
              <w:rPr>
                <w:sz w:val="20"/>
                <w:szCs w:val="20"/>
                <w:lang w:val="fr-CA"/>
              </w:rPr>
              <w:tab/>
            </w:r>
            <w:r w:rsidR="001952F8">
              <w:rPr>
                <w:sz w:val="20"/>
                <w:szCs w:val="20"/>
                <w:lang w:val="fr-CA"/>
              </w:rPr>
              <w:t xml:space="preserve">Gagné, </w:t>
            </w:r>
            <w:proofErr w:type="spellStart"/>
            <w:r w:rsidR="001952F8">
              <w:rPr>
                <w:sz w:val="20"/>
                <w:szCs w:val="20"/>
                <w:lang w:val="fr-CA"/>
              </w:rPr>
              <w:t>Letarte</w:t>
            </w:r>
            <w:proofErr w:type="spellEnd"/>
            <w:r w:rsidR="001952F8">
              <w:rPr>
                <w:sz w:val="20"/>
                <w:szCs w:val="20"/>
                <w:lang w:val="fr-CA"/>
              </w:rPr>
              <w:t>, S.E.N.C.</w:t>
            </w:r>
          </w:p>
          <w:p w:rsidR="00242AEE" w:rsidRPr="00C663EF" w:rsidRDefault="00242AEE" w:rsidP="003B3977">
            <w:pPr>
              <w:tabs>
                <w:tab w:val="left" w:pos="-1440"/>
                <w:tab w:val="left" w:pos="-720"/>
              </w:tabs>
              <w:rPr>
                <w:sz w:val="20"/>
                <w:szCs w:val="20"/>
                <w:lang w:val="fr-CA"/>
              </w:rPr>
            </w:pPr>
          </w:p>
          <w:p w:rsidR="007337E3" w:rsidRDefault="00242AEE" w:rsidP="003B3977">
            <w:pPr>
              <w:rPr>
                <w:sz w:val="20"/>
                <w:szCs w:val="20"/>
              </w:rPr>
            </w:pPr>
            <w:r w:rsidRPr="00A935AA">
              <w:rPr>
                <w:sz w:val="20"/>
                <w:szCs w:val="20"/>
              </w:rPr>
              <w:t>DATE</w:t>
            </w:r>
            <w:r w:rsidR="001952F8">
              <w:rPr>
                <w:sz w:val="20"/>
                <w:szCs w:val="20"/>
              </w:rPr>
              <w:t xml:space="preserve"> DE PRODUCTION </w:t>
            </w:r>
            <w:r w:rsidRPr="00A935AA">
              <w:rPr>
                <w:sz w:val="20"/>
                <w:szCs w:val="20"/>
              </w:rPr>
              <w:t xml:space="preserve">: </w:t>
            </w:r>
            <w:r w:rsidR="001952F8">
              <w:rPr>
                <w:sz w:val="20"/>
                <w:szCs w:val="20"/>
              </w:rPr>
              <w:t>01.09.2010</w:t>
            </w:r>
          </w:p>
          <w:p w:rsidR="004F6FAD" w:rsidRPr="00A935AA" w:rsidRDefault="004F6FAD" w:rsidP="003B3977">
            <w:pPr>
              <w:rPr>
                <w:sz w:val="20"/>
                <w:szCs w:val="20"/>
              </w:rPr>
            </w:pPr>
          </w:p>
          <w:p w:rsidR="00242AEE" w:rsidRPr="00A935AA" w:rsidRDefault="006D705A" w:rsidP="003B3977">
            <w:pPr>
              <w:rPr>
                <w:sz w:val="20"/>
                <w:szCs w:val="20"/>
              </w:rPr>
            </w:pPr>
            <w:r w:rsidRPr="006D705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7337E3" w:rsidRDefault="007337E3" w:rsidP="00242AEE">
            <w:pPr>
              <w:jc w:val="center"/>
              <w:rPr>
                <w:sz w:val="20"/>
                <w:szCs w:val="20"/>
              </w:rPr>
            </w:pPr>
          </w:p>
          <w:p w:rsidR="004F6FAD" w:rsidRPr="00A935AA" w:rsidRDefault="004F6FAD"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706435" w:rsidRDefault="00706435" w:rsidP="003B3977">
            <w:pPr>
              <w:keepNext/>
              <w:keepLines/>
              <w:tabs>
                <w:tab w:val="left" w:pos="-1440"/>
                <w:tab w:val="left" w:pos="-720"/>
              </w:tabs>
              <w:rPr>
                <w:b/>
                <w:sz w:val="20"/>
                <w:szCs w:val="20"/>
                <w:lang w:val="fr-CA"/>
              </w:rPr>
            </w:pPr>
            <w:r w:rsidRPr="00706435">
              <w:rPr>
                <w:b/>
                <w:sz w:val="20"/>
                <w:szCs w:val="20"/>
                <w:lang w:val="fr-CA"/>
              </w:rPr>
              <w:t>Sa Majesté la Reine</w:t>
            </w:r>
          </w:p>
          <w:p w:rsidR="00242AEE" w:rsidRPr="00706435" w:rsidRDefault="00242AEE" w:rsidP="003B3977">
            <w:pPr>
              <w:keepNext/>
              <w:keepLines/>
              <w:tabs>
                <w:tab w:val="left" w:pos="-1440"/>
                <w:tab w:val="left" w:pos="-720"/>
              </w:tabs>
              <w:rPr>
                <w:sz w:val="20"/>
                <w:szCs w:val="20"/>
                <w:lang w:val="fr-CA"/>
              </w:rPr>
            </w:pPr>
            <w:r w:rsidRPr="00706435">
              <w:rPr>
                <w:sz w:val="20"/>
                <w:szCs w:val="20"/>
                <w:lang w:val="fr-CA"/>
              </w:rPr>
              <w:tab/>
            </w:r>
            <w:r w:rsidR="00706435" w:rsidRPr="00706435">
              <w:rPr>
                <w:sz w:val="20"/>
                <w:szCs w:val="20"/>
                <w:lang w:val="fr-CA"/>
              </w:rPr>
              <w:t>Daniel Grégoire</w:t>
            </w:r>
          </w:p>
          <w:p w:rsidR="00242AEE" w:rsidRPr="00706435" w:rsidRDefault="00242AEE" w:rsidP="003B3977">
            <w:pPr>
              <w:keepNext/>
              <w:keepLines/>
              <w:tabs>
                <w:tab w:val="left" w:pos="-1440"/>
                <w:tab w:val="left" w:pos="-720"/>
              </w:tabs>
              <w:rPr>
                <w:sz w:val="20"/>
                <w:szCs w:val="20"/>
                <w:lang w:val="fr-CA"/>
              </w:rPr>
            </w:pPr>
            <w:r w:rsidRPr="00706435">
              <w:rPr>
                <w:sz w:val="20"/>
                <w:szCs w:val="20"/>
                <w:lang w:val="fr-CA"/>
              </w:rPr>
              <w:tab/>
            </w:r>
            <w:r w:rsidR="00706435">
              <w:rPr>
                <w:sz w:val="20"/>
                <w:szCs w:val="20"/>
                <w:lang w:val="fr-CA"/>
              </w:rPr>
              <w:t xml:space="preserve">Poursuites criminelles et pénales du </w:t>
            </w:r>
            <w:r w:rsidR="00706435">
              <w:rPr>
                <w:sz w:val="20"/>
                <w:szCs w:val="20"/>
                <w:lang w:val="fr-CA"/>
              </w:rPr>
              <w:tab/>
              <w:t>Québec</w:t>
            </w:r>
          </w:p>
          <w:p w:rsidR="00242AEE" w:rsidRPr="00706435" w:rsidRDefault="00242AEE" w:rsidP="003B3977">
            <w:pPr>
              <w:keepNext/>
              <w:keepLines/>
              <w:tabs>
                <w:tab w:val="left" w:pos="-1440"/>
                <w:tab w:val="left" w:pos="-720"/>
              </w:tabs>
              <w:rPr>
                <w:sz w:val="20"/>
                <w:szCs w:val="20"/>
                <w:lang w:val="fr-CA"/>
              </w:rPr>
            </w:pPr>
          </w:p>
          <w:p w:rsidR="00242AEE" w:rsidRPr="00FD50B6" w:rsidRDefault="00242AEE" w:rsidP="003B3977">
            <w:pPr>
              <w:keepNext/>
              <w:keepLines/>
              <w:tabs>
                <w:tab w:val="left" w:pos="-1440"/>
                <w:tab w:val="left" w:pos="-720"/>
              </w:tabs>
              <w:rPr>
                <w:sz w:val="20"/>
                <w:szCs w:val="20"/>
                <w:lang w:val="fr-CA"/>
              </w:rPr>
            </w:pPr>
            <w:r w:rsidRPr="00706435">
              <w:rPr>
                <w:sz w:val="20"/>
                <w:szCs w:val="20"/>
                <w:lang w:val="fr-CA"/>
              </w:rPr>
              <w:tab/>
            </w:r>
            <w:r w:rsidR="00706435" w:rsidRPr="00FD50B6">
              <w:rPr>
                <w:sz w:val="20"/>
                <w:szCs w:val="20"/>
                <w:lang w:val="fr-CA"/>
              </w:rPr>
              <w:t>c</w:t>
            </w:r>
            <w:r w:rsidRPr="00FD50B6">
              <w:rPr>
                <w:sz w:val="20"/>
                <w:szCs w:val="20"/>
                <w:lang w:val="fr-CA"/>
              </w:rPr>
              <w:t>. (33</w:t>
            </w:r>
            <w:r w:rsidR="00706435" w:rsidRPr="00FD50B6">
              <w:rPr>
                <w:sz w:val="20"/>
                <w:szCs w:val="20"/>
                <w:lang w:val="fr-CA"/>
              </w:rPr>
              <w:t>787</w:t>
            </w:r>
            <w:r w:rsidRPr="00FD50B6">
              <w:rPr>
                <w:sz w:val="20"/>
                <w:szCs w:val="20"/>
                <w:lang w:val="fr-CA"/>
              </w:rPr>
              <w:t>)</w:t>
            </w:r>
          </w:p>
          <w:p w:rsidR="00242AEE" w:rsidRPr="00FD50B6" w:rsidRDefault="00242AEE" w:rsidP="003B3977">
            <w:pPr>
              <w:keepNext/>
              <w:keepLines/>
              <w:tabs>
                <w:tab w:val="left" w:pos="-1440"/>
                <w:tab w:val="left" w:pos="-720"/>
              </w:tabs>
              <w:rPr>
                <w:sz w:val="20"/>
                <w:szCs w:val="20"/>
                <w:lang w:val="fr-CA"/>
              </w:rPr>
            </w:pPr>
          </w:p>
          <w:p w:rsidR="00242AEE" w:rsidRPr="00FD50B6" w:rsidRDefault="00706435" w:rsidP="003B3977">
            <w:pPr>
              <w:keepNext/>
              <w:keepLines/>
              <w:tabs>
                <w:tab w:val="left" w:pos="-1440"/>
                <w:tab w:val="left" w:pos="-720"/>
              </w:tabs>
              <w:rPr>
                <w:b/>
                <w:sz w:val="20"/>
                <w:szCs w:val="20"/>
                <w:lang w:val="fr-CA"/>
              </w:rPr>
            </w:pPr>
            <w:r w:rsidRPr="00FD50B6">
              <w:rPr>
                <w:b/>
                <w:sz w:val="20"/>
                <w:szCs w:val="20"/>
                <w:lang w:val="fr-CA"/>
              </w:rPr>
              <w:t xml:space="preserve">Normand </w:t>
            </w:r>
            <w:proofErr w:type="spellStart"/>
            <w:r w:rsidRPr="00FD50B6">
              <w:rPr>
                <w:b/>
                <w:sz w:val="20"/>
                <w:szCs w:val="20"/>
                <w:lang w:val="fr-CA"/>
              </w:rPr>
              <w:t>Dubé</w:t>
            </w:r>
            <w:proofErr w:type="spellEnd"/>
            <w:r w:rsidRPr="00FD50B6">
              <w:rPr>
                <w:b/>
                <w:sz w:val="20"/>
                <w:szCs w:val="20"/>
                <w:lang w:val="fr-CA"/>
              </w:rPr>
              <w:t xml:space="preserve"> (</w:t>
            </w:r>
            <w:proofErr w:type="spellStart"/>
            <w:r w:rsidRPr="00FD50B6">
              <w:rPr>
                <w:b/>
                <w:sz w:val="20"/>
                <w:szCs w:val="20"/>
                <w:lang w:val="fr-CA"/>
              </w:rPr>
              <w:t>Qc</w:t>
            </w:r>
            <w:proofErr w:type="spellEnd"/>
            <w:r w:rsidRPr="00FD50B6">
              <w:rPr>
                <w:b/>
                <w:sz w:val="20"/>
                <w:szCs w:val="20"/>
                <w:lang w:val="fr-CA"/>
              </w:rPr>
              <w:t>)</w:t>
            </w:r>
          </w:p>
          <w:p w:rsidR="00242AEE" w:rsidRPr="00FD50B6" w:rsidRDefault="00242AEE" w:rsidP="003B3977">
            <w:pPr>
              <w:keepNext/>
              <w:keepLines/>
              <w:tabs>
                <w:tab w:val="left" w:pos="-1440"/>
                <w:tab w:val="left" w:pos="-720"/>
              </w:tabs>
              <w:rPr>
                <w:sz w:val="20"/>
                <w:szCs w:val="20"/>
                <w:lang w:val="fr-CA"/>
              </w:rPr>
            </w:pPr>
            <w:r w:rsidRPr="00FD50B6">
              <w:rPr>
                <w:sz w:val="20"/>
                <w:szCs w:val="20"/>
                <w:lang w:val="fr-CA"/>
              </w:rPr>
              <w:tab/>
            </w:r>
            <w:r w:rsidR="00706435" w:rsidRPr="00FD50B6">
              <w:rPr>
                <w:sz w:val="20"/>
                <w:szCs w:val="20"/>
                <w:lang w:val="fr-CA"/>
              </w:rPr>
              <w:t>Christian Desrosiers</w:t>
            </w:r>
          </w:p>
          <w:p w:rsidR="00242AEE" w:rsidRPr="00FD50B6" w:rsidRDefault="00242AEE" w:rsidP="003B3977">
            <w:pPr>
              <w:keepNext/>
              <w:keepLines/>
              <w:tabs>
                <w:tab w:val="left" w:pos="-1440"/>
                <w:tab w:val="left" w:pos="-720"/>
              </w:tabs>
              <w:rPr>
                <w:sz w:val="20"/>
                <w:szCs w:val="20"/>
                <w:lang w:val="fr-CA"/>
              </w:rPr>
            </w:pPr>
            <w:r w:rsidRPr="00FD50B6">
              <w:rPr>
                <w:sz w:val="20"/>
                <w:szCs w:val="20"/>
                <w:lang w:val="fr-CA"/>
              </w:rPr>
              <w:tab/>
            </w:r>
            <w:r w:rsidR="00706435" w:rsidRPr="00FD50B6">
              <w:rPr>
                <w:sz w:val="20"/>
                <w:szCs w:val="20"/>
                <w:lang w:val="fr-CA"/>
              </w:rPr>
              <w:t xml:space="preserve">Desrosiers, </w:t>
            </w:r>
            <w:proofErr w:type="spellStart"/>
            <w:r w:rsidR="00706435" w:rsidRPr="00FD50B6">
              <w:rPr>
                <w:sz w:val="20"/>
                <w:szCs w:val="20"/>
                <w:lang w:val="fr-CA"/>
              </w:rPr>
              <w:t>Joncas</w:t>
            </w:r>
            <w:proofErr w:type="spellEnd"/>
            <w:r w:rsidR="00706435" w:rsidRPr="00FD50B6">
              <w:rPr>
                <w:sz w:val="20"/>
                <w:szCs w:val="20"/>
                <w:lang w:val="fr-CA"/>
              </w:rPr>
              <w:t xml:space="preserve">, </w:t>
            </w:r>
            <w:proofErr w:type="spellStart"/>
            <w:r w:rsidR="00706435" w:rsidRPr="00FD50B6">
              <w:rPr>
                <w:sz w:val="20"/>
                <w:szCs w:val="20"/>
                <w:lang w:val="fr-CA"/>
              </w:rPr>
              <w:t>Massicotte</w:t>
            </w:r>
            <w:proofErr w:type="spellEnd"/>
          </w:p>
          <w:p w:rsidR="00242AEE" w:rsidRPr="00FD50B6" w:rsidRDefault="00242AEE" w:rsidP="003B3977">
            <w:pPr>
              <w:keepNext/>
              <w:keepLines/>
              <w:tabs>
                <w:tab w:val="left" w:pos="-1440"/>
                <w:tab w:val="left" w:pos="-720"/>
              </w:tabs>
              <w:rPr>
                <w:sz w:val="20"/>
                <w:szCs w:val="20"/>
                <w:lang w:val="fr-CA"/>
              </w:rPr>
            </w:pPr>
          </w:p>
          <w:p w:rsidR="007337E3" w:rsidRDefault="00242AEE" w:rsidP="00706435">
            <w:pPr>
              <w:rPr>
                <w:sz w:val="20"/>
                <w:szCs w:val="20"/>
              </w:rPr>
            </w:pPr>
            <w:r w:rsidRPr="00A935AA">
              <w:rPr>
                <w:sz w:val="20"/>
                <w:szCs w:val="20"/>
              </w:rPr>
              <w:t>DATE</w:t>
            </w:r>
            <w:r w:rsidR="00706435">
              <w:rPr>
                <w:sz w:val="20"/>
                <w:szCs w:val="20"/>
              </w:rPr>
              <w:t xml:space="preserve"> DE PRODUCTION </w:t>
            </w:r>
            <w:r w:rsidRPr="00A935AA">
              <w:rPr>
                <w:sz w:val="20"/>
                <w:szCs w:val="20"/>
              </w:rPr>
              <w:t>:</w:t>
            </w:r>
            <w:r w:rsidR="00706435">
              <w:rPr>
                <w:sz w:val="20"/>
                <w:szCs w:val="20"/>
              </w:rPr>
              <w:t xml:space="preserve"> 30.09.2010</w:t>
            </w:r>
          </w:p>
          <w:p w:rsidR="004F6FAD" w:rsidRDefault="004F6FAD" w:rsidP="00706435">
            <w:pPr>
              <w:rPr>
                <w:sz w:val="20"/>
                <w:szCs w:val="20"/>
              </w:rPr>
            </w:pPr>
          </w:p>
          <w:p w:rsidR="00242AEE" w:rsidRPr="00A935AA" w:rsidRDefault="006D705A" w:rsidP="00706435">
            <w:pPr>
              <w:rPr>
                <w:sz w:val="20"/>
                <w:szCs w:val="20"/>
              </w:rPr>
            </w:pPr>
            <w:r w:rsidRPr="006D705A">
              <w:rPr>
                <w:sz w:val="20"/>
                <w:szCs w:val="20"/>
                <w:lang w:val="fr-CA"/>
              </w:rPr>
              <w:pict>
                <v:rect id="_x0000_i1026" style="width:108pt;height:1pt" o:hrpct="0" o:hralign="center" o:hrstd="t" o:hrnoshade="t" o:hr="t" fillcolor="black [3213]" stroked="f"/>
              </w:pict>
            </w:r>
          </w:p>
        </w:tc>
      </w:tr>
      <w:tr w:rsidR="00755DAC" w:rsidRPr="00A935AA" w:rsidTr="004F6FAD">
        <w:trPr>
          <w:cantSplit/>
        </w:trPr>
        <w:tc>
          <w:tcPr>
            <w:tcW w:w="4320" w:type="dxa"/>
            <w:shd w:val="clear" w:color="auto" w:fill="auto"/>
          </w:tcPr>
          <w:p w:rsidR="00755DAC" w:rsidRPr="00A935AA" w:rsidRDefault="00755DAC" w:rsidP="00C663EF">
            <w:pPr>
              <w:rPr>
                <w:b/>
                <w:sz w:val="20"/>
                <w:szCs w:val="20"/>
              </w:rPr>
            </w:pPr>
            <w:r>
              <w:rPr>
                <w:b/>
                <w:sz w:val="20"/>
                <w:szCs w:val="20"/>
              </w:rPr>
              <w:t>James Dee Lemmon</w:t>
            </w:r>
          </w:p>
          <w:p w:rsidR="00755DAC" w:rsidRPr="00A935AA" w:rsidRDefault="00755DAC" w:rsidP="00C663EF">
            <w:pPr>
              <w:tabs>
                <w:tab w:val="left" w:pos="-1440"/>
                <w:tab w:val="left" w:pos="-720"/>
              </w:tabs>
              <w:rPr>
                <w:sz w:val="20"/>
                <w:szCs w:val="20"/>
              </w:rPr>
            </w:pPr>
            <w:r w:rsidRPr="00A935AA">
              <w:rPr>
                <w:sz w:val="20"/>
                <w:szCs w:val="20"/>
              </w:rPr>
              <w:tab/>
            </w:r>
            <w:r>
              <w:rPr>
                <w:sz w:val="20"/>
                <w:szCs w:val="20"/>
              </w:rPr>
              <w:t xml:space="preserve">Karen B. </w:t>
            </w:r>
            <w:proofErr w:type="spellStart"/>
            <w:r>
              <w:rPr>
                <w:sz w:val="20"/>
                <w:szCs w:val="20"/>
              </w:rPr>
              <w:t>Molle</w:t>
            </w:r>
            <w:proofErr w:type="spellEnd"/>
          </w:p>
          <w:p w:rsidR="00755DAC" w:rsidRPr="00A935AA" w:rsidRDefault="00755DAC" w:rsidP="00C663EF">
            <w:pPr>
              <w:tabs>
                <w:tab w:val="left" w:pos="-1440"/>
                <w:tab w:val="left" w:pos="-720"/>
              </w:tabs>
              <w:rPr>
                <w:sz w:val="20"/>
                <w:szCs w:val="20"/>
              </w:rPr>
            </w:pPr>
            <w:r w:rsidRPr="00A935AA">
              <w:rPr>
                <w:sz w:val="20"/>
                <w:szCs w:val="20"/>
              </w:rPr>
              <w:tab/>
            </w:r>
            <w:proofErr w:type="spellStart"/>
            <w:r>
              <w:rPr>
                <w:sz w:val="20"/>
                <w:szCs w:val="20"/>
              </w:rPr>
              <w:t>Molle</w:t>
            </w:r>
            <w:proofErr w:type="spellEnd"/>
            <w:r>
              <w:rPr>
                <w:sz w:val="20"/>
                <w:szCs w:val="20"/>
              </w:rPr>
              <w:t xml:space="preserve">, </w:t>
            </w:r>
            <w:proofErr w:type="spellStart"/>
            <w:r>
              <w:rPr>
                <w:sz w:val="20"/>
                <w:szCs w:val="20"/>
              </w:rPr>
              <w:t>Roulston</w:t>
            </w:r>
            <w:proofErr w:type="spellEnd"/>
            <w:r>
              <w:rPr>
                <w:sz w:val="20"/>
                <w:szCs w:val="20"/>
              </w:rPr>
              <w:t xml:space="preserve"> &amp; Chow</w:t>
            </w:r>
          </w:p>
          <w:p w:rsidR="00755DAC" w:rsidRPr="00A935AA" w:rsidRDefault="00755DAC" w:rsidP="00C663EF">
            <w:pPr>
              <w:tabs>
                <w:tab w:val="left" w:pos="-1440"/>
                <w:tab w:val="left" w:pos="-720"/>
              </w:tabs>
              <w:rPr>
                <w:sz w:val="20"/>
                <w:szCs w:val="20"/>
              </w:rPr>
            </w:pPr>
          </w:p>
          <w:p w:rsidR="00755DAC" w:rsidRPr="00A935AA" w:rsidRDefault="00755DAC" w:rsidP="00C663EF">
            <w:pPr>
              <w:tabs>
                <w:tab w:val="left" w:pos="-1440"/>
                <w:tab w:val="left" w:pos="-720"/>
              </w:tabs>
              <w:rPr>
                <w:sz w:val="20"/>
                <w:szCs w:val="20"/>
              </w:rPr>
            </w:pPr>
            <w:r w:rsidRPr="00A935AA">
              <w:rPr>
                <w:sz w:val="20"/>
                <w:szCs w:val="20"/>
              </w:rPr>
              <w:tab/>
              <w:t>v. (33</w:t>
            </w:r>
            <w:r>
              <w:rPr>
                <w:sz w:val="20"/>
                <w:szCs w:val="20"/>
              </w:rPr>
              <w:t>932</w:t>
            </w:r>
            <w:r w:rsidRPr="00A935AA">
              <w:rPr>
                <w:sz w:val="20"/>
                <w:szCs w:val="20"/>
              </w:rPr>
              <w:t>)</w:t>
            </w:r>
          </w:p>
          <w:p w:rsidR="00755DAC" w:rsidRPr="00A935AA" w:rsidRDefault="00755DAC" w:rsidP="00C663EF">
            <w:pPr>
              <w:tabs>
                <w:tab w:val="left" w:pos="-1440"/>
                <w:tab w:val="left" w:pos="-720"/>
              </w:tabs>
              <w:rPr>
                <w:sz w:val="20"/>
                <w:szCs w:val="20"/>
              </w:rPr>
            </w:pPr>
          </w:p>
          <w:p w:rsidR="00755DAC" w:rsidRPr="00A935AA" w:rsidRDefault="00755DAC" w:rsidP="00C663EF">
            <w:pPr>
              <w:tabs>
                <w:tab w:val="left" w:pos="-1440"/>
                <w:tab w:val="left" w:pos="-720"/>
              </w:tabs>
              <w:rPr>
                <w:b/>
                <w:sz w:val="20"/>
                <w:szCs w:val="20"/>
              </w:rPr>
            </w:pPr>
            <w:r>
              <w:rPr>
                <w:b/>
                <w:sz w:val="20"/>
                <w:szCs w:val="20"/>
              </w:rPr>
              <w:t>Her Majesty the Queen (Alta.)</w:t>
            </w:r>
          </w:p>
          <w:p w:rsidR="00755DAC" w:rsidRPr="00A935AA" w:rsidRDefault="00755DAC" w:rsidP="00C663EF">
            <w:pPr>
              <w:tabs>
                <w:tab w:val="left" w:pos="-1440"/>
                <w:tab w:val="left" w:pos="-720"/>
              </w:tabs>
              <w:rPr>
                <w:sz w:val="20"/>
                <w:szCs w:val="20"/>
              </w:rPr>
            </w:pPr>
            <w:r w:rsidRPr="00A935AA">
              <w:rPr>
                <w:sz w:val="20"/>
                <w:szCs w:val="20"/>
              </w:rPr>
              <w:tab/>
            </w:r>
            <w:proofErr w:type="spellStart"/>
            <w:r>
              <w:rPr>
                <w:sz w:val="20"/>
                <w:szCs w:val="20"/>
              </w:rPr>
              <w:t>Jolaine</w:t>
            </w:r>
            <w:proofErr w:type="spellEnd"/>
            <w:r>
              <w:rPr>
                <w:sz w:val="20"/>
                <w:szCs w:val="20"/>
              </w:rPr>
              <w:t xml:space="preserve"> Antonio</w:t>
            </w:r>
          </w:p>
          <w:p w:rsidR="00755DAC" w:rsidRPr="00A935AA" w:rsidRDefault="00755DAC" w:rsidP="00C663EF">
            <w:pPr>
              <w:tabs>
                <w:tab w:val="left" w:pos="-1440"/>
                <w:tab w:val="left" w:pos="-720"/>
              </w:tabs>
              <w:rPr>
                <w:sz w:val="20"/>
                <w:szCs w:val="20"/>
              </w:rPr>
            </w:pPr>
            <w:r w:rsidRPr="00A935AA">
              <w:rPr>
                <w:sz w:val="20"/>
                <w:szCs w:val="20"/>
              </w:rPr>
              <w:tab/>
            </w:r>
            <w:r>
              <w:rPr>
                <w:sz w:val="20"/>
                <w:szCs w:val="20"/>
              </w:rPr>
              <w:t>A.G. of Alberta</w:t>
            </w:r>
          </w:p>
          <w:p w:rsidR="00755DAC" w:rsidRPr="00A935AA" w:rsidRDefault="00755DAC" w:rsidP="00C663EF">
            <w:pPr>
              <w:tabs>
                <w:tab w:val="left" w:pos="-1440"/>
                <w:tab w:val="left" w:pos="-720"/>
              </w:tabs>
              <w:rPr>
                <w:sz w:val="20"/>
                <w:szCs w:val="20"/>
              </w:rPr>
            </w:pPr>
          </w:p>
          <w:p w:rsidR="00755DAC" w:rsidRDefault="00755DAC" w:rsidP="00C663EF">
            <w:pPr>
              <w:rPr>
                <w:sz w:val="20"/>
                <w:szCs w:val="20"/>
              </w:rPr>
            </w:pPr>
            <w:r w:rsidRPr="00A935AA">
              <w:rPr>
                <w:sz w:val="20"/>
                <w:szCs w:val="20"/>
              </w:rPr>
              <w:t xml:space="preserve">FILING DATE: </w:t>
            </w:r>
            <w:r>
              <w:rPr>
                <w:sz w:val="20"/>
                <w:szCs w:val="20"/>
              </w:rPr>
              <w:t>09.11.2010</w:t>
            </w:r>
          </w:p>
          <w:p w:rsidR="004F6FAD" w:rsidRPr="00A935AA" w:rsidRDefault="004F6FAD" w:rsidP="00C663EF">
            <w:pPr>
              <w:rPr>
                <w:sz w:val="20"/>
                <w:szCs w:val="20"/>
              </w:rPr>
            </w:pPr>
          </w:p>
          <w:p w:rsidR="00755DAC" w:rsidRPr="00A935AA" w:rsidRDefault="006D705A" w:rsidP="00C663EF">
            <w:pPr>
              <w:rPr>
                <w:sz w:val="20"/>
                <w:szCs w:val="20"/>
              </w:rPr>
            </w:pPr>
            <w:r w:rsidRPr="006D705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p w:rsidR="00755DAC" w:rsidRPr="00A935AA" w:rsidRDefault="00755DAC" w:rsidP="00242AEE">
            <w:pPr>
              <w:jc w:val="center"/>
              <w:rPr>
                <w:sz w:val="20"/>
                <w:szCs w:val="20"/>
              </w:rPr>
            </w:pPr>
          </w:p>
        </w:tc>
        <w:tc>
          <w:tcPr>
            <w:tcW w:w="4320" w:type="dxa"/>
            <w:shd w:val="clear" w:color="auto" w:fill="auto"/>
          </w:tcPr>
          <w:p w:rsidR="00755DAC" w:rsidRPr="00755DAC" w:rsidRDefault="00755DAC" w:rsidP="00755DAC">
            <w:pPr>
              <w:keepNext/>
              <w:keepLines/>
              <w:tabs>
                <w:tab w:val="left" w:pos="-1440"/>
                <w:tab w:val="left" w:pos="-720"/>
              </w:tabs>
              <w:rPr>
                <w:b/>
                <w:sz w:val="20"/>
                <w:szCs w:val="20"/>
              </w:rPr>
            </w:pPr>
            <w:r w:rsidRPr="00755DAC">
              <w:rPr>
                <w:b/>
                <w:sz w:val="20"/>
                <w:szCs w:val="20"/>
              </w:rPr>
              <w:t>Malcolm Albert Tremblay</w:t>
            </w:r>
          </w:p>
          <w:p w:rsidR="00755DAC" w:rsidRPr="00755DAC" w:rsidRDefault="00755DAC" w:rsidP="00755DAC">
            <w:pPr>
              <w:keepNext/>
              <w:keepLines/>
              <w:tabs>
                <w:tab w:val="left" w:pos="-1440"/>
                <w:tab w:val="left" w:pos="-720"/>
              </w:tabs>
              <w:rPr>
                <w:sz w:val="20"/>
                <w:szCs w:val="20"/>
              </w:rPr>
            </w:pPr>
            <w:r w:rsidRPr="00755DAC">
              <w:rPr>
                <w:sz w:val="20"/>
                <w:szCs w:val="20"/>
              </w:rPr>
              <w:tab/>
              <w:t>Malcolm Albert Tremblay</w:t>
            </w:r>
          </w:p>
          <w:p w:rsidR="00755DAC" w:rsidRPr="00755DAC" w:rsidRDefault="00755DAC" w:rsidP="00755DAC">
            <w:pPr>
              <w:keepNext/>
              <w:keepLines/>
              <w:tabs>
                <w:tab w:val="left" w:pos="-1440"/>
                <w:tab w:val="left" w:pos="-720"/>
              </w:tabs>
              <w:rPr>
                <w:sz w:val="20"/>
                <w:szCs w:val="20"/>
              </w:rPr>
            </w:pPr>
          </w:p>
          <w:p w:rsidR="00755DAC" w:rsidRPr="00FD50B6" w:rsidRDefault="00755DAC" w:rsidP="00755DAC">
            <w:pPr>
              <w:keepNext/>
              <w:keepLines/>
              <w:tabs>
                <w:tab w:val="left" w:pos="-1440"/>
                <w:tab w:val="left" w:pos="-720"/>
              </w:tabs>
              <w:rPr>
                <w:sz w:val="20"/>
                <w:szCs w:val="20"/>
                <w:lang w:val="fr-CA"/>
              </w:rPr>
            </w:pPr>
            <w:r w:rsidRPr="00755DAC">
              <w:rPr>
                <w:sz w:val="20"/>
                <w:szCs w:val="20"/>
              </w:rPr>
              <w:tab/>
            </w:r>
            <w:r w:rsidRPr="00FD50B6">
              <w:rPr>
                <w:sz w:val="20"/>
                <w:szCs w:val="20"/>
                <w:lang w:val="fr-CA"/>
              </w:rPr>
              <w:t>c. (33</w:t>
            </w:r>
            <w:r>
              <w:rPr>
                <w:sz w:val="20"/>
                <w:szCs w:val="20"/>
                <w:lang w:val="fr-CA"/>
              </w:rPr>
              <w:t>953</w:t>
            </w:r>
            <w:r w:rsidRPr="00FD50B6">
              <w:rPr>
                <w:sz w:val="20"/>
                <w:szCs w:val="20"/>
                <w:lang w:val="fr-CA"/>
              </w:rPr>
              <w:t>)</w:t>
            </w:r>
          </w:p>
          <w:p w:rsidR="00755DAC" w:rsidRPr="00FD50B6" w:rsidRDefault="00755DAC" w:rsidP="00755DAC">
            <w:pPr>
              <w:keepNext/>
              <w:keepLines/>
              <w:tabs>
                <w:tab w:val="left" w:pos="-1440"/>
                <w:tab w:val="left" w:pos="-720"/>
              </w:tabs>
              <w:rPr>
                <w:sz w:val="20"/>
                <w:szCs w:val="20"/>
                <w:lang w:val="fr-CA"/>
              </w:rPr>
            </w:pPr>
          </w:p>
          <w:p w:rsidR="00755DAC" w:rsidRPr="00FD50B6" w:rsidRDefault="00755DAC" w:rsidP="00755DAC">
            <w:pPr>
              <w:keepNext/>
              <w:keepLines/>
              <w:tabs>
                <w:tab w:val="left" w:pos="-1440"/>
                <w:tab w:val="left" w:pos="-720"/>
              </w:tabs>
              <w:rPr>
                <w:b/>
                <w:sz w:val="20"/>
                <w:szCs w:val="20"/>
                <w:lang w:val="fr-CA"/>
              </w:rPr>
            </w:pPr>
            <w:r>
              <w:rPr>
                <w:b/>
                <w:sz w:val="20"/>
                <w:szCs w:val="20"/>
                <w:lang w:val="fr-CA"/>
              </w:rPr>
              <w:t>Municipalité du Lac Beauport et autre (</w:t>
            </w:r>
            <w:proofErr w:type="spellStart"/>
            <w:r>
              <w:rPr>
                <w:b/>
                <w:sz w:val="20"/>
                <w:szCs w:val="20"/>
                <w:lang w:val="fr-CA"/>
              </w:rPr>
              <w:t>Qc</w:t>
            </w:r>
            <w:proofErr w:type="spellEnd"/>
            <w:r>
              <w:rPr>
                <w:b/>
                <w:sz w:val="20"/>
                <w:szCs w:val="20"/>
                <w:lang w:val="fr-CA"/>
              </w:rPr>
              <w:t>)</w:t>
            </w:r>
          </w:p>
          <w:p w:rsidR="00755DAC" w:rsidRPr="00FD50B6" w:rsidRDefault="00755DAC" w:rsidP="00755DAC">
            <w:pPr>
              <w:keepNext/>
              <w:keepLines/>
              <w:tabs>
                <w:tab w:val="left" w:pos="-1440"/>
                <w:tab w:val="left" w:pos="-720"/>
              </w:tabs>
              <w:rPr>
                <w:sz w:val="20"/>
                <w:szCs w:val="20"/>
                <w:lang w:val="fr-CA"/>
              </w:rPr>
            </w:pPr>
            <w:r w:rsidRPr="00FD50B6">
              <w:rPr>
                <w:sz w:val="20"/>
                <w:szCs w:val="20"/>
                <w:lang w:val="fr-CA"/>
              </w:rPr>
              <w:tab/>
            </w:r>
            <w:r>
              <w:rPr>
                <w:sz w:val="20"/>
                <w:szCs w:val="20"/>
                <w:lang w:val="fr-CA"/>
              </w:rPr>
              <w:t>Denis Michaud</w:t>
            </w:r>
          </w:p>
          <w:p w:rsidR="00755DAC" w:rsidRPr="00FD50B6" w:rsidRDefault="00755DAC" w:rsidP="00755DAC">
            <w:pPr>
              <w:keepNext/>
              <w:keepLines/>
              <w:tabs>
                <w:tab w:val="left" w:pos="-1440"/>
                <w:tab w:val="left" w:pos="-720"/>
              </w:tabs>
              <w:rPr>
                <w:sz w:val="20"/>
                <w:szCs w:val="20"/>
                <w:lang w:val="fr-CA"/>
              </w:rPr>
            </w:pPr>
            <w:r w:rsidRPr="00FD50B6">
              <w:rPr>
                <w:sz w:val="20"/>
                <w:szCs w:val="20"/>
                <w:lang w:val="fr-CA"/>
              </w:rPr>
              <w:tab/>
            </w:r>
            <w:proofErr w:type="spellStart"/>
            <w:r>
              <w:rPr>
                <w:sz w:val="20"/>
                <w:szCs w:val="20"/>
                <w:lang w:val="fr-CA"/>
              </w:rPr>
              <w:t>Lavery</w:t>
            </w:r>
            <w:proofErr w:type="spellEnd"/>
            <w:r>
              <w:rPr>
                <w:sz w:val="20"/>
                <w:szCs w:val="20"/>
                <w:lang w:val="fr-CA"/>
              </w:rPr>
              <w:t>, de Billy</w:t>
            </w:r>
          </w:p>
          <w:p w:rsidR="00755DAC" w:rsidRPr="00FD50B6" w:rsidRDefault="00755DAC" w:rsidP="00755DAC">
            <w:pPr>
              <w:keepNext/>
              <w:keepLines/>
              <w:tabs>
                <w:tab w:val="left" w:pos="-1440"/>
                <w:tab w:val="left" w:pos="-720"/>
              </w:tabs>
              <w:rPr>
                <w:sz w:val="20"/>
                <w:szCs w:val="20"/>
                <w:lang w:val="fr-CA"/>
              </w:rPr>
            </w:pPr>
          </w:p>
          <w:p w:rsidR="00755DAC" w:rsidRDefault="00755DAC" w:rsidP="00755DAC">
            <w:pPr>
              <w:rPr>
                <w:sz w:val="20"/>
                <w:szCs w:val="20"/>
              </w:rPr>
            </w:pPr>
            <w:r w:rsidRPr="00A935AA">
              <w:rPr>
                <w:sz w:val="20"/>
                <w:szCs w:val="20"/>
              </w:rPr>
              <w:t>DATE</w:t>
            </w:r>
            <w:r>
              <w:rPr>
                <w:sz w:val="20"/>
                <w:szCs w:val="20"/>
              </w:rPr>
              <w:t xml:space="preserve"> DE PRODUCTION </w:t>
            </w:r>
            <w:r w:rsidRPr="00A935AA">
              <w:rPr>
                <w:sz w:val="20"/>
                <w:szCs w:val="20"/>
              </w:rPr>
              <w:t>:</w:t>
            </w:r>
            <w:r>
              <w:rPr>
                <w:sz w:val="20"/>
                <w:szCs w:val="20"/>
              </w:rPr>
              <w:t xml:space="preserve"> 09.11.2010</w:t>
            </w:r>
          </w:p>
          <w:p w:rsidR="004F6FAD" w:rsidRDefault="004F6FAD" w:rsidP="00755DAC">
            <w:pPr>
              <w:rPr>
                <w:sz w:val="20"/>
                <w:szCs w:val="20"/>
              </w:rPr>
            </w:pPr>
          </w:p>
          <w:p w:rsidR="00755DAC" w:rsidRPr="00A935AA" w:rsidRDefault="006D705A" w:rsidP="00755DAC">
            <w:pPr>
              <w:rPr>
                <w:sz w:val="20"/>
                <w:szCs w:val="20"/>
              </w:rPr>
            </w:pPr>
            <w:r w:rsidRPr="006D705A">
              <w:rPr>
                <w:sz w:val="20"/>
                <w:szCs w:val="20"/>
                <w:lang w:val="fr-CA"/>
              </w:rPr>
              <w:pict>
                <v:rect id="_x0000_i1028" style="width:108pt;height:1pt" o:hrpct="0" o:hralign="center" o:hrstd="t" o:hrnoshade="t" o:hr="t" fillcolor="black [3213]" stroked="f"/>
              </w:pict>
            </w:r>
          </w:p>
        </w:tc>
      </w:tr>
      <w:tr w:rsidR="004F6FAD" w:rsidRPr="00A935AA" w:rsidTr="004F6FAD">
        <w:trPr>
          <w:cantSplit/>
        </w:trPr>
        <w:tc>
          <w:tcPr>
            <w:tcW w:w="4320" w:type="dxa"/>
            <w:shd w:val="clear" w:color="auto" w:fill="auto"/>
          </w:tcPr>
          <w:p w:rsidR="004F6FAD" w:rsidRDefault="004F6FAD" w:rsidP="00755DAC">
            <w:pPr>
              <w:rPr>
                <w:b/>
                <w:sz w:val="20"/>
                <w:szCs w:val="20"/>
                <w:lang w:val="fr-CA"/>
              </w:rPr>
            </w:pPr>
          </w:p>
          <w:p w:rsidR="004F6FAD" w:rsidRPr="00C663EF" w:rsidRDefault="004F6FAD" w:rsidP="00755DAC">
            <w:pPr>
              <w:rPr>
                <w:b/>
                <w:sz w:val="20"/>
                <w:szCs w:val="20"/>
                <w:lang w:val="fr-CA"/>
              </w:rPr>
            </w:pPr>
            <w:proofErr w:type="spellStart"/>
            <w:r>
              <w:rPr>
                <w:b/>
                <w:sz w:val="20"/>
                <w:szCs w:val="20"/>
                <w:lang w:val="fr-CA"/>
              </w:rPr>
              <w:t>Nikolaos</w:t>
            </w:r>
            <w:proofErr w:type="spellEnd"/>
            <w:r>
              <w:rPr>
                <w:b/>
                <w:sz w:val="20"/>
                <w:szCs w:val="20"/>
                <w:lang w:val="fr-CA"/>
              </w:rPr>
              <w:t xml:space="preserve"> </w:t>
            </w:r>
            <w:proofErr w:type="spellStart"/>
            <w:r>
              <w:rPr>
                <w:b/>
                <w:sz w:val="20"/>
                <w:szCs w:val="20"/>
                <w:lang w:val="fr-CA"/>
              </w:rPr>
              <w:t>Alevras</w:t>
            </w:r>
            <w:proofErr w:type="spellEnd"/>
          </w:p>
          <w:p w:rsidR="004F6FAD" w:rsidRPr="00C663EF" w:rsidRDefault="004F6FAD" w:rsidP="00755DAC">
            <w:pPr>
              <w:tabs>
                <w:tab w:val="left" w:pos="-1440"/>
                <w:tab w:val="left" w:pos="-720"/>
              </w:tabs>
              <w:rPr>
                <w:sz w:val="20"/>
                <w:szCs w:val="20"/>
                <w:lang w:val="fr-CA"/>
              </w:rPr>
            </w:pPr>
            <w:r w:rsidRPr="00C663EF">
              <w:rPr>
                <w:sz w:val="20"/>
                <w:szCs w:val="20"/>
                <w:lang w:val="fr-CA"/>
              </w:rPr>
              <w:tab/>
            </w:r>
            <w:r>
              <w:rPr>
                <w:sz w:val="20"/>
                <w:szCs w:val="20"/>
                <w:lang w:val="fr-CA"/>
              </w:rPr>
              <w:t>Jérôme Choquette, Q.C.</w:t>
            </w:r>
          </w:p>
          <w:p w:rsidR="004F6FAD" w:rsidRPr="00FD50B6" w:rsidRDefault="004F6FAD" w:rsidP="00755DAC">
            <w:pPr>
              <w:tabs>
                <w:tab w:val="left" w:pos="-1440"/>
                <w:tab w:val="left" w:pos="-720"/>
              </w:tabs>
              <w:rPr>
                <w:sz w:val="20"/>
                <w:szCs w:val="20"/>
                <w:lang w:val="fr-CA"/>
              </w:rPr>
            </w:pPr>
            <w:r w:rsidRPr="00C663EF">
              <w:rPr>
                <w:sz w:val="20"/>
                <w:szCs w:val="20"/>
                <w:lang w:val="fr-CA"/>
              </w:rPr>
              <w:tab/>
            </w:r>
            <w:r>
              <w:rPr>
                <w:sz w:val="20"/>
                <w:szCs w:val="20"/>
                <w:lang w:val="fr-CA"/>
              </w:rPr>
              <w:t xml:space="preserve">Choquette Beaupré </w:t>
            </w:r>
            <w:proofErr w:type="spellStart"/>
            <w:r>
              <w:rPr>
                <w:sz w:val="20"/>
                <w:szCs w:val="20"/>
                <w:lang w:val="fr-CA"/>
              </w:rPr>
              <w:t>Rhéaume</w:t>
            </w:r>
            <w:proofErr w:type="spellEnd"/>
          </w:p>
          <w:p w:rsidR="004F6FAD" w:rsidRPr="00FD50B6" w:rsidRDefault="004F6FAD" w:rsidP="00755DAC">
            <w:pPr>
              <w:tabs>
                <w:tab w:val="left" w:pos="-1440"/>
                <w:tab w:val="left" w:pos="-720"/>
              </w:tabs>
              <w:rPr>
                <w:sz w:val="20"/>
                <w:szCs w:val="20"/>
                <w:lang w:val="fr-CA"/>
              </w:rPr>
            </w:pPr>
          </w:p>
          <w:p w:rsidR="004F6FAD" w:rsidRPr="00FD50B6" w:rsidRDefault="004F6FAD" w:rsidP="00755DAC">
            <w:pPr>
              <w:tabs>
                <w:tab w:val="left" w:pos="-1440"/>
                <w:tab w:val="left" w:pos="-720"/>
              </w:tabs>
              <w:rPr>
                <w:sz w:val="20"/>
                <w:szCs w:val="20"/>
                <w:lang w:val="fr-CA"/>
              </w:rPr>
            </w:pPr>
            <w:r w:rsidRPr="00FD50B6">
              <w:rPr>
                <w:sz w:val="20"/>
                <w:szCs w:val="20"/>
                <w:lang w:val="fr-CA"/>
              </w:rPr>
              <w:tab/>
            </w:r>
            <w:r>
              <w:rPr>
                <w:sz w:val="20"/>
                <w:szCs w:val="20"/>
                <w:lang w:val="fr-CA"/>
              </w:rPr>
              <w:t>v</w:t>
            </w:r>
            <w:r w:rsidRPr="00FD50B6">
              <w:rPr>
                <w:sz w:val="20"/>
                <w:szCs w:val="20"/>
                <w:lang w:val="fr-CA"/>
              </w:rPr>
              <w:t>. (33</w:t>
            </w:r>
            <w:r>
              <w:rPr>
                <w:sz w:val="20"/>
                <w:szCs w:val="20"/>
                <w:lang w:val="fr-CA"/>
              </w:rPr>
              <w:t>947</w:t>
            </w:r>
            <w:r w:rsidRPr="00FD50B6">
              <w:rPr>
                <w:sz w:val="20"/>
                <w:szCs w:val="20"/>
                <w:lang w:val="fr-CA"/>
              </w:rPr>
              <w:t>)</w:t>
            </w:r>
          </w:p>
          <w:p w:rsidR="004F6FAD" w:rsidRPr="00FD50B6" w:rsidRDefault="004F6FAD" w:rsidP="00755DAC">
            <w:pPr>
              <w:tabs>
                <w:tab w:val="left" w:pos="-1440"/>
                <w:tab w:val="left" w:pos="-720"/>
              </w:tabs>
              <w:rPr>
                <w:sz w:val="20"/>
                <w:szCs w:val="20"/>
                <w:lang w:val="fr-CA"/>
              </w:rPr>
            </w:pPr>
          </w:p>
          <w:p w:rsidR="004F6FAD" w:rsidRPr="00C663EF" w:rsidRDefault="004F6FAD" w:rsidP="00755DAC">
            <w:pPr>
              <w:tabs>
                <w:tab w:val="left" w:pos="-1440"/>
                <w:tab w:val="left" w:pos="-720"/>
              </w:tabs>
              <w:rPr>
                <w:b/>
                <w:sz w:val="20"/>
                <w:szCs w:val="20"/>
                <w:lang w:val="fr-CA"/>
              </w:rPr>
            </w:pPr>
            <w:proofErr w:type="spellStart"/>
            <w:r>
              <w:rPr>
                <w:b/>
                <w:sz w:val="20"/>
                <w:szCs w:val="20"/>
                <w:lang w:val="fr-CA"/>
              </w:rPr>
              <w:t>Tecksol</w:t>
            </w:r>
            <w:proofErr w:type="spellEnd"/>
            <w:r>
              <w:rPr>
                <w:b/>
                <w:sz w:val="20"/>
                <w:szCs w:val="20"/>
                <w:lang w:val="fr-CA"/>
              </w:rPr>
              <w:t xml:space="preserve"> Inc. et al (Que)</w:t>
            </w:r>
          </w:p>
          <w:p w:rsidR="004F6FAD" w:rsidRPr="00755DAC" w:rsidRDefault="004F6FAD" w:rsidP="00755DAC">
            <w:pPr>
              <w:tabs>
                <w:tab w:val="left" w:pos="-1440"/>
                <w:tab w:val="left" w:pos="-720"/>
              </w:tabs>
              <w:rPr>
                <w:sz w:val="20"/>
                <w:szCs w:val="20"/>
              </w:rPr>
            </w:pPr>
            <w:r w:rsidRPr="00C663EF">
              <w:rPr>
                <w:sz w:val="20"/>
                <w:szCs w:val="20"/>
                <w:lang w:val="fr-CA"/>
              </w:rPr>
              <w:tab/>
            </w:r>
            <w:r w:rsidRPr="00755DAC">
              <w:rPr>
                <w:sz w:val="20"/>
                <w:szCs w:val="20"/>
              </w:rPr>
              <w:t xml:space="preserve">Joshua C. </w:t>
            </w:r>
            <w:proofErr w:type="spellStart"/>
            <w:r w:rsidRPr="00755DAC">
              <w:rPr>
                <w:sz w:val="20"/>
                <w:szCs w:val="20"/>
              </w:rPr>
              <w:t>Borenstein</w:t>
            </w:r>
            <w:proofErr w:type="spellEnd"/>
          </w:p>
          <w:p w:rsidR="004F6FAD" w:rsidRPr="00755DAC" w:rsidRDefault="004F6FAD" w:rsidP="00755DAC">
            <w:pPr>
              <w:tabs>
                <w:tab w:val="left" w:pos="-1440"/>
                <w:tab w:val="left" w:pos="-720"/>
              </w:tabs>
              <w:rPr>
                <w:sz w:val="20"/>
                <w:szCs w:val="20"/>
              </w:rPr>
            </w:pPr>
            <w:r w:rsidRPr="00755DAC">
              <w:rPr>
                <w:sz w:val="20"/>
                <w:szCs w:val="20"/>
              </w:rPr>
              <w:tab/>
              <w:t xml:space="preserve">Spiegel </w:t>
            </w:r>
            <w:proofErr w:type="spellStart"/>
            <w:r w:rsidRPr="00755DAC">
              <w:rPr>
                <w:sz w:val="20"/>
                <w:szCs w:val="20"/>
              </w:rPr>
              <w:t>Sohmer</w:t>
            </w:r>
            <w:proofErr w:type="spellEnd"/>
          </w:p>
          <w:p w:rsidR="004F6FAD" w:rsidRPr="00755DAC" w:rsidRDefault="004F6FAD" w:rsidP="00755DAC">
            <w:pPr>
              <w:tabs>
                <w:tab w:val="left" w:pos="-1440"/>
                <w:tab w:val="left" w:pos="-720"/>
              </w:tabs>
              <w:rPr>
                <w:sz w:val="20"/>
                <w:szCs w:val="20"/>
              </w:rPr>
            </w:pPr>
          </w:p>
          <w:p w:rsidR="004F6FAD" w:rsidRDefault="004F6FAD" w:rsidP="00755DAC">
            <w:pPr>
              <w:rPr>
                <w:sz w:val="20"/>
                <w:szCs w:val="20"/>
              </w:rPr>
            </w:pPr>
            <w:r w:rsidRPr="00755DAC">
              <w:rPr>
                <w:sz w:val="20"/>
                <w:szCs w:val="20"/>
              </w:rPr>
              <w:t>FILING DATE: 19.</w:t>
            </w:r>
            <w:r>
              <w:rPr>
                <w:sz w:val="20"/>
                <w:szCs w:val="20"/>
              </w:rPr>
              <w:t>11</w:t>
            </w:r>
            <w:r w:rsidRPr="00755DAC">
              <w:rPr>
                <w:sz w:val="20"/>
                <w:szCs w:val="20"/>
              </w:rPr>
              <w:t>.2010</w:t>
            </w:r>
          </w:p>
          <w:p w:rsidR="004F6FAD" w:rsidRPr="00755DAC" w:rsidRDefault="004F6FAD" w:rsidP="00755DAC">
            <w:pPr>
              <w:rPr>
                <w:sz w:val="20"/>
                <w:szCs w:val="20"/>
              </w:rPr>
            </w:pPr>
          </w:p>
          <w:p w:rsidR="004F6FAD" w:rsidRPr="00A935AA" w:rsidRDefault="006D705A" w:rsidP="00755DAC">
            <w:pPr>
              <w:rPr>
                <w:sz w:val="20"/>
                <w:szCs w:val="20"/>
              </w:rPr>
            </w:pPr>
            <w:r w:rsidRPr="006D705A">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Pr="00A935AA" w:rsidRDefault="004F6FAD" w:rsidP="00755DAC">
            <w:pPr>
              <w:jc w:val="center"/>
              <w:rPr>
                <w:sz w:val="20"/>
                <w:szCs w:val="20"/>
              </w:rPr>
            </w:pPr>
          </w:p>
          <w:p w:rsidR="004F6FAD" w:rsidRDefault="004F6FAD" w:rsidP="00755DAC">
            <w:pPr>
              <w:jc w:val="center"/>
              <w:rPr>
                <w:sz w:val="20"/>
                <w:szCs w:val="20"/>
              </w:rPr>
            </w:pPr>
          </w:p>
          <w:p w:rsidR="004F6FAD" w:rsidRPr="00A935AA" w:rsidRDefault="004F6FAD" w:rsidP="00755DAC">
            <w:pPr>
              <w:jc w:val="center"/>
              <w:rPr>
                <w:sz w:val="20"/>
                <w:szCs w:val="20"/>
              </w:rPr>
            </w:pPr>
          </w:p>
        </w:tc>
        <w:tc>
          <w:tcPr>
            <w:tcW w:w="4320" w:type="dxa"/>
            <w:shd w:val="clear" w:color="auto" w:fill="auto"/>
          </w:tcPr>
          <w:p w:rsidR="004F6FAD" w:rsidRPr="00706435" w:rsidRDefault="004F6FAD" w:rsidP="001C6372">
            <w:pPr>
              <w:keepNext/>
              <w:keepLines/>
              <w:tabs>
                <w:tab w:val="left" w:pos="-1440"/>
                <w:tab w:val="left" w:pos="-720"/>
              </w:tabs>
              <w:rPr>
                <w:b/>
                <w:sz w:val="20"/>
                <w:szCs w:val="20"/>
                <w:lang w:val="fr-CA"/>
              </w:rPr>
            </w:pPr>
            <w:r>
              <w:rPr>
                <w:b/>
                <w:sz w:val="20"/>
                <w:szCs w:val="20"/>
                <w:lang w:val="fr-CA"/>
              </w:rPr>
              <w:t xml:space="preserve">Construction </w:t>
            </w:r>
            <w:proofErr w:type="spellStart"/>
            <w:r w:rsidR="00AA0126">
              <w:rPr>
                <w:b/>
                <w:sz w:val="20"/>
                <w:szCs w:val="20"/>
                <w:lang w:val="fr-CA"/>
              </w:rPr>
              <w:t>Blenda</w:t>
            </w:r>
            <w:proofErr w:type="spellEnd"/>
            <w:r w:rsidR="00AA0126">
              <w:rPr>
                <w:b/>
                <w:sz w:val="20"/>
                <w:szCs w:val="20"/>
                <w:lang w:val="fr-CA"/>
              </w:rPr>
              <w:t xml:space="preserve"> </w:t>
            </w:r>
            <w:proofErr w:type="spellStart"/>
            <w:r>
              <w:rPr>
                <w:b/>
                <w:sz w:val="20"/>
                <w:szCs w:val="20"/>
                <w:lang w:val="fr-CA"/>
              </w:rPr>
              <w:t>inc</w:t>
            </w:r>
            <w:proofErr w:type="spellEnd"/>
            <w:r>
              <w:rPr>
                <w:b/>
                <w:sz w:val="20"/>
                <w:szCs w:val="20"/>
                <w:lang w:val="fr-CA"/>
              </w:rPr>
              <w:t xml:space="preserve">. </w:t>
            </w:r>
          </w:p>
          <w:p w:rsidR="004F6FAD" w:rsidRDefault="004F6FAD" w:rsidP="001C6372">
            <w:pPr>
              <w:keepNext/>
              <w:keepLines/>
              <w:tabs>
                <w:tab w:val="left" w:pos="-1440"/>
                <w:tab w:val="left" w:pos="-720"/>
              </w:tabs>
              <w:rPr>
                <w:sz w:val="20"/>
                <w:szCs w:val="20"/>
                <w:lang w:val="fr-CA"/>
              </w:rPr>
            </w:pPr>
            <w:r w:rsidRPr="00706435">
              <w:rPr>
                <w:sz w:val="20"/>
                <w:szCs w:val="20"/>
                <w:lang w:val="fr-CA"/>
              </w:rPr>
              <w:tab/>
            </w:r>
            <w:r>
              <w:rPr>
                <w:sz w:val="20"/>
                <w:szCs w:val="20"/>
                <w:lang w:val="fr-CA"/>
              </w:rPr>
              <w:t xml:space="preserve">Dominique </w:t>
            </w:r>
            <w:proofErr w:type="spellStart"/>
            <w:r>
              <w:rPr>
                <w:sz w:val="20"/>
                <w:szCs w:val="20"/>
                <w:lang w:val="fr-CA"/>
              </w:rPr>
              <w:t>Zaurrini</w:t>
            </w:r>
            <w:proofErr w:type="spellEnd"/>
          </w:p>
          <w:p w:rsidR="004F6FAD" w:rsidRPr="00706435" w:rsidRDefault="004F6FAD" w:rsidP="001C6372">
            <w:pPr>
              <w:keepNext/>
              <w:keepLines/>
              <w:tabs>
                <w:tab w:val="left" w:pos="-1440"/>
                <w:tab w:val="left" w:pos="-720"/>
              </w:tabs>
              <w:rPr>
                <w:sz w:val="20"/>
                <w:szCs w:val="20"/>
                <w:lang w:val="fr-CA"/>
              </w:rPr>
            </w:pPr>
            <w:r>
              <w:rPr>
                <w:sz w:val="20"/>
                <w:szCs w:val="20"/>
                <w:lang w:val="fr-CA"/>
              </w:rPr>
              <w:tab/>
            </w:r>
            <w:proofErr w:type="spellStart"/>
            <w:r>
              <w:rPr>
                <w:sz w:val="20"/>
                <w:szCs w:val="20"/>
                <w:lang w:val="fr-CA"/>
              </w:rPr>
              <w:t>Zaurrini</w:t>
            </w:r>
            <w:proofErr w:type="spellEnd"/>
            <w:r>
              <w:rPr>
                <w:sz w:val="20"/>
                <w:szCs w:val="20"/>
                <w:lang w:val="fr-CA"/>
              </w:rPr>
              <w:t xml:space="preserve"> Avocats</w:t>
            </w:r>
          </w:p>
          <w:p w:rsidR="004F6FAD" w:rsidRPr="00706435" w:rsidRDefault="004F6FAD" w:rsidP="001C6372">
            <w:pPr>
              <w:keepNext/>
              <w:keepLines/>
              <w:tabs>
                <w:tab w:val="left" w:pos="-1440"/>
                <w:tab w:val="left" w:pos="-720"/>
              </w:tabs>
              <w:rPr>
                <w:sz w:val="20"/>
                <w:szCs w:val="20"/>
                <w:lang w:val="fr-CA"/>
              </w:rPr>
            </w:pPr>
          </w:p>
          <w:p w:rsidR="004F6FAD" w:rsidRPr="00FD50B6" w:rsidRDefault="004F6FAD" w:rsidP="001C6372">
            <w:pPr>
              <w:keepNext/>
              <w:keepLines/>
              <w:tabs>
                <w:tab w:val="left" w:pos="-1440"/>
                <w:tab w:val="left" w:pos="-720"/>
              </w:tabs>
              <w:rPr>
                <w:sz w:val="20"/>
                <w:szCs w:val="20"/>
                <w:lang w:val="fr-CA"/>
              </w:rPr>
            </w:pPr>
            <w:r w:rsidRPr="00706435">
              <w:rPr>
                <w:sz w:val="20"/>
                <w:szCs w:val="20"/>
                <w:lang w:val="fr-CA"/>
              </w:rPr>
              <w:tab/>
            </w:r>
            <w:r w:rsidRPr="00FD50B6">
              <w:rPr>
                <w:sz w:val="20"/>
                <w:szCs w:val="20"/>
                <w:lang w:val="fr-CA"/>
              </w:rPr>
              <w:t>c. (33</w:t>
            </w:r>
            <w:r>
              <w:rPr>
                <w:sz w:val="20"/>
                <w:szCs w:val="20"/>
                <w:lang w:val="fr-CA"/>
              </w:rPr>
              <w:t>958</w:t>
            </w:r>
            <w:r w:rsidRPr="00FD50B6">
              <w:rPr>
                <w:sz w:val="20"/>
                <w:szCs w:val="20"/>
                <w:lang w:val="fr-CA"/>
              </w:rPr>
              <w:t>)</w:t>
            </w:r>
          </w:p>
          <w:p w:rsidR="004F6FAD" w:rsidRPr="00FD50B6" w:rsidRDefault="004F6FAD" w:rsidP="001C6372">
            <w:pPr>
              <w:keepNext/>
              <w:keepLines/>
              <w:tabs>
                <w:tab w:val="left" w:pos="-1440"/>
                <w:tab w:val="left" w:pos="-720"/>
              </w:tabs>
              <w:rPr>
                <w:sz w:val="20"/>
                <w:szCs w:val="20"/>
                <w:lang w:val="fr-CA"/>
              </w:rPr>
            </w:pPr>
          </w:p>
          <w:p w:rsidR="004F6FAD" w:rsidRPr="00FD50B6" w:rsidRDefault="004F6FAD" w:rsidP="001C6372">
            <w:pPr>
              <w:keepNext/>
              <w:keepLines/>
              <w:tabs>
                <w:tab w:val="left" w:pos="-1440"/>
                <w:tab w:val="left" w:pos="-720"/>
              </w:tabs>
              <w:rPr>
                <w:b/>
                <w:sz w:val="20"/>
                <w:szCs w:val="20"/>
                <w:lang w:val="fr-CA"/>
              </w:rPr>
            </w:pPr>
            <w:r>
              <w:rPr>
                <w:b/>
                <w:sz w:val="20"/>
                <w:szCs w:val="20"/>
                <w:lang w:val="fr-CA"/>
              </w:rPr>
              <w:t>Association de la construction du Québec (</w:t>
            </w:r>
            <w:proofErr w:type="spellStart"/>
            <w:r>
              <w:rPr>
                <w:b/>
                <w:sz w:val="20"/>
                <w:szCs w:val="20"/>
                <w:lang w:val="fr-CA"/>
              </w:rPr>
              <w:t>Qc</w:t>
            </w:r>
            <w:proofErr w:type="spellEnd"/>
            <w:r>
              <w:rPr>
                <w:b/>
                <w:sz w:val="20"/>
                <w:szCs w:val="20"/>
                <w:lang w:val="fr-CA"/>
              </w:rPr>
              <w:t>)</w:t>
            </w:r>
          </w:p>
          <w:p w:rsidR="004F6FAD" w:rsidRPr="00FD50B6" w:rsidRDefault="004F6FAD" w:rsidP="001C6372">
            <w:pPr>
              <w:keepNext/>
              <w:keepLines/>
              <w:tabs>
                <w:tab w:val="left" w:pos="-1440"/>
                <w:tab w:val="left" w:pos="-720"/>
              </w:tabs>
              <w:rPr>
                <w:sz w:val="20"/>
                <w:szCs w:val="20"/>
                <w:lang w:val="fr-CA"/>
              </w:rPr>
            </w:pPr>
            <w:r w:rsidRPr="00FD50B6">
              <w:rPr>
                <w:sz w:val="20"/>
                <w:szCs w:val="20"/>
                <w:lang w:val="fr-CA"/>
              </w:rPr>
              <w:tab/>
            </w:r>
            <w:r>
              <w:rPr>
                <w:sz w:val="20"/>
                <w:szCs w:val="20"/>
                <w:lang w:val="fr-CA"/>
              </w:rPr>
              <w:t>Jasmin Lefebvre</w:t>
            </w:r>
          </w:p>
          <w:p w:rsidR="004F6FAD" w:rsidRPr="00FD50B6" w:rsidRDefault="004F6FAD" w:rsidP="001C6372">
            <w:pPr>
              <w:keepNext/>
              <w:keepLines/>
              <w:tabs>
                <w:tab w:val="left" w:pos="-1440"/>
                <w:tab w:val="left" w:pos="-720"/>
              </w:tabs>
              <w:rPr>
                <w:sz w:val="20"/>
                <w:szCs w:val="20"/>
                <w:lang w:val="fr-CA"/>
              </w:rPr>
            </w:pPr>
            <w:r w:rsidRPr="00FD50B6">
              <w:rPr>
                <w:sz w:val="20"/>
                <w:szCs w:val="20"/>
                <w:lang w:val="fr-CA"/>
              </w:rPr>
              <w:tab/>
            </w:r>
            <w:r>
              <w:rPr>
                <w:sz w:val="20"/>
                <w:szCs w:val="20"/>
                <w:lang w:val="fr-CA"/>
              </w:rPr>
              <w:t xml:space="preserve">De </w:t>
            </w:r>
            <w:proofErr w:type="spellStart"/>
            <w:r>
              <w:rPr>
                <w:sz w:val="20"/>
                <w:szCs w:val="20"/>
                <w:lang w:val="fr-CA"/>
              </w:rPr>
              <w:t>Grandpré</w:t>
            </w:r>
            <w:proofErr w:type="spellEnd"/>
            <w:r>
              <w:rPr>
                <w:sz w:val="20"/>
                <w:szCs w:val="20"/>
                <w:lang w:val="fr-CA"/>
              </w:rPr>
              <w:t xml:space="preserve"> </w:t>
            </w:r>
            <w:proofErr w:type="spellStart"/>
            <w:r>
              <w:rPr>
                <w:sz w:val="20"/>
                <w:szCs w:val="20"/>
                <w:lang w:val="fr-CA"/>
              </w:rPr>
              <w:t>Chait</w:t>
            </w:r>
            <w:proofErr w:type="spellEnd"/>
          </w:p>
          <w:p w:rsidR="004F6FAD" w:rsidRPr="00FD50B6" w:rsidRDefault="004F6FAD" w:rsidP="001C6372">
            <w:pPr>
              <w:keepNext/>
              <w:keepLines/>
              <w:tabs>
                <w:tab w:val="left" w:pos="-1440"/>
                <w:tab w:val="left" w:pos="-720"/>
              </w:tabs>
              <w:rPr>
                <w:sz w:val="20"/>
                <w:szCs w:val="20"/>
                <w:lang w:val="fr-CA"/>
              </w:rPr>
            </w:pPr>
          </w:p>
          <w:p w:rsidR="004F6FAD" w:rsidRDefault="004F6FAD" w:rsidP="001C6372">
            <w:pPr>
              <w:rPr>
                <w:sz w:val="20"/>
                <w:szCs w:val="20"/>
                <w:lang w:val="fr-CA"/>
              </w:rPr>
            </w:pPr>
            <w:r w:rsidRPr="00755DAC">
              <w:rPr>
                <w:sz w:val="20"/>
                <w:szCs w:val="20"/>
                <w:lang w:val="fr-CA"/>
              </w:rPr>
              <w:t xml:space="preserve">DATE DE PRODUCTION : </w:t>
            </w:r>
            <w:r>
              <w:rPr>
                <w:sz w:val="20"/>
                <w:szCs w:val="20"/>
                <w:lang w:val="fr-CA"/>
              </w:rPr>
              <w:t>25</w:t>
            </w:r>
            <w:r w:rsidRPr="00755DAC">
              <w:rPr>
                <w:sz w:val="20"/>
                <w:szCs w:val="20"/>
                <w:lang w:val="fr-CA"/>
              </w:rPr>
              <w:t>.</w:t>
            </w:r>
            <w:r>
              <w:rPr>
                <w:sz w:val="20"/>
                <w:szCs w:val="20"/>
                <w:lang w:val="fr-CA"/>
              </w:rPr>
              <w:t>11</w:t>
            </w:r>
            <w:r w:rsidRPr="00755DAC">
              <w:rPr>
                <w:sz w:val="20"/>
                <w:szCs w:val="20"/>
                <w:lang w:val="fr-CA"/>
              </w:rPr>
              <w:t>.2010</w:t>
            </w:r>
          </w:p>
          <w:p w:rsidR="004F6FAD" w:rsidRPr="00755DAC" w:rsidRDefault="004F6FAD" w:rsidP="001C6372">
            <w:pPr>
              <w:rPr>
                <w:sz w:val="20"/>
                <w:szCs w:val="20"/>
                <w:lang w:val="fr-CA"/>
              </w:rPr>
            </w:pPr>
          </w:p>
          <w:p w:rsidR="004F6FAD" w:rsidRPr="00A935AA" w:rsidRDefault="006D705A" w:rsidP="001C6372">
            <w:pPr>
              <w:rPr>
                <w:sz w:val="20"/>
                <w:szCs w:val="20"/>
              </w:rPr>
            </w:pPr>
            <w:r w:rsidRPr="006D705A">
              <w:rPr>
                <w:sz w:val="20"/>
                <w:szCs w:val="20"/>
                <w:lang w:val="fr-CA"/>
              </w:rPr>
              <w:pict>
                <v:rect id="_x0000_i1030" style="width:108pt;height:1pt" o:hrpct="0" o:hralign="center" o:hrstd="t" o:hrnoshade="t" o:hr="t" fillcolor="black [3213]" stroked="f"/>
              </w:pict>
            </w:r>
          </w:p>
        </w:tc>
      </w:tr>
      <w:tr w:rsidR="008354EB" w:rsidRPr="00A935AA" w:rsidTr="004F6FAD">
        <w:trPr>
          <w:cantSplit/>
        </w:trPr>
        <w:tc>
          <w:tcPr>
            <w:tcW w:w="4320" w:type="dxa"/>
            <w:shd w:val="clear" w:color="auto" w:fill="auto"/>
          </w:tcPr>
          <w:p w:rsidR="008354EB" w:rsidRPr="00755DAC" w:rsidRDefault="008354EB" w:rsidP="008354EB">
            <w:pPr>
              <w:rPr>
                <w:b/>
                <w:sz w:val="20"/>
                <w:szCs w:val="20"/>
              </w:rPr>
            </w:pPr>
            <w:r w:rsidRPr="00755DAC">
              <w:rPr>
                <w:b/>
                <w:sz w:val="20"/>
                <w:szCs w:val="20"/>
              </w:rPr>
              <w:lastRenderedPageBreak/>
              <w:t xml:space="preserve">Professional Institute of the Public Service of Canada et al. </w:t>
            </w:r>
          </w:p>
          <w:p w:rsidR="008354EB" w:rsidRPr="00755DAC" w:rsidRDefault="008354EB" w:rsidP="008354EB">
            <w:pPr>
              <w:tabs>
                <w:tab w:val="left" w:pos="-1440"/>
                <w:tab w:val="left" w:pos="-720"/>
              </w:tabs>
              <w:rPr>
                <w:sz w:val="20"/>
                <w:szCs w:val="20"/>
              </w:rPr>
            </w:pPr>
            <w:r w:rsidRPr="00755DAC">
              <w:rPr>
                <w:sz w:val="20"/>
                <w:szCs w:val="20"/>
              </w:rPr>
              <w:tab/>
            </w:r>
            <w:r>
              <w:rPr>
                <w:sz w:val="20"/>
                <w:szCs w:val="20"/>
              </w:rPr>
              <w:t xml:space="preserve">Paul J.J. </w:t>
            </w:r>
            <w:proofErr w:type="spellStart"/>
            <w:r>
              <w:rPr>
                <w:sz w:val="20"/>
                <w:szCs w:val="20"/>
              </w:rPr>
              <w:t>Cavalluzzo</w:t>
            </w:r>
            <w:proofErr w:type="spellEnd"/>
          </w:p>
          <w:p w:rsidR="008354EB" w:rsidRPr="00755DAC" w:rsidRDefault="008354EB" w:rsidP="008354EB">
            <w:pPr>
              <w:tabs>
                <w:tab w:val="left" w:pos="-1440"/>
                <w:tab w:val="left" w:pos="-720"/>
              </w:tabs>
              <w:rPr>
                <w:sz w:val="20"/>
                <w:szCs w:val="20"/>
              </w:rPr>
            </w:pPr>
            <w:r w:rsidRPr="00755DAC">
              <w:rPr>
                <w:sz w:val="20"/>
                <w:szCs w:val="20"/>
              </w:rPr>
              <w:tab/>
            </w:r>
            <w:proofErr w:type="spellStart"/>
            <w:r>
              <w:rPr>
                <w:sz w:val="20"/>
                <w:szCs w:val="20"/>
              </w:rPr>
              <w:t>Cavalluzzo</w:t>
            </w:r>
            <w:proofErr w:type="spellEnd"/>
            <w:r>
              <w:rPr>
                <w:sz w:val="20"/>
                <w:szCs w:val="20"/>
              </w:rPr>
              <w:t xml:space="preserve"> Hayes </w:t>
            </w:r>
            <w:proofErr w:type="spellStart"/>
            <w:r>
              <w:rPr>
                <w:sz w:val="20"/>
                <w:szCs w:val="20"/>
              </w:rPr>
              <w:t>Shilton</w:t>
            </w:r>
            <w:proofErr w:type="spellEnd"/>
            <w:r>
              <w:rPr>
                <w:sz w:val="20"/>
                <w:szCs w:val="20"/>
              </w:rPr>
              <w:t xml:space="preserve"> McIntyre &amp; </w:t>
            </w:r>
            <w:r>
              <w:rPr>
                <w:sz w:val="20"/>
                <w:szCs w:val="20"/>
              </w:rPr>
              <w:tab/>
              <w:t>Cornish LLP</w:t>
            </w:r>
          </w:p>
          <w:p w:rsidR="008354EB" w:rsidRPr="00755DAC" w:rsidRDefault="008354EB" w:rsidP="008354EB">
            <w:pPr>
              <w:tabs>
                <w:tab w:val="left" w:pos="-1440"/>
                <w:tab w:val="left" w:pos="-720"/>
              </w:tabs>
              <w:rPr>
                <w:sz w:val="20"/>
                <w:szCs w:val="20"/>
              </w:rPr>
            </w:pPr>
          </w:p>
          <w:p w:rsidR="008354EB" w:rsidRPr="00BE174C" w:rsidRDefault="008354EB" w:rsidP="008354EB">
            <w:pPr>
              <w:tabs>
                <w:tab w:val="left" w:pos="-1440"/>
                <w:tab w:val="left" w:pos="-720"/>
              </w:tabs>
              <w:rPr>
                <w:sz w:val="20"/>
                <w:szCs w:val="20"/>
              </w:rPr>
            </w:pPr>
            <w:r w:rsidRPr="00755DAC">
              <w:rPr>
                <w:sz w:val="20"/>
                <w:szCs w:val="20"/>
              </w:rPr>
              <w:tab/>
            </w:r>
            <w:r>
              <w:rPr>
                <w:sz w:val="20"/>
                <w:szCs w:val="20"/>
              </w:rPr>
              <w:t>v</w:t>
            </w:r>
            <w:r w:rsidRPr="00BE174C">
              <w:rPr>
                <w:sz w:val="20"/>
                <w:szCs w:val="20"/>
              </w:rPr>
              <w:t>. (33968)</w:t>
            </w:r>
          </w:p>
          <w:p w:rsidR="008354EB" w:rsidRPr="00BE174C" w:rsidRDefault="008354EB" w:rsidP="008354EB">
            <w:pPr>
              <w:tabs>
                <w:tab w:val="left" w:pos="-1440"/>
                <w:tab w:val="left" w:pos="-720"/>
              </w:tabs>
              <w:rPr>
                <w:sz w:val="20"/>
                <w:szCs w:val="20"/>
              </w:rPr>
            </w:pPr>
          </w:p>
          <w:p w:rsidR="008354EB" w:rsidRPr="00BE174C" w:rsidRDefault="008354EB" w:rsidP="008354EB">
            <w:pPr>
              <w:tabs>
                <w:tab w:val="left" w:pos="-1440"/>
                <w:tab w:val="left" w:pos="-720"/>
              </w:tabs>
              <w:rPr>
                <w:b/>
                <w:sz w:val="20"/>
                <w:szCs w:val="20"/>
              </w:rPr>
            </w:pPr>
            <w:r w:rsidRPr="00BE174C">
              <w:rPr>
                <w:b/>
                <w:sz w:val="20"/>
                <w:szCs w:val="20"/>
              </w:rPr>
              <w:t>Attorney General of Canada (Ont.)</w:t>
            </w:r>
          </w:p>
          <w:p w:rsidR="008354EB" w:rsidRPr="00BE174C" w:rsidRDefault="008354EB" w:rsidP="008354EB">
            <w:pPr>
              <w:tabs>
                <w:tab w:val="left" w:pos="-1440"/>
                <w:tab w:val="left" w:pos="-720"/>
              </w:tabs>
              <w:rPr>
                <w:sz w:val="20"/>
                <w:szCs w:val="20"/>
              </w:rPr>
            </w:pPr>
            <w:r w:rsidRPr="00BE174C">
              <w:rPr>
                <w:sz w:val="20"/>
                <w:szCs w:val="20"/>
              </w:rPr>
              <w:tab/>
            </w:r>
            <w:r>
              <w:rPr>
                <w:sz w:val="20"/>
                <w:szCs w:val="20"/>
              </w:rPr>
              <w:t xml:space="preserve">Dale </w:t>
            </w:r>
            <w:proofErr w:type="spellStart"/>
            <w:r>
              <w:rPr>
                <w:sz w:val="20"/>
                <w:szCs w:val="20"/>
              </w:rPr>
              <w:t>Yurka</w:t>
            </w:r>
            <w:proofErr w:type="spellEnd"/>
          </w:p>
          <w:p w:rsidR="008354EB" w:rsidRPr="00BE174C" w:rsidRDefault="008354EB" w:rsidP="008354EB">
            <w:pPr>
              <w:tabs>
                <w:tab w:val="left" w:pos="-1440"/>
                <w:tab w:val="left" w:pos="-720"/>
              </w:tabs>
              <w:rPr>
                <w:sz w:val="20"/>
                <w:szCs w:val="20"/>
              </w:rPr>
            </w:pPr>
            <w:r w:rsidRPr="00BE174C">
              <w:rPr>
                <w:sz w:val="20"/>
                <w:szCs w:val="20"/>
              </w:rPr>
              <w:tab/>
            </w:r>
            <w:r>
              <w:rPr>
                <w:sz w:val="20"/>
                <w:szCs w:val="20"/>
              </w:rPr>
              <w:t>A.G. of Canada</w:t>
            </w:r>
          </w:p>
          <w:p w:rsidR="008354EB" w:rsidRPr="00BE174C" w:rsidRDefault="008354EB" w:rsidP="008354EB">
            <w:pPr>
              <w:tabs>
                <w:tab w:val="left" w:pos="-1440"/>
                <w:tab w:val="left" w:pos="-720"/>
              </w:tabs>
              <w:rPr>
                <w:sz w:val="20"/>
                <w:szCs w:val="20"/>
              </w:rPr>
            </w:pPr>
          </w:p>
          <w:p w:rsidR="008354EB" w:rsidRPr="00A935AA" w:rsidRDefault="004F6FAD" w:rsidP="008354EB">
            <w:pPr>
              <w:rPr>
                <w:sz w:val="20"/>
                <w:szCs w:val="20"/>
              </w:rPr>
            </w:pPr>
            <w:r>
              <w:rPr>
                <w:sz w:val="20"/>
                <w:szCs w:val="20"/>
              </w:rPr>
              <w:t xml:space="preserve">FILING </w:t>
            </w:r>
            <w:r w:rsidR="008354EB" w:rsidRPr="00A935AA">
              <w:rPr>
                <w:sz w:val="20"/>
                <w:szCs w:val="20"/>
              </w:rPr>
              <w:t xml:space="preserve">DATE: </w:t>
            </w:r>
            <w:r w:rsidR="008354EB">
              <w:rPr>
                <w:sz w:val="20"/>
                <w:szCs w:val="20"/>
              </w:rPr>
              <w:t>06.12.2010</w:t>
            </w:r>
          </w:p>
          <w:p w:rsidR="008354EB" w:rsidRDefault="008354EB" w:rsidP="008354EB">
            <w:pPr>
              <w:rPr>
                <w:sz w:val="20"/>
                <w:szCs w:val="20"/>
              </w:rPr>
            </w:pPr>
          </w:p>
          <w:p w:rsidR="008354EB" w:rsidRDefault="008354EB" w:rsidP="008354EB">
            <w:pPr>
              <w:rPr>
                <w:sz w:val="20"/>
                <w:szCs w:val="20"/>
              </w:rPr>
            </w:pPr>
            <w:r>
              <w:rPr>
                <w:sz w:val="20"/>
                <w:szCs w:val="20"/>
              </w:rPr>
              <w:t>and between</w:t>
            </w:r>
          </w:p>
          <w:p w:rsidR="008354EB" w:rsidRDefault="008354EB" w:rsidP="008354EB">
            <w:pPr>
              <w:rPr>
                <w:sz w:val="20"/>
                <w:szCs w:val="20"/>
              </w:rPr>
            </w:pPr>
          </w:p>
          <w:p w:rsidR="008354EB" w:rsidRPr="008354EB" w:rsidRDefault="008354EB" w:rsidP="008354EB">
            <w:pPr>
              <w:rPr>
                <w:b/>
                <w:sz w:val="20"/>
                <w:szCs w:val="20"/>
              </w:rPr>
            </w:pPr>
            <w:r w:rsidRPr="008354EB">
              <w:rPr>
                <w:b/>
                <w:sz w:val="20"/>
                <w:szCs w:val="20"/>
              </w:rPr>
              <w:t>Public Service Alliance of Canada</w:t>
            </w:r>
          </w:p>
          <w:p w:rsidR="008354EB" w:rsidRDefault="008354EB" w:rsidP="008354EB">
            <w:pPr>
              <w:rPr>
                <w:sz w:val="20"/>
                <w:szCs w:val="20"/>
              </w:rPr>
            </w:pPr>
            <w:r>
              <w:rPr>
                <w:sz w:val="20"/>
                <w:szCs w:val="20"/>
              </w:rPr>
              <w:tab/>
              <w:t>Andrew Raven</w:t>
            </w:r>
          </w:p>
          <w:p w:rsidR="008354EB" w:rsidRDefault="008354EB" w:rsidP="008354EB">
            <w:pPr>
              <w:rPr>
                <w:sz w:val="20"/>
                <w:szCs w:val="20"/>
              </w:rPr>
            </w:pPr>
            <w:r>
              <w:rPr>
                <w:sz w:val="20"/>
                <w:szCs w:val="20"/>
              </w:rPr>
              <w:tab/>
              <w:t xml:space="preserve">Raven, Cameron, </w:t>
            </w:r>
            <w:proofErr w:type="spellStart"/>
            <w:r>
              <w:rPr>
                <w:sz w:val="20"/>
                <w:szCs w:val="20"/>
              </w:rPr>
              <w:t>Ballantyne</w:t>
            </w:r>
            <w:proofErr w:type="spellEnd"/>
            <w:r>
              <w:rPr>
                <w:sz w:val="20"/>
                <w:szCs w:val="20"/>
              </w:rPr>
              <w:t xml:space="preserve"> &amp; </w:t>
            </w:r>
            <w:proofErr w:type="spellStart"/>
            <w:r>
              <w:rPr>
                <w:sz w:val="20"/>
                <w:szCs w:val="20"/>
              </w:rPr>
              <w:t>Yazbeck</w:t>
            </w:r>
            <w:proofErr w:type="spellEnd"/>
            <w:r>
              <w:rPr>
                <w:sz w:val="20"/>
                <w:szCs w:val="20"/>
              </w:rPr>
              <w:t xml:space="preserve"> </w:t>
            </w:r>
            <w:r>
              <w:rPr>
                <w:sz w:val="20"/>
                <w:szCs w:val="20"/>
              </w:rPr>
              <w:tab/>
              <w:t>LLP</w:t>
            </w:r>
          </w:p>
          <w:p w:rsidR="008354EB" w:rsidRDefault="008354EB" w:rsidP="008354EB">
            <w:pPr>
              <w:rPr>
                <w:sz w:val="20"/>
                <w:szCs w:val="20"/>
              </w:rPr>
            </w:pPr>
          </w:p>
          <w:p w:rsidR="008354EB" w:rsidRDefault="008354EB" w:rsidP="008354EB">
            <w:pPr>
              <w:rPr>
                <w:sz w:val="20"/>
                <w:szCs w:val="20"/>
              </w:rPr>
            </w:pPr>
            <w:r>
              <w:rPr>
                <w:sz w:val="20"/>
                <w:szCs w:val="20"/>
              </w:rPr>
              <w:tab/>
              <w:t>v. (33968)</w:t>
            </w:r>
          </w:p>
          <w:p w:rsidR="008354EB" w:rsidRDefault="008354EB" w:rsidP="008354EB">
            <w:pPr>
              <w:rPr>
                <w:sz w:val="20"/>
                <w:szCs w:val="20"/>
              </w:rPr>
            </w:pPr>
          </w:p>
          <w:p w:rsidR="008354EB" w:rsidRPr="008354EB" w:rsidRDefault="008354EB" w:rsidP="008354EB">
            <w:pPr>
              <w:rPr>
                <w:b/>
                <w:sz w:val="20"/>
                <w:szCs w:val="20"/>
              </w:rPr>
            </w:pPr>
            <w:r w:rsidRPr="008354EB">
              <w:rPr>
                <w:b/>
                <w:sz w:val="20"/>
                <w:szCs w:val="20"/>
              </w:rPr>
              <w:t>Attorney General of Canada (Ont.)</w:t>
            </w:r>
          </w:p>
          <w:p w:rsidR="008354EB" w:rsidRDefault="008354EB" w:rsidP="008354EB">
            <w:pPr>
              <w:rPr>
                <w:sz w:val="20"/>
                <w:szCs w:val="20"/>
              </w:rPr>
            </w:pPr>
            <w:r>
              <w:rPr>
                <w:sz w:val="20"/>
                <w:szCs w:val="20"/>
              </w:rPr>
              <w:tab/>
              <w:t xml:space="preserve">Dale </w:t>
            </w:r>
            <w:proofErr w:type="spellStart"/>
            <w:r>
              <w:rPr>
                <w:sz w:val="20"/>
                <w:szCs w:val="20"/>
              </w:rPr>
              <w:t>Yurka</w:t>
            </w:r>
            <w:proofErr w:type="spellEnd"/>
          </w:p>
          <w:p w:rsidR="008354EB" w:rsidRDefault="008354EB" w:rsidP="008354EB">
            <w:pPr>
              <w:rPr>
                <w:sz w:val="20"/>
                <w:szCs w:val="20"/>
              </w:rPr>
            </w:pPr>
            <w:r>
              <w:rPr>
                <w:sz w:val="20"/>
                <w:szCs w:val="20"/>
              </w:rPr>
              <w:tab/>
              <w:t>A.G. of Canada</w:t>
            </w:r>
          </w:p>
          <w:p w:rsidR="008354EB" w:rsidRDefault="008354EB" w:rsidP="008354EB">
            <w:pPr>
              <w:rPr>
                <w:sz w:val="20"/>
                <w:szCs w:val="20"/>
              </w:rPr>
            </w:pPr>
          </w:p>
          <w:p w:rsidR="008354EB" w:rsidRDefault="008354EB" w:rsidP="008354EB">
            <w:pPr>
              <w:rPr>
                <w:sz w:val="20"/>
                <w:szCs w:val="20"/>
              </w:rPr>
            </w:pPr>
            <w:r>
              <w:rPr>
                <w:sz w:val="20"/>
                <w:szCs w:val="20"/>
              </w:rPr>
              <w:t>FILING DATE: 07</w:t>
            </w:r>
            <w:r w:rsidR="00AA0126">
              <w:rPr>
                <w:sz w:val="20"/>
                <w:szCs w:val="20"/>
              </w:rPr>
              <w:t>.</w:t>
            </w:r>
            <w:r>
              <w:rPr>
                <w:sz w:val="20"/>
                <w:szCs w:val="20"/>
              </w:rPr>
              <w:t>12</w:t>
            </w:r>
            <w:r w:rsidR="00AA0126">
              <w:rPr>
                <w:sz w:val="20"/>
                <w:szCs w:val="20"/>
              </w:rPr>
              <w:t>.</w:t>
            </w:r>
            <w:r>
              <w:rPr>
                <w:sz w:val="20"/>
                <w:szCs w:val="20"/>
              </w:rPr>
              <w:t>2010</w:t>
            </w:r>
          </w:p>
          <w:p w:rsidR="004F6FAD" w:rsidRDefault="004F6FAD" w:rsidP="008354EB">
            <w:pPr>
              <w:rPr>
                <w:sz w:val="20"/>
                <w:szCs w:val="20"/>
              </w:rPr>
            </w:pPr>
          </w:p>
          <w:p w:rsidR="008354EB" w:rsidRPr="00A935AA" w:rsidRDefault="006D705A" w:rsidP="008354EB">
            <w:pPr>
              <w:rPr>
                <w:sz w:val="20"/>
                <w:szCs w:val="20"/>
              </w:rPr>
            </w:pPr>
            <w:r w:rsidRPr="006D705A">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354EB" w:rsidRPr="00A935AA" w:rsidRDefault="008354EB" w:rsidP="00755DAC">
            <w:pPr>
              <w:jc w:val="center"/>
              <w:rPr>
                <w:sz w:val="20"/>
                <w:szCs w:val="20"/>
              </w:rPr>
            </w:pPr>
          </w:p>
        </w:tc>
        <w:tc>
          <w:tcPr>
            <w:tcW w:w="4320" w:type="dxa"/>
            <w:shd w:val="clear" w:color="auto" w:fill="auto"/>
          </w:tcPr>
          <w:p w:rsidR="008354EB" w:rsidRDefault="008354EB" w:rsidP="00755DAC">
            <w:pPr>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33844">
          <w:headerReference w:type="default" r:id="rId15"/>
          <w:footerReference w:type="default" r:id="rId16"/>
          <w:headerReference w:type="first" r:id="rId17"/>
          <w:footerReference w:type="first" r:id="rId18"/>
          <w:pgSz w:w="12240" w:h="15840"/>
          <w:pgMar w:top="720" w:right="965" w:bottom="1080" w:left="1656" w:header="706" w:footer="706" w:gutter="0"/>
          <w:pgNumType w:start="164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7533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A57C2C" w:rsidRDefault="002E2327" w:rsidP="002E2327">
            <w:pPr>
              <w:keepLines/>
              <w:widowControl w:val="0"/>
              <w:rPr>
                <w:szCs w:val="24"/>
                <w:lang w:val="fr-CA"/>
              </w:rPr>
            </w:pPr>
            <w:r w:rsidRPr="00A57C2C">
              <w:rPr>
                <w:b/>
                <w:szCs w:val="24"/>
                <w:lang w:val="fr-CA"/>
              </w:rPr>
              <w:t>DEMANDES SOUMISES À LA COUR DEPUIS LA DERNIÈRE PARUTION</w:t>
            </w:r>
          </w:p>
          <w:p w:rsidR="002E2327" w:rsidRPr="00A57C2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A57C2C" w:rsidRDefault="002E2327" w:rsidP="002E2327">
      <w:pPr>
        <w:widowControl w:val="0"/>
        <w:rPr>
          <w:b/>
          <w:sz w:val="20"/>
          <w:szCs w:val="20"/>
          <w:lang w:val="fr-CA"/>
        </w:rPr>
      </w:pPr>
    </w:p>
    <w:p w:rsidR="002E2327" w:rsidRPr="00C50A5C" w:rsidRDefault="00542FD3" w:rsidP="002E2327">
      <w:pPr>
        <w:widowControl w:val="0"/>
        <w:rPr>
          <w:b/>
          <w:sz w:val="20"/>
          <w:szCs w:val="20"/>
        </w:rPr>
      </w:pPr>
      <w:r>
        <w:rPr>
          <w:b/>
          <w:sz w:val="20"/>
          <w:szCs w:val="20"/>
        </w:rPr>
        <w:t>DECEMBER 13</w:t>
      </w:r>
      <w:r w:rsidR="002E2327" w:rsidRPr="00C50A5C">
        <w:rPr>
          <w:b/>
          <w:sz w:val="20"/>
          <w:szCs w:val="20"/>
        </w:rPr>
        <w:t xml:space="preserve">, 2010 / LE </w:t>
      </w:r>
      <w:r>
        <w:rPr>
          <w:b/>
          <w:sz w:val="20"/>
          <w:szCs w:val="20"/>
        </w:rPr>
        <w:t>13 DÉCEMBRE</w:t>
      </w:r>
      <w:r w:rsidR="002E2327" w:rsidRPr="00C50A5C">
        <w:rPr>
          <w:b/>
          <w:sz w:val="20"/>
          <w:szCs w:val="20"/>
        </w:rPr>
        <w:t xml:space="preserve"> 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B14DC1" w:rsidP="00C50A5C">
      <w:pPr>
        <w:pStyle w:val="ListParagraph"/>
        <w:widowControl w:val="0"/>
        <w:numPr>
          <w:ilvl w:val="0"/>
          <w:numId w:val="1"/>
        </w:numPr>
        <w:ind w:hanging="720"/>
        <w:jc w:val="both"/>
        <w:rPr>
          <w:sz w:val="20"/>
          <w:szCs w:val="20"/>
        </w:rPr>
      </w:pPr>
      <w:r w:rsidRPr="005E4F87">
        <w:rPr>
          <w:i/>
          <w:sz w:val="20"/>
          <w:szCs w:val="20"/>
        </w:rPr>
        <w:t xml:space="preserve">Colin </w:t>
      </w:r>
      <w:proofErr w:type="spellStart"/>
      <w:r w:rsidRPr="005E4F87">
        <w:rPr>
          <w:i/>
          <w:sz w:val="20"/>
          <w:szCs w:val="20"/>
        </w:rPr>
        <w:t>Allooloo</w:t>
      </w:r>
      <w:proofErr w:type="spellEnd"/>
      <w:r w:rsidRPr="005E4F87">
        <w:rPr>
          <w:i/>
          <w:sz w:val="20"/>
          <w:szCs w:val="20"/>
        </w:rPr>
        <w:t xml:space="preserve"> v. Her Majesty the Queen</w:t>
      </w:r>
      <w:r>
        <w:rPr>
          <w:sz w:val="20"/>
          <w:szCs w:val="20"/>
        </w:rPr>
        <w:t xml:space="preserve"> </w:t>
      </w:r>
      <w:r w:rsidRPr="00542FD3">
        <w:rPr>
          <w:sz w:val="20"/>
          <w:szCs w:val="20"/>
        </w:rPr>
        <w:t>(N.W.T.) (Crim</w:t>
      </w:r>
      <w:r w:rsidR="00514C2C">
        <w:rPr>
          <w:sz w:val="20"/>
          <w:szCs w:val="20"/>
        </w:rPr>
        <w:t>.</w:t>
      </w:r>
      <w:r w:rsidRPr="00542FD3">
        <w:rPr>
          <w:sz w:val="20"/>
          <w:szCs w:val="20"/>
        </w:rPr>
        <w:t>) (By Leave)</w:t>
      </w:r>
      <w:r w:rsidR="002E2327" w:rsidRPr="00C50A5C">
        <w:rPr>
          <w:sz w:val="20"/>
          <w:szCs w:val="20"/>
        </w:rPr>
        <w:t xml:space="preserve"> (33</w:t>
      </w:r>
      <w:r>
        <w:rPr>
          <w:sz w:val="20"/>
          <w:szCs w:val="20"/>
        </w:rPr>
        <w:t>873</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5E4F87" w:rsidP="00C50A5C">
      <w:pPr>
        <w:pStyle w:val="ListParagraph"/>
        <w:widowControl w:val="0"/>
        <w:numPr>
          <w:ilvl w:val="0"/>
          <w:numId w:val="1"/>
        </w:numPr>
        <w:ind w:hanging="720"/>
        <w:jc w:val="both"/>
        <w:rPr>
          <w:sz w:val="20"/>
          <w:szCs w:val="20"/>
        </w:rPr>
      </w:pPr>
      <w:r w:rsidRPr="005E4F87">
        <w:rPr>
          <w:i/>
          <w:sz w:val="20"/>
          <w:szCs w:val="20"/>
        </w:rPr>
        <w:t>King Ting Yung et al. v. Her Majesty the Queen in Right of Canada et al.</w:t>
      </w:r>
      <w:r>
        <w:rPr>
          <w:sz w:val="20"/>
          <w:szCs w:val="20"/>
        </w:rPr>
        <w:t xml:space="preserve"> </w:t>
      </w:r>
      <w:r w:rsidRPr="00542FD3">
        <w:rPr>
          <w:sz w:val="20"/>
          <w:szCs w:val="20"/>
        </w:rPr>
        <w:t>(B.C.) (Crim</w:t>
      </w:r>
      <w:r w:rsidR="00514C2C">
        <w:rPr>
          <w:sz w:val="20"/>
          <w:szCs w:val="20"/>
        </w:rPr>
        <w:t>.</w:t>
      </w:r>
      <w:r w:rsidRPr="00542FD3">
        <w:rPr>
          <w:sz w:val="20"/>
          <w:szCs w:val="20"/>
        </w:rPr>
        <w:t>) (By Leave)</w:t>
      </w:r>
      <w:r w:rsidRPr="00C50A5C">
        <w:rPr>
          <w:sz w:val="20"/>
          <w:szCs w:val="20"/>
        </w:rPr>
        <w:t xml:space="preserve"> </w:t>
      </w:r>
      <w:r w:rsidR="002E2327" w:rsidRPr="00C50A5C">
        <w:rPr>
          <w:sz w:val="20"/>
          <w:szCs w:val="20"/>
        </w:rPr>
        <w:t>(33</w:t>
      </w:r>
      <w:r w:rsidR="00B14DC1">
        <w:rPr>
          <w:sz w:val="20"/>
          <w:szCs w:val="20"/>
        </w:rPr>
        <w:t>871</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5E4F87" w:rsidP="00C50A5C">
      <w:pPr>
        <w:pStyle w:val="ListParagraph"/>
        <w:widowControl w:val="0"/>
        <w:numPr>
          <w:ilvl w:val="0"/>
          <w:numId w:val="1"/>
        </w:numPr>
        <w:ind w:hanging="720"/>
        <w:jc w:val="both"/>
        <w:rPr>
          <w:sz w:val="20"/>
          <w:szCs w:val="20"/>
        </w:rPr>
      </w:pPr>
      <w:r w:rsidRPr="005E4F87">
        <w:rPr>
          <w:i/>
          <w:sz w:val="20"/>
          <w:szCs w:val="20"/>
        </w:rPr>
        <w:t>Patrick Mercier et al. v. Correctional Service of Canada (represented by the Attorney General of Canada) et al</w:t>
      </w:r>
      <w:r w:rsidRPr="00542FD3">
        <w:rPr>
          <w:sz w:val="20"/>
          <w:szCs w:val="20"/>
        </w:rPr>
        <w:t>.</w:t>
      </w:r>
      <w:r>
        <w:rPr>
          <w:sz w:val="20"/>
          <w:szCs w:val="20"/>
        </w:rPr>
        <w:t xml:space="preserve"> </w:t>
      </w:r>
      <w:r w:rsidRPr="00542FD3">
        <w:rPr>
          <w:sz w:val="20"/>
          <w:szCs w:val="20"/>
        </w:rPr>
        <w:t>(F</w:t>
      </w:r>
      <w:r>
        <w:rPr>
          <w:sz w:val="20"/>
          <w:szCs w:val="20"/>
        </w:rPr>
        <w:t>.</w:t>
      </w:r>
      <w:r w:rsidRPr="00542FD3">
        <w:rPr>
          <w:sz w:val="20"/>
          <w:szCs w:val="20"/>
        </w:rPr>
        <w:t>C</w:t>
      </w:r>
      <w:r>
        <w:rPr>
          <w:sz w:val="20"/>
          <w:szCs w:val="20"/>
        </w:rPr>
        <w:t>.</w:t>
      </w:r>
      <w:r w:rsidRPr="00542FD3">
        <w:rPr>
          <w:sz w:val="20"/>
          <w:szCs w:val="20"/>
        </w:rPr>
        <w:t>) (Civil) (By Leave)</w:t>
      </w:r>
      <w:r w:rsidR="002E2327" w:rsidRPr="00C50A5C">
        <w:rPr>
          <w:sz w:val="20"/>
          <w:szCs w:val="20"/>
        </w:rPr>
        <w:t xml:space="preserve"> (338</w:t>
      </w:r>
      <w:r w:rsidR="00B14DC1">
        <w:rPr>
          <w:sz w:val="20"/>
          <w:szCs w:val="20"/>
        </w:rPr>
        <w:t>47</w:t>
      </w:r>
      <w:r w:rsidR="002E2327" w:rsidRPr="00C50A5C">
        <w:rPr>
          <w:sz w:val="20"/>
          <w:szCs w:val="20"/>
        </w:rPr>
        <w:t>)</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Binnie, Fish and Rothstein JJ.</w:t>
      </w:r>
    </w:p>
    <w:p w:rsidR="002E2327" w:rsidRPr="00C50A5C" w:rsidRDefault="002E2327" w:rsidP="002E2327">
      <w:pPr>
        <w:widowControl w:val="0"/>
        <w:jc w:val="center"/>
        <w:rPr>
          <w:b/>
          <w:sz w:val="20"/>
          <w:szCs w:val="20"/>
          <w:lang w:val="fr-CA"/>
        </w:rPr>
      </w:pPr>
      <w:r w:rsidRPr="00C50A5C">
        <w:rPr>
          <w:b/>
          <w:sz w:val="20"/>
          <w:szCs w:val="20"/>
          <w:lang w:val="fr-CA"/>
        </w:rPr>
        <w:t>Les juges Binnie, Fish et Rothstein</w:t>
      </w:r>
    </w:p>
    <w:p w:rsidR="002E2327" w:rsidRPr="00C50A5C" w:rsidRDefault="002E2327" w:rsidP="002E2327">
      <w:pPr>
        <w:widowControl w:val="0"/>
        <w:rPr>
          <w:sz w:val="20"/>
          <w:szCs w:val="20"/>
          <w:lang w:val="fr-CA"/>
        </w:rPr>
      </w:pPr>
    </w:p>
    <w:p w:rsidR="002E2327" w:rsidRPr="00C50A5C" w:rsidRDefault="005E4F87" w:rsidP="00C50A5C">
      <w:pPr>
        <w:pStyle w:val="ListParagraph"/>
        <w:widowControl w:val="0"/>
        <w:numPr>
          <w:ilvl w:val="0"/>
          <w:numId w:val="1"/>
        </w:numPr>
        <w:ind w:hanging="720"/>
        <w:jc w:val="both"/>
        <w:rPr>
          <w:sz w:val="20"/>
          <w:szCs w:val="20"/>
        </w:rPr>
      </w:pPr>
      <w:r w:rsidRPr="005E4F87">
        <w:rPr>
          <w:i/>
          <w:sz w:val="20"/>
          <w:szCs w:val="20"/>
        </w:rPr>
        <w:t>George W. Martin v. Her Majesty the Queen</w:t>
      </w:r>
      <w:r>
        <w:rPr>
          <w:sz w:val="20"/>
          <w:szCs w:val="20"/>
        </w:rPr>
        <w:t xml:space="preserve"> </w:t>
      </w:r>
      <w:r w:rsidRPr="00542FD3">
        <w:rPr>
          <w:sz w:val="20"/>
          <w:szCs w:val="20"/>
        </w:rPr>
        <w:t>(N.B.) (Crim</w:t>
      </w:r>
      <w:r w:rsidR="00514C2C">
        <w:rPr>
          <w:sz w:val="20"/>
          <w:szCs w:val="20"/>
        </w:rPr>
        <w:t>.</w:t>
      </w:r>
      <w:r w:rsidRPr="00542FD3">
        <w:rPr>
          <w:sz w:val="20"/>
          <w:szCs w:val="20"/>
        </w:rPr>
        <w:t>) (By Leave)</w:t>
      </w:r>
      <w:r w:rsidRPr="00C50A5C">
        <w:rPr>
          <w:sz w:val="20"/>
          <w:szCs w:val="20"/>
        </w:rPr>
        <w:t xml:space="preserve"> </w:t>
      </w:r>
      <w:r w:rsidR="002E2327" w:rsidRPr="00C50A5C">
        <w:rPr>
          <w:sz w:val="20"/>
          <w:szCs w:val="20"/>
        </w:rPr>
        <w:t>(33</w:t>
      </w:r>
      <w:r w:rsidR="00B14DC1">
        <w:rPr>
          <w:sz w:val="20"/>
          <w:szCs w:val="20"/>
        </w:rPr>
        <w:t>8</w:t>
      </w:r>
      <w:r w:rsidR="002E2327" w:rsidRPr="00C50A5C">
        <w:rPr>
          <w:sz w:val="20"/>
          <w:szCs w:val="20"/>
        </w:rPr>
        <w:t>29)</w:t>
      </w:r>
    </w:p>
    <w:p w:rsidR="002E2327" w:rsidRPr="00C50A5C" w:rsidRDefault="002E2327" w:rsidP="00C50A5C">
      <w:pPr>
        <w:widowControl w:val="0"/>
        <w:jc w:val="both"/>
        <w:rPr>
          <w:sz w:val="20"/>
          <w:szCs w:val="20"/>
        </w:rPr>
      </w:pPr>
    </w:p>
    <w:p w:rsidR="002E2327" w:rsidRPr="00C50A5C" w:rsidRDefault="005E4F87" w:rsidP="00C50A5C">
      <w:pPr>
        <w:pStyle w:val="ListParagraph"/>
        <w:widowControl w:val="0"/>
        <w:numPr>
          <w:ilvl w:val="0"/>
          <w:numId w:val="1"/>
        </w:numPr>
        <w:ind w:hanging="720"/>
        <w:jc w:val="both"/>
        <w:rPr>
          <w:sz w:val="20"/>
          <w:szCs w:val="20"/>
        </w:rPr>
      </w:pPr>
      <w:r w:rsidRPr="005E4F87">
        <w:rPr>
          <w:i/>
          <w:sz w:val="20"/>
          <w:szCs w:val="20"/>
        </w:rPr>
        <w:t>Her Majesty the Queen v. E.M.W</w:t>
      </w:r>
      <w:r w:rsidRPr="00542FD3">
        <w:rPr>
          <w:sz w:val="20"/>
          <w:szCs w:val="20"/>
        </w:rPr>
        <w:t>.</w:t>
      </w:r>
      <w:r>
        <w:rPr>
          <w:sz w:val="20"/>
          <w:szCs w:val="20"/>
        </w:rPr>
        <w:t xml:space="preserve"> </w:t>
      </w:r>
      <w:r w:rsidRPr="00542FD3">
        <w:rPr>
          <w:sz w:val="20"/>
          <w:szCs w:val="20"/>
        </w:rPr>
        <w:t>(N.S.) (Crim</w:t>
      </w:r>
      <w:r w:rsidR="00514C2C">
        <w:rPr>
          <w:sz w:val="20"/>
          <w:szCs w:val="20"/>
        </w:rPr>
        <w:t>.</w:t>
      </w:r>
      <w:r w:rsidRPr="00542FD3">
        <w:rPr>
          <w:sz w:val="20"/>
          <w:szCs w:val="20"/>
        </w:rPr>
        <w:t>) (As of Right / By Leave)</w:t>
      </w:r>
      <w:r w:rsidRPr="00C50A5C">
        <w:rPr>
          <w:sz w:val="20"/>
          <w:szCs w:val="20"/>
        </w:rPr>
        <w:t xml:space="preserve"> </w:t>
      </w:r>
      <w:r w:rsidR="002E2327" w:rsidRPr="00C50A5C">
        <w:rPr>
          <w:sz w:val="20"/>
          <w:szCs w:val="20"/>
        </w:rPr>
        <w:t>(33</w:t>
      </w:r>
      <w:r w:rsidR="00B14DC1">
        <w:rPr>
          <w:sz w:val="20"/>
          <w:szCs w:val="20"/>
        </w:rPr>
        <w:t>930</w:t>
      </w:r>
      <w:r w:rsidR="002E2327" w:rsidRPr="00C50A5C">
        <w:rPr>
          <w:sz w:val="20"/>
          <w:szCs w:val="20"/>
        </w:rPr>
        <w:t>)</w:t>
      </w:r>
    </w:p>
    <w:p w:rsidR="002E2327" w:rsidRPr="00C50A5C" w:rsidRDefault="002E2327" w:rsidP="002E2327">
      <w:pPr>
        <w:widowControl w:val="0"/>
        <w:rPr>
          <w:sz w:val="20"/>
          <w:szCs w:val="20"/>
        </w:rPr>
      </w:pPr>
    </w:p>
    <w:p w:rsidR="002E2327" w:rsidRPr="005E4F87" w:rsidRDefault="005E4F87" w:rsidP="00C50A5C">
      <w:pPr>
        <w:pStyle w:val="ListParagraph"/>
        <w:widowControl w:val="0"/>
        <w:numPr>
          <w:ilvl w:val="0"/>
          <w:numId w:val="1"/>
        </w:numPr>
        <w:ind w:hanging="720"/>
        <w:jc w:val="both"/>
        <w:rPr>
          <w:sz w:val="20"/>
          <w:szCs w:val="20"/>
        </w:rPr>
      </w:pPr>
      <w:r w:rsidRPr="005E4F87">
        <w:rPr>
          <w:i/>
          <w:sz w:val="20"/>
          <w:szCs w:val="20"/>
        </w:rPr>
        <w:t xml:space="preserve">Algoma </w:t>
      </w:r>
      <w:proofErr w:type="spellStart"/>
      <w:r w:rsidRPr="005E4F87">
        <w:rPr>
          <w:i/>
          <w:sz w:val="20"/>
          <w:szCs w:val="20"/>
        </w:rPr>
        <w:t>Timberlakes</w:t>
      </w:r>
      <w:proofErr w:type="spellEnd"/>
      <w:r w:rsidRPr="005E4F87">
        <w:rPr>
          <w:i/>
          <w:sz w:val="20"/>
          <w:szCs w:val="20"/>
        </w:rPr>
        <w:t xml:space="preserve"> Corporation v. Ralph Aiello et al.</w:t>
      </w:r>
      <w:r>
        <w:rPr>
          <w:sz w:val="20"/>
          <w:szCs w:val="20"/>
        </w:rPr>
        <w:t xml:space="preserve"> </w:t>
      </w:r>
      <w:r w:rsidRPr="00542FD3">
        <w:rPr>
          <w:sz w:val="20"/>
          <w:szCs w:val="20"/>
        </w:rPr>
        <w:t>(Ont.) (Civil) (By Leave)</w:t>
      </w:r>
      <w:r w:rsidRPr="005E4F87">
        <w:rPr>
          <w:sz w:val="20"/>
          <w:szCs w:val="20"/>
        </w:rPr>
        <w:t xml:space="preserve"> </w:t>
      </w:r>
      <w:r w:rsidR="002E2327" w:rsidRPr="005E4F87">
        <w:rPr>
          <w:sz w:val="20"/>
          <w:szCs w:val="20"/>
        </w:rPr>
        <w:t>(33</w:t>
      </w:r>
      <w:r w:rsidR="00B14DC1" w:rsidRPr="005E4F87">
        <w:rPr>
          <w:sz w:val="20"/>
          <w:szCs w:val="20"/>
        </w:rPr>
        <w:t>882</w:t>
      </w:r>
      <w:r w:rsidR="002E2327" w:rsidRPr="005E4F87">
        <w:rPr>
          <w:sz w:val="20"/>
          <w:szCs w:val="20"/>
        </w:rPr>
        <w:t>)</w:t>
      </w:r>
    </w:p>
    <w:p w:rsidR="002E2327" w:rsidRPr="005E4F87" w:rsidRDefault="002E2327" w:rsidP="00C50A5C">
      <w:pPr>
        <w:widowControl w:val="0"/>
        <w:jc w:val="both"/>
        <w:rPr>
          <w:sz w:val="20"/>
          <w:szCs w:val="20"/>
        </w:rPr>
      </w:pPr>
    </w:p>
    <w:p w:rsidR="002E2327" w:rsidRPr="00275580" w:rsidRDefault="00275580" w:rsidP="00C50A5C">
      <w:pPr>
        <w:pStyle w:val="ListParagraph"/>
        <w:widowControl w:val="0"/>
        <w:numPr>
          <w:ilvl w:val="0"/>
          <w:numId w:val="1"/>
        </w:numPr>
        <w:ind w:hanging="720"/>
        <w:jc w:val="both"/>
        <w:rPr>
          <w:sz w:val="20"/>
          <w:szCs w:val="20"/>
        </w:rPr>
      </w:pPr>
      <w:r w:rsidRPr="00275580">
        <w:rPr>
          <w:i/>
          <w:sz w:val="20"/>
          <w:szCs w:val="20"/>
        </w:rPr>
        <w:t>Tax Stop Ltd. et al. v. Rocky Motors Inc. et al.</w:t>
      </w:r>
      <w:r>
        <w:rPr>
          <w:sz w:val="20"/>
          <w:szCs w:val="20"/>
        </w:rPr>
        <w:t xml:space="preserve"> </w:t>
      </w:r>
      <w:r w:rsidRPr="00542FD3">
        <w:rPr>
          <w:sz w:val="20"/>
          <w:szCs w:val="20"/>
        </w:rPr>
        <w:t xml:space="preserve">(Ont.) (Civil) </w:t>
      </w:r>
      <w:r>
        <w:rPr>
          <w:sz w:val="20"/>
          <w:szCs w:val="20"/>
        </w:rPr>
        <w:t>(By Leave)</w:t>
      </w:r>
      <w:r w:rsidRPr="00275580">
        <w:rPr>
          <w:sz w:val="20"/>
          <w:szCs w:val="20"/>
        </w:rPr>
        <w:t xml:space="preserve"> </w:t>
      </w:r>
      <w:r w:rsidR="002E2327" w:rsidRPr="00275580">
        <w:rPr>
          <w:sz w:val="20"/>
          <w:szCs w:val="20"/>
        </w:rPr>
        <w:t>(33</w:t>
      </w:r>
      <w:r w:rsidR="00B14DC1" w:rsidRPr="00275580">
        <w:rPr>
          <w:sz w:val="20"/>
          <w:szCs w:val="20"/>
        </w:rPr>
        <w:t>909</w:t>
      </w:r>
      <w:r w:rsidR="002E2327" w:rsidRPr="00275580">
        <w:rPr>
          <w:sz w:val="20"/>
          <w:szCs w:val="20"/>
        </w:rPr>
        <w:t>)</w:t>
      </w:r>
    </w:p>
    <w:p w:rsidR="002E2327" w:rsidRPr="00275580" w:rsidRDefault="002E2327" w:rsidP="00C50A5C">
      <w:pPr>
        <w:widowControl w:val="0"/>
        <w:jc w:val="both"/>
        <w:rPr>
          <w:sz w:val="20"/>
          <w:szCs w:val="20"/>
        </w:rPr>
      </w:pPr>
    </w:p>
    <w:p w:rsidR="00542FD3" w:rsidRPr="00275580" w:rsidRDefault="00542FD3" w:rsidP="00C50A5C">
      <w:pPr>
        <w:widowControl w:val="0"/>
        <w:jc w:val="both"/>
        <w:rPr>
          <w:sz w:val="20"/>
          <w:szCs w:val="20"/>
        </w:rPr>
      </w:pPr>
    </w:p>
    <w:p w:rsidR="00542FD3" w:rsidRPr="00C50A5C" w:rsidRDefault="00542FD3" w:rsidP="00542FD3">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proofErr w:type="spellStart"/>
      <w:r w:rsidRPr="00C50A5C">
        <w:rPr>
          <w:b/>
          <w:sz w:val="20"/>
          <w:szCs w:val="20"/>
        </w:rPr>
        <w:t>Deschamps</w:t>
      </w:r>
      <w:proofErr w:type="spellEnd"/>
      <w:r w:rsidRPr="00C50A5C">
        <w:rPr>
          <w:b/>
          <w:sz w:val="20"/>
          <w:szCs w:val="20"/>
        </w:rPr>
        <w:t xml:space="preserve"> and </w:t>
      </w:r>
      <w:proofErr w:type="spellStart"/>
      <w:r w:rsidRPr="00C50A5C">
        <w:rPr>
          <w:b/>
          <w:sz w:val="20"/>
          <w:szCs w:val="20"/>
        </w:rPr>
        <w:t>Charron</w:t>
      </w:r>
      <w:proofErr w:type="spellEnd"/>
      <w:r w:rsidRPr="00C50A5C">
        <w:rPr>
          <w:b/>
          <w:sz w:val="20"/>
          <w:szCs w:val="20"/>
        </w:rPr>
        <w:t xml:space="preserve"> JJ.</w:t>
      </w:r>
    </w:p>
    <w:p w:rsidR="00542FD3" w:rsidRPr="00C50A5C" w:rsidRDefault="00542FD3" w:rsidP="00542FD3">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542FD3" w:rsidRPr="00C50A5C" w:rsidRDefault="00542FD3" w:rsidP="00C50A5C">
      <w:pPr>
        <w:widowControl w:val="0"/>
        <w:jc w:val="both"/>
        <w:rPr>
          <w:sz w:val="20"/>
          <w:szCs w:val="20"/>
          <w:lang w:val="fr-CA"/>
        </w:rPr>
      </w:pPr>
    </w:p>
    <w:p w:rsidR="002E2327" w:rsidRPr="00275580" w:rsidRDefault="00275580" w:rsidP="00C50A5C">
      <w:pPr>
        <w:pStyle w:val="ListParagraph"/>
        <w:widowControl w:val="0"/>
        <w:numPr>
          <w:ilvl w:val="0"/>
          <w:numId w:val="1"/>
        </w:numPr>
        <w:ind w:hanging="720"/>
        <w:jc w:val="both"/>
        <w:rPr>
          <w:sz w:val="20"/>
          <w:szCs w:val="20"/>
        </w:rPr>
      </w:pPr>
      <w:r w:rsidRPr="00275580">
        <w:rPr>
          <w:i/>
          <w:sz w:val="20"/>
          <w:szCs w:val="20"/>
        </w:rPr>
        <w:t xml:space="preserve">Linda </w:t>
      </w:r>
      <w:proofErr w:type="gramStart"/>
      <w:r w:rsidRPr="00275580">
        <w:rPr>
          <w:i/>
          <w:sz w:val="20"/>
          <w:szCs w:val="20"/>
        </w:rPr>
        <w:t>Gibbons</w:t>
      </w:r>
      <w:proofErr w:type="gramEnd"/>
      <w:r w:rsidRPr="00275580">
        <w:rPr>
          <w:i/>
          <w:sz w:val="20"/>
          <w:szCs w:val="20"/>
        </w:rPr>
        <w:t xml:space="preserve"> v. Her Majesty the Queen</w:t>
      </w:r>
      <w:r>
        <w:rPr>
          <w:sz w:val="20"/>
          <w:szCs w:val="20"/>
        </w:rPr>
        <w:t xml:space="preserve"> </w:t>
      </w:r>
      <w:r w:rsidRPr="00542FD3">
        <w:rPr>
          <w:sz w:val="20"/>
          <w:szCs w:val="20"/>
        </w:rPr>
        <w:t>(Ont.) (Crim</w:t>
      </w:r>
      <w:r w:rsidR="00514C2C">
        <w:rPr>
          <w:sz w:val="20"/>
          <w:szCs w:val="20"/>
        </w:rPr>
        <w:t>.</w:t>
      </w:r>
      <w:r w:rsidRPr="00542FD3">
        <w:rPr>
          <w:sz w:val="20"/>
          <w:szCs w:val="20"/>
        </w:rPr>
        <w:t>) (By Leave)</w:t>
      </w:r>
      <w:r w:rsidRPr="00275580">
        <w:rPr>
          <w:sz w:val="20"/>
          <w:szCs w:val="20"/>
        </w:rPr>
        <w:t xml:space="preserve"> </w:t>
      </w:r>
      <w:r w:rsidR="002E2327" w:rsidRPr="00275580">
        <w:rPr>
          <w:sz w:val="20"/>
          <w:szCs w:val="20"/>
        </w:rPr>
        <w:t>(33</w:t>
      </w:r>
      <w:r w:rsidR="00B14DC1" w:rsidRPr="00275580">
        <w:rPr>
          <w:sz w:val="20"/>
          <w:szCs w:val="20"/>
        </w:rPr>
        <w:t>813</w:t>
      </w:r>
      <w:r w:rsidR="002E2327" w:rsidRPr="00275580">
        <w:rPr>
          <w:sz w:val="20"/>
          <w:szCs w:val="20"/>
        </w:rPr>
        <w:t>)</w:t>
      </w:r>
    </w:p>
    <w:p w:rsidR="002E2327" w:rsidRPr="00275580" w:rsidRDefault="002E2327" w:rsidP="002E2327">
      <w:pPr>
        <w:widowControl w:val="0"/>
        <w:rPr>
          <w:sz w:val="20"/>
          <w:szCs w:val="20"/>
        </w:rPr>
      </w:pPr>
    </w:p>
    <w:p w:rsidR="002E2327" w:rsidRPr="00C50A5C" w:rsidRDefault="00275580" w:rsidP="00C50A5C">
      <w:pPr>
        <w:pStyle w:val="ListParagraph"/>
        <w:widowControl w:val="0"/>
        <w:numPr>
          <w:ilvl w:val="0"/>
          <w:numId w:val="1"/>
        </w:numPr>
        <w:ind w:hanging="720"/>
        <w:jc w:val="both"/>
        <w:rPr>
          <w:sz w:val="20"/>
          <w:szCs w:val="20"/>
          <w:lang w:val="fr-CA"/>
        </w:rPr>
      </w:pPr>
      <w:r w:rsidRPr="00275580">
        <w:rPr>
          <w:i/>
          <w:sz w:val="20"/>
          <w:szCs w:val="20"/>
          <w:lang w:val="fr-CA"/>
        </w:rPr>
        <w:t>Rodrigue Chartier et autres c. Procureur général du Canada</w:t>
      </w:r>
      <w:r w:rsidRPr="00B14DC1">
        <w:rPr>
          <w:sz w:val="20"/>
          <w:szCs w:val="20"/>
          <w:lang w:val="fr-CA"/>
        </w:rPr>
        <w:t xml:space="preserve"> </w:t>
      </w:r>
      <w:r w:rsidRPr="00542FD3">
        <w:rPr>
          <w:sz w:val="20"/>
          <w:szCs w:val="20"/>
          <w:lang w:val="fr-CA"/>
        </w:rPr>
        <w:t>(C</w:t>
      </w:r>
      <w:r>
        <w:rPr>
          <w:sz w:val="20"/>
          <w:szCs w:val="20"/>
          <w:lang w:val="fr-CA"/>
        </w:rPr>
        <w:t>.</w:t>
      </w:r>
      <w:r w:rsidRPr="00542FD3">
        <w:rPr>
          <w:sz w:val="20"/>
          <w:szCs w:val="20"/>
          <w:lang w:val="fr-CA"/>
        </w:rPr>
        <w:t>F</w:t>
      </w:r>
      <w:r>
        <w:rPr>
          <w:sz w:val="20"/>
          <w:szCs w:val="20"/>
          <w:lang w:val="fr-CA"/>
        </w:rPr>
        <w:t>.</w:t>
      </w:r>
      <w:r w:rsidRPr="00542FD3">
        <w:rPr>
          <w:sz w:val="20"/>
          <w:szCs w:val="20"/>
          <w:lang w:val="fr-CA"/>
        </w:rPr>
        <w:t>) (Civile) (Autorisation)</w:t>
      </w:r>
      <w:r w:rsidR="002E2327" w:rsidRPr="00275580">
        <w:rPr>
          <w:sz w:val="20"/>
          <w:szCs w:val="20"/>
        </w:rPr>
        <w:t xml:space="preserve"> </w:t>
      </w:r>
      <w:r w:rsidR="002E2327" w:rsidRPr="00C50A5C">
        <w:rPr>
          <w:sz w:val="20"/>
          <w:szCs w:val="20"/>
          <w:lang w:val="fr-CA"/>
        </w:rPr>
        <w:t>(33</w:t>
      </w:r>
      <w:r w:rsidR="00B14DC1">
        <w:rPr>
          <w:sz w:val="20"/>
          <w:szCs w:val="20"/>
          <w:lang w:val="fr-CA"/>
        </w:rPr>
        <w:t>837</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275580" w:rsidRDefault="00275580" w:rsidP="00C50A5C">
      <w:pPr>
        <w:pStyle w:val="ListParagraph"/>
        <w:widowControl w:val="0"/>
        <w:numPr>
          <w:ilvl w:val="0"/>
          <w:numId w:val="1"/>
        </w:numPr>
        <w:ind w:hanging="720"/>
        <w:jc w:val="both"/>
        <w:rPr>
          <w:sz w:val="20"/>
          <w:szCs w:val="20"/>
        </w:rPr>
      </w:pPr>
      <w:r w:rsidRPr="00275580">
        <w:rPr>
          <w:i/>
          <w:sz w:val="20"/>
          <w:szCs w:val="20"/>
        </w:rPr>
        <w:t xml:space="preserve">Doreen </w:t>
      </w:r>
      <w:proofErr w:type="spellStart"/>
      <w:r w:rsidRPr="00275580">
        <w:rPr>
          <w:i/>
          <w:sz w:val="20"/>
          <w:szCs w:val="20"/>
        </w:rPr>
        <w:t>Tennina</w:t>
      </w:r>
      <w:proofErr w:type="spellEnd"/>
      <w:r w:rsidRPr="00275580">
        <w:rPr>
          <w:i/>
          <w:sz w:val="20"/>
          <w:szCs w:val="20"/>
        </w:rPr>
        <w:t xml:space="preserve"> et al. v. Minister of National Revenue et al. </w:t>
      </w:r>
      <w:r w:rsidRPr="00542FD3">
        <w:rPr>
          <w:sz w:val="20"/>
          <w:szCs w:val="20"/>
        </w:rPr>
        <w:t>(F</w:t>
      </w:r>
      <w:r>
        <w:rPr>
          <w:sz w:val="20"/>
          <w:szCs w:val="20"/>
        </w:rPr>
        <w:t>.</w:t>
      </w:r>
      <w:r w:rsidRPr="00542FD3">
        <w:rPr>
          <w:sz w:val="20"/>
          <w:szCs w:val="20"/>
        </w:rPr>
        <w:t>C</w:t>
      </w:r>
      <w:r>
        <w:rPr>
          <w:sz w:val="20"/>
          <w:szCs w:val="20"/>
        </w:rPr>
        <w:t>.</w:t>
      </w:r>
      <w:r w:rsidRPr="00542FD3">
        <w:rPr>
          <w:sz w:val="20"/>
          <w:szCs w:val="20"/>
        </w:rPr>
        <w:t>) (Civil) (By Leave)</w:t>
      </w:r>
      <w:r w:rsidRPr="00275580">
        <w:rPr>
          <w:sz w:val="20"/>
          <w:szCs w:val="20"/>
        </w:rPr>
        <w:t xml:space="preserve"> </w:t>
      </w:r>
      <w:r w:rsidR="002E2327" w:rsidRPr="00275580">
        <w:rPr>
          <w:sz w:val="20"/>
          <w:szCs w:val="20"/>
        </w:rPr>
        <w:t>(33</w:t>
      </w:r>
      <w:r w:rsidR="00B14DC1" w:rsidRPr="00275580">
        <w:rPr>
          <w:sz w:val="20"/>
          <w:szCs w:val="20"/>
        </w:rPr>
        <w:t>82</w:t>
      </w:r>
      <w:r w:rsidR="002E2327" w:rsidRPr="00275580">
        <w:rPr>
          <w:sz w:val="20"/>
          <w:szCs w:val="20"/>
        </w:rPr>
        <w:t>6</w:t>
      </w:r>
      <w:r w:rsidR="00B14DC1" w:rsidRPr="00275580">
        <w:rPr>
          <w:sz w:val="20"/>
          <w:szCs w:val="20"/>
        </w:rPr>
        <w:t>)</w:t>
      </w:r>
    </w:p>
    <w:p w:rsidR="002E2327" w:rsidRPr="00275580" w:rsidRDefault="002E2327" w:rsidP="00C50A5C">
      <w:pPr>
        <w:widowControl w:val="0"/>
        <w:jc w:val="both"/>
        <w:rPr>
          <w:sz w:val="20"/>
          <w:szCs w:val="20"/>
        </w:rPr>
      </w:pPr>
    </w:p>
    <w:p w:rsidR="002E2327" w:rsidRPr="00C50A5C" w:rsidRDefault="00275580" w:rsidP="00C50A5C">
      <w:pPr>
        <w:pStyle w:val="ListParagraph"/>
        <w:widowControl w:val="0"/>
        <w:numPr>
          <w:ilvl w:val="0"/>
          <w:numId w:val="1"/>
        </w:numPr>
        <w:ind w:hanging="720"/>
        <w:jc w:val="both"/>
        <w:rPr>
          <w:sz w:val="20"/>
          <w:szCs w:val="20"/>
          <w:lang w:val="fr-CA"/>
        </w:rPr>
      </w:pPr>
      <w:proofErr w:type="spellStart"/>
      <w:r w:rsidRPr="00275580">
        <w:rPr>
          <w:i/>
          <w:sz w:val="20"/>
          <w:szCs w:val="20"/>
        </w:rPr>
        <w:t>Ivanco</w:t>
      </w:r>
      <w:proofErr w:type="spellEnd"/>
      <w:r w:rsidRPr="00275580">
        <w:rPr>
          <w:i/>
          <w:sz w:val="20"/>
          <w:szCs w:val="20"/>
        </w:rPr>
        <w:t xml:space="preserve"> </w:t>
      </w:r>
      <w:proofErr w:type="spellStart"/>
      <w:r w:rsidRPr="00275580">
        <w:rPr>
          <w:i/>
          <w:sz w:val="20"/>
          <w:szCs w:val="20"/>
        </w:rPr>
        <w:t>Keremelevski</w:t>
      </w:r>
      <w:proofErr w:type="spellEnd"/>
      <w:r w:rsidRPr="00275580">
        <w:rPr>
          <w:i/>
          <w:sz w:val="20"/>
          <w:szCs w:val="20"/>
        </w:rPr>
        <w:t xml:space="preserve"> v. V.W.R. Capital Corporation </w:t>
      </w:r>
      <w:r w:rsidRPr="00542FD3">
        <w:rPr>
          <w:sz w:val="20"/>
          <w:szCs w:val="20"/>
        </w:rPr>
        <w:t>(B.C.) (Civil) (By Leave)</w:t>
      </w:r>
      <w:r w:rsidRPr="00C50A5C">
        <w:rPr>
          <w:sz w:val="20"/>
          <w:szCs w:val="20"/>
          <w:lang w:val="fr-CA"/>
        </w:rPr>
        <w:t xml:space="preserve"> </w:t>
      </w:r>
      <w:r w:rsidR="002E2327" w:rsidRPr="00C50A5C">
        <w:rPr>
          <w:sz w:val="20"/>
          <w:szCs w:val="20"/>
          <w:lang w:val="fr-CA"/>
        </w:rPr>
        <w:t>(33</w:t>
      </w:r>
      <w:r w:rsidR="00B14DC1">
        <w:rPr>
          <w:sz w:val="20"/>
          <w:szCs w:val="20"/>
          <w:lang w:val="fr-CA"/>
        </w:rPr>
        <w:t>52</w:t>
      </w:r>
      <w:r w:rsidR="002E2327" w:rsidRPr="00C50A5C">
        <w:rPr>
          <w:sz w:val="20"/>
          <w:szCs w:val="20"/>
          <w:lang w:val="fr-CA"/>
        </w:rPr>
        <w:t>7)</w:t>
      </w:r>
    </w:p>
    <w:p w:rsidR="002E2327" w:rsidRPr="00C50A5C" w:rsidRDefault="002E2327" w:rsidP="002E2327">
      <w:pPr>
        <w:widowControl w:val="0"/>
        <w:rPr>
          <w:sz w:val="20"/>
          <w:szCs w:val="20"/>
          <w:lang w:val="fr-CA"/>
        </w:rPr>
      </w:pPr>
    </w:p>
    <w:p w:rsidR="002E2327" w:rsidRPr="00C50A5C" w:rsidRDefault="006D705A" w:rsidP="002E2327">
      <w:pPr>
        <w:widowControl w:val="0"/>
        <w:rPr>
          <w:sz w:val="20"/>
          <w:szCs w:val="20"/>
        </w:rPr>
      </w:pPr>
      <w:r w:rsidRPr="006D705A">
        <w:rPr>
          <w:sz w:val="20"/>
          <w:szCs w:val="20"/>
        </w:rPr>
        <w:pict>
          <v:rect id="_x0000_i1034"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75333"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D15140" w:rsidP="008D292F">
      <w:pPr>
        <w:rPr>
          <w:b/>
          <w:sz w:val="20"/>
          <w:szCs w:val="20"/>
        </w:rPr>
      </w:pPr>
      <w:r>
        <w:rPr>
          <w:b/>
          <w:sz w:val="20"/>
          <w:szCs w:val="20"/>
        </w:rPr>
        <w:t>DECEMBER 16</w:t>
      </w:r>
      <w:r w:rsidR="008D292F" w:rsidRPr="00C50A5C">
        <w:rPr>
          <w:b/>
          <w:sz w:val="20"/>
          <w:szCs w:val="20"/>
        </w:rPr>
        <w:t xml:space="preserve">, 2010 / LE </w:t>
      </w:r>
      <w:r>
        <w:rPr>
          <w:b/>
          <w:sz w:val="20"/>
          <w:szCs w:val="20"/>
        </w:rPr>
        <w:t>16 DÉCEMBRE</w:t>
      </w:r>
      <w:r w:rsidR="008D292F" w:rsidRPr="00C50A5C">
        <w:rPr>
          <w:b/>
          <w:sz w:val="20"/>
          <w:szCs w:val="20"/>
        </w:rPr>
        <w:t xml:space="preserve"> 2010</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0641" w:rsidRPr="00A90641" w:rsidTr="00A90641">
        <w:trPr>
          <w:cantSplit/>
        </w:trPr>
        <w:tc>
          <w:tcPr>
            <w:tcW w:w="1458" w:type="dxa"/>
          </w:tcPr>
          <w:p w:rsidR="00A90641" w:rsidRPr="00A90641" w:rsidRDefault="00A90641" w:rsidP="00A90641">
            <w:pPr>
              <w:rPr>
                <w:sz w:val="20"/>
                <w:szCs w:val="20"/>
              </w:rPr>
            </w:pPr>
            <w:r w:rsidRPr="00A90641">
              <w:rPr>
                <w:rStyle w:val="SCCFileNumberChar"/>
                <w:sz w:val="20"/>
                <w:szCs w:val="20"/>
              </w:rPr>
              <w:t>33668</w:t>
            </w:r>
          </w:p>
          <w:p w:rsidR="00A90641" w:rsidRPr="00A90641" w:rsidRDefault="00A90641" w:rsidP="00A90641">
            <w:pPr>
              <w:rPr>
                <w:b/>
                <w:sz w:val="20"/>
                <w:szCs w:val="20"/>
                <w:lang w:val="fr-CA"/>
              </w:rPr>
            </w:pPr>
          </w:p>
        </w:tc>
        <w:tc>
          <w:tcPr>
            <w:tcW w:w="8118" w:type="dxa"/>
          </w:tcPr>
          <w:p w:rsidR="00A90641" w:rsidRPr="00A90641" w:rsidRDefault="00A90641" w:rsidP="00A90641">
            <w:pPr>
              <w:jc w:val="both"/>
              <w:rPr>
                <w:sz w:val="20"/>
                <w:szCs w:val="20"/>
              </w:rPr>
            </w:pPr>
            <w:r w:rsidRPr="00A90641">
              <w:rPr>
                <w:rStyle w:val="SCCLsocChar"/>
                <w:sz w:val="20"/>
                <w:szCs w:val="20"/>
                <w:lang w:val="en-CA"/>
              </w:rPr>
              <w:t>Public Service Alliance of Canada v. Canada Post Corporation</w:t>
            </w:r>
            <w:r>
              <w:rPr>
                <w:rStyle w:val="SCCLsocChar"/>
                <w:sz w:val="20"/>
                <w:szCs w:val="20"/>
                <w:lang w:val="en-CA"/>
              </w:rPr>
              <w:t xml:space="preserve"> and</w:t>
            </w:r>
            <w:r w:rsidRPr="00A90641">
              <w:rPr>
                <w:rStyle w:val="SCCLsocChar"/>
                <w:sz w:val="20"/>
                <w:szCs w:val="20"/>
                <w:lang w:val="en-CA"/>
              </w:rPr>
              <w:t xml:space="preserve"> Canadian Human Rights Commission</w:t>
            </w:r>
            <w:r w:rsidRPr="00A90641">
              <w:rPr>
                <w:sz w:val="20"/>
                <w:szCs w:val="20"/>
              </w:rPr>
              <w:t xml:space="preserve"> (F</w:t>
            </w:r>
            <w:r>
              <w:rPr>
                <w:sz w:val="20"/>
                <w:szCs w:val="20"/>
              </w:rPr>
              <w:t>.</w:t>
            </w:r>
            <w:r w:rsidRPr="00A90641">
              <w:rPr>
                <w:sz w:val="20"/>
                <w:szCs w:val="20"/>
              </w:rPr>
              <w:t>C</w:t>
            </w:r>
            <w:r>
              <w:rPr>
                <w:sz w:val="20"/>
                <w:szCs w:val="20"/>
              </w:rPr>
              <w:t>.</w:t>
            </w:r>
            <w:r w:rsidRPr="00A90641">
              <w:rPr>
                <w:sz w:val="20"/>
                <w:szCs w:val="20"/>
              </w:rPr>
              <w:t>) (Civil) (By Leave)</w:t>
            </w:r>
          </w:p>
          <w:p w:rsidR="00A90641" w:rsidRPr="00A90641" w:rsidRDefault="00A90641" w:rsidP="00A90641">
            <w:pPr>
              <w:rPr>
                <w:sz w:val="20"/>
                <w:szCs w:val="20"/>
              </w:rPr>
            </w:pPr>
          </w:p>
        </w:tc>
      </w:tr>
      <w:tr w:rsidR="00A90641" w:rsidRPr="00A90641" w:rsidTr="00A90641">
        <w:trPr>
          <w:cantSplit/>
        </w:trPr>
        <w:tc>
          <w:tcPr>
            <w:tcW w:w="1458" w:type="dxa"/>
          </w:tcPr>
          <w:p w:rsidR="00A90641" w:rsidRPr="00A90641" w:rsidRDefault="00A90641" w:rsidP="00A90641">
            <w:pPr>
              <w:rPr>
                <w:sz w:val="20"/>
                <w:szCs w:val="20"/>
              </w:rPr>
            </w:pPr>
            <w:r w:rsidRPr="00A90641">
              <w:rPr>
                <w:sz w:val="20"/>
                <w:szCs w:val="20"/>
              </w:rPr>
              <w:t>Coram :</w:t>
            </w:r>
          </w:p>
        </w:tc>
        <w:tc>
          <w:tcPr>
            <w:tcW w:w="8118" w:type="dxa"/>
          </w:tcPr>
          <w:p w:rsidR="00A90641" w:rsidRPr="00A90641" w:rsidRDefault="00A90641" w:rsidP="00A90641">
            <w:pPr>
              <w:rPr>
                <w:sz w:val="20"/>
                <w:szCs w:val="20"/>
              </w:rPr>
            </w:pPr>
            <w:proofErr w:type="spellStart"/>
            <w:r w:rsidRPr="00A90641">
              <w:rPr>
                <w:rStyle w:val="SCCCoramChar"/>
                <w:sz w:val="20"/>
                <w:szCs w:val="20"/>
                <w:lang w:val="en-CA"/>
              </w:rPr>
              <w:t>McLachlin</w:t>
            </w:r>
            <w:proofErr w:type="spellEnd"/>
            <w:r w:rsidRPr="00A90641">
              <w:rPr>
                <w:rStyle w:val="SCCCoramChar"/>
                <w:sz w:val="20"/>
                <w:szCs w:val="20"/>
                <w:lang w:val="en-CA"/>
              </w:rPr>
              <w:t xml:space="preserve"> C.J. and </w:t>
            </w:r>
            <w:proofErr w:type="spellStart"/>
            <w:r w:rsidRPr="00A90641">
              <w:rPr>
                <w:rStyle w:val="SCCCoramChar"/>
                <w:sz w:val="20"/>
                <w:szCs w:val="20"/>
                <w:lang w:val="en-CA"/>
              </w:rPr>
              <w:t>Abella</w:t>
            </w:r>
            <w:proofErr w:type="spellEnd"/>
            <w:r w:rsidRPr="00A90641">
              <w:rPr>
                <w:rStyle w:val="SCCCoramChar"/>
                <w:sz w:val="20"/>
                <w:szCs w:val="20"/>
                <w:lang w:val="en-CA"/>
              </w:rPr>
              <w:t xml:space="preserve"> and Cromwell JJ.</w:t>
            </w:r>
          </w:p>
          <w:p w:rsidR="00A90641" w:rsidRPr="00A90641" w:rsidRDefault="00A90641" w:rsidP="00A90641">
            <w:pPr>
              <w:rPr>
                <w:sz w:val="20"/>
                <w:szCs w:val="20"/>
                <w:u w:val="single"/>
              </w:rPr>
            </w:pPr>
          </w:p>
        </w:tc>
      </w:tr>
      <w:tr w:rsidR="00A90641" w:rsidRPr="00075333" w:rsidTr="00A90641">
        <w:trPr>
          <w:cantSplit/>
        </w:trPr>
        <w:tc>
          <w:tcPr>
            <w:tcW w:w="9576" w:type="dxa"/>
            <w:gridSpan w:val="2"/>
          </w:tcPr>
          <w:p w:rsidR="00A90641" w:rsidRPr="00A90641" w:rsidRDefault="00A90641" w:rsidP="00A90641">
            <w:pPr>
              <w:pStyle w:val="SCCShortJudgment"/>
              <w:rPr>
                <w:szCs w:val="20"/>
              </w:rPr>
            </w:pPr>
            <w:r w:rsidRPr="00A90641">
              <w:rPr>
                <w:szCs w:val="20"/>
              </w:rPr>
              <w:t xml:space="preserve">The application for leave to appeal from the judgment of the Federal Court of Appeal, Number A-129-08, 2010 FCA 56, dated February 22, 2010, is granted with costs in the cause.  The appeal is to be heard with the appeals </w:t>
            </w:r>
            <w:r w:rsidRPr="00624422">
              <w:rPr>
                <w:i/>
                <w:szCs w:val="20"/>
              </w:rPr>
              <w:t>Public Service Alliance of Canada v. Canada Post Corporation and Canadian Human Rights Commission</w:t>
            </w:r>
            <w:r w:rsidRPr="00A90641">
              <w:rPr>
                <w:szCs w:val="20"/>
              </w:rPr>
              <w:t xml:space="preserve"> (33669) and </w:t>
            </w:r>
            <w:r w:rsidRPr="00624422">
              <w:rPr>
                <w:i/>
                <w:szCs w:val="20"/>
              </w:rPr>
              <w:t>Canadian Human Rights Commission v. Canada Post Corporation and Public Service Alliance of Canada</w:t>
            </w:r>
            <w:r w:rsidRPr="00A90641">
              <w:rPr>
                <w:szCs w:val="20"/>
              </w:rPr>
              <w:t xml:space="preserve"> (33670).</w:t>
            </w:r>
          </w:p>
          <w:p w:rsidR="00A90641" w:rsidRPr="00A90641" w:rsidRDefault="00A90641" w:rsidP="00A90641">
            <w:pPr>
              <w:pStyle w:val="SCCShortJudgment"/>
              <w:ind w:firstLine="0"/>
              <w:rPr>
                <w:szCs w:val="20"/>
              </w:rPr>
            </w:pPr>
          </w:p>
          <w:p w:rsidR="00A90641" w:rsidRPr="00A90641" w:rsidRDefault="00A90641" w:rsidP="00A90641">
            <w:pPr>
              <w:pStyle w:val="SCCShortJudgment"/>
              <w:rPr>
                <w:szCs w:val="20"/>
                <w:lang w:val="fr-CA"/>
              </w:rPr>
            </w:pPr>
            <w:r w:rsidRPr="00A90641">
              <w:rPr>
                <w:szCs w:val="20"/>
                <w:lang w:val="fr-CA"/>
              </w:rPr>
              <w:t xml:space="preserve">La demande d’autorisation d’appel de l’arrêt de la Cour d’appel fédérale, numéro A-129-08, 2010 CAF 56, daté du 22 février 2010, est accordée avec dépens suivant l’issue de la cause. L’appel sera entendu avec les appels </w:t>
            </w:r>
            <w:r w:rsidRPr="00624422">
              <w:rPr>
                <w:i/>
                <w:szCs w:val="20"/>
                <w:lang w:val="fr-CA"/>
              </w:rPr>
              <w:t>Alliance de la fonction publique du Canada c. Société canadienne des postes et Commission canadienne des droits de la personne</w:t>
            </w:r>
            <w:r w:rsidRPr="00A90641">
              <w:rPr>
                <w:szCs w:val="20"/>
                <w:lang w:val="fr-CA"/>
              </w:rPr>
              <w:t xml:space="preserve"> (33669) et </w:t>
            </w:r>
            <w:r w:rsidRPr="00624422">
              <w:rPr>
                <w:i/>
                <w:szCs w:val="20"/>
                <w:lang w:val="fr-CA"/>
              </w:rPr>
              <w:t>Commission canadienne des droits de la personne c. Société canadienne des postes et Alliance de la fonction publique du Canada</w:t>
            </w:r>
            <w:r w:rsidRPr="00A90641">
              <w:rPr>
                <w:szCs w:val="20"/>
                <w:lang w:val="fr-CA"/>
              </w:rPr>
              <w:t xml:space="preserve"> (33670).</w:t>
            </w:r>
          </w:p>
        </w:tc>
      </w:tr>
    </w:tbl>
    <w:p w:rsidR="00D15140" w:rsidRPr="00A90641" w:rsidRDefault="00D15140" w:rsidP="008D292F">
      <w:pPr>
        <w:rPr>
          <w:sz w:val="20"/>
          <w:szCs w:val="20"/>
          <w:lang w:val="fr-CA"/>
        </w:rPr>
      </w:pPr>
    </w:p>
    <w:p w:rsidR="00D15140" w:rsidRDefault="00D15140" w:rsidP="008D292F">
      <w:pPr>
        <w:rPr>
          <w:sz w:val="20"/>
          <w:szCs w:val="20"/>
        </w:rPr>
      </w:pPr>
      <w:r>
        <w:rPr>
          <w:sz w:val="20"/>
          <w:szCs w:val="20"/>
          <w:u w:val="single"/>
        </w:rPr>
        <w:t>CASE SUMMARY</w:t>
      </w:r>
    </w:p>
    <w:p w:rsidR="00D15140" w:rsidRDefault="00D1514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90641" w:rsidRPr="009B289E" w:rsidTr="00A90641">
        <w:tc>
          <w:tcPr>
            <w:tcW w:w="5000" w:type="pct"/>
            <w:gridSpan w:val="3"/>
          </w:tcPr>
          <w:p w:rsidR="00A90641" w:rsidRDefault="00A90641" w:rsidP="00A90641">
            <w:pPr>
              <w:jc w:val="both"/>
              <w:rPr>
                <w:rFonts w:eastAsia="Calibri"/>
                <w:sz w:val="20"/>
              </w:rPr>
            </w:pPr>
            <w:r w:rsidRPr="009B289E">
              <w:rPr>
                <w:rFonts w:eastAsia="Calibri"/>
                <w:sz w:val="20"/>
              </w:rPr>
              <w:t>Judicial review – Human rights – Wage parity – Complainant and comparator groups – Tribunal finding pay inequity – Finding overturned on judicial review - Whether courts below used wrong standard of review – Whether Tribunal’s choice of comparator group unreasonable – Whether Tribunal applied correct standard of proof in finding work of equal value – Whether Tribunal committed reviewable error in finding group paid less for work of equal value – Circumstances in which reviewing court can substitute its decision for that of specialized tribunal.</w:t>
            </w:r>
          </w:p>
          <w:p w:rsidR="00A90641" w:rsidRPr="009B289E" w:rsidRDefault="00A90641" w:rsidP="00A90641">
            <w:pPr>
              <w:jc w:val="both"/>
              <w:rPr>
                <w:rFonts w:eastAsia="Calibri"/>
                <w:sz w:val="20"/>
              </w:rPr>
            </w:pPr>
          </w:p>
        </w:tc>
      </w:tr>
      <w:tr w:rsidR="00A90641" w:rsidRPr="009B289E" w:rsidTr="00A90641">
        <w:tc>
          <w:tcPr>
            <w:tcW w:w="5000" w:type="pct"/>
            <w:gridSpan w:val="3"/>
          </w:tcPr>
          <w:p w:rsidR="00A90641" w:rsidRPr="009B289E" w:rsidRDefault="00A90641" w:rsidP="00A90641">
            <w:pPr>
              <w:jc w:val="both"/>
              <w:rPr>
                <w:rFonts w:eastAsia="Calibri"/>
                <w:sz w:val="20"/>
              </w:rPr>
            </w:pPr>
            <w:r w:rsidRPr="009B289E">
              <w:rPr>
                <w:rFonts w:eastAsia="Calibri"/>
                <w:sz w:val="20"/>
              </w:rPr>
              <w:t xml:space="preserve">The Public Service Alliance of Canada filed a complaint against Canada Post Corporation in 1983 alleging wage discrimination against employees in a predominantly female group in comparison to that received by a male-dominated group.  The Canadian Human Rights Commission began a lengthy process for determining work of equal value, amended it in mid-stream and finally determined that a wage difference existed.  It referred the complaint to the Canadian Human Rights Tribunal which found the work being compared to be reasonably reliable, “albeit at the lower reasonably reliable sub-band level”.  Its decision was set aside on judicial review and the complaint was referred back to the Tribunal with the direction that it be dismissed as not being substantiated according to the legal standard of proof.  </w:t>
            </w:r>
          </w:p>
        </w:tc>
      </w:tr>
      <w:tr w:rsidR="00A90641" w:rsidRPr="009B289E" w:rsidTr="00A90641">
        <w:tc>
          <w:tcPr>
            <w:tcW w:w="5000" w:type="pct"/>
            <w:gridSpan w:val="3"/>
          </w:tcPr>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February 21, 2008</w:t>
            </w:r>
          </w:p>
          <w:p w:rsidR="00A90641" w:rsidRPr="009B289E" w:rsidRDefault="00A90641" w:rsidP="00A90641">
            <w:pPr>
              <w:jc w:val="both"/>
              <w:rPr>
                <w:rFonts w:eastAsia="Calibri"/>
                <w:sz w:val="20"/>
              </w:rPr>
            </w:pPr>
            <w:r w:rsidRPr="009B289E">
              <w:rPr>
                <w:rFonts w:eastAsia="Calibri"/>
                <w:sz w:val="20"/>
              </w:rPr>
              <w:t>Federal Court</w:t>
            </w:r>
          </w:p>
          <w:p w:rsidR="00A90641" w:rsidRPr="009B289E" w:rsidRDefault="00A90641" w:rsidP="00A90641">
            <w:pPr>
              <w:jc w:val="both"/>
              <w:rPr>
                <w:rFonts w:eastAsia="Calibri"/>
                <w:sz w:val="20"/>
              </w:rPr>
            </w:pPr>
            <w:r w:rsidRPr="009B289E">
              <w:rPr>
                <w:rFonts w:eastAsia="Calibri"/>
                <w:sz w:val="20"/>
              </w:rPr>
              <w:t>(</w:t>
            </w:r>
            <w:proofErr w:type="spellStart"/>
            <w:r w:rsidRPr="009B289E">
              <w:rPr>
                <w:rFonts w:eastAsia="Calibri"/>
                <w:sz w:val="20"/>
              </w:rPr>
              <w:t>Kelen</w:t>
            </w:r>
            <w:proofErr w:type="spellEnd"/>
            <w:r w:rsidRPr="009B289E">
              <w:rPr>
                <w:rFonts w:eastAsia="Calibri"/>
                <w:sz w:val="20"/>
              </w:rPr>
              <w:t xml:space="preserve"> J.)</w:t>
            </w:r>
          </w:p>
          <w:p w:rsidR="00A90641" w:rsidRPr="009B289E" w:rsidRDefault="00A90641" w:rsidP="008F5C79">
            <w:pPr>
              <w:jc w:val="both"/>
              <w:rPr>
                <w:rFonts w:eastAsia="Calibri"/>
                <w:sz w:val="20"/>
              </w:rPr>
            </w:pPr>
            <w:r w:rsidRPr="009B289E">
              <w:rPr>
                <w:rFonts w:eastAsia="Calibri"/>
                <w:sz w:val="20"/>
              </w:rPr>
              <w:t>Neutral Citation:  2008 FC 223</w:t>
            </w:r>
          </w:p>
        </w:tc>
        <w:tc>
          <w:tcPr>
            <w:tcW w:w="243" w:type="pct"/>
          </w:tcPr>
          <w:p w:rsidR="00A90641" w:rsidRDefault="00A90641"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Pr="009B289E" w:rsidRDefault="008F5C79"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Tribunal’s decision set aside and complaint referred back to Tribunal with direction that it be dismissed as not substantiated according to legal standard of proof</w:t>
            </w:r>
          </w:p>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February 22, 2010</w:t>
            </w:r>
          </w:p>
          <w:p w:rsidR="00A90641" w:rsidRPr="009B289E" w:rsidRDefault="00A90641" w:rsidP="00A90641">
            <w:pPr>
              <w:jc w:val="both"/>
              <w:rPr>
                <w:rFonts w:eastAsia="Calibri"/>
                <w:sz w:val="20"/>
              </w:rPr>
            </w:pPr>
            <w:r w:rsidRPr="009B289E">
              <w:rPr>
                <w:rFonts w:eastAsia="Calibri"/>
                <w:sz w:val="20"/>
              </w:rPr>
              <w:t>Federal Court of Appeal</w:t>
            </w:r>
          </w:p>
          <w:p w:rsidR="00A90641" w:rsidRPr="009B289E" w:rsidRDefault="00A90641" w:rsidP="00A90641">
            <w:pPr>
              <w:jc w:val="both"/>
              <w:rPr>
                <w:rFonts w:eastAsia="Calibri"/>
                <w:sz w:val="20"/>
              </w:rPr>
            </w:pPr>
            <w:r w:rsidRPr="009B289E">
              <w:rPr>
                <w:rFonts w:eastAsia="Calibri"/>
                <w:sz w:val="20"/>
              </w:rPr>
              <w:t xml:space="preserve">(Sexton, Evans (dissenting) and </w:t>
            </w:r>
            <w:proofErr w:type="spellStart"/>
            <w:r w:rsidRPr="009B289E">
              <w:rPr>
                <w:rFonts w:eastAsia="Calibri"/>
                <w:sz w:val="20"/>
              </w:rPr>
              <w:t>Ryer</w:t>
            </w:r>
            <w:proofErr w:type="spellEnd"/>
            <w:r w:rsidRPr="009B289E">
              <w:rPr>
                <w:rFonts w:eastAsia="Calibri"/>
                <w:sz w:val="20"/>
              </w:rPr>
              <w:t xml:space="preserve"> JJ.A.)</w:t>
            </w:r>
          </w:p>
          <w:p w:rsidR="00A90641" w:rsidRPr="009B289E" w:rsidRDefault="00A90641" w:rsidP="008F5C79">
            <w:pPr>
              <w:jc w:val="both"/>
              <w:rPr>
                <w:rFonts w:eastAsia="Calibri"/>
                <w:sz w:val="20"/>
              </w:rPr>
            </w:pPr>
            <w:r w:rsidRPr="009B289E">
              <w:rPr>
                <w:rFonts w:eastAsia="Calibri"/>
                <w:sz w:val="20"/>
              </w:rPr>
              <w:t>Neutral Citation:  2010 FCA 56</w:t>
            </w:r>
          </w:p>
        </w:tc>
        <w:tc>
          <w:tcPr>
            <w:tcW w:w="243" w:type="pct"/>
          </w:tcPr>
          <w:p w:rsidR="00A90641" w:rsidRDefault="00A90641"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Pr="009B289E" w:rsidRDefault="008F5C79"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Appeal dismissed</w:t>
            </w:r>
          </w:p>
          <w:p w:rsidR="00A90641" w:rsidRPr="009B289E" w:rsidRDefault="00A90641" w:rsidP="00A90641">
            <w:pPr>
              <w:jc w:val="both"/>
              <w:rPr>
                <w:rFonts w:eastAsia="Calibri"/>
                <w:sz w:val="20"/>
              </w:rPr>
            </w:pPr>
          </w:p>
        </w:tc>
      </w:tr>
    </w:tbl>
    <w:p w:rsidR="00020793" w:rsidRDefault="00020793"/>
    <w:tbl>
      <w:tblPr>
        <w:tblW w:w="4952" w:type="pct"/>
        <w:tblLayout w:type="fixed"/>
        <w:tblCellMar>
          <w:left w:w="0" w:type="dxa"/>
          <w:bottom w:w="99" w:type="dxa"/>
          <w:right w:w="0" w:type="dxa"/>
        </w:tblCellMar>
        <w:tblLook w:val="04A0"/>
      </w:tblPr>
      <w:tblGrid>
        <w:gridCol w:w="4624"/>
        <w:gridCol w:w="463"/>
        <w:gridCol w:w="4440"/>
      </w:tblGrid>
      <w:tr w:rsidR="00A90641" w:rsidRPr="009B289E" w:rsidTr="00020793">
        <w:trPr>
          <w:cantSplit/>
        </w:trPr>
        <w:tc>
          <w:tcPr>
            <w:tcW w:w="2427" w:type="pct"/>
          </w:tcPr>
          <w:p w:rsidR="00A90641" w:rsidRPr="009B289E" w:rsidRDefault="00A90641" w:rsidP="00A90641">
            <w:pPr>
              <w:jc w:val="both"/>
              <w:rPr>
                <w:rFonts w:eastAsia="Calibri"/>
                <w:sz w:val="20"/>
              </w:rPr>
            </w:pPr>
            <w:r w:rsidRPr="009B289E">
              <w:rPr>
                <w:rFonts w:eastAsia="Calibri"/>
                <w:sz w:val="20"/>
              </w:rPr>
              <w:lastRenderedPageBreak/>
              <w:t>April 23, 2010</w:t>
            </w:r>
          </w:p>
          <w:p w:rsidR="00A90641" w:rsidRPr="009B289E" w:rsidRDefault="00A90641" w:rsidP="00A90641">
            <w:pPr>
              <w:jc w:val="both"/>
              <w:rPr>
                <w:rFonts w:eastAsia="Calibri"/>
                <w:sz w:val="20"/>
              </w:rPr>
            </w:pPr>
            <w:r w:rsidRPr="009B289E">
              <w:rPr>
                <w:rFonts w:eastAsia="Calibri"/>
                <w:sz w:val="20"/>
              </w:rPr>
              <w:t>Supreme Court of Canada</w:t>
            </w:r>
          </w:p>
        </w:tc>
        <w:tc>
          <w:tcPr>
            <w:tcW w:w="243" w:type="pct"/>
          </w:tcPr>
          <w:p w:rsidR="00A90641" w:rsidRPr="009B289E" w:rsidRDefault="00A90641"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Application for leave to appeal filed</w:t>
            </w:r>
          </w:p>
          <w:p w:rsidR="00A90641" w:rsidRPr="009B289E" w:rsidRDefault="00A90641" w:rsidP="00A90641">
            <w:pPr>
              <w:jc w:val="both"/>
              <w:rPr>
                <w:rFonts w:eastAsia="Calibri"/>
                <w:sz w:val="20"/>
              </w:rPr>
            </w:pPr>
          </w:p>
        </w:tc>
      </w:tr>
    </w:tbl>
    <w:p w:rsidR="00D15140" w:rsidRDefault="006D705A" w:rsidP="008D292F">
      <w:pPr>
        <w:rPr>
          <w:sz w:val="20"/>
          <w:szCs w:val="20"/>
          <w:lang w:val="fr-CA"/>
        </w:rPr>
      </w:pPr>
      <w:r w:rsidRPr="006D705A">
        <w:rPr>
          <w:sz w:val="20"/>
          <w:szCs w:val="20"/>
          <w:lang w:val="fr-CA"/>
        </w:rPr>
        <w:pict>
          <v:rect id="_x0000_i1037" style="width:2in;height:1pt" o:hrpct="0" o:hralign="center" o:hrstd="t" o:hrnoshade="t" o:hr="t" fillcolor="black [3213]" stroked="f"/>
        </w:pict>
      </w:r>
    </w:p>
    <w:p w:rsidR="00020793" w:rsidRPr="00020793" w:rsidRDefault="00020793" w:rsidP="008D292F">
      <w:pPr>
        <w:rPr>
          <w:sz w:val="20"/>
          <w:szCs w:val="20"/>
        </w:rPr>
      </w:pPr>
    </w:p>
    <w:p w:rsidR="00D15140" w:rsidRPr="00D15140" w:rsidRDefault="00D15140" w:rsidP="008D292F">
      <w:pPr>
        <w:rPr>
          <w:sz w:val="20"/>
          <w:szCs w:val="20"/>
        </w:rPr>
      </w:pPr>
      <w:r>
        <w:rPr>
          <w:sz w:val="20"/>
          <w:szCs w:val="20"/>
          <w:u w:val="single"/>
        </w:rPr>
        <w:t>RÉSUME DE L’AFFAIRE</w:t>
      </w:r>
    </w:p>
    <w:p w:rsidR="00D15140" w:rsidRDefault="00D15140" w:rsidP="008D292F">
      <w:pPr>
        <w:rPr>
          <w:sz w:val="20"/>
          <w:szCs w:val="20"/>
        </w:rPr>
      </w:pPr>
    </w:p>
    <w:tbl>
      <w:tblPr>
        <w:tblW w:w="4960" w:type="pct"/>
        <w:tblInd w:w="2" w:type="dxa"/>
        <w:tblLayout w:type="fixed"/>
        <w:tblCellMar>
          <w:left w:w="0" w:type="dxa"/>
          <w:bottom w:w="99" w:type="dxa"/>
          <w:right w:w="0" w:type="dxa"/>
        </w:tblCellMar>
        <w:tblLook w:val="00A0"/>
      </w:tblPr>
      <w:tblGrid>
        <w:gridCol w:w="4630"/>
        <w:gridCol w:w="464"/>
        <w:gridCol w:w="4448"/>
      </w:tblGrid>
      <w:tr w:rsidR="00A90641" w:rsidRPr="00075333" w:rsidTr="00A90641">
        <w:trPr>
          <w:trHeight w:val="1849"/>
        </w:trPr>
        <w:tc>
          <w:tcPr>
            <w:tcW w:w="5000" w:type="pct"/>
            <w:gridSpan w:val="3"/>
          </w:tcPr>
          <w:p w:rsidR="00A90641" w:rsidRPr="009B289E" w:rsidRDefault="00A90641" w:rsidP="00A90641">
            <w:pPr>
              <w:jc w:val="both"/>
              <w:rPr>
                <w:rFonts w:eastAsia="Calibri"/>
                <w:sz w:val="20"/>
                <w:lang w:val="fr-CA"/>
              </w:rPr>
            </w:pPr>
            <w:r w:rsidRPr="009B289E">
              <w:rPr>
                <w:rFonts w:eastAsia="Calibri"/>
                <w:sz w:val="20"/>
                <w:lang w:val="fr-CA"/>
              </w:rPr>
              <w:t>Contrôle judiciaire – Droits de la personne – Équité salariale – Plaignante et groupes de comparaison – Le tribunal administratif a conclu à l’inégalité salariale – Conclusion infirmée à la suite d’un contrôle judiciaire – Les juridictions inférieures ont-elles appliqué la mauvaise norme de contrôle? – Le choix du groupe de comparaison par le tribunal administratif était-il déraisonnable? – Le tribunal administratif a-t-il appliqué la bonne norme de preuve en concluant que le travail était de valeur égale? – Le tribunal administratif a-t-il commis une erreur justifiant l’infirmation de sa décision en concluant que le groupe était payé moins pour du travail de valeur égale? – Situations dans lesquelles la cour de révision peut substituer sa décision à celle du tribunal administratif spécialisé.</w:t>
            </w:r>
          </w:p>
          <w:p w:rsidR="00A90641" w:rsidRPr="009B289E" w:rsidRDefault="00A90641" w:rsidP="00A90641">
            <w:pPr>
              <w:jc w:val="both"/>
              <w:rPr>
                <w:rFonts w:eastAsia="Calibri"/>
                <w:sz w:val="20"/>
                <w:lang w:val="fr-CA"/>
              </w:rPr>
            </w:pPr>
          </w:p>
        </w:tc>
      </w:tr>
      <w:tr w:rsidR="00A90641" w:rsidRPr="00075333" w:rsidTr="00A90641">
        <w:trPr>
          <w:trHeight w:val="2306"/>
        </w:trPr>
        <w:tc>
          <w:tcPr>
            <w:tcW w:w="5000" w:type="pct"/>
            <w:gridSpan w:val="3"/>
          </w:tcPr>
          <w:p w:rsidR="00A90641" w:rsidRPr="009B289E" w:rsidRDefault="00A90641" w:rsidP="00A90641">
            <w:pPr>
              <w:jc w:val="both"/>
              <w:rPr>
                <w:rFonts w:eastAsia="Calibri"/>
                <w:sz w:val="20"/>
                <w:lang w:val="fr-CA"/>
              </w:rPr>
            </w:pPr>
            <w:r w:rsidRPr="009B289E">
              <w:rPr>
                <w:rFonts w:eastAsia="Calibri"/>
                <w:sz w:val="20"/>
                <w:lang w:val="fr-CA"/>
              </w:rPr>
              <w:t xml:space="preserve">En 1983, l’Alliance de la fonction publique du Canada a déposé contre la Société canadienne des postes une plainte dans laquelle elle alléguait que cette dernière s’était rendue coupable de discrimination salariale contre les employés d’un groupe principalement composé de femmes par rapport à la rémunération reçue par un groupe à prédominance masculine.  La Commission canadienne des droits de la personne a commencé un long processus pour déterminer le travail de valeur égale, l’a modifié en cours de route et a finalement statué qu’il y avait une différence salariale.  La Commission a renvoyé la plainte au Tribunal canadien des droits de la personne qui a conclu que les renseignements relatifs au travail qui faisait l’objet de la comparaison étaient raisonnablement fiables, « bien que situés au niveau de la sous-fourchette inférieure de la fiabilité raisonnable ».  Sa décision a été annulée à la suite d’un contrôle judiciaire et la plainte a été renvoyée au Tribunal avec comme instruction de rejeter la plainte au motif qu’elle n’est pas bien fondée selon la norme légale de preuve.  </w:t>
            </w:r>
          </w:p>
        </w:tc>
      </w:tr>
      <w:tr w:rsidR="00A90641" w:rsidRPr="00075333" w:rsidTr="00A90641">
        <w:trPr>
          <w:trHeight w:val="236"/>
        </w:trPr>
        <w:tc>
          <w:tcPr>
            <w:tcW w:w="5000" w:type="pct"/>
            <w:gridSpan w:val="3"/>
          </w:tcPr>
          <w:p w:rsidR="00A90641" w:rsidRPr="009B289E" w:rsidRDefault="00A90641" w:rsidP="00A90641">
            <w:pPr>
              <w:jc w:val="both"/>
              <w:rPr>
                <w:rFonts w:eastAsia="Calibri"/>
                <w:sz w:val="20"/>
                <w:lang w:val="fr-CA"/>
              </w:rPr>
            </w:pPr>
          </w:p>
        </w:tc>
      </w:tr>
      <w:tr w:rsidR="00A90641" w:rsidRPr="00075333" w:rsidTr="00A90641">
        <w:trPr>
          <w:trHeight w:val="1157"/>
        </w:trPr>
        <w:tc>
          <w:tcPr>
            <w:tcW w:w="2426" w:type="pct"/>
          </w:tcPr>
          <w:p w:rsidR="00A90641" w:rsidRPr="009B289E" w:rsidRDefault="00A90641" w:rsidP="00A90641">
            <w:pPr>
              <w:jc w:val="both"/>
              <w:rPr>
                <w:rFonts w:eastAsia="Calibri"/>
                <w:sz w:val="20"/>
                <w:lang w:val="fr-CA"/>
              </w:rPr>
            </w:pPr>
            <w:r w:rsidRPr="009B289E">
              <w:rPr>
                <w:rFonts w:eastAsia="Calibri"/>
                <w:sz w:val="20"/>
                <w:lang w:val="fr-CA"/>
              </w:rPr>
              <w:t>21 février 2008</w:t>
            </w:r>
          </w:p>
          <w:p w:rsidR="00A90641" w:rsidRPr="009B289E" w:rsidRDefault="00A90641" w:rsidP="00A90641">
            <w:pPr>
              <w:jc w:val="both"/>
              <w:rPr>
                <w:rFonts w:eastAsia="Calibri"/>
                <w:sz w:val="20"/>
                <w:lang w:val="fr-CA"/>
              </w:rPr>
            </w:pPr>
            <w:r w:rsidRPr="009B289E">
              <w:rPr>
                <w:rFonts w:eastAsia="Calibri"/>
                <w:sz w:val="20"/>
                <w:lang w:val="fr-CA"/>
              </w:rPr>
              <w:t>Cour fédérale</w:t>
            </w:r>
          </w:p>
          <w:p w:rsidR="00A90641" w:rsidRPr="009B289E" w:rsidRDefault="00A90641" w:rsidP="00A90641">
            <w:pPr>
              <w:jc w:val="both"/>
              <w:rPr>
                <w:rFonts w:eastAsia="Calibri"/>
                <w:sz w:val="20"/>
                <w:lang w:val="fr-CA"/>
              </w:rPr>
            </w:pPr>
            <w:r w:rsidRPr="009B289E">
              <w:rPr>
                <w:rFonts w:eastAsia="Calibri"/>
                <w:sz w:val="20"/>
                <w:lang w:val="fr-CA"/>
              </w:rPr>
              <w:t xml:space="preserve">(Juge </w:t>
            </w:r>
            <w:proofErr w:type="spellStart"/>
            <w:r w:rsidRPr="009B289E">
              <w:rPr>
                <w:rFonts w:eastAsia="Calibri"/>
                <w:sz w:val="20"/>
                <w:lang w:val="fr-CA"/>
              </w:rPr>
              <w:t>Kelen</w:t>
            </w:r>
            <w:proofErr w:type="spellEnd"/>
            <w:r w:rsidRPr="009B289E">
              <w:rPr>
                <w:rFonts w:eastAsia="Calibri"/>
                <w:sz w:val="20"/>
                <w:lang w:val="fr-CA"/>
              </w:rPr>
              <w:t>)</w:t>
            </w:r>
          </w:p>
          <w:p w:rsidR="00A90641" w:rsidRPr="009B289E" w:rsidRDefault="00A90641" w:rsidP="00A90641">
            <w:pPr>
              <w:jc w:val="both"/>
              <w:rPr>
                <w:rFonts w:eastAsia="Calibri"/>
                <w:sz w:val="20"/>
                <w:lang w:val="fr-CA"/>
              </w:rPr>
            </w:pPr>
            <w:r w:rsidRPr="009B289E">
              <w:rPr>
                <w:rFonts w:eastAsia="Calibri"/>
                <w:sz w:val="20"/>
                <w:lang w:val="fr-CA"/>
              </w:rPr>
              <w:t>Référence neutre : 2008 CF 223</w:t>
            </w:r>
          </w:p>
        </w:tc>
        <w:tc>
          <w:tcPr>
            <w:tcW w:w="243" w:type="pct"/>
          </w:tcPr>
          <w:p w:rsidR="00A90641" w:rsidRDefault="00A90641" w:rsidP="00A90641">
            <w:pPr>
              <w:jc w:val="both"/>
              <w:rPr>
                <w:rFonts w:eastAsia="Calibri"/>
                <w:sz w:val="20"/>
                <w:lang w:val="fr-CA"/>
              </w:rPr>
            </w:pPr>
          </w:p>
          <w:p w:rsidR="008F5C79" w:rsidRDefault="008F5C79" w:rsidP="00A90641">
            <w:pPr>
              <w:jc w:val="both"/>
              <w:rPr>
                <w:rFonts w:eastAsia="Calibri"/>
                <w:sz w:val="20"/>
                <w:lang w:val="fr-CA"/>
              </w:rPr>
            </w:pPr>
          </w:p>
          <w:p w:rsidR="008F5C79" w:rsidRDefault="008F5C79" w:rsidP="00A90641">
            <w:pPr>
              <w:jc w:val="both"/>
              <w:rPr>
                <w:rFonts w:eastAsia="Calibri"/>
                <w:sz w:val="20"/>
                <w:lang w:val="fr-CA"/>
              </w:rPr>
            </w:pPr>
          </w:p>
          <w:p w:rsidR="008F5C79" w:rsidRDefault="008F5C79" w:rsidP="00A90641">
            <w:pPr>
              <w:jc w:val="both"/>
              <w:rPr>
                <w:rFonts w:eastAsia="Calibri"/>
                <w:sz w:val="20"/>
                <w:lang w:val="fr-CA"/>
              </w:rPr>
            </w:pPr>
          </w:p>
          <w:p w:rsidR="008F5C79" w:rsidRPr="009B289E" w:rsidRDefault="008F5C79" w:rsidP="00A90641">
            <w:pPr>
              <w:jc w:val="both"/>
              <w:rPr>
                <w:rFonts w:eastAsia="Calibri"/>
                <w:sz w:val="20"/>
                <w:lang w:val="fr-CA"/>
              </w:rPr>
            </w:pPr>
          </w:p>
        </w:tc>
        <w:tc>
          <w:tcPr>
            <w:tcW w:w="2331" w:type="pct"/>
          </w:tcPr>
          <w:p w:rsidR="00A90641" w:rsidRPr="009B289E" w:rsidRDefault="00A90641" w:rsidP="008F5C79">
            <w:pPr>
              <w:jc w:val="both"/>
              <w:rPr>
                <w:rFonts w:eastAsia="Calibri"/>
                <w:sz w:val="20"/>
                <w:lang w:val="fr-CA"/>
              </w:rPr>
            </w:pPr>
            <w:r w:rsidRPr="009B289E">
              <w:rPr>
                <w:rFonts w:eastAsia="Calibri"/>
                <w:sz w:val="20"/>
                <w:lang w:val="fr-CA"/>
              </w:rPr>
              <w:t>La décision du Tribunal est infirmée et la plainte est renvoyée au Tribunal avec comme instruction de rejeter la plainte au motif qu’elle n’est pas bien fondée selon la norme légale de preuve</w:t>
            </w:r>
          </w:p>
        </w:tc>
      </w:tr>
      <w:tr w:rsidR="00A90641" w:rsidRPr="009B289E" w:rsidTr="00A90641">
        <w:trPr>
          <w:trHeight w:val="228"/>
        </w:trPr>
        <w:tc>
          <w:tcPr>
            <w:tcW w:w="2426" w:type="pct"/>
          </w:tcPr>
          <w:p w:rsidR="00A90641" w:rsidRPr="009B289E" w:rsidRDefault="00A90641" w:rsidP="00A90641">
            <w:pPr>
              <w:jc w:val="both"/>
              <w:rPr>
                <w:rFonts w:eastAsia="Calibri"/>
                <w:sz w:val="20"/>
                <w:lang w:val="fr-CA"/>
              </w:rPr>
            </w:pPr>
            <w:r w:rsidRPr="009B289E">
              <w:rPr>
                <w:rFonts w:eastAsia="Calibri"/>
                <w:sz w:val="20"/>
                <w:lang w:val="fr-CA"/>
              </w:rPr>
              <w:t>22 février 2010</w:t>
            </w:r>
          </w:p>
          <w:p w:rsidR="00A90641" w:rsidRPr="009B289E" w:rsidRDefault="00A90641" w:rsidP="00A90641">
            <w:pPr>
              <w:jc w:val="both"/>
              <w:rPr>
                <w:rFonts w:eastAsia="Calibri"/>
                <w:sz w:val="20"/>
                <w:lang w:val="fr-CA"/>
              </w:rPr>
            </w:pPr>
            <w:r w:rsidRPr="009B289E">
              <w:rPr>
                <w:rFonts w:eastAsia="Calibri"/>
                <w:sz w:val="20"/>
                <w:lang w:val="fr-CA"/>
              </w:rPr>
              <w:t>Cour d’appel fédérale</w:t>
            </w:r>
          </w:p>
          <w:p w:rsidR="00A90641" w:rsidRPr="009B289E" w:rsidRDefault="00A90641" w:rsidP="00A90641">
            <w:pPr>
              <w:jc w:val="both"/>
              <w:rPr>
                <w:rFonts w:eastAsia="Calibri"/>
                <w:sz w:val="20"/>
                <w:lang w:val="fr-CA"/>
              </w:rPr>
            </w:pPr>
            <w:r w:rsidRPr="009B289E">
              <w:rPr>
                <w:rFonts w:eastAsia="Calibri"/>
                <w:sz w:val="20"/>
                <w:lang w:val="fr-CA"/>
              </w:rPr>
              <w:t xml:space="preserve">(Juges </w:t>
            </w:r>
            <w:proofErr w:type="spellStart"/>
            <w:r w:rsidRPr="009B289E">
              <w:rPr>
                <w:rFonts w:eastAsia="Calibri"/>
                <w:sz w:val="20"/>
                <w:lang w:val="fr-CA"/>
              </w:rPr>
              <w:t>Sexton</w:t>
            </w:r>
            <w:proofErr w:type="spellEnd"/>
            <w:r w:rsidRPr="009B289E">
              <w:rPr>
                <w:rFonts w:eastAsia="Calibri"/>
                <w:sz w:val="20"/>
                <w:lang w:val="fr-CA"/>
              </w:rPr>
              <w:t xml:space="preserve">, Evans (dissident) et </w:t>
            </w:r>
            <w:proofErr w:type="spellStart"/>
            <w:r w:rsidRPr="009B289E">
              <w:rPr>
                <w:rFonts w:eastAsia="Calibri"/>
                <w:sz w:val="20"/>
                <w:lang w:val="fr-CA"/>
              </w:rPr>
              <w:t>Ryer</w:t>
            </w:r>
            <w:proofErr w:type="spellEnd"/>
            <w:r w:rsidRPr="009B289E">
              <w:rPr>
                <w:rFonts w:eastAsia="Calibri"/>
                <w:sz w:val="20"/>
                <w:lang w:val="fr-CA"/>
              </w:rPr>
              <w:t>)</w:t>
            </w:r>
          </w:p>
          <w:p w:rsidR="00A90641" w:rsidRPr="009B289E" w:rsidRDefault="00A90641" w:rsidP="008F5C79">
            <w:pPr>
              <w:jc w:val="both"/>
              <w:rPr>
                <w:rFonts w:eastAsia="Calibri"/>
                <w:sz w:val="20"/>
                <w:lang w:val="fr-CA"/>
              </w:rPr>
            </w:pPr>
            <w:r w:rsidRPr="009B289E">
              <w:rPr>
                <w:rFonts w:eastAsia="Calibri"/>
                <w:sz w:val="20"/>
                <w:lang w:val="fr-CA"/>
              </w:rPr>
              <w:t>Référence neutre : 2010 CAF 56</w:t>
            </w:r>
          </w:p>
        </w:tc>
        <w:tc>
          <w:tcPr>
            <w:tcW w:w="243" w:type="pct"/>
          </w:tcPr>
          <w:p w:rsidR="00A90641" w:rsidRDefault="00A90641" w:rsidP="00A90641">
            <w:pPr>
              <w:jc w:val="both"/>
              <w:rPr>
                <w:rFonts w:eastAsia="Calibri"/>
                <w:sz w:val="20"/>
                <w:lang w:val="fr-CA"/>
              </w:rPr>
            </w:pPr>
          </w:p>
          <w:p w:rsidR="008F5C79" w:rsidRDefault="008F5C79" w:rsidP="00A90641">
            <w:pPr>
              <w:jc w:val="both"/>
              <w:rPr>
                <w:rFonts w:eastAsia="Calibri"/>
                <w:sz w:val="20"/>
                <w:lang w:val="fr-CA"/>
              </w:rPr>
            </w:pPr>
          </w:p>
          <w:p w:rsidR="008F5C79" w:rsidRDefault="008F5C79" w:rsidP="00A90641">
            <w:pPr>
              <w:jc w:val="both"/>
              <w:rPr>
                <w:rFonts w:eastAsia="Calibri"/>
                <w:sz w:val="20"/>
                <w:lang w:val="fr-CA"/>
              </w:rPr>
            </w:pPr>
          </w:p>
          <w:p w:rsidR="008F5C79" w:rsidRDefault="008F5C79" w:rsidP="00A90641">
            <w:pPr>
              <w:jc w:val="both"/>
              <w:rPr>
                <w:rFonts w:eastAsia="Calibri"/>
                <w:sz w:val="20"/>
                <w:lang w:val="fr-CA"/>
              </w:rPr>
            </w:pPr>
          </w:p>
          <w:p w:rsidR="008F5C79" w:rsidRPr="009B289E" w:rsidRDefault="008F5C79" w:rsidP="00A90641">
            <w:pPr>
              <w:jc w:val="both"/>
              <w:rPr>
                <w:rFonts w:eastAsia="Calibri"/>
                <w:sz w:val="20"/>
                <w:lang w:val="fr-CA"/>
              </w:rPr>
            </w:pPr>
          </w:p>
        </w:tc>
        <w:tc>
          <w:tcPr>
            <w:tcW w:w="2331" w:type="pct"/>
          </w:tcPr>
          <w:p w:rsidR="00A90641" w:rsidRPr="009B289E" w:rsidRDefault="00A90641" w:rsidP="00A90641">
            <w:pPr>
              <w:jc w:val="both"/>
              <w:rPr>
                <w:rFonts w:eastAsia="Calibri"/>
                <w:sz w:val="20"/>
                <w:lang w:val="fr-CA"/>
              </w:rPr>
            </w:pPr>
            <w:r w:rsidRPr="009B289E">
              <w:rPr>
                <w:rFonts w:eastAsia="Calibri"/>
                <w:sz w:val="20"/>
                <w:lang w:val="fr-CA"/>
              </w:rPr>
              <w:t>Appel rejeté</w:t>
            </w:r>
          </w:p>
          <w:p w:rsidR="00A90641" w:rsidRPr="009B289E" w:rsidRDefault="00A90641" w:rsidP="00A90641">
            <w:pPr>
              <w:jc w:val="both"/>
              <w:rPr>
                <w:rFonts w:eastAsia="Calibri"/>
                <w:sz w:val="20"/>
                <w:lang w:val="fr-CA"/>
              </w:rPr>
            </w:pPr>
          </w:p>
        </w:tc>
      </w:tr>
      <w:tr w:rsidR="00A90641" w:rsidRPr="009B289E" w:rsidTr="00A90641">
        <w:trPr>
          <w:trHeight w:val="464"/>
        </w:trPr>
        <w:tc>
          <w:tcPr>
            <w:tcW w:w="2426" w:type="pct"/>
          </w:tcPr>
          <w:p w:rsidR="00A90641" w:rsidRPr="009B289E" w:rsidRDefault="00A90641" w:rsidP="00A90641">
            <w:pPr>
              <w:jc w:val="both"/>
              <w:rPr>
                <w:rFonts w:eastAsia="Calibri"/>
                <w:sz w:val="20"/>
                <w:lang w:val="fr-CA"/>
              </w:rPr>
            </w:pPr>
            <w:r w:rsidRPr="009B289E">
              <w:rPr>
                <w:rFonts w:eastAsia="Calibri"/>
                <w:sz w:val="20"/>
                <w:lang w:val="fr-CA"/>
              </w:rPr>
              <w:t>23 avril 2010</w:t>
            </w:r>
          </w:p>
          <w:p w:rsidR="00A90641" w:rsidRPr="009B289E" w:rsidRDefault="00A90641" w:rsidP="00A90641">
            <w:pPr>
              <w:jc w:val="both"/>
              <w:rPr>
                <w:rFonts w:eastAsia="Calibri"/>
                <w:sz w:val="20"/>
                <w:lang w:val="fr-CA"/>
              </w:rPr>
            </w:pPr>
            <w:r w:rsidRPr="009B289E">
              <w:rPr>
                <w:rFonts w:eastAsia="Calibri"/>
                <w:sz w:val="20"/>
                <w:lang w:val="fr-CA"/>
              </w:rPr>
              <w:t>Cour suprême du Canada</w:t>
            </w:r>
          </w:p>
        </w:tc>
        <w:tc>
          <w:tcPr>
            <w:tcW w:w="243" w:type="pct"/>
          </w:tcPr>
          <w:p w:rsidR="00A90641" w:rsidRPr="009B289E" w:rsidRDefault="00A90641" w:rsidP="00A90641">
            <w:pPr>
              <w:jc w:val="both"/>
              <w:rPr>
                <w:rFonts w:eastAsia="Calibri"/>
                <w:sz w:val="20"/>
                <w:lang w:val="fr-CA"/>
              </w:rPr>
            </w:pPr>
          </w:p>
        </w:tc>
        <w:tc>
          <w:tcPr>
            <w:tcW w:w="2331" w:type="pct"/>
          </w:tcPr>
          <w:p w:rsidR="00A90641" w:rsidRPr="009B289E" w:rsidRDefault="00A90641" w:rsidP="00A90641">
            <w:pPr>
              <w:jc w:val="both"/>
              <w:rPr>
                <w:rFonts w:eastAsia="Calibri"/>
                <w:sz w:val="20"/>
                <w:lang w:val="fr-CA"/>
              </w:rPr>
            </w:pPr>
            <w:r w:rsidRPr="009B289E">
              <w:rPr>
                <w:rFonts w:eastAsia="Calibri"/>
                <w:sz w:val="20"/>
                <w:lang w:val="fr-CA"/>
              </w:rPr>
              <w:t>Demande d’autorisation d’appel déposée</w:t>
            </w:r>
          </w:p>
        </w:tc>
      </w:tr>
    </w:tbl>
    <w:p w:rsidR="00D15140" w:rsidRDefault="006D705A" w:rsidP="008D292F">
      <w:pPr>
        <w:rPr>
          <w:sz w:val="20"/>
          <w:szCs w:val="20"/>
          <w:lang w:val="fr-CA"/>
        </w:rPr>
      </w:pPr>
      <w:r w:rsidRPr="006D705A">
        <w:rPr>
          <w:sz w:val="20"/>
          <w:szCs w:val="20"/>
          <w:lang w:val="fr-CA"/>
        </w:rPr>
        <w:pict>
          <v:rect id="_x0000_i1038" style="width:2in;height:1pt" o:hrpct="0" o:hralign="center" o:hrstd="t" o:hrnoshade="t" o:hr="t" fillcolor="black [3213]" stroked="f"/>
        </w:pict>
      </w:r>
    </w:p>
    <w:p w:rsidR="00D15140" w:rsidRDefault="00D15140"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0641" w:rsidRPr="00A90641" w:rsidTr="00A90641">
        <w:trPr>
          <w:cantSplit/>
        </w:trPr>
        <w:tc>
          <w:tcPr>
            <w:tcW w:w="1458" w:type="dxa"/>
          </w:tcPr>
          <w:p w:rsidR="00A90641" w:rsidRPr="00A90641" w:rsidRDefault="00A90641" w:rsidP="00A90641">
            <w:pPr>
              <w:rPr>
                <w:rFonts w:cs="Times New Roman"/>
                <w:sz w:val="20"/>
                <w:szCs w:val="20"/>
              </w:rPr>
            </w:pPr>
            <w:r w:rsidRPr="00A90641">
              <w:rPr>
                <w:rStyle w:val="SCCFileNumberChar"/>
                <w:rFonts w:cs="Times New Roman"/>
                <w:sz w:val="20"/>
                <w:szCs w:val="20"/>
              </w:rPr>
              <w:t>33669</w:t>
            </w:r>
          </w:p>
          <w:p w:rsidR="00A90641" w:rsidRPr="00A90641" w:rsidRDefault="00A90641" w:rsidP="00A90641">
            <w:pPr>
              <w:rPr>
                <w:rFonts w:cs="Times New Roman"/>
                <w:b/>
                <w:sz w:val="20"/>
                <w:szCs w:val="20"/>
                <w:lang w:val="fr-CA"/>
              </w:rPr>
            </w:pPr>
          </w:p>
        </w:tc>
        <w:tc>
          <w:tcPr>
            <w:tcW w:w="8118" w:type="dxa"/>
          </w:tcPr>
          <w:p w:rsidR="00A90641" w:rsidRPr="00A90641" w:rsidRDefault="00A90641" w:rsidP="00A90641">
            <w:pPr>
              <w:jc w:val="both"/>
              <w:rPr>
                <w:rFonts w:cs="Times New Roman"/>
                <w:sz w:val="20"/>
                <w:szCs w:val="20"/>
              </w:rPr>
            </w:pPr>
            <w:r w:rsidRPr="00A90641">
              <w:rPr>
                <w:rStyle w:val="SCCLsocChar"/>
                <w:rFonts w:cs="Times New Roman"/>
                <w:sz w:val="20"/>
                <w:szCs w:val="20"/>
                <w:lang w:val="en-CA"/>
              </w:rPr>
              <w:t>Public Service Alliance of Canada v. Canada Post Corporation</w:t>
            </w:r>
            <w:r>
              <w:rPr>
                <w:rStyle w:val="SCCLsocChar"/>
                <w:rFonts w:cs="Times New Roman"/>
                <w:sz w:val="20"/>
                <w:szCs w:val="20"/>
                <w:lang w:val="en-CA"/>
              </w:rPr>
              <w:t xml:space="preserve"> and</w:t>
            </w:r>
            <w:r w:rsidRPr="00A90641">
              <w:rPr>
                <w:rStyle w:val="SCCLsocChar"/>
                <w:rFonts w:cs="Times New Roman"/>
                <w:sz w:val="20"/>
                <w:szCs w:val="20"/>
                <w:lang w:val="en-CA"/>
              </w:rPr>
              <w:t xml:space="preserve"> Canadian Human Rights Commission</w:t>
            </w:r>
            <w:r w:rsidRPr="00A90641">
              <w:rPr>
                <w:rFonts w:cs="Times New Roman"/>
                <w:sz w:val="20"/>
                <w:szCs w:val="20"/>
              </w:rPr>
              <w:t xml:space="preserve"> (F</w:t>
            </w:r>
            <w:r>
              <w:rPr>
                <w:rFonts w:cs="Times New Roman"/>
                <w:sz w:val="20"/>
                <w:szCs w:val="20"/>
              </w:rPr>
              <w:t>.</w:t>
            </w:r>
            <w:r w:rsidRPr="00A90641">
              <w:rPr>
                <w:rFonts w:cs="Times New Roman"/>
                <w:sz w:val="20"/>
                <w:szCs w:val="20"/>
              </w:rPr>
              <w:t>C</w:t>
            </w:r>
            <w:r>
              <w:rPr>
                <w:rFonts w:cs="Times New Roman"/>
                <w:sz w:val="20"/>
                <w:szCs w:val="20"/>
              </w:rPr>
              <w:t>.</w:t>
            </w:r>
            <w:r w:rsidRPr="00A90641">
              <w:rPr>
                <w:rFonts w:cs="Times New Roman"/>
                <w:sz w:val="20"/>
                <w:szCs w:val="20"/>
              </w:rPr>
              <w:t>) (Civil) (By Leave)</w:t>
            </w:r>
          </w:p>
          <w:p w:rsidR="00A90641" w:rsidRPr="00A90641" w:rsidRDefault="00A90641" w:rsidP="00A90641">
            <w:pPr>
              <w:rPr>
                <w:rFonts w:cs="Times New Roman"/>
                <w:sz w:val="20"/>
                <w:szCs w:val="20"/>
              </w:rPr>
            </w:pPr>
          </w:p>
        </w:tc>
      </w:tr>
      <w:tr w:rsidR="00A90641" w:rsidRPr="00A90641" w:rsidTr="00A90641">
        <w:trPr>
          <w:cantSplit/>
        </w:trPr>
        <w:tc>
          <w:tcPr>
            <w:tcW w:w="1458" w:type="dxa"/>
          </w:tcPr>
          <w:p w:rsidR="00A90641" w:rsidRPr="00A90641" w:rsidRDefault="00A90641" w:rsidP="00A90641">
            <w:pPr>
              <w:rPr>
                <w:rFonts w:cs="Times New Roman"/>
                <w:sz w:val="20"/>
                <w:szCs w:val="20"/>
              </w:rPr>
            </w:pPr>
            <w:r w:rsidRPr="00A90641">
              <w:rPr>
                <w:rFonts w:cs="Times New Roman"/>
                <w:sz w:val="20"/>
                <w:szCs w:val="20"/>
              </w:rPr>
              <w:t>Coram :</w:t>
            </w:r>
          </w:p>
        </w:tc>
        <w:tc>
          <w:tcPr>
            <w:tcW w:w="8118" w:type="dxa"/>
          </w:tcPr>
          <w:p w:rsidR="00A90641" w:rsidRPr="00A90641" w:rsidRDefault="00A90641" w:rsidP="00433B12">
            <w:pPr>
              <w:rPr>
                <w:rFonts w:cs="Times New Roman"/>
                <w:sz w:val="20"/>
                <w:szCs w:val="20"/>
                <w:u w:val="single"/>
              </w:rPr>
            </w:pPr>
            <w:proofErr w:type="spellStart"/>
            <w:r w:rsidRPr="00A90641">
              <w:rPr>
                <w:rStyle w:val="SCCCoramChar"/>
                <w:rFonts w:cs="Times New Roman"/>
                <w:sz w:val="20"/>
                <w:szCs w:val="20"/>
                <w:lang w:val="en-CA"/>
              </w:rPr>
              <w:t>McLachlin</w:t>
            </w:r>
            <w:proofErr w:type="spellEnd"/>
            <w:r w:rsidRPr="00A90641">
              <w:rPr>
                <w:rStyle w:val="SCCCoramChar"/>
                <w:rFonts w:cs="Times New Roman"/>
                <w:sz w:val="20"/>
                <w:szCs w:val="20"/>
                <w:lang w:val="en-CA"/>
              </w:rPr>
              <w:t xml:space="preserve"> C.J. and </w:t>
            </w:r>
            <w:proofErr w:type="spellStart"/>
            <w:r w:rsidRPr="00A90641">
              <w:rPr>
                <w:rStyle w:val="SCCCoramChar"/>
                <w:rFonts w:cs="Times New Roman"/>
                <w:sz w:val="20"/>
                <w:szCs w:val="20"/>
                <w:lang w:val="en-CA"/>
              </w:rPr>
              <w:t>Abella</w:t>
            </w:r>
            <w:proofErr w:type="spellEnd"/>
            <w:r w:rsidRPr="00A90641">
              <w:rPr>
                <w:rStyle w:val="SCCCoramChar"/>
                <w:rFonts w:cs="Times New Roman"/>
                <w:sz w:val="20"/>
                <w:szCs w:val="20"/>
                <w:lang w:val="en-CA"/>
              </w:rPr>
              <w:t xml:space="preserve"> and Cromwell JJ.</w:t>
            </w:r>
          </w:p>
        </w:tc>
      </w:tr>
    </w:tbl>
    <w:p w:rsidR="00433B12" w:rsidRDefault="00433B1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9576"/>
      </w:tblGrid>
      <w:tr w:rsidR="00A90641" w:rsidRPr="00075333" w:rsidTr="00433B12">
        <w:tc>
          <w:tcPr>
            <w:tcW w:w="9576" w:type="dxa"/>
          </w:tcPr>
          <w:p w:rsidR="00A90641" w:rsidRPr="00A90641" w:rsidRDefault="00A90641" w:rsidP="00A90641">
            <w:pPr>
              <w:pStyle w:val="SCCShortJudgment"/>
              <w:rPr>
                <w:rFonts w:cs="Times New Roman"/>
                <w:szCs w:val="20"/>
              </w:rPr>
            </w:pPr>
            <w:r w:rsidRPr="00A90641">
              <w:rPr>
                <w:rFonts w:cs="Times New Roman"/>
                <w:szCs w:val="20"/>
              </w:rPr>
              <w:t xml:space="preserve">The application for leave to appeal from the judgment of the Federal Court of Appeal, Number A-130-08, 2010 FCA 56, dated February 22, 2010, is granted with costs in the cause.  The appeal is to be heard with the appeals </w:t>
            </w:r>
            <w:r w:rsidRPr="00624422">
              <w:rPr>
                <w:rFonts w:cs="Times New Roman"/>
                <w:i/>
                <w:szCs w:val="20"/>
              </w:rPr>
              <w:t>Public Service Alliance of Canada v. Canada Post Corporation and Canadian Human Rights Commission</w:t>
            </w:r>
            <w:r w:rsidRPr="00A90641">
              <w:rPr>
                <w:rFonts w:cs="Times New Roman"/>
                <w:szCs w:val="20"/>
              </w:rPr>
              <w:t xml:space="preserve"> (33668) and </w:t>
            </w:r>
            <w:r w:rsidRPr="00624422">
              <w:rPr>
                <w:rFonts w:cs="Times New Roman"/>
                <w:i/>
                <w:szCs w:val="20"/>
              </w:rPr>
              <w:t>Canadian Human Rights Commission v. Canada Post Corporation and Public Service Alliance of Canada</w:t>
            </w:r>
            <w:r w:rsidRPr="00A90641">
              <w:rPr>
                <w:rFonts w:cs="Times New Roman"/>
                <w:szCs w:val="20"/>
              </w:rPr>
              <w:t xml:space="preserve"> (33670).</w:t>
            </w:r>
          </w:p>
          <w:p w:rsidR="00A90641" w:rsidRPr="00A90641" w:rsidRDefault="00A90641" w:rsidP="00A90641">
            <w:pPr>
              <w:pStyle w:val="SCCShortJudgment"/>
              <w:ind w:firstLine="0"/>
              <w:rPr>
                <w:rFonts w:cs="Times New Roman"/>
                <w:szCs w:val="20"/>
              </w:rPr>
            </w:pPr>
          </w:p>
          <w:p w:rsidR="00A90641" w:rsidRPr="00A90641" w:rsidRDefault="00A90641" w:rsidP="00A90641">
            <w:pPr>
              <w:pStyle w:val="SCCShortJudgment"/>
              <w:rPr>
                <w:rFonts w:cs="Times New Roman"/>
                <w:szCs w:val="20"/>
                <w:lang w:val="fr-CA"/>
              </w:rPr>
            </w:pPr>
            <w:r w:rsidRPr="00A90641">
              <w:rPr>
                <w:rFonts w:cs="Times New Roman"/>
                <w:szCs w:val="20"/>
                <w:lang w:val="fr-CA"/>
              </w:rPr>
              <w:t xml:space="preserve">La demande d’autorisation d’appel de l’arrêt de la Cour d’appel fédérale, numéro A-130-08, 2010 CAF 56, daté du 22 février 2010, est accordée avec dépens suivant l’issue de la cause.  L’appel sera entendu avec les appels </w:t>
            </w:r>
            <w:r w:rsidRPr="00624422">
              <w:rPr>
                <w:rFonts w:cs="Times New Roman"/>
                <w:i/>
                <w:szCs w:val="20"/>
                <w:lang w:val="fr-CA"/>
              </w:rPr>
              <w:t>Alliance de la fonction publique du Canada c. Société canadienne des postes et Commission canadienne des droits de la personne</w:t>
            </w:r>
            <w:r w:rsidRPr="00A90641">
              <w:rPr>
                <w:rFonts w:cs="Times New Roman"/>
                <w:szCs w:val="20"/>
                <w:lang w:val="fr-CA"/>
              </w:rPr>
              <w:t xml:space="preserve"> (33668) et </w:t>
            </w:r>
            <w:r w:rsidRPr="00624422">
              <w:rPr>
                <w:rFonts w:cs="Times New Roman"/>
                <w:i/>
                <w:szCs w:val="20"/>
                <w:lang w:val="fr-CA"/>
              </w:rPr>
              <w:t>Commission canadienne des droits de la personne c. Société canadienne des postes et Alliance de la fonction publique du Canada</w:t>
            </w:r>
            <w:r w:rsidRPr="00A90641">
              <w:rPr>
                <w:rFonts w:cs="Times New Roman"/>
                <w:szCs w:val="20"/>
                <w:lang w:val="fr-CA"/>
              </w:rPr>
              <w:t xml:space="preserve"> (33670).</w:t>
            </w:r>
          </w:p>
        </w:tc>
      </w:tr>
    </w:tbl>
    <w:p w:rsidR="00020793" w:rsidRPr="004F6FAD" w:rsidRDefault="00020793" w:rsidP="00D15140">
      <w:pPr>
        <w:rPr>
          <w:sz w:val="20"/>
          <w:szCs w:val="20"/>
          <w:lang w:val="fr-CA"/>
        </w:rPr>
      </w:pPr>
    </w:p>
    <w:p w:rsidR="00D15140" w:rsidRDefault="00D15140" w:rsidP="00D15140">
      <w:pPr>
        <w:rPr>
          <w:sz w:val="20"/>
          <w:szCs w:val="20"/>
        </w:rPr>
      </w:pPr>
      <w:r>
        <w:rPr>
          <w:sz w:val="20"/>
          <w:szCs w:val="20"/>
          <w:u w:val="single"/>
        </w:rPr>
        <w:t>CASE SUMMARY</w:t>
      </w:r>
    </w:p>
    <w:p w:rsidR="00D15140" w:rsidRDefault="00D15140" w:rsidP="00D1514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90641" w:rsidRPr="009B289E" w:rsidTr="00A90641">
        <w:tc>
          <w:tcPr>
            <w:tcW w:w="5000" w:type="pct"/>
            <w:gridSpan w:val="3"/>
          </w:tcPr>
          <w:p w:rsidR="00A90641" w:rsidRPr="009B289E" w:rsidRDefault="00A90641" w:rsidP="00A90641">
            <w:pPr>
              <w:jc w:val="both"/>
              <w:rPr>
                <w:rFonts w:eastAsia="Calibri"/>
                <w:sz w:val="20"/>
              </w:rPr>
            </w:pPr>
            <w:r w:rsidRPr="009B289E">
              <w:rPr>
                <w:rFonts w:eastAsia="Calibri"/>
                <w:sz w:val="20"/>
              </w:rPr>
              <w:t>Administrative law – Human rights – Work of equal value – Wage parity – Largely female group of employees receiving lower pay than largely male comparator group – Evidence – Standard of proof – Tribunal reducing damages because of uncertainty of evidence – To what extent is it appropriate in a pay equity complaint to account for the presence of women in a predominantly male comparator group - In what circumstances can the presumption that an expert tribunal has applied the standard of proof that it correctly identified be rebutted - What findings must be made before the wages of two gender-predominant groups can be compared for pay purposes - Can reviewing court issue directions in the nature of a directed verdict where the error it identifies relates to a tribunal’s failure to make a decision on the appropriate standard of proof and the court’s disposition leaves outstanding factual issues to be determined.</w:t>
            </w:r>
          </w:p>
          <w:p w:rsidR="00A90641" w:rsidRPr="009B289E" w:rsidRDefault="00A90641" w:rsidP="00A90641">
            <w:pPr>
              <w:jc w:val="both"/>
              <w:rPr>
                <w:rFonts w:eastAsia="Calibri"/>
                <w:sz w:val="20"/>
              </w:rPr>
            </w:pPr>
          </w:p>
        </w:tc>
      </w:tr>
      <w:tr w:rsidR="00A90641" w:rsidRPr="009B289E" w:rsidTr="00A90641">
        <w:tc>
          <w:tcPr>
            <w:tcW w:w="5000" w:type="pct"/>
            <w:gridSpan w:val="3"/>
          </w:tcPr>
          <w:p w:rsidR="00A90641" w:rsidRPr="009B289E" w:rsidRDefault="00A90641" w:rsidP="00A90641">
            <w:pPr>
              <w:jc w:val="both"/>
              <w:rPr>
                <w:rFonts w:eastAsia="Calibri"/>
                <w:sz w:val="20"/>
              </w:rPr>
            </w:pPr>
            <w:r w:rsidRPr="009B289E">
              <w:rPr>
                <w:rFonts w:eastAsia="Calibri"/>
                <w:sz w:val="20"/>
              </w:rPr>
              <w:t xml:space="preserve">The Public Service Alliance of Canada filed a complaint against Canada Post Corporation in 1983 alleging wage discrimination against employees in a predominantly female group in comparison to that received by a male-dominated group.  The Canadian Human Rights Commission began a lengthy process for determining work of equal value, amended it in mid-stream and finally determined that a wage difference existed.  It referred the complaint to the Canadian Human Rights Tribunal which found the work being compared to be reasonably reliable, “albeit at the lower reasonably reliable sub-band level”.  Its decision was set aside on judicial review and the complaint was referred back to the Tribunal with the direction that it be dismissed as not being substantiated according to the legal standard of proof.  </w:t>
            </w:r>
          </w:p>
        </w:tc>
      </w:tr>
      <w:tr w:rsidR="00A90641" w:rsidRPr="009B289E" w:rsidTr="00A90641">
        <w:tc>
          <w:tcPr>
            <w:tcW w:w="5000" w:type="pct"/>
            <w:gridSpan w:val="3"/>
          </w:tcPr>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February 21, 2008</w:t>
            </w:r>
          </w:p>
          <w:p w:rsidR="00A90641" w:rsidRPr="009B289E" w:rsidRDefault="00A90641" w:rsidP="00A90641">
            <w:pPr>
              <w:jc w:val="both"/>
              <w:rPr>
                <w:rFonts w:eastAsia="Calibri"/>
                <w:sz w:val="20"/>
              </w:rPr>
            </w:pPr>
            <w:r w:rsidRPr="009B289E">
              <w:rPr>
                <w:rFonts w:eastAsia="Calibri"/>
                <w:sz w:val="20"/>
              </w:rPr>
              <w:t>Federal Court</w:t>
            </w:r>
          </w:p>
          <w:p w:rsidR="00A90641" w:rsidRPr="009B289E" w:rsidRDefault="00A90641" w:rsidP="00A90641">
            <w:pPr>
              <w:jc w:val="both"/>
              <w:rPr>
                <w:rFonts w:eastAsia="Calibri"/>
                <w:sz w:val="20"/>
              </w:rPr>
            </w:pPr>
            <w:r w:rsidRPr="009B289E">
              <w:rPr>
                <w:rFonts w:eastAsia="Calibri"/>
                <w:sz w:val="20"/>
              </w:rPr>
              <w:t>(</w:t>
            </w:r>
            <w:proofErr w:type="spellStart"/>
            <w:r w:rsidRPr="009B289E">
              <w:rPr>
                <w:rFonts w:eastAsia="Calibri"/>
                <w:sz w:val="20"/>
              </w:rPr>
              <w:t>Kelen</w:t>
            </w:r>
            <w:proofErr w:type="spellEnd"/>
            <w:r w:rsidRPr="009B289E">
              <w:rPr>
                <w:rFonts w:eastAsia="Calibri"/>
                <w:sz w:val="20"/>
              </w:rPr>
              <w:t xml:space="preserve"> J.)</w:t>
            </w:r>
          </w:p>
          <w:p w:rsidR="00A90641" w:rsidRPr="009B289E" w:rsidRDefault="00A90641" w:rsidP="00A90641">
            <w:pPr>
              <w:jc w:val="both"/>
              <w:rPr>
                <w:rFonts w:eastAsia="Calibri"/>
                <w:sz w:val="20"/>
              </w:rPr>
            </w:pPr>
            <w:r w:rsidRPr="009B289E">
              <w:rPr>
                <w:rFonts w:eastAsia="Calibri"/>
                <w:sz w:val="20"/>
              </w:rPr>
              <w:t>Neutral Citation:  2008 FC 223</w:t>
            </w:r>
          </w:p>
        </w:tc>
        <w:tc>
          <w:tcPr>
            <w:tcW w:w="243" w:type="pct"/>
          </w:tcPr>
          <w:p w:rsidR="00A90641" w:rsidRDefault="00A90641"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Pr="009B289E" w:rsidRDefault="008F5C79"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Tribunal’s decision set aside and complaint referred back to Tribunal with direction that it be dismissed as not substantiated according to legal standard of proof</w:t>
            </w:r>
          </w:p>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February 22, 2010</w:t>
            </w:r>
          </w:p>
          <w:p w:rsidR="00A90641" w:rsidRPr="009B289E" w:rsidRDefault="00A90641" w:rsidP="00A90641">
            <w:pPr>
              <w:jc w:val="both"/>
              <w:rPr>
                <w:rFonts w:eastAsia="Calibri"/>
                <w:sz w:val="20"/>
              </w:rPr>
            </w:pPr>
            <w:r w:rsidRPr="009B289E">
              <w:rPr>
                <w:rFonts w:eastAsia="Calibri"/>
                <w:sz w:val="20"/>
              </w:rPr>
              <w:t>Federal Court of Appeal</w:t>
            </w:r>
          </w:p>
          <w:p w:rsidR="00A90641" w:rsidRPr="009B289E" w:rsidRDefault="00A90641" w:rsidP="00A90641">
            <w:pPr>
              <w:jc w:val="both"/>
              <w:rPr>
                <w:rFonts w:eastAsia="Calibri"/>
                <w:sz w:val="20"/>
              </w:rPr>
            </w:pPr>
            <w:r w:rsidRPr="009B289E">
              <w:rPr>
                <w:rFonts w:eastAsia="Calibri"/>
                <w:sz w:val="20"/>
              </w:rPr>
              <w:t xml:space="preserve">(Sexton, Evans (dissenting) and </w:t>
            </w:r>
            <w:proofErr w:type="spellStart"/>
            <w:r w:rsidRPr="009B289E">
              <w:rPr>
                <w:rFonts w:eastAsia="Calibri"/>
                <w:sz w:val="20"/>
              </w:rPr>
              <w:t>Ryer</w:t>
            </w:r>
            <w:proofErr w:type="spellEnd"/>
            <w:r w:rsidRPr="009B289E">
              <w:rPr>
                <w:rFonts w:eastAsia="Calibri"/>
                <w:sz w:val="20"/>
              </w:rPr>
              <w:t xml:space="preserve"> JJ.A.)</w:t>
            </w:r>
          </w:p>
          <w:p w:rsidR="00A90641" w:rsidRPr="009B289E" w:rsidRDefault="00A90641" w:rsidP="008F5C79">
            <w:pPr>
              <w:jc w:val="both"/>
              <w:rPr>
                <w:rFonts w:eastAsia="Calibri"/>
                <w:sz w:val="20"/>
              </w:rPr>
            </w:pPr>
            <w:r w:rsidRPr="009B289E">
              <w:rPr>
                <w:rFonts w:eastAsia="Calibri"/>
                <w:sz w:val="20"/>
              </w:rPr>
              <w:t>Neutral Citation:  2010 FCA 56</w:t>
            </w:r>
          </w:p>
        </w:tc>
        <w:tc>
          <w:tcPr>
            <w:tcW w:w="243" w:type="pct"/>
          </w:tcPr>
          <w:p w:rsidR="00A90641" w:rsidRDefault="00A90641"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Pr="009B289E" w:rsidRDefault="008F5C79"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Appeal dismissed</w:t>
            </w:r>
          </w:p>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April 23, 2010</w:t>
            </w:r>
          </w:p>
          <w:p w:rsidR="00A90641" w:rsidRPr="009B289E" w:rsidRDefault="00A90641" w:rsidP="00A90641">
            <w:pPr>
              <w:jc w:val="both"/>
              <w:rPr>
                <w:rFonts w:eastAsia="Calibri"/>
                <w:sz w:val="20"/>
              </w:rPr>
            </w:pPr>
            <w:r w:rsidRPr="009B289E">
              <w:rPr>
                <w:rFonts w:eastAsia="Calibri"/>
                <w:sz w:val="20"/>
              </w:rPr>
              <w:t>Supreme Court of Canada</w:t>
            </w:r>
          </w:p>
        </w:tc>
        <w:tc>
          <w:tcPr>
            <w:tcW w:w="243" w:type="pct"/>
          </w:tcPr>
          <w:p w:rsidR="00A90641" w:rsidRPr="009B289E" w:rsidRDefault="00A90641"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Application for leave to appeal filed</w:t>
            </w:r>
          </w:p>
        </w:tc>
      </w:tr>
    </w:tbl>
    <w:p w:rsidR="00D15140" w:rsidRPr="00D15140" w:rsidRDefault="00D15140" w:rsidP="00D15140">
      <w:pPr>
        <w:rPr>
          <w:sz w:val="20"/>
          <w:szCs w:val="20"/>
        </w:rPr>
      </w:pPr>
    </w:p>
    <w:p w:rsidR="00D15140" w:rsidRDefault="006D705A" w:rsidP="00D15140">
      <w:pPr>
        <w:rPr>
          <w:sz w:val="20"/>
          <w:szCs w:val="20"/>
          <w:lang w:val="fr-CA"/>
        </w:rPr>
      </w:pPr>
      <w:r w:rsidRPr="006D705A">
        <w:rPr>
          <w:sz w:val="20"/>
          <w:szCs w:val="20"/>
          <w:lang w:val="fr-CA"/>
        </w:rPr>
        <w:pict>
          <v:rect id="_x0000_i1039" style="width:2in;height:1pt" o:hrpct="0" o:hralign="center" o:hrstd="t" o:hrnoshade="t" o:hr="t" fillcolor="black [3213]" stroked="f"/>
        </w:pict>
      </w:r>
    </w:p>
    <w:p w:rsidR="00D15140" w:rsidRDefault="00D15140" w:rsidP="00D15140">
      <w:pPr>
        <w:rPr>
          <w:sz w:val="20"/>
          <w:szCs w:val="20"/>
        </w:rPr>
      </w:pPr>
    </w:p>
    <w:p w:rsidR="00D15140" w:rsidRPr="00D15140" w:rsidRDefault="00D15140" w:rsidP="00D15140">
      <w:pPr>
        <w:rPr>
          <w:sz w:val="20"/>
          <w:szCs w:val="20"/>
        </w:rPr>
      </w:pPr>
      <w:r>
        <w:rPr>
          <w:sz w:val="20"/>
          <w:szCs w:val="20"/>
          <w:u w:val="single"/>
        </w:rPr>
        <w:t>RÉSUME DE L’AFFAIRE</w:t>
      </w:r>
    </w:p>
    <w:p w:rsidR="00D15140" w:rsidRDefault="00D15140" w:rsidP="00D1514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90641" w:rsidRPr="00075333" w:rsidTr="00A90641">
        <w:tc>
          <w:tcPr>
            <w:tcW w:w="5000" w:type="pct"/>
            <w:gridSpan w:val="3"/>
          </w:tcPr>
          <w:p w:rsidR="00A90641" w:rsidRPr="009B289E" w:rsidRDefault="00A90641" w:rsidP="00A90641">
            <w:pPr>
              <w:jc w:val="both"/>
              <w:rPr>
                <w:rFonts w:eastAsia="Calibri"/>
                <w:sz w:val="20"/>
                <w:lang w:val="fr-CA"/>
              </w:rPr>
            </w:pPr>
            <w:r w:rsidRPr="009B289E">
              <w:rPr>
                <w:rFonts w:eastAsia="Calibri"/>
                <w:sz w:val="20"/>
                <w:lang w:val="fr-CA"/>
              </w:rPr>
              <w:t xml:space="preserve">Droit administratif – Droits de la personne – Travail de valeur égale – Équité salariale – Un groupe d’employés composée principalement de femmes reçoit une rémunération inférieure à celle d’un groupe de comparaison composé principalement d’hommes – Preuve – Norme de preuve – Le tribunal administratif réduit les dommages-intérêts en raison de l’incertitude de la preuve – Dans quelle mesure convient-il de prendre en compte, dans le cadre d’une plainte en matière d’équité salariale, la présence de femmes dans un groupe de comparaison composé surtout d’hommes? – Dans quelles situations peut-on réfuter la présomption selon laquelle un tribunal administratif expert a appliqué la </w:t>
            </w:r>
            <w:r w:rsidRPr="009B289E">
              <w:rPr>
                <w:rFonts w:eastAsia="Calibri"/>
                <w:sz w:val="20"/>
                <w:lang w:val="fr-CA"/>
              </w:rPr>
              <w:lastRenderedPageBreak/>
              <w:t>norme de preuve qu’il a correctement identifiée? – Quelles conclusions doivent être tirées avant que les salaires de deux groupes principalement composés d’hommes ou de femmes puissent être comparés aux fins de l’équité salariale? – La cour de révision peut-elle donner des directives de la nature d’un verdict imposé lorsque l’erreur qu’elle identifie a trait à l’omission du tribunal administratif de rendre une décision en fonction de la bonne norme de preuve et lorsque le dispositif de la cour laisse en suspens des questions de fait qui doivent être tranchées?</w:t>
            </w:r>
          </w:p>
          <w:p w:rsidR="00A90641" w:rsidRPr="009B289E" w:rsidRDefault="00A90641" w:rsidP="00A90641">
            <w:pPr>
              <w:jc w:val="both"/>
              <w:rPr>
                <w:rFonts w:eastAsia="Calibri"/>
                <w:sz w:val="20"/>
                <w:lang w:val="fr-CA"/>
              </w:rPr>
            </w:pPr>
          </w:p>
        </w:tc>
      </w:tr>
      <w:tr w:rsidR="00A90641" w:rsidRPr="00075333" w:rsidTr="00A90641">
        <w:tc>
          <w:tcPr>
            <w:tcW w:w="5000" w:type="pct"/>
            <w:gridSpan w:val="3"/>
          </w:tcPr>
          <w:p w:rsidR="00A90641" w:rsidRPr="009B289E" w:rsidRDefault="00A90641" w:rsidP="00A90641">
            <w:pPr>
              <w:jc w:val="both"/>
              <w:rPr>
                <w:rFonts w:eastAsia="Calibri"/>
                <w:sz w:val="20"/>
                <w:lang w:val="fr-CA"/>
              </w:rPr>
            </w:pPr>
            <w:r w:rsidRPr="009B289E">
              <w:rPr>
                <w:rFonts w:eastAsia="Calibri"/>
                <w:sz w:val="20"/>
                <w:lang w:val="fr-CA"/>
              </w:rPr>
              <w:lastRenderedPageBreak/>
              <w:t xml:space="preserve">En 1983, l’Alliance de la fonction publique du Canada a déposé contre la Société canadienne des postes une plainte dans laquelle elle alléguait que cette dernière s’était rendue coupable de discrimination salariale contre les employés d’un groupe principalement composé de femmes par rapport à la rémunération reçue par un groupe à prédominance masculine. La Commission canadienne des droits de la personne a commencé un long processus pour déterminer le travail de valeur égale, l’a modifié en cours de route et a finalement statué qu’il y avait une différence salariale. La Commission a renvoyé la plainte au Tribunal canadien des droits de la personne qui a conclu que les renseignements relatifs au travail qui faisait l’objet de la comparaison étaient raisonnablement fiables, « bien que situés au niveau de la sous-fourchette inférieure de la fiabilité raisonnable ». Sa décision a été annulée à la suite d’un contrôle judiciaire et la plainte a été renvoyée au Tribunal avec comme instruction de rejeter la plainte au motif qu’elle n’est pas bien fondée selon la norme légale de preuve.  </w:t>
            </w:r>
          </w:p>
        </w:tc>
      </w:tr>
      <w:tr w:rsidR="00A90641" w:rsidRPr="00075333" w:rsidTr="00A90641">
        <w:tc>
          <w:tcPr>
            <w:tcW w:w="5000" w:type="pct"/>
            <w:gridSpan w:val="3"/>
          </w:tcPr>
          <w:p w:rsidR="00A90641" w:rsidRPr="009B289E" w:rsidRDefault="00A90641" w:rsidP="00A90641">
            <w:pPr>
              <w:jc w:val="both"/>
              <w:rPr>
                <w:rFonts w:eastAsia="Calibri"/>
                <w:sz w:val="20"/>
                <w:lang w:val="fr-CA"/>
              </w:rPr>
            </w:pPr>
          </w:p>
        </w:tc>
      </w:tr>
      <w:tr w:rsidR="00A90641" w:rsidRPr="00075333" w:rsidTr="00A90641">
        <w:tc>
          <w:tcPr>
            <w:tcW w:w="2427" w:type="pct"/>
          </w:tcPr>
          <w:p w:rsidR="00A90641" w:rsidRPr="009B289E" w:rsidRDefault="00A90641" w:rsidP="00A90641">
            <w:pPr>
              <w:jc w:val="both"/>
              <w:rPr>
                <w:rFonts w:eastAsia="Calibri"/>
                <w:sz w:val="20"/>
                <w:lang w:val="fr-CA"/>
              </w:rPr>
            </w:pPr>
            <w:r w:rsidRPr="009B289E">
              <w:rPr>
                <w:rFonts w:eastAsia="Calibri"/>
                <w:sz w:val="20"/>
                <w:lang w:val="fr-CA"/>
              </w:rPr>
              <w:t>21 février 2008</w:t>
            </w:r>
          </w:p>
          <w:p w:rsidR="00A90641" w:rsidRPr="009B289E" w:rsidRDefault="00A90641" w:rsidP="00A90641">
            <w:pPr>
              <w:jc w:val="both"/>
              <w:rPr>
                <w:rFonts w:eastAsia="Calibri"/>
                <w:sz w:val="20"/>
                <w:lang w:val="fr-CA"/>
              </w:rPr>
            </w:pPr>
            <w:r w:rsidRPr="009B289E">
              <w:rPr>
                <w:rFonts w:eastAsia="Calibri"/>
                <w:sz w:val="20"/>
                <w:lang w:val="fr-CA"/>
              </w:rPr>
              <w:t>Cour fédérale</w:t>
            </w:r>
          </w:p>
          <w:p w:rsidR="00A90641" w:rsidRPr="009B289E" w:rsidRDefault="00A90641" w:rsidP="00A90641">
            <w:pPr>
              <w:jc w:val="both"/>
              <w:rPr>
                <w:rFonts w:eastAsia="Calibri"/>
                <w:sz w:val="20"/>
                <w:lang w:val="fr-CA"/>
              </w:rPr>
            </w:pPr>
            <w:r w:rsidRPr="009B289E">
              <w:rPr>
                <w:rFonts w:eastAsia="Calibri"/>
                <w:sz w:val="20"/>
                <w:lang w:val="fr-CA"/>
              </w:rPr>
              <w:t xml:space="preserve">(Juge </w:t>
            </w:r>
            <w:proofErr w:type="spellStart"/>
            <w:r w:rsidRPr="009B289E">
              <w:rPr>
                <w:rFonts w:eastAsia="Calibri"/>
                <w:sz w:val="20"/>
                <w:lang w:val="fr-CA"/>
              </w:rPr>
              <w:t>Kelen</w:t>
            </w:r>
            <w:proofErr w:type="spellEnd"/>
            <w:r w:rsidRPr="009B289E">
              <w:rPr>
                <w:rFonts w:eastAsia="Calibri"/>
                <w:sz w:val="20"/>
                <w:lang w:val="fr-CA"/>
              </w:rPr>
              <w:t>)</w:t>
            </w:r>
          </w:p>
          <w:p w:rsidR="00A90641" w:rsidRPr="009B289E" w:rsidRDefault="00A90641" w:rsidP="00A90641">
            <w:pPr>
              <w:jc w:val="both"/>
              <w:rPr>
                <w:rFonts w:eastAsia="Calibri"/>
                <w:sz w:val="20"/>
                <w:lang w:val="fr-CA"/>
              </w:rPr>
            </w:pPr>
            <w:r w:rsidRPr="009B289E">
              <w:rPr>
                <w:rFonts w:eastAsia="Calibri"/>
                <w:sz w:val="20"/>
                <w:lang w:val="fr-CA"/>
              </w:rPr>
              <w:t>Référence neutre </w:t>
            </w:r>
            <w:proofErr w:type="gramStart"/>
            <w:r w:rsidRPr="009B289E">
              <w:rPr>
                <w:rFonts w:eastAsia="Calibri"/>
                <w:sz w:val="20"/>
                <w:lang w:val="fr-CA"/>
              </w:rPr>
              <w:t>:  2008</w:t>
            </w:r>
            <w:proofErr w:type="gramEnd"/>
            <w:r w:rsidRPr="009B289E">
              <w:rPr>
                <w:rFonts w:eastAsia="Calibri"/>
                <w:sz w:val="20"/>
                <w:lang w:val="fr-CA"/>
              </w:rPr>
              <w:t xml:space="preserve"> CF 223</w:t>
            </w:r>
          </w:p>
        </w:tc>
        <w:tc>
          <w:tcPr>
            <w:tcW w:w="243" w:type="pct"/>
          </w:tcPr>
          <w:p w:rsidR="00A90641" w:rsidRDefault="00A90641"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Pr="009B289E" w:rsidRDefault="00433B12" w:rsidP="00A90641">
            <w:pPr>
              <w:jc w:val="both"/>
              <w:rPr>
                <w:rFonts w:eastAsia="Calibri"/>
                <w:sz w:val="20"/>
                <w:lang w:val="fr-CA"/>
              </w:rPr>
            </w:pPr>
          </w:p>
        </w:tc>
        <w:tc>
          <w:tcPr>
            <w:tcW w:w="2330" w:type="pct"/>
          </w:tcPr>
          <w:p w:rsidR="00A90641" w:rsidRPr="009B289E" w:rsidRDefault="00A90641" w:rsidP="00433B12">
            <w:pPr>
              <w:jc w:val="both"/>
              <w:rPr>
                <w:rFonts w:eastAsia="Calibri"/>
                <w:sz w:val="20"/>
                <w:lang w:val="fr-CA"/>
              </w:rPr>
            </w:pPr>
            <w:r w:rsidRPr="009B289E">
              <w:rPr>
                <w:rFonts w:eastAsia="Calibri"/>
                <w:sz w:val="20"/>
                <w:lang w:val="fr-CA"/>
              </w:rPr>
              <w:t>La décision du Tribunal est infirmée et la plainte est renvoyée au Tribunal avec comme instruction de rejeter la plainte au motif qu’elle n’est pas bien fondée selon la norme légale de preuve</w:t>
            </w:r>
          </w:p>
        </w:tc>
      </w:tr>
      <w:tr w:rsidR="00A90641" w:rsidRPr="009B289E" w:rsidTr="00A90641">
        <w:tc>
          <w:tcPr>
            <w:tcW w:w="2427" w:type="pct"/>
          </w:tcPr>
          <w:p w:rsidR="00A90641" w:rsidRPr="009B289E" w:rsidRDefault="00A90641" w:rsidP="00A90641">
            <w:pPr>
              <w:jc w:val="both"/>
              <w:rPr>
                <w:rFonts w:eastAsia="Calibri"/>
                <w:sz w:val="20"/>
                <w:lang w:val="fr-CA"/>
              </w:rPr>
            </w:pPr>
            <w:r w:rsidRPr="009B289E">
              <w:rPr>
                <w:rFonts w:eastAsia="Calibri"/>
                <w:sz w:val="20"/>
                <w:lang w:val="fr-CA"/>
              </w:rPr>
              <w:t>22 février 2010</w:t>
            </w:r>
          </w:p>
          <w:p w:rsidR="00A90641" w:rsidRPr="009B289E" w:rsidRDefault="00A90641" w:rsidP="00A90641">
            <w:pPr>
              <w:jc w:val="both"/>
              <w:rPr>
                <w:rFonts w:eastAsia="Calibri"/>
                <w:sz w:val="20"/>
                <w:lang w:val="fr-CA"/>
              </w:rPr>
            </w:pPr>
            <w:r w:rsidRPr="009B289E">
              <w:rPr>
                <w:rFonts w:eastAsia="Calibri"/>
                <w:sz w:val="20"/>
                <w:lang w:val="fr-CA"/>
              </w:rPr>
              <w:t>Cour d’appel fédérale</w:t>
            </w:r>
          </w:p>
          <w:p w:rsidR="00A90641" w:rsidRPr="009B289E" w:rsidRDefault="00A90641" w:rsidP="00A90641">
            <w:pPr>
              <w:jc w:val="both"/>
              <w:rPr>
                <w:rFonts w:eastAsia="Calibri"/>
                <w:sz w:val="20"/>
                <w:lang w:val="fr-CA"/>
              </w:rPr>
            </w:pPr>
            <w:r w:rsidRPr="009B289E">
              <w:rPr>
                <w:rFonts w:eastAsia="Calibri"/>
                <w:sz w:val="20"/>
                <w:lang w:val="fr-CA"/>
              </w:rPr>
              <w:t xml:space="preserve">(Juges </w:t>
            </w:r>
            <w:proofErr w:type="spellStart"/>
            <w:r w:rsidRPr="009B289E">
              <w:rPr>
                <w:rFonts w:eastAsia="Calibri"/>
                <w:sz w:val="20"/>
                <w:lang w:val="fr-CA"/>
              </w:rPr>
              <w:t>Sexton</w:t>
            </w:r>
            <w:proofErr w:type="spellEnd"/>
            <w:r w:rsidRPr="009B289E">
              <w:rPr>
                <w:rFonts w:eastAsia="Calibri"/>
                <w:sz w:val="20"/>
                <w:lang w:val="fr-CA"/>
              </w:rPr>
              <w:t xml:space="preserve">, Evans (dissident) et </w:t>
            </w:r>
            <w:proofErr w:type="spellStart"/>
            <w:r w:rsidRPr="009B289E">
              <w:rPr>
                <w:rFonts w:eastAsia="Calibri"/>
                <w:sz w:val="20"/>
                <w:lang w:val="fr-CA"/>
              </w:rPr>
              <w:t>Ryer</w:t>
            </w:r>
            <w:proofErr w:type="spellEnd"/>
            <w:r w:rsidRPr="009B289E">
              <w:rPr>
                <w:rFonts w:eastAsia="Calibri"/>
                <w:sz w:val="20"/>
                <w:lang w:val="fr-CA"/>
              </w:rPr>
              <w:t>)</w:t>
            </w:r>
          </w:p>
          <w:p w:rsidR="00A90641" w:rsidRPr="009B289E" w:rsidRDefault="00A90641" w:rsidP="00433B12">
            <w:pPr>
              <w:jc w:val="both"/>
              <w:rPr>
                <w:rFonts w:eastAsia="Calibri"/>
                <w:sz w:val="20"/>
                <w:lang w:val="fr-CA"/>
              </w:rPr>
            </w:pPr>
            <w:r w:rsidRPr="009B289E">
              <w:rPr>
                <w:rFonts w:eastAsia="Calibri"/>
                <w:sz w:val="20"/>
                <w:lang w:val="fr-CA"/>
              </w:rPr>
              <w:t>Référence neutre </w:t>
            </w:r>
            <w:proofErr w:type="gramStart"/>
            <w:r w:rsidRPr="009B289E">
              <w:rPr>
                <w:rFonts w:eastAsia="Calibri"/>
                <w:sz w:val="20"/>
                <w:lang w:val="fr-CA"/>
              </w:rPr>
              <w:t>:  2010</w:t>
            </w:r>
            <w:proofErr w:type="gramEnd"/>
            <w:r w:rsidRPr="009B289E">
              <w:rPr>
                <w:rFonts w:eastAsia="Calibri"/>
                <w:sz w:val="20"/>
                <w:lang w:val="fr-CA"/>
              </w:rPr>
              <w:t xml:space="preserve"> CAF 56</w:t>
            </w:r>
          </w:p>
        </w:tc>
        <w:tc>
          <w:tcPr>
            <w:tcW w:w="243" w:type="pct"/>
          </w:tcPr>
          <w:p w:rsidR="00A90641" w:rsidRDefault="00A90641"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Pr="009B289E" w:rsidRDefault="00433B12" w:rsidP="00A90641">
            <w:pPr>
              <w:jc w:val="both"/>
              <w:rPr>
                <w:rFonts w:eastAsia="Calibri"/>
                <w:sz w:val="20"/>
                <w:lang w:val="fr-CA"/>
              </w:rPr>
            </w:pPr>
          </w:p>
        </w:tc>
        <w:tc>
          <w:tcPr>
            <w:tcW w:w="2330" w:type="pct"/>
          </w:tcPr>
          <w:p w:rsidR="00A90641" w:rsidRPr="009B289E" w:rsidRDefault="00A90641" w:rsidP="00A90641">
            <w:pPr>
              <w:jc w:val="both"/>
              <w:rPr>
                <w:rFonts w:eastAsia="Calibri"/>
                <w:sz w:val="20"/>
                <w:lang w:val="fr-CA"/>
              </w:rPr>
            </w:pPr>
            <w:r w:rsidRPr="009B289E">
              <w:rPr>
                <w:rFonts w:eastAsia="Calibri"/>
                <w:sz w:val="20"/>
                <w:lang w:val="fr-CA"/>
              </w:rPr>
              <w:t>Appel rejeté</w:t>
            </w:r>
          </w:p>
          <w:p w:rsidR="00A90641" w:rsidRPr="009B289E" w:rsidRDefault="00A90641" w:rsidP="00A90641">
            <w:pPr>
              <w:jc w:val="both"/>
              <w:rPr>
                <w:rFonts w:eastAsia="Calibri"/>
                <w:sz w:val="20"/>
                <w:lang w:val="fr-CA"/>
              </w:rPr>
            </w:pPr>
          </w:p>
        </w:tc>
      </w:tr>
      <w:tr w:rsidR="00A90641" w:rsidRPr="009B289E" w:rsidTr="00A90641">
        <w:tc>
          <w:tcPr>
            <w:tcW w:w="2427" w:type="pct"/>
          </w:tcPr>
          <w:p w:rsidR="00A90641" w:rsidRPr="009B289E" w:rsidRDefault="00A90641" w:rsidP="00A90641">
            <w:pPr>
              <w:jc w:val="both"/>
              <w:rPr>
                <w:rFonts w:eastAsia="Calibri"/>
                <w:sz w:val="20"/>
                <w:lang w:val="fr-CA"/>
              </w:rPr>
            </w:pPr>
            <w:r w:rsidRPr="009B289E">
              <w:rPr>
                <w:rFonts w:eastAsia="Calibri"/>
                <w:sz w:val="20"/>
                <w:lang w:val="fr-CA"/>
              </w:rPr>
              <w:t>23 avril 2010</w:t>
            </w:r>
          </w:p>
          <w:p w:rsidR="00A90641" w:rsidRPr="009B289E" w:rsidRDefault="00A90641" w:rsidP="00A90641">
            <w:pPr>
              <w:jc w:val="both"/>
              <w:rPr>
                <w:rFonts w:eastAsia="Calibri"/>
                <w:sz w:val="20"/>
                <w:lang w:val="fr-CA"/>
              </w:rPr>
            </w:pPr>
            <w:r w:rsidRPr="009B289E">
              <w:rPr>
                <w:rFonts w:eastAsia="Calibri"/>
                <w:sz w:val="20"/>
                <w:lang w:val="fr-CA"/>
              </w:rPr>
              <w:t>Cour suprême du Canada</w:t>
            </w:r>
          </w:p>
        </w:tc>
        <w:tc>
          <w:tcPr>
            <w:tcW w:w="243" w:type="pct"/>
          </w:tcPr>
          <w:p w:rsidR="00A90641" w:rsidRPr="009B289E" w:rsidRDefault="00A90641" w:rsidP="00A90641">
            <w:pPr>
              <w:jc w:val="both"/>
              <w:rPr>
                <w:rFonts w:eastAsia="Calibri"/>
                <w:sz w:val="20"/>
                <w:lang w:val="fr-CA"/>
              </w:rPr>
            </w:pPr>
          </w:p>
        </w:tc>
        <w:tc>
          <w:tcPr>
            <w:tcW w:w="2330" w:type="pct"/>
          </w:tcPr>
          <w:p w:rsidR="00A90641" w:rsidRPr="009B289E" w:rsidRDefault="00A90641" w:rsidP="00A90641">
            <w:pPr>
              <w:jc w:val="both"/>
              <w:rPr>
                <w:rFonts w:eastAsia="Calibri"/>
                <w:sz w:val="20"/>
                <w:lang w:val="fr-CA"/>
              </w:rPr>
            </w:pPr>
            <w:r w:rsidRPr="009B289E">
              <w:rPr>
                <w:rFonts w:eastAsia="Calibri"/>
                <w:sz w:val="20"/>
                <w:lang w:val="fr-CA"/>
              </w:rPr>
              <w:t>Demande d’autorisation d’appel déposée</w:t>
            </w:r>
          </w:p>
          <w:p w:rsidR="00A90641" w:rsidRPr="009B289E" w:rsidRDefault="00A90641" w:rsidP="00A90641">
            <w:pPr>
              <w:jc w:val="both"/>
              <w:rPr>
                <w:rFonts w:eastAsia="Calibri"/>
                <w:sz w:val="20"/>
                <w:lang w:val="fr-CA"/>
              </w:rPr>
            </w:pPr>
          </w:p>
        </w:tc>
      </w:tr>
    </w:tbl>
    <w:p w:rsidR="00D15140" w:rsidRDefault="00D15140" w:rsidP="00D15140">
      <w:pPr>
        <w:rPr>
          <w:sz w:val="20"/>
          <w:szCs w:val="20"/>
        </w:rPr>
      </w:pPr>
    </w:p>
    <w:p w:rsidR="00D15140" w:rsidRDefault="006D705A" w:rsidP="00D15140">
      <w:pPr>
        <w:rPr>
          <w:sz w:val="20"/>
          <w:szCs w:val="20"/>
          <w:lang w:val="fr-CA"/>
        </w:rPr>
      </w:pPr>
      <w:r w:rsidRPr="006D705A">
        <w:rPr>
          <w:sz w:val="20"/>
          <w:szCs w:val="20"/>
          <w:lang w:val="fr-CA"/>
        </w:rPr>
        <w:pict>
          <v:rect id="_x0000_i1040" style="width:2in;height:1pt" o:hrpct="0" o:hralign="center" o:hrstd="t" o:hrnoshade="t" o:hr="t" fillcolor="black [3213]" stroked="f"/>
        </w:pict>
      </w:r>
    </w:p>
    <w:p w:rsidR="00D15140" w:rsidRDefault="00D15140"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0641" w:rsidRPr="00A90641" w:rsidTr="00A90641">
        <w:trPr>
          <w:cantSplit/>
        </w:trPr>
        <w:tc>
          <w:tcPr>
            <w:tcW w:w="1458" w:type="dxa"/>
          </w:tcPr>
          <w:p w:rsidR="00A90641" w:rsidRPr="00A90641" w:rsidRDefault="00A90641" w:rsidP="00A90641">
            <w:pPr>
              <w:rPr>
                <w:sz w:val="20"/>
                <w:szCs w:val="20"/>
              </w:rPr>
            </w:pPr>
            <w:r w:rsidRPr="00A90641">
              <w:rPr>
                <w:rStyle w:val="SCCFileNumberChar"/>
                <w:sz w:val="20"/>
                <w:szCs w:val="20"/>
              </w:rPr>
              <w:t>33670</w:t>
            </w:r>
          </w:p>
          <w:p w:rsidR="00A90641" w:rsidRPr="00A90641" w:rsidRDefault="00A90641" w:rsidP="00A90641">
            <w:pPr>
              <w:rPr>
                <w:b/>
                <w:sz w:val="20"/>
                <w:szCs w:val="20"/>
                <w:lang w:val="fr-CA"/>
              </w:rPr>
            </w:pPr>
          </w:p>
        </w:tc>
        <w:tc>
          <w:tcPr>
            <w:tcW w:w="8118" w:type="dxa"/>
          </w:tcPr>
          <w:p w:rsidR="00A90641" w:rsidRPr="00A90641" w:rsidRDefault="00A90641" w:rsidP="00A90641">
            <w:pPr>
              <w:jc w:val="both"/>
              <w:rPr>
                <w:sz w:val="20"/>
                <w:szCs w:val="20"/>
              </w:rPr>
            </w:pPr>
            <w:r w:rsidRPr="00A90641">
              <w:rPr>
                <w:rStyle w:val="SCCLsocChar"/>
                <w:sz w:val="20"/>
                <w:szCs w:val="20"/>
                <w:lang w:val="en-CA"/>
              </w:rPr>
              <w:t>Canadian Human Rights Commission v. Canada Post Corporation</w:t>
            </w:r>
            <w:r>
              <w:rPr>
                <w:rStyle w:val="SCCLsocChar"/>
                <w:sz w:val="20"/>
                <w:szCs w:val="20"/>
                <w:lang w:val="en-CA"/>
              </w:rPr>
              <w:t xml:space="preserve"> and</w:t>
            </w:r>
            <w:r w:rsidRPr="00A90641">
              <w:rPr>
                <w:rStyle w:val="SCCLsocChar"/>
                <w:sz w:val="20"/>
                <w:szCs w:val="20"/>
                <w:lang w:val="en-CA"/>
              </w:rPr>
              <w:t xml:space="preserve"> Public Service Alliance of Canada</w:t>
            </w:r>
            <w:r w:rsidRPr="00A90641">
              <w:rPr>
                <w:sz w:val="20"/>
                <w:szCs w:val="20"/>
              </w:rPr>
              <w:t xml:space="preserve"> (F</w:t>
            </w:r>
            <w:r>
              <w:rPr>
                <w:sz w:val="20"/>
                <w:szCs w:val="20"/>
              </w:rPr>
              <w:t>.</w:t>
            </w:r>
            <w:r w:rsidRPr="00A90641">
              <w:rPr>
                <w:sz w:val="20"/>
                <w:szCs w:val="20"/>
              </w:rPr>
              <w:t>C</w:t>
            </w:r>
            <w:r>
              <w:rPr>
                <w:sz w:val="20"/>
                <w:szCs w:val="20"/>
              </w:rPr>
              <w:t>.</w:t>
            </w:r>
            <w:r w:rsidRPr="00A90641">
              <w:rPr>
                <w:sz w:val="20"/>
                <w:szCs w:val="20"/>
              </w:rPr>
              <w:t>) (Civil) (By Leave)</w:t>
            </w:r>
          </w:p>
          <w:p w:rsidR="00A90641" w:rsidRPr="00A90641" w:rsidRDefault="00A90641" w:rsidP="00A90641">
            <w:pPr>
              <w:rPr>
                <w:sz w:val="20"/>
                <w:szCs w:val="20"/>
              </w:rPr>
            </w:pPr>
          </w:p>
        </w:tc>
      </w:tr>
      <w:tr w:rsidR="00A90641" w:rsidRPr="00A90641" w:rsidTr="00A90641">
        <w:trPr>
          <w:cantSplit/>
        </w:trPr>
        <w:tc>
          <w:tcPr>
            <w:tcW w:w="1458" w:type="dxa"/>
          </w:tcPr>
          <w:p w:rsidR="00A90641" w:rsidRPr="00A90641" w:rsidRDefault="00A90641" w:rsidP="00A90641">
            <w:pPr>
              <w:rPr>
                <w:sz w:val="20"/>
                <w:szCs w:val="20"/>
              </w:rPr>
            </w:pPr>
            <w:r w:rsidRPr="00A90641">
              <w:rPr>
                <w:sz w:val="20"/>
                <w:szCs w:val="20"/>
              </w:rPr>
              <w:t>Coram :</w:t>
            </w:r>
          </w:p>
        </w:tc>
        <w:tc>
          <w:tcPr>
            <w:tcW w:w="8118" w:type="dxa"/>
          </w:tcPr>
          <w:p w:rsidR="00A90641" w:rsidRPr="00A90641" w:rsidRDefault="00A90641" w:rsidP="00A90641">
            <w:pPr>
              <w:rPr>
                <w:sz w:val="20"/>
                <w:szCs w:val="20"/>
              </w:rPr>
            </w:pPr>
            <w:proofErr w:type="spellStart"/>
            <w:r w:rsidRPr="00A90641">
              <w:rPr>
                <w:rStyle w:val="SCCCoramChar"/>
                <w:sz w:val="20"/>
                <w:szCs w:val="20"/>
                <w:lang w:val="en-CA"/>
              </w:rPr>
              <w:t>McLachlin</w:t>
            </w:r>
            <w:proofErr w:type="spellEnd"/>
            <w:r w:rsidRPr="00A90641">
              <w:rPr>
                <w:rStyle w:val="SCCCoramChar"/>
                <w:sz w:val="20"/>
                <w:szCs w:val="20"/>
                <w:lang w:val="en-CA"/>
              </w:rPr>
              <w:t xml:space="preserve"> C.J. and </w:t>
            </w:r>
            <w:proofErr w:type="spellStart"/>
            <w:r w:rsidRPr="00A90641">
              <w:rPr>
                <w:rStyle w:val="SCCCoramChar"/>
                <w:sz w:val="20"/>
                <w:szCs w:val="20"/>
                <w:lang w:val="en-CA"/>
              </w:rPr>
              <w:t>Abella</w:t>
            </w:r>
            <w:proofErr w:type="spellEnd"/>
            <w:r w:rsidRPr="00A90641">
              <w:rPr>
                <w:rStyle w:val="SCCCoramChar"/>
                <w:sz w:val="20"/>
                <w:szCs w:val="20"/>
                <w:lang w:val="en-CA"/>
              </w:rPr>
              <w:t xml:space="preserve"> and Cromwell JJ.</w:t>
            </w:r>
          </w:p>
          <w:p w:rsidR="00A90641" w:rsidRPr="00A90641" w:rsidRDefault="00A90641" w:rsidP="00A90641">
            <w:pPr>
              <w:rPr>
                <w:sz w:val="20"/>
                <w:szCs w:val="20"/>
                <w:u w:val="single"/>
              </w:rPr>
            </w:pPr>
          </w:p>
        </w:tc>
      </w:tr>
      <w:tr w:rsidR="00A90641" w:rsidRPr="00075333" w:rsidTr="00A90641">
        <w:trPr>
          <w:cantSplit/>
        </w:trPr>
        <w:tc>
          <w:tcPr>
            <w:tcW w:w="9576" w:type="dxa"/>
            <w:gridSpan w:val="2"/>
          </w:tcPr>
          <w:p w:rsidR="00A90641" w:rsidRPr="00A90641" w:rsidRDefault="00A90641" w:rsidP="00A90641">
            <w:pPr>
              <w:pStyle w:val="SCCShortJudgment"/>
              <w:rPr>
                <w:szCs w:val="20"/>
              </w:rPr>
            </w:pPr>
            <w:r w:rsidRPr="00A90641">
              <w:rPr>
                <w:szCs w:val="20"/>
              </w:rPr>
              <w:t xml:space="preserve">The application for leave to appeal from the judgment of the Federal Court of Appeal, Number A-139-08, 2010 FCA 56, dated February 22, 2010, is granted with costs in the cause. The appeal is to be heard with the appeals </w:t>
            </w:r>
            <w:r w:rsidRPr="00624422">
              <w:rPr>
                <w:i/>
                <w:szCs w:val="20"/>
              </w:rPr>
              <w:t>Public Service Alliance of Canada v. Canada Post Corporation and Canadian Human Rights Commission</w:t>
            </w:r>
            <w:r w:rsidRPr="00A90641">
              <w:rPr>
                <w:szCs w:val="20"/>
              </w:rPr>
              <w:t xml:space="preserve"> (33668) and </w:t>
            </w:r>
            <w:r w:rsidRPr="00624422">
              <w:rPr>
                <w:i/>
                <w:szCs w:val="20"/>
              </w:rPr>
              <w:t>Public Service Alliance of Canada v. Canada Post Corporation and Canadian Human Rights Commission</w:t>
            </w:r>
            <w:r w:rsidRPr="00A90641">
              <w:rPr>
                <w:szCs w:val="20"/>
              </w:rPr>
              <w:t xml:space="preserve"> (33669).</w:t>
            </w:r>
          </w:p>
          <w:p w:rsidR="00A90641" w:rsidRPr="00A90641" w:rsidRDefault="00A90641" w:rsidP="00A90641">
            <w:pPr>
              <w:pStyle w:val="SCCShortJudgment"/>
              <w:ind w:firstLine="0"/>
              <w:rPr>
                <w:szCs w:val="20"/>
              </w:rPr>
            </w:pPr>
          </w:p>
          <w:p w:rsidR="00A90641" w:rsidRPr="00A90641" w:rsidRDefault="00A90641" w:rsidP="00A90641">
            <w:pPr>
              <w:pStyle w:val="SCCShortJudgment"/>
              <w:rPr>
                <w:szCs w:val="20"/>
                <w:lang w:val="fr-CA"/>
              </w:rPr>
            </w:pPr>
            <w:r w:rsidRPr="00A90641">
              <w:rPr>
                <w:szCs w:val="20"/>
                <w:lang w:val="fr-CA"/>
              </w:rPr>
              <w:t xml:space="preserve">La demande d’autorisation d’appel de l’arrêt de la Cour d’appel fédérale, numéro A-139-08, 2010 CAF 56, daté du 22 février 2010, est accordée avec dépens suivant l’issue de la cause.  L’appel sera entendu avec les appels </w:t>
            </w:r>
            <w:r w:rsidRPr="00624422">
              <w:rPr>
                <w:i/>
                <w:szCs w:val="20"/>
                <w:lang w:val="fr-CA"/>
              </w:rPr>
              <w:t>Alliance de la fonction publique du Canada c. Société canadienne des postes et Commission canadienne des droits de la personne</w:t>
            </w:r>
            <w:r w:rsidRPr="00A90641">
              <w:rPr>
                <w:szCs w:val="20"/>
                <w:lang w:val="fr-CA"/>
              </w:rPr>
              <w:t xml:space="preserve"> (33668) et </w:t>
            </w:r>
            <w:r w:rsidRPr="00624422">
              <w:rPr>
                <w:i/>
                <w:szCs w:val="20"/>
                <w:lang w:val="fr-CA"/>
              </w:rPr>
              <w:t>Alliance de la fonction publique du Canada c. Société canadienne des postes et Commission canadienne des droits de la personne</w:t>
            </w:r>
            <w:r w:rsidRPr="00A90641">
              <w:rPr>
                <w:szCs w:val="20"/>
                <w:lang w:val="fr-CA"/>
              </w:rPr>
              <w:t xml:space="preserve"> (33669).</w:t>
            </w:r>
          </w:p>
        </w:tc>
      </w:tr>
    </w:tbl>
    <w:p w:rsidR="00512719" w:rsidRPr="00A57C2C" w:rsidRDefault="00512719" w:rsidP="00A90641">
      <w:pPr>
        <w:rPr>
          <w:sz w:val="20"/>
          <w:szCs w:val="20"/>
          <w:u w:val="single"/>
          <w:lang w:val="fr-CA"/>
        </w:rPr>
      </w:pPr>
    </w:p>
    <w:p w:rsidR="00512719" w:rsidRPr="00A57C2C" w:rsidRDefault="00512719">
      <w:pPr>
        <w:rPr>
          <w:sz w:val="20"/>
          <w:szCs w:val="20"/>
          <w:u w:val="single"/>
          <w:lang w:val="fr-CA"/>
        </w:rPr>
      </w:pPr>
      <w:r w:rsidRPr="00A57C2C">
        <w:rPr>
          <w:sz w:val="20"/>
          <w:szCs w:val="20"/>
          <w:u w:val="single"/>
          <w:lang w:val="fr-CA"/>
        </w:rPr>
        <w:br w:type="page"/>
      </w:r>
    </w:p>
    <w:p w:rsidR="00A90641" w:rsidRDefault="00A90641" w:rsidP="00A90641">
      <w:pPr>
        <w:rPr>
          <w:sz w:val="20"/>
          <w:szCs w:val="20"/>
        </w:rPr>
      </w:pPr>
      <w:r>
        <w:rPr>
          <w:sz w:val="20"/>
          <w:szCs w:val="20"/>
          <w:u w:val="single"/>
        </w:rPr>
        <w:lastRenderedPageBreak/>
        <w:t>CASE SUMMARY</w:t>
      </w:r>
    </w:p>
    <w:p w:rsidR="00A90641" w:rsidRDefault="00A90641" w:rsidP="00A9064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90641" w:rsidRPr="009B289E" w:rsidTr="00A90641">
        <w:tc>
          <w:tcPr>
            <w:tcW w:w="5000" w:type="pct"/>
            <w:gridSpan w:val="3"/>
          </w:tcPr>
          <w:p w:rsidR="00A90641" w:rsidRPr="009B289E" w:rsidRDefault="00A90641" w:rsidP="00A90641">
            <w:pPr>
              <w:jc w:val="both"/>
              <w:rPr>
                <w:rFonts w:eastAsia="Calibri"/>
                <w:sz w:val="20"/>
              </w:rPr>
            </w:pPr>
            <w:r w:rsidRPr="009B289E">
              <w:rPr>
                <w:rFonts w:eastAsia="Calibri"/>
                <w:sz w:val="20"/>
              </w:rPr>
              <w:t>Judicial review – Human rights – Wage parity – Complainant and comparator groups – Tribunal finding pay inequity – Finding overturned on judicial review - Whether courts below used wrong standard of review – Whether Tribunal’s choice of comparator group unreasonable – Whether Tribunal applied correct standard of proof in finding work of equal value – Whether Tribunal committed reviewable error in finding group paid less for work of equal value – Circumstances in which reviewing court can substitute its decision for that of specialized tribunal.</w:t>
            </w:r>
          </w:p>
          <w:p w:rsidR="00A90641" w:rsidRPr="009B289E" w:rsidRDefault="00A90641" w:rsidP="00A90641">
            <w:pPr>
              <w:jc w:val="both"/>
              <w:rPr>
                <w:rFonts w:eastAsia="Calibri"/>
                <w:sz w:val="20"/>
              </w:rPr>
            </w:pPr>
          </w:p>
        </w:tc>
      </w:tr>
      <w:tr w:rsidR="00A90641" w:rsidRPr="009B289E" w:rsidTr="00A90641">
        <w:tc>
          <w:tcPr>
            <w:tcW w:w="5000" w:type="pct"/>
            <w:gridSpan w:val="3"/>
          </w:tcPr>
          <w:p w:rsidR="00A90641" w:rsidRPr="009B289E" w:rsidRDefault="00A90641" w:rsidP="00A90641">
            <w:pPr>
              <w:jc w:val="both"/>
              <w:rPr>
                <w:rFonts w:eastAsia="Calibri"/>
                <w:sz w:val="20"/>
              </w:rPr>
            </w:pPr>
            <w:r w:rsidRPr="009B289E">
              <w:rPr>
                <w:rFonts w:eastAsia="Calibri"/>
                <w:sz w:val="20"/>
              </w:rPr>
              <w:t xml:space="preserve">The Public Service Alliance of Canada filed a complaint against Canada Post Corporation in 1983 alleging wage discrimination against employees in a predominantly female group in comparison to that received by a male-dominated group.  The Canadian Human Rights Commission began a lengthy process for determining work of equal value, amended it in mid-stream and finally determined that a wage difference existed.  It referred the complaint to the Canadian Human Rights Tribunal which found the work being compared to be reasonably reliable, “albeit at the lower reasonably reliable sub-band level”.  Its decision was set aside on judicial review and the complaint was referred back to the Tribunal with the direction that it be dismissed as not being substantiated according to the legal standard of proof.  </w:t>
            </w:r>
          </w:p>
        </w:tc>
      </w:tr>
      <w:tr w:rsidR="00A90641" w:rsidRPr="009B289E" w:rsidTr="00A90641">
        <w:tc>
          <w:tcPr>
            <w:tcW w:w="5000" w:type="pct"/>
            <w:gridSpan w:val="3"/>
          </w:tcPr>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February 21, 2008</w:t>
            </w:r>
          </w:p>
          <w:p w:rsidR="00A90641" w:rsidRPr="009B289E" w:rsidRDefault="00A90641" w:rsidP="00A90641">
            <w:pPr>
              <w:jc w:val="both"/>
              <w:rPr>
                <w:rFonts w:eastAsia="Calibri"/>
                <w:sz w:val="20"/>
              </w:rPr>
            </w:pPr>
            <w:r w:rsidRPr="009B289E">
              <w:rPr>
                <w:rFonts w:eastAsia="Calibri"/>
                <w:sz w:val="20"/>
              </w:rPr>
              <w:t>Federal Court</w:t>
            </w:r>
          </w:p>
          <w:p w:rsidR="00A90641" w:rsidRPr="009B289E" w:rsidRDefault="00A90641" w:rsidP="00A90641">
            <w:pPr>
              <w:jc w:val="both"/>
              <w:rPr>
                <w:rFonts w:eastAsia="Calibri"/>
                <w:sz w:val="20"/>
              </w:rPr>
            </w:pPr>
            <w:r w:rsidRPr="009B289E">
              <w:rPr>
                <w:rFonts w:eastAsia="Calibri"/>
                <w:sz w:val="20"/>
              </w:rPr>
              <w:t>(</w:t>
            </w:r>
            <w:proofErr w:type="spellStart"/>
            <w:r w:rsidRPr="009B289E">
              <w:rPr>
                <w:rFonts w:eastAsia="Calibri"/>
                <w:sz w:val="20"/>
              </w:rPr>
              <w:t>Kelen</w:t>
            </w:r>
            <w:proofErr w:type="spellEnd"/>
            <w:r w:rsidRPr="009B289E">
              <w:rPr>
                <w:rFonts w:eastAsia="Calibri"/>
                <w:sz w:val="20"/>
              </w:rPr>
              <w:t xml:space="preserve"> J.)</w:t>
            </w:r>
          </w:p>
          <w:p w:rsidR="00A90641" w:rsidRPr="009B289E" w:rsidRDefault="00A90641" w:rsidP="00A90641">
            <w:pPr>
              <w:jc w:val="both"/>
              <w:rPr>
                <w:rFonts w:eastAsia="Calibri"/>
                <w:sz w:val="20"/>
              </w:rPr>
            </w:pPr>
            <w:r w:rsidRPr="009B289E">
              <w:rPr>
                <w:rFonts w:eastAsia="Calibri"/>
                <w:sz w:val="20"/>
              </w:rPr>
              <w:t>Neutral Citation:  2008 FC 223</w:t>
            </w:r>
          </w:p>
        </w:tc>
        <w:tc>
          <w:tcPr>
            <w:tcW w:w="243" w:type="pct"/>
          </w:tcPr>
          <w:p w:rsidR="00A90641" w:rsidRDefault="00A90641"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Pr="009B289E" w:rsidRDefault="008F5C79"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Tribunal’s decision set aside and complaint referred back to Tribunal with direction that it be dismissed as not substantiated according to legal standard of proof</w:t>
            </w:r>
          </w:p>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February 22, 2010</w:t>
            </w:r>
          </w:p>
          <w:p w:rsidR="00A90641" w:rsidRPr="009B289E" w:rsidRDefault="00A90641" w:rsidP="00A90641">
            <w:pPr>
              <w:jc w:val="both"/>
              <w:rPr>
                <w:rFonts w:eastAsia="Calibri"/>
                <w:sz w:val="20"/>
              </w:rPr>
            </w:pPr>
            <w:r w:rsidRPr="009B289E">
              <w:rPr>
                <w:rFonts w:eastAsia="Calibri"/>
                <w:sz w:val="20"/>
              </w:rPr>
              <w:t>Federal Court of Appeal</w:t>
            </w:r>
          </w:p>
          <w:p w:rsidR="00A90641" w:rsidRPr="009B289E" w:rsidRDefault="00A90641" w:rsidP="00A90641">
            <w:pPr>
              <w:jc w:val="both"/>
              <w:rPr>
                <w:rFonts w:eastAsia="Calibri"/>
                <w:sz w:val="20"/>
              </w:rPr>
            </w:pPr>
            <w:r w:rsidRPr="009B289E">
              <w:rPr>
                <w:rFonts w:eastAsia="Calibri"/>
                <w:sz w:val="20"/>
              </w:rPr>
              <w:t xml:space="preserve">(Sexton, Evans (dissenting) and </w:t>
            </w:r>
            <w:proofErr w:type="spellStart"/>
            <w:r w:rsidRPr="009B289E">
              <w:rPr>
                <w:rFonts w:eastAsia="Calibri"/>
                <w:sz w:val="20"/>
              </w:rPr>
              <w:t>Ryer</w:t>
            </w:r>
            <w:proofErr w:type="spellEnd"/>
            <w:r w:rsidRPr="009B289E">
              <w:rPr>
                <w:rFonts w:eastAsia="Calibri"/>
                <w:sz w:val="20"/>
              </w:rPr>
              <w:t xml:space="preserve"> JJ.A.)</w:t>
            </w:r>
          </w:p>
          <w:p w:rsidR="00A90641" w:rsidRPr="009B289E" w:rsidRDefault="00A90641" w:rsidP="008F5C79">
            <w:pPr>
              <w:jc w:val="both"/>
              <w:rPr>
                <w:rFonts w:eastAsia="Calibri"/>
                <w:sz w:val="20"/>
              </w:rPr>
            </w:pPr>
            <w:r w:rsidRPr="009B289E">
              <w:rPr>
                <w:rFonts w:eastAsia="Calibri"/>
                <w:sz w:val="20"/>
              </w:rPr>
              <w:t>Neutral Citation:  2010 FCA 56</w:t>
            </w:r>
          </w:p>
        </w:tc>
        <w:tc>
          <w:tcPr>
            <w:tcW w:w="243" w:type="pct"/>
          </w:tcPr>
          <w:p w:rsidR="00A90641" w:rsidRDefault="00A90641"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Default="008F5C79" w:rsidP="00A90641">
            <w:pPr>
              <w:jc w:val="both"/>
              <w:rPr>
                <w:rFonts w:eastAsia="Calibri"/>
                <w:sz w:val="20"/>
              </w:rPr>
            </w:pPr>
          </w:p>
          <w:p w:rsidR="008F5C79" w:rsidRPr="009B289E" w:rsidRDefault="008F5C79"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Appeal dismissed</w:t>
            </w:r>
          </w:p>
          <w:p w:rsidR="00A90641" w:rsidRPr="009B289E" w:rsidRDefault="00A90641" w:rsidP="00A90641">
            <w:pPr>
              <w:jc w:val="both"/>
              <w:rPr>
                <w:rFonts w:eastAsia="Calibri"/>
                <w:sz w:val="20"/>
              </w:rPr>
            </w:pPr>
          </w:p>
        </w:tc>
      </w:tr>
      <w:tr w:rsidR="00A90641" w:rsidRPr="009B289E" w:rsidTr="00A90641">
        <w:tc>
          <w:tcPr>
            <w:tcW w:w="2427" w:type="pct"/>
          </w:tcPr>
          <w:p w:rsidR="00A90641" w:rsidRPr="009B289E" w:rsidRDefault="00A90641" w:rsidP="00A90641">
            <w:pPr>
              <w:jc w:val="both"/>
              <w:rPr>
                <w:rFonts w:eastAsia="Calibri"/>
                <w:sz w:val="20"/>
              </w:rPr>
            </w:pPr>
            <w:r w:rsidRPr="009B289E">
              <w:rPr>
                <w:rFonts w:eastAsia="Calibri"/>
                <w:sz w:val="20"/>
              </w:rPr>
              <w:t>April 23, 2010</w:t>
            </w:r>
          </w:p>
          <w:p w:rsidR="00A90641" w:rsidRPr="009B289E" w:rsidRDefault="00A90641" w:rsidP="00A90641">
            <w:pPr>
              <w:jc w:val="both"/>
              <w:rPr>
                <w:rFonts w:eastAsia="Calibri"/>
                <w:sz w:val="20"/>
              </w:rPr>
            </w:pPr>
            <w:r w:rsidRPr="009B289E">
              <w:rPr>
                <w:rFonts w:eastAsia="Calibri"/>
                <w:sz w:val="20"/>
              </w:rPr>
              <w:t>Supreme Court of Canada</w:t>
            </w:r>
          </w:p>
        </w:tc>
        <w:tc>
          <w:tcPr>
            <w:tcW w:w="243" w:type="pct"/>
          </w:tcPr>
          <w:p w:rsidR="00A90641" w:rsidRPr="009B289E" w:rsidRDefault="00A90641" w:rsidP="00A90641">
            <w:pPr>
              <w:jc w:val="both"/>
              <w:rPr>
                <w:rFonts w:eastAsia="Calibri"/>
                <w:sz w:val="20"/>
              </w:rPr>
            </w:pPr>
          </w:p>
        </w:tc>
        <w:tc>
          <w:tcPr>
            <w:tcW w:w="2330" w:type="pct"/>
          </w:tcPr>
          <w:p w:rsidR="00A90641" w:rsidRPr="009B289E" w:rsidRDefault="00A90641" w:rsidP="00A90641">
            <w:pPr>
              <w:jc w:val="both"/>
              <w:rPr>
                <w:rFonts w:eastAsia="Calibri"/>
                <w:sz w:val="20"/>
              </w:rPr>
            </w:pPr>
            <w:r w:rsidRPr="009B289E">
              <w:rPr>
                <w:rFonts w:eastAsia="Calibri"/>
                <w:sz w:val="20"/>
              </w:rPr>
              <w:t>Application for leave to appeal filed</w:t>
            </w:r>
          </w:p>
          <w:p w:rsidR="00A90641" w:rsidRPr="009B289E" w:rsidRDefault="00A90641" w:rsidP="00A90641">
            <w:pPr>
              <w:jc w:val="both"/>
              <w:rPr>
                <w:rFonts w:eastAsia="Calibri"/>
                <w:sz w:val="20"/>
              </w:rPr>
            </w:pPr>
          </w:p>
        </w:tc>
      </w:tr>
    </w:tbl>
    <w:p w:rsidR="00A90641" w:rsidRDefault="006D705A" w:rsidP="00A90641">
      <w:pPr>
        <w:rPr>
          <w:sz w:val="20"/>
          <w:szCs w:val="20"/>
          <w:lang w:val="fr-CA"/>
        </w:rPr>
      </w:pPr>
      <w:r w:rsidRPr="006D705A">
        <w:rPr>
          <w:sz w:val="20"/>
          <w:szCs w:val="20"/>
          <w:lang w:val="fr-CA"/>
        </w:rPr>
        <w:pict>
          <v:rect id="_x0000_i1041" style="width:2in;height:1pt" o:hrpct="0" o:hralign="center" o:hrstd="t" o:hrnoshade="t" o:hr="t" fillcolor="black [3213]" stroked="f"/>
        </w:pict>
      </w:r>
    </w:p>
    <w:p w:rsidR="00A90641" w:rsidRDefault="00A90641" w:rsidP="00A90641">
      <w:pPr>
        <w:rPr>
          <w:sz w:val="20"/>
          <w:szCs w:val="20"/>
        </w:rPr>
      </w:pPr>
    </w:p>
    <w:p w:rsidR="00A90641" w:rsidRPr="00D15140" w:rsidRDefault="00A90641" w:rsidP="00A90641">
      <w:pPr>
        <w:rPr>
          <w:sz w:val="20"/>
          <w:szCs w:val="20"/>
        </w:rPr>
      </w:pPr>
      <w:r>
        <w:rPr>
          <w:sz w:val="20"/>
          <w:szCs w:val="20"/>
          <w:u w:val="single"/>
        </w:rPr>
        <w:t>RÉSUME DE L’AFFAIRE</w:t>
      </w:r>
    </w:p>
    <w:p w:rsidR="00A90641" w:rsidRDefault="00A90641" w:rsidP="00A90641">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A90641" w:rsidRPr="00075333" w:rsidTr="00A90641">
        <w:tc>
          <w:tcPr>
            <w:tcW w:w="5000" w:type="pct"/>
            <w:gridSpan w:val="3"/>
          </w:tcPr>
          <w:p w:rsidR="00A90641" w:rsidRPr="009B289E" w:rsidRDefault="00A90641" w:rsidP="00A90641">
            <w:pPr>
              <w:jc w:val="both"/>
              <w:rPr>
                <w:rFonts w:eastAsia="Calibri"/>
                <w:sz w:val="20"/>
                <w:lang w:val="fr-CA"/>
              </w:rPr>
            </w:pPr>
            <w:r w:rsidRPr="009B289E">
              <w:rPr>
                <w:rFonts w:eastAsia="Calibri"/>
                <w:sz w:val="20"/>
                <w:lang w:val="fr-CA"/>
              </w:rPr>
              <w:t>Contrôle judiciaire – Droits de la personne – Équité salariale – Plaignante et groupes de comparaison – Le tribunal administratif a conclu à l’inégalité salariale – Conclusion infirmée à la suite d’un contrôle judiciaire – Les juridictions inférieures ont-elles appliqué la mauvaise norme de contrôle? – Le choix du groupe de comparaison par le tribunal administratif était-il déraisonnable? – Le tribunal administratif a-t-il appliqué la bonne norme de preuve en concluant que le travail était de valeur égale? – Le tribunal administratif a-t-il commis une erreur justifiant l’infirmation de sa décision en concluant que le groupe était payé moins pour du travail de valeur égale? – Situations dans lesquelles la cour de révision peut substituer sa décision à celle du tribunal administratif spécialisé.</w:t>
            </w:r>
          </w:p>
          <w:p w:rsidR="00A90641" w:rsidRPr="009B289E" w:rsidRDefault="00A90641" w:rsidP="00A90641">
            <w:pPr>
              <w:jc w:val="both"/>
              <w:rPr>
                <w:rFonts w:eastAsia="Calibri"/>
                <w:sz w:val="20"/>
                <w:lang w:val="fr-CA"/>
              </w:rPr>
            </w:pPr>
          </w:p>
        </w:tc>
      </w:tr>
      <w:tr w:rsidR="00A90641" w:rsidRPr="00075333" w:rsidTr="00A90641">
        <w:tc>
          <w:tcPr>
            <w:tcW w:w="5000" w:type="pct"/>
            <w:gridSpan w:val="3"/>
          </w:tcPr>
          <w:p w:rsidR="00A90641" w:rsidRPr="009B289E" w:rsidRDefault="00A90641" w:rsidP="00A90641">
            <w:pPr>
              <w:jc w:val="both"/>
              <w:rPr>
                <w:rFonts w:eastAsia="Calibri"/>
                <w:sz w:val="20"/>
                <w:lang w:val="fr-CA"/>
              </w:rPr>
            </w:pPr>
            <w:r w:rsidRPr="009B289E">
              <w:rPr>
                <w:rFonts w:eastAsia="Calibri"/>
                <w:sz w:val="20"/>
                <w:lang w:val="fr-CA"/>
              </w:rPr>
              <w:t xml:space="preserve">En 1983, l’Alliance de la fonction publique du Canada a déposé contre la Société canadienne des postes une plainte dans laquelle elle alléguait que cette dernière s’était rendue coupable de discrimination salariale contre les employés d’un groupe principalement composé de femmes par rapport à la rémunération reçue par un groupe à prédominance masculine.  La Commission canadienne des droits de la personne a commencé un long processus pour déterminer le travail de valeur égale, l’a modifié en cours de route et a finalement statué qu’il y avait une différence salariale.  La Commission a renvoyé la plainte au Tribunal canadien des droits de la personne qui a conclu que les renseignements relatifs au travail qui faisait l’objet de la comparaison étaient raisonnablement fiables, « bien que situés au niveau de la sous-fourchette inférieure de la fiabilité raisonnable ».  Sa décision a été annulée à la suite d’un contrôle judiciaire et la plainte a été renvoyée au Tribunal avec comme instruction de rejeter la plainte au motif qu’elle n’est pas bien fondée selon la norme légale de preuve.  </w:t>
            </w:r>
          </w:p>
        </w:tc>
      </w:tr>
      <w:tr w:rsidR="00A90641" w:rsidRPr="00075333" w:rsidTr="008C4D49">
        <w:trPr>
          <w:cantSplit/>
        </w:trPr>
        <w:tc>
          <w:tcPr>
            <w:tcW w:w="2427" w:type="pct"/>
          </w:tcPr>
          <w:p w:rsidR="00A90641" w:rsidRPr="009B289E" w:rsidRDefault="00A90641" w:rsidP="00A90641">
            <w:pPr>
              <w:jc w:val="both"/>
              <w:rPr>
                <w:rFonts w:eastAsia="Calibri"/>
                <w:sz w:val="20"/>
                <w:lang w:val="fr-CA"/>
              </w:rPr>
            </w:pPr>
            <w:r w:rsidRPr="009B289E">
              <w:rPr>
                <w:rFonts w:eastAsia="Calibri"/>
                <w:sz w:val="20"/>
                <w:lang w:val="fr-CA"/>
              </w:rPr>
              <w:lastRenderedPageBreak/>
              <w:t>21 février 2008</w:t>
            </w:r>
          </w:p>
          <w:p w:rsidR="00A90641" w:rsidRPr="009B289E" w:rsidRDefault="00A90641" w:rsidP="00A90641">
            <w:pPr>
              <w:jc w:val="both"/>
              <w:rPr>
                <w:rFonts w:eastAsia="Calibri"/>
                <w:sz w:val="20"/>
                <w:lang w:val="fr-CA"/>
              </w:rPr>
            </w:pPr>
            <w:r w:rsidRPr="009B289E">
              <w:rPr>
                <w:rFonts w:eastAsia="Calibri"/>
                <w:sz w:val="20"/>
                <w:lang w:val="fr-CA"/>
              </w:rPr>
              <w:t>Cour fédérale</w:t>
            </w:r>
          </w:p>
          <w:p w:rsidR="00A90641" w:rsidRPr="009B289E" w:rsidRDefault="00A90641" w:rsidP="00A90641">
            <w:pPr>
              <w:jc w:val="both"/>
              <w:rPr>
                <w:rFonts w:eastAsia="Calibri"/>
                <w:sz w:val="20"/>
                <w:lang w:val="fr-CA"/>
              </w:rPr>
            </w:pPr>
            <w:r w:rsidRPr="009B289E">
              <w:rPr>
                <w:rFonts w:eastAsia="Calibri"/>
                <w:sz w:val="20"/>
                <w:lang w:val="fr-CA"/>
              </w:rPr>
              <w:t xml:space="preserve">(Juge </w:t>
            </w:r>
            <w:proofErr w:type="spellStart"/>
            <w:r w:rsidRPr="009B289E">
              <w:rPr>
                <w:rFonts w:eastAsia="Calibri"/>
                <w:sz w:val="20"/>
                <w:lang w:val="fr-CA"/>
              </w:rPr>
              <w:t>Kelen</w:t>
            </w:r>
            <w:proofErr w:type="spellEnd"/>
            <w:r w:rsidRPr="009B289E">
              <w:rPr>
                <w:rFonts w:eastAsia="Calibri"/>
                <w:sz w:val="20"/>
                <w:lang w:val="fr-CA"/>
              </w:rPr>
              <w:t>)</w:t>
            </w:r>
          </w:p>
          <w:p w:rsidR="00A90641" w:rsidRPr="009B289E" w:rsidRDefault="00A90641" w:rsidP="00A90641">
            <w:pPr>
              <w:jc w:val="both"/>
              <w:rPr>
                <w:rFonts w:eastAsia="Calibri"/>
                <w:sz w:val="20"/>
                <w:lang w:val="fr-CA"/>
              </w:rPr>
            </w:pPr>
            <w:r w:rsidRPr="009B289E">
              <w:rPr>
                <w:rFonts w:eastAsia="Calibri"/>
                <w:sz w:val="20"/>
                <w:lang w:val="fr-CA"/>
              </w:rPr>
              <w:t>Référence neutre : 2008 CF 223</w:t>
            </w:r>
          </w:p>
        </w:tc>
        <w:tc>
          <w:tcPr>
            <w:tcW w:w="243" w:type="pct"/>
          </w:tcPr>
          <w:p w:rsidR="00A90641" w:rsidRDefault="00A90641"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Pr="009B289E" w:rsidRDefault="00433B12" w:rsidP="00A90641">
            <w:pPr>
              <w:jc w:val="both"/>
              <w:rPr>
                <w:rFonts w:eastAsia="Calibri"/>
                <w:sz w:val="20"/>
                <w:lang w:val="fr-CA"/>
              </w:rPr>
            </w:pPr>
          </w:p>
        </w:tc>
        <w:tc>
          <w:tcPr>
            <w:tcW w:w="2330" w:type="pct"/>
          </w:tcPr>
          <w:p w:rsidR="00A90641" w:rsidRPr="009B289E" w:rsidRDefault="00A90641" w:rsidP="00433B12">
            <w:pPr>
              <w:jc w:val="both"/>
              <w:rPr>
                <w:rFonts w:eastAsia="Calibri"/>
                <w:sz w:val="20"/>
                <w:lang w:val="fr-CA"/>
              </w:rPr>
            </w:pPr>
            <w:r w:rsidRPr="009B289E">
              <w:rPr>
                <w:rFonts w:eastAsia="Calibri"/>
                <w:sz w:val="20"/>
                <w:lang w:val="fr-CA"/>
              </w:rPr>
              <w:t>La décision du Tribunal est infirmée et la plainte est renvoyée au Tribunal avec comme instruction de rejeter la plainte au motif qu’elle n’est pas bien fondée selon la norme légale de preuve</w:t>
            </w:r>
          </w:p>
        </w:tc>
      </w:tr>
      <w:tr w:rsidR="00A90641" w:rsidRPr="009B289E" w:rsidTr="00433B12">
        <w:trPr>
          <w:cantSplit/>
        </w:trPr>
        <w:tc>
          <w:tcPr>
            <w:tcW w:w="2427" w:type="pct"/>
          </w:tcPr>
          <w:p w:rsidR="00A90641" w:rsidRPr="009B289E" w:rsidRDefault="00A90641" w:rsidP="00A90641">
            <w:pPr>
              <w:jc w:val="both"/>
              <w:rPr>
                <w:rFonts w:eastAsia="Calibri"/>
                <w:sz w:val="20"/>
                <w:lang w:val="fr-CA"/>
              </w:rPr>
            </w:pPr>
            <w:r w:rsidRPr="009B289E">
              <w:rPr>
                <w:rFonts w:eastAsia="Calibri"/>
                <w:sz w:val="20"/>
                <w:lang w:val="fr-CA"/>
              </w:rPr>
              <w:t>22 février 2010</w:t>
            </w:r>
          </w:p>
          <w:p w:rsidR="00A90641" w:rsidRPr="009B289E" w:rsidRDefault="00A90641" w:rsidP="00A90641">
            <w:pPr>
              <w:jc w:val="both"/>
              <w:rPr>
                <w:rFonts w:eastAsia="Calibri"/>
                <w:sz w:val="20"/>
                <w:lang w:val="fr-CA"/>
              </w:rPr>
            </w:pPr>
            <w:r w:rsidRPr="009B289E">
              <w:rPr>
                <w:rFonts w:eastAsia="Calibri"/>
                <w:sz w:val="20"/>
                <w:lang w:val="fr-CA"/>
              </w:rPr>
              <w:t>Cour d’appel fédérale</w:t>
            </w:r>
          </w:p>
          <w:p w:rsidR="00A90641" w:rsidRPr="009B289E" w:rsidRDefault="00A90641" w:rsidP="00A90641">
            <w:pPr>
              <w:jc w:val="both"/>
              <w:rPr>
                <w:rFonts w:eastAsia="Calibri"/>
                <w:sz w:val="20"/>
                <w:lang w:val="fr-CA"/>
              </w:rPr>
            </w:pPr>
            <w:r w:rsidRPr="009B289E">
              <w:rPr>
                <w:rFonts w:eastAsia="Calibri"/>
                <w:sz w:val="20"/>
                <w:lang w:val="fr-CA"/>
              </w:rPr>
              <w:t xml:space="preserve">(Juges </w:t>
            </w:r>
            <w:proofErr w:type="spellStart"/>
            <w:r w:rsidRPr="009B289E">
              <w:rPr>
                <w:rFonts w:eastAsia="Calibri"/>
                <w:sz w:val="20"/>
                <w:lang w:val="fr-CA"/>
              </w:rPr>
              <w:t>Sexton</w:t>
            </w:r>
            <w:proofErr w:type="spellEnd"/>
            <w:r w:rsidRPr="009B289E">
              <w:rPr>
                <w:rFonts w:eastAsia="Calibri"/>
                <w:sz w:val="20"/>
                <w:lang w:val="fr-CA"/>
              </w:rPr>
              <w:t xml:space="preserve">, Evans (dissident) et </w:t>
            </w:r>
            <w:proofErr w:type="spellStart"/>
            <w:r w:rsidRPr="009B289E">
              <w:rPr>
                <w:rFonts w:eastAsia="Calibri"/>
                <w:sz w:val="20"/>
                <w:lang w:val="fr-CA"/>
              </w:rPr>
              <w:t>Ryer</w:t>
            </w:r>
            <w:proofErr w:type="spellEnd"/>
            <w:r w:rsidRPr="009B289E">
              <w:rPr>
                <w:rFonts w:eastAsia="Calibri"/>
                <w:sz w:val="20"/>
                <w:lang w:val="fr-CA"/>
              </w:rPr>
              <w:t>)</w:t>
            </w:r>
          </w:p>
          <w:p w:rsidR="00A90641" w:rsidRPr="009B289E" w:rsidRDefault="00A90641" w:rsidP="00433B12">
            <w:pPr>
              <w:jc w:val="both"/>
              <w:rPr>
                <w:rFonts w:eastAsia="Calibri"/>
                <w:sz w:val="20"/>
                <w:lang w:val="fr-CA"/>
              </w:rPr>
            </w:pPr>
            <w:r w:rsidRPr="009B289E">
              <w:rPr>
                <w:rFonts w:eastAsia="Calibri"/>
                <w:sz w:val="20"/>
                <w:lang w:val="fr-CA"/>
              </w:rPr>
              <w:t>Référence neutre : 2010 CAF 56</w:t>
            </w:r>
          </w:p>
        </w:tc>
        <w:tc>
          <w:tcPr>
            <w:tcW w:w="243" w:type="pct"/>
          </w:tcPr>
          <w:p w:rsidR="00A90641" w:rsidRDefault="00A90641"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Default="00433B12" w:rsidP="00A90641">
            <w:pPr>
              <w:jc w:val="both"/>
              <w:rPr>
                <w:rFonts w:eastAsia="Calibri"/>
                <w:sz w:val="20"/>
                <w:lang w:val="fr-CA"/>
              </w:rPr>
            </w:pPr>
          </w:p>
          <w:p w:rsidR="00433B12" w:rsidRPr="009B289E" w:rsidRDefault="00433B12" w:rsidP="00A90641">
            <w:pPr>
              <w:jc w:val="both"/>
              <w:rPr>
                <w:rFonts w:eastAsia="Calibri"/>
                <w:sz w:val="20"/>
                <w:lang w:val="fr-CA"/>
              </w:rPr>
            </w:pPr>
          </w:p>
        </w:tc>
        <w:tc>
          <w:tcPr>
            <w:tcW w:w="2330" w:type="pct"/>
          </w:tcPr>
          <w:p w:rsidR="00A90641" w:rsidRPr="009B289E" w:rsidRDefault="00A90641" w:rsidP="00A90641">
            <w:pPr>
              <w:jc w:val="both"/>
              <w:rPr>
                <w:rFonts w:eastAsia="Calibri"/>
                <w:sz w:val="20"/>
                <w:lang w:val="fr-CA"/>
              </w:rPr>
            </w:pPr>
            <w:r w:rsidRPr="009B289E">
              <w:rPr>
                <w:rFonts w:eastAsia="Calibri"/>
                <w:sz w:val="20"/>
                <w:lang w:val="fr-CA"/>
              </w:rPr>
              <w:t>Appel rejeté</w:t>
            </w:r>
          </w:p>
          <w:p w:rsidR="00A90641" w:rsidRPr="009B289E" w:rsidRDefault="00A90641" w:rsidP="00A90641">
            <w:pPr>
              <w:jc w:val="both"/>
              <w:rPr>
                <w:rFonts w:eastAsia="Calibri"/>
                <w:sz w:val="20"/>
                <w:lang w:val="fr-CA"/>
              </w:rPr>
            </w:pPr>
          </w:p>
        </w:tc>
      </w:tr>
      <w:tr w:rsidR="00A90641" w:rsidRPr="009B289E" w:rsidTr="00433B12">
        <w:trPr>
          <w:cantSplit/>
        </w:trPr>
        <w:tc>
          <w:tcPr>
            <w:tcW w:w="2427" w:type="pct"/>
          </w:tcPr>
          <w:p w:rsidR="00A90641" w:rsidRPr="009B289E" w:rsidRDefault="00A90641" w:rsidP="00A90641">
            <w:pPr>
              <w:jc w:val="both"/>
              <w:rPr>
                <w:rFonts w:eastAsia="Calibri"/>
                <w:sz w:val="20"/>
                <w:lang w:val="fr-CA"/>
              </w:rPr>
            </w:pPr>
            <w:r w:rsidRPr="009B289E">
              <w:rPr>
                <w:rFonts w:eastAsia="Calibri"/>
                <w:sz w:val="20"/>
                <w:lang w:val="fr-CA"/>
              </w:rPr>
              <w:t>23 avril 2010</w:t>
            </w:r>
          </w:p>
          <w:p w:rsidR="00A90641" w:rsidRPr="009B289E" w:rsidRDefault="00A90641" w:rsidP="00A90641">
            <w:pPr>
              <w:jc w:val="both"/>
              <w:rPr>
                <w:rFonts w:eastAsia="Calibri"/>
                <w:sz w:val="20"/>
                <w:lang w:val="fr-CA"/>
              </w:rPr>
            </w:pPr>
            <w:r w:rsidRPr="009B289E">
              <w:rPr>
                <w:rFonts w:eastAsia="Calibri"/>
                <w:sz w:val="20"/>
                <w:lang w:val="fr-CA"/>
              </w:rPr>
              <w:t>Cour suprême du Canada</w:t>
            </w:r>
          </w:p>
        </w:tc>
        <w:tc>
          <w:tcPr>
            <w:tcW w:w="243" w:type="pct"/>
          </w:tcPr>
          <w:p w:rsidR="00A90641" w:rsidRPr="009B289E" w:rsidRDefault="00A90641" w:rsidP="00A90641">
            <w:pPr>
              <w:jc w:val="both"/>
              <w:rPr>
                <w:rFonts w:eastAsia="Calibri"/>
                <w:sz w:val="20"/>
                <w:lang w:val="fr-CA"/>
              </w:rPr>
            </w:pPr>
          </w:p>
        </w:tc>
        <w:tc>
          <w:tcPr>
            <w:tcW w:w="2330" w:type="pct"/>
          </w:tcPr>
          <w:p w:rsidR="00A90641" w:rsidRPr="009B289E" w:rsidRDefault="00A90641" w:rsidP="00A90641">
            <w:pPr>
              <w:jc w:val="both"/>
              <w:rPr>
                <w:rFonts w:eastAsia="Calibri"/>
                <w:sz w:val="20"/>
                <w:lang w:val="fr-CA"/>
              </w:rPr>
            </w:pPr>
            <w:r w:rsidRPr="009B289E">
              <w:rPr>
                <w:rFonts w:eastAsia="Calibri"/>
                <w:sz w:val="20"/>
                <w:lang w:val="fr-CA"/>
              </w:rPr>
              <w:t>Demande d’autorisation d’appel déposée</w:t>
            </w:r>
          </w:p>
          <w:p w:rsidR="00A90641" w:rsidRPr="009B289E" w:rsidRDefault="00A90641" w:rsidP="00A90641">
            <w:pPr>
              <w:jc w:val="both"/>
              <w:rPr>
                <w:rFonts w:eastAsia="Calibri"/>
                <w:sz w:val="20"/>
                <w:lang w:val="fr-CA"/>
              </w:rPr>
            </w:pPr>
          </w:p>
        </w:tc>
      </w:tr>
    </w:tbl>
    <w:p w:rsidR="00A90641" w:rsidRDefault="006D705A" w:rsidP="00A90641">
      <w:pPr>
        <w:rPr>
          <w:sz w:val="20"/>
          <w:szCs w:val="20"/>
          <w:lang w:val="fr-CA"/>
        </w:rPr>
      </w:pPr>
      <w:r w:rsidRPr="006D705A">
        <w:rPr>
          <w:sz w:val="20"/>
          <w:szCs w:val="20"/>
          <w:lang w:val="fr-CA"/>
        </w:rPr>
        <w:pict>
          <v:rect id="_x0000_i1042" style="width:2in;height:1pt" o:hrpct="0" o:hralign="center" o:hrstd="t" o:hrnoshade="t" o:hr="t" fillcolor="black [3213]" stroked="f"/>
        </w:pict>
      </w:r>
    </w:p>
    <w:p w:rsidR="00A90641" w:rsidRDefault="00A90641" w:rsidP="00A906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0641" w:rsidRPr="00A90641" w:rsidTr="00A90641">
        <w:trPr>
          <w:cantSplit/>
        </w:trPr>
        <w:tc>
          <w:tcPr>
            <w:tcW w:w="1458" w:type="dxa"/>
          </w:tcPr>
          <w:p w:rsidR="00A90641" w:rsidRPr="00A90641" w:rsidRDefault="00A90641" w:rsidP="00A90641">
            <w:pPr>
              <w:rPr>
                <w:sz w:val="20"/>
                <w:szCs w:val="20"/>
              </w:rPr>
            </w:pPr>
            <w:r w:rsidRPr="00A90641">
              <w:rPr>
                <w:rStyle w:val="SCCFileNumberChar"/>
                <w:sz w:val="20"/>
                <w:szCs w:val="20"/>
              </w:rPr>
              <w:t>33694</w:t>
            </w:r>
          </w:p>
          <w:p w:rsidR="00A90641" w:rsidRPr="00A90641" w:rsidRDefault="00A90641" w:rsidP="00A90641">
            <w:pPr>
              <w:rPr>
                <w:b/>
                <w:sz w:val="20"/>
                <w:szCs w:val="20"/>
                <w:lang w:val="fr-CA"/>
              </w:rPr>
            </w:pPr>
          </w:p>
        </w:tc>
        <w:tc>
          <w:tcPr>
            <w:tcW w:w="8118" w:type="dxa"/>
          </w:tcPr>
          <w:p w:rsidR="00A90641" w:rsidRPr="00A90641" w:rsidRDefault="00A90641" w:rsidP="00A90641">
            <w:pPr>
              <w:rPr>
                <w:sz w:val="20"/>
                <w:szCs w:val="20"/>
              </w:rPr>
            </w:pPr>
            <w:r w:rsidRPr="00A90641">
              <w:rPr>
                <w:rStyle w:val="SCCLsocChar"/>
                <w:sz w:val="20"/>
                <w:szCs w:val="20"/>
                <w:lang w:val="en-CA"/>
              </w:rPr>
              <w:t>Larry Wayne Jesse v. Her Majesty the Queen</w:t>
            </w:r>
            <w:r w:rsidRPr="00A90641">
              <w:rPr>
                <w:sz w:val="20"/>
                <w:szCs w:val="20"/>
              </w:rPr>
              <w:t xml:space="preserve"> (B.C.) (Criminal) (By Leave)</w:t>
            </w:r>
          </w:p>
          <w:p w:rsidR="00A90641" w:rsidRPr="00A90641" w:rsidRDefault="00A90641" w:rsidP="00A90641">
            <w:pPr>
              <w:rPr>
                <w:sz w:val="20"/>
                <w:szCs w:val="20"/>
              </w:rPr>
            </w:pPr>
          </w:p>
        </w:tc>
      </w:tr>
      <w:tr w:rsidR="00A90641" w:rsidRPr="00A90641" w:rsidTr="00A90641">
        <w:trPr>
          <w:cantSplit/>
        </w:trPr>
        <w:tc>
          <w:tcPr>
            <w:tcW w:w="1458" w:type="dxa"/>
          </w:tcPr>
          <w:p w:rsidR="00A90641" w:rsidRPr="00A90641" w:rsidRDefault="00A90641" w:rsidP="00A90641">
            <w:pPr>
              <w:rPr>
                <w:sz w:val="20"/>
                <w:szCs w:val="20"/>
              </w:rPr>
            </w:pPr>
            <w:r w:rsidRPr="00A90641">
              <w:rPr>
                <w:sz w:val="20"/>
                <w:szCs w:val="20"/>
              </w:rPr>
              <w:t>Coram :</w:t>
            </w:r>
          </w:p>
        </w:tc>
        <w:tc>
          <w:tcPr>
            <w:tcW w:w="8118" w:type="dxa"/>
          </w:tcPr>
          <w:p w:rsidR="00A90641" w:rsidRPr="00A90641" w:rsidRDefault="00A90641" w:rsidP="00A90641">
            <w:pPr>
              <w:rPr>
                <w:sz w:val="20"/>
                <w:szCs w:val="20"/>
              </w:rPr>
            </w:pPr>
            <w:proofErr w:type="spellStart"/>
            <w:r w:rsidRPr="00A90641">
              <w:rPr>
                <w:rStyle w:val="SCCCoramChar"/>
                <w:sz w:val="20"/>
                <w:szCs w:val="20"/>
                <w:lang w:val="en-CA"/>
              </w:rPr>
              <w:t>McLachlin</w:t>
            </w:r>
            <w:proofErr w:type="spellEnd"/>
            <w:r w:rsidRPr="00A90641">
              <w:rPr>
                <w:rStyle w:val="SCCCoramChar"/>
                <w:sz w:val="20"/>
                <w:szCs w:val="20"/>
                <w:lang w:val="en-CA"/>
              </w:rPr>
              <w:t xml:space="preserve"> C.J. and </w:t>
            </w:r>
            <w:proofErr w:type="spellStart"/>
            <w:r w:rsidRPr="00A90641">
              <w:rPr>
                <w:rStyle w:val="SCCCoramChar"/>
                <w:sz w:val="20"/>
                <w:szCs w:val="20"/>
                <w:lang w:val="en-CA"/>
              </w:rPr>
              <w:t>Abella</w:t>
            </w:r>
            <w:proofErr w:type="spellEnd"/>
            <w:r w:rsidRPr="00A90641">
              <w:rPr>
                <w:rStyle w:val="SCCCoramChar"/>
                <w:sz w:val="20"/>
                <w:szCs w:val="20"/>
                <w:lang w:val="en-CA"/>
              </w:rPr>
              <w:t xml:space="preserve"> and Cromwell JJ.</w:t>
            </w:r>
          </w:p>
          <w:p w:rsidR="00A90641" w:rsidRPr="00A90641" w:rsidRDefault="00A90641" w:rsidP="00A90641">
            <w:pPr>
              <w:rPr>
                <w:sz w:val="20"/>
                <w:szCs w:val="20"/>
                <w:u w:val="single"/>
              </w:rPr>
            </w:pPr>
          </w:p>
        </w:tc>
      </w:tr>
      <w:tr w:rsidR="00A90641" w:rsidRPr="00075333" w:rsidTr="00A90641">
        <w:trPr>
          <w:cantSplit/>
        </w:trPr>
        <w:tc>
          <w:tcPr>
            <w:tcW w:w="9576" w:type="dxa"/>
            <w:gridSpan w:val="2"/>
          </w:tcPr>
          <w:p w:rsidR="00A90641" w:rsidRPr="00A90641" w:rsidRDefault="00A90641" w:rsidP="00A90641">
            <w:pPr>
              <w:pStyle w:val="SCCShortJudgment"/>
              <w:rPr>
                <w:szCs w:val="20"/>
              </w:rPr>
            </w:pPr>
            <w:r w:rsidRPr="00A90641">
              <w:rPr>
                <w:szCs w:val="20"/>
              </w:rPr>
              <w:t>The application for leave to appeal from the judgment of the Court of Appeal for British Columbia (Vancouver), Number CA035638, 2010 BCCA 108, dated March 9, 2010, is granted without costs.</w:t>
            </w:r>
          </w:p>
          <w:p w:rsidR="00A90641" w:rsidRPr="00A90641" w:rsidRDefault="00A90641" w:rsidP="00A90641">
            <w:pPr>
              <w:pStyle w:val="SCCShortJudgment"/>
              <w:ind w:firstLine="0"/>
              <w:rPr>
                <w:szCs w:val="20"/>
              </w:rPr>
            </w:pPr>
          </w:p>
          <w:p w:rsidR="00A90641" w:rsidRPr="00A90641" w:rsidRDefault="00A90641" w:rsidP="00433B12">
            <w:pPr>
              <w:pStyle w:val="SCCShortJudgment"/>
              <w:rPr>
                <w:szCs w:val="20"/>
                <w:lang w:val="fr-CA"/>
              </w:rPr>
            </w:pPr>
            <w:r w:rsidRPr="00A90641">
              <w:rPr>
                <w:szCs w:val="20"/>
                <w:lang w:val="fr-CA"/>
              </w:rPr>
              <w:t>La demande d’autorisation d’appel de l’arrêt de la Cour d’appel de la Colombie-Britannique (Vancouver), numéro CA035638, 2010 BCCA 108, daté du 9 mars 2010, est accordée sans dépens.</w:t>
            </w:r>
          </w:p>
        </w:tc>
      </w:tr>
    </w:tbl>
    <w:p w:rsidR="00A90641" w:rsidRPr="00A90641" w:rsidRDefault="00A90641" w:rsidP="00A90641">
      <w:pPr>
        <w:rPr>
          <w:sz w:val="20"/>
          <w:szCs w:val="20"/>
          <w:lang w:val="fr-CA"/>
        </w:rPr>
      </w:pPr>
    </w:p>
    <w:p w:rsidR="00A90641" w:rsidRDefault="00A90641" w:rsidP="00A90641">
      <w:pPr>
        <w:rPr>
          <w:sz w:val="20"/>
          <w:szCs w:val="20"/>
        </w:rPr>
      </w:pPr>
      <w:r>
        <w:rPr>
          <w:sz w:val="20"/>
          <w:szCs w:val="20"/>
          <w:u w:val="single"/>
        </w:rPr>
        <w:t>CASE SUMMARY</w:t>
      </w:r>
    </w:p>
    <w:p w:rsidR="00A90641" w:rsidRDefault="00A90641" w:rsidP="00A90641">
      <w:pPr>
        <w:rPr>
          <w:sz w:val="20"/>
          <w:szCs w:val="20"/>
        </w:rPr>
      </w:pPr>
    </w:p>
    <w:tbl>
      <w:tblPr>
        <w:tblW w:w="4953" w:type="pct"/>
        <w:tblLayout w:type="fixed"/>
        <w:tblCellMar>
          <w:left w:w="0" w:type="dxa"/>
          <w:bottom w:w="99" w:type="dxa"/>
          <w:right w:w="0" w:type="dxa"/>
        </w:tblCellMar>
        <w:tblLook w:val="04A0"/>
      </w:tblPr>
      <w:tblGrid>
        <w:gridCol w:w="4625"/>
        <w:gridCol w:w="465"/>
        <w:gridCol w:w="4439"/>
      </w:tblGrid>
      <w:tr w:rsidR="00972622" w:rsidRPr="009B289E" w:rsidTr="00BD69BA">
        <w:tc>
          <w:tcPr>
            <w:tcW w:w="5000" w:type="pct"/>
            <w:gridSpan w:val="3"/>
          </w:tcPr>
          <w:p w:rsidR="00972622" w:rsidRPr="009B289E" w:rsidRDefault="00972622" w:rsidP="00BD69BA">
            <w:pPr>
              <w:rPr>
                <w:rFonts w:eastAsia="Calibri"/>
                <w:smallCaps/>
                <w:sz w:val="20"/>
              </w:rPr>
            </w:pPr>
            <w:r w:rsidRPr="009B289E">
              <w:rPr>
                <w:rFonts w:eastAsia="Calibri"/>
                <w:smallCaps/>
                <w:sz w:val="20"/>
              </w:rPr>
              <w:t>(Publication ban in case)</w:t>
            </w:r>
          </w:p>
          <w:p w:rsidR="00972622" w:rsidRPr="009B289E" w:rsidRDefault="00972622" w:rsidP="00BD69BA">
            <w:pPr>
              <w:rPr>
                <w:rFonts w:eastAsia="Calibri"/>
                <w:sz w:val="20"/>
              </w:rPr>
            </w:pPr>
          </w:p>
          <w:p w:rsidR="00972622" w:rsidRPr="009B289E" w:rsidRDefault="00972622" w:rsidP="00BD69BA">
            <w:pPr>
              <w:jc w:val="both"/>
              <w:rPr>
                <w:rFonts w:eastAsia="Calibri"/>
                <w:sz w:val="20"/>
              </w:rPr>
            </w:pPr>
            <w:r w:rsidRPr="009B289E">
              <w:rPr>
                <w:rFonts w:eastAsia="Calibri"/>
                <w:sz w:val="20"/>
              </w:rPr>
              <w:t xml:space="preserve">Criminal law – Evidence – Similar fact evidence – </w:t>
            </w:r>
            <w:proofErr w:type="spellStart"/>
            <w:r w:rsidRPr="009B289E">
              <w:rPr>
                <w:rFonts w:eastAsia="Calibri"/>
                <w:i/>
                <w:sz w:val="20"/>
              </w:rPr>
              <w:t>Voir</w:t>
            </w:r>
            <w:proofErr w:type="spellEnd"/>
            <w:r w:rsidRPr="009B289E">
              <w:rPr>
                <w:rFonts w:eastAsia="Calibri"/>
                <w:i/>
                <w:sz w:val="20"/>
              </w:rPr>
              <w:t xml:space="preserve"> dire</w:t>
            </w:r>
            <w:r w:rsidRPr="009B289E">
              <w:rPr>
                <w:rFonts w:eastAsia="Calibri"/>
                <w:sz w:val="20"/>
              </w:rPr>
              <w:t xml:space="preserve"> - Admissibility - Does the Crown have the right to file an </w:t>
            </w:r>
            <w:proofErr w:type="spellStart"/>
            <w:r w:rsidRPr="009B289E">
              <w:rPr>
                <w:rFonts w:eastAsia="Calibri"/>
                <w:sz w:val="20"/>
              </w:rPr>
              <w:t>accused’s</w:t>
            </w:r>
            <w:proofErr w:type="spellEnd"/>
            <w:r w:rsidRPr="009B289E">
              <w:rPr>
                <w:rFonts w:eastAsia="Calibri"/>
                <w:sz w:val="20"/>
              </w:rPr>
              <w:t xml:space="preserve"> prior conviction of sexual assault to establish the evidentiary link between the accused and the prior conduct - If so, does an accused have the right to challenge the validity of his prior conviction - Do the common law doctrines of issue </w:t>
            </w:r>
            <w:proofErr w:type="spellStart"/>
            <w:r w:rsidRPr="009B289E">
              <w:rPr>
                <w:rFonts w:eastAsia="Calibri"/>
                <w:sz w:val="20"/>
              </w:rPr>
              <w:t>estoppel</w:t>
            </w:r>
            <w:proofErr w:type="spellEnd"/>
            <w:r w:rsidRPr="009B289E">
              <w:rPr>
                <w:rFonts w:eastAsia="Calibri"/>
                <w:sz w:val="20"/>
              </w:rPr>
              <w:t xml:space="preserve"> and abuse of process trump an </w:t>
            </w:r>
            <w:proofErr w:type="spellStart"/>
            <w:r w:rsidRPr="009B289E">
              <w:rPr>
                <w:rFonts w:eastAsia="Calibri"/>
                <w:sz w:val="20"/>
              </w:rPr>
              <w:t>accused’s</w:t>
            </w:r>
            <w:proofErr w:type="spellEnd"/>
            <w:r w:rsidRPr="009B289E">
              <w:rPr>
                <w:rFonts w:eastAsia="Calibri"/>
                <w:sz w:val="20"/>
              </w:rPr>
              <w:t xml:space="preserve"> constitutional right to make full answer and defence?</w:t>
            </w:r>
          </w:p>
        </w:tc>
      </w:tr>
      <w:tr w:rsidR="00972622" w:rsidRPr="009B289E" w:rsidTr="00BD69BA">
        <w:tc>
          <w:tcPr>
            <w:tcW w:w="5000" w:type="pct"/>
            <w:gridSpan w:val="3"/>
          </w:tcPr>
          <w:p w:rsidR="00972622" w:rsidRDefault="00972622" w:rsidP="00BD69BA">
            <w:pPr>
              <w:jc w:val="both"/>
              <w:rPr>
                <w:rFonts w:eastAsia="Calibri"/>
                <w:sz w:val="20"/>
              </w:rPr>
            </w:pPr>
          </w:p>
          <w:p w:rsidR="00972622" w:rsidRPr="009B289E" w:rsidRDefault="00972622" w:rsidP="00BD69BA">
            <w:pPr>
              <w:jc w:val="both"/>
              <w:rPr>
                <w:rFonts w:eastAsia="Calibri"/>
                <w:sz w:val="20"/>
              </w:rPr>
            </w:pPr>
            <w:r w:rsidRPr="009B289E">
              <w:rPr>
                <w:rFonts w:eastAsia="Calibri"/>
                <w:sz w:val="20"/>
              </w:rPr>
              <w:t xml:space="preserve">Jesse and J.M. were at the same house party, but they did not know each other and had little to do with one another during the evening. J.M. had passed out in a corner of the dining room when Jesse and several others left the house, leaving J.M. and an intoxicated, unconscious male in the unlocked house. Two residents of the house attempted to find Jesse on the road to give him a ride home. When they were unable to find him, they returned to the house, but found that the door was now locked. When they knocked, Jesse unlocked the door and immediately left. J.M. was found inside, still passed out, but in a different part of the dining </w:t>
            </w:r>
            <w:proofErr w:type="gramStart"/>
            <w:r w:rsidRPr="009B289E">
              <w:rPr>
                <w:rFonts w:eastAsia="Calibri"/>
                <w:sz w:val="20"/>
              </w:rPr>
              <w:t>room,</w:t>
            </w:r>
            <w:proofErr w:type="gramEnd"/>
            <w:r w:rsidRPr="009B289E">
              <w:rPr>
                <w:rFonts w:eastAsia="Calibri"/>
                <w:sz w:val="20"/>
              </w:rPr>
              <w:t xml:space="preserve"> and naked from the waist down. There were certain out-of-place blunt objects from the bathroom near her. The police were called, but they were unable to interview J.M. due to her state of intoxication. The following morning, J.M. excreted a wine cork from her vagina. The central question at trial was how the wine cork came to be inside her and who had put it there.</w:t>
            </w:r>
          </w:p>
          <w:p w:rsidR="00972622" w:rsidRPr="009B289E" w:rsidRDefault="00972622" w:rsidP="00BD69BA">
            <w:pPr>
              <w:jc w:val="both"/>
              <w:rPr>
                <w:rFonts w:eastAsia="Calibri"/>
                <w:sz w:val="20"/>
              </w:rPr>
            </w:pPr>
          </w:p>
          <w:p w:rsidR="00972622" w:rsidRPr="009B289E" w:rsidRDefault="00972622" w:rsidP="00FB1FBD">
            <w:pPr>
              <w:jc w:val="both"/>
              <w:rPr>
                <w:rFonts w:eastAsia="Calibri"/>
                <w:sz w:val="20"/>
              </w:rPr>
            </w:pPr>
            <w:r w:rsidRPr="009B289E">
              <w:rPr>
                <w:rFonts w:eastAsia="Calibri"/>
                <w:sz w:val="20"/>
              </w:rPr>
              <w:t xml:space="preserve">At trial, the Crown sought to introduce similar fact evidence of Jesse’s conviction in another sexual assault 12 years before. Jesse had not appealed the conviction, and it had not otherwise been brought into question. The trial judge admitted the similar fact evidence, and held that Jesse was not able to challenge the conviction on a </w:t>
            </w:r>
            <w:proofErr w:type="spellStart"/>
            <w:r w:rsidRPr="009B289E">
              <w:rPr>
                <w:rFonts w:eastAsia="Calibri"/>
                <w:i/>
                <w:sz w:val="20"/>
              </w:rPr>
              <w:t>voir</w:t>
            </w:r>
            <w:proofErr w:type="spellEnd"/>
            <w:r w:rsidRPr="009B289E">
              <w:rPr>
                <w:rFonts w:eastAsia="Calibri"/>
                <w:i/>
                <w:sz w:val="20"/>
              </w:rPr>
              <w:t xml:space="preserve"> dire</w:t>
            </w:r>
            <w:r w:rsidRPr="009B289E">
              <w:rPr>
                <w:rFonts w:eastAsia="Calibri"/>
                <w:sz w:val="20"/>
              </w:rPr>
              <w:t xml:space="preserve"> with respect to the similar fact evidence and found that, in that context, the previous conviction was </w:t>
            </w:r>
            <w:r w:rsidRPr="009B289E">
              <w:rPr>
                <w:rFonts w:eastAsia="Calibri"/>
                <w:i/>
                <w:sz w:val="20"/>
              </w:rPr>
              <w:t xml:space="preserve">res </w:t>
            </w:r>
            <w:proofErr w:type="spellStart"/>
            <w:r w:rsidRPr="009B289E">
              <w:rPr>
                <w:rFonts w:eastAsia="Calibri"/>
                <w:i/>
                <w:sz w:val="20"/>
              </w:rPr>
              <w:t>judicata</w:t>
            </w:r>
            <w:proofErr w:type="spellEnd"/>
            <w:r w:rsidRPr="009B289E">
              <w:rPr>
                <w:rFonts w:eastAsia="Calibri"/>
                <w:sz w:val="20"/>
              </w:rPr>
              <w:t xml:space="preserve"> and Jesse was therefore </w:t>
            </w:r>
            <w:proofErr w:type="spellStart"/>
            <w:r w:rsidRPr="009B289E">
              <w:rPr>
                <w:rFonts w:eastAsia="Calibri"/>
                <w:sz w:val="20"/>
              </w:rPr>
              <w:t>estopped</w:t>
            </w:r>
            <w:proofErr w:type="spellEnd"/>
            <w:r w:rsidRPr="009B289E">
              <w:rPr>
                <w:rFonts w:eastAsia="Calibri"/>
                <w:sz w:val="20"/>
              </w:rPr>
              <w:t xml:space="preserve"> from challenging it, but that he would be able to challenge it in the trial proper. The defence brought a further </w:t>
            </w:r>
            <w:proofErr w:type="spellStart"/>
            <w:r w:rsidRPr="009B289E">
              <w:rPr>
                <w:rFonts w:eastAsia="Calibri"/>
                <w:i/>
                <w:sz w:val="20"/>
              </w:rPr>
              <w:t>voir</w:t>
            </w:r>
            <w:proofErr w:type="spellEnd"/>
            <w:r w:rsidRPr="009B289E">
              <w:rPr>
                <w:rFonts w:eastAsia="Calibri"/>
                <w:i/>
                <w:sz w:val="20"/>
              </w:rPr>
              <w:t xml:space="preserve"> dire</w:t>
            </w:r>
            <w:r w:rsidRPr="009B289E">
              <w:rPr>
                <w:rFonts w:eastAsia="Calibri"/>
                <w:sz w:val="20"/>
              </w:rPr>
              <w:t xml:space="preserve"> in relation to </w:t>
            </w:r>
            <w:r w:rsidRPr="009B289E">
              <w:rPr>
                <w:rFonts w:eastAsia="Calibri"/>
                <w:i/>
                <w:sz w:val="20"/>
              </w:rPr>
              <w:t>Charter</w:t>
            </w:r>
            <w:r w:rsidRPr="009B289E">
              <w:rPr>
                <w:rFonts w:eastAsia="Calibri"/>
                <w:sz w:val="20"/>
              </w:rPr>
              <w:t xml:space="preserve"> issues, but it was also unsuccessful. The trial judge convicted Jesse on the charge of sexual assault. In the meantime, </w:t>
            </w:r>
            <w:r w:rsidRPr="009B289E">
              <w:rPr>
                <w:rFonts w:eastAsia="Calibri"/>
                <w:i/>
                <w:sz w:val="20"/>
              </w:rPr>
              <w:t xml:space="preserve">R. v. </w:t>
            </w:r>
            <w:proofErr w:type="spellStart"/>
            <w:r w:rsidRPr="009B289E">
              <w:rPr>
                <w:rFonts w:eastAsia="Calibri"/>
                <w:i/>
                <w:sz w:val="20"/>
              </w:rPr>
              <w:t>Mahalingan</w:t>
            </w:r>
            <w:proofErr w:type="spellEnd"/>
            <w:r w:rsidRPr="009B289E">
              <w:rPr>
                <w:rFonts w:eastAsia="Calibri"/>
                <w:sz w:val="20"/>
              </w:rPr>
              <w:t>, 2008 SCC 63, [2008] 3 S.C.R. 316, was decided. The Court of Appeal denied an appeal against conviction.</w:t>
            </w:r>
          </w:p>
        </w:tc>
      </w:tr>
      <w:tr w:rsidR="00972622" w:rsidRPr="009B289E" w:rsidTr="00BD69BA">
        <w:tc>
          <w:tcPr>
            <w:tcW w:w="2427" w:type="pct"/>
          </w:tcPr>
          <w:p w:rsidR="00972622" w:rsidRPr="009B289E" w:rsidRDefault="00972622" w:rsidP="00BD69BA">
            <w:pPr>
              <w:jc w:val="both"/>
              <w:rPr>
                <w:rFonts w:eastAsia="Calibri"/>
                <w:sz w:val="20"/>
              </w:rPr>
            </w:pPr>
            <w:r w:rsidRPr="009B289E">
              <w:rPr>
                <w:rFonts w:eastAsia="Calibri"/>
                <w:sz w:val="20"/>
              </w:rPr>
              <w:lastRenderedPageBreak/>
              <w:t>September 7, 2007</w:t>
            </w:r>
          </w:p>
          <w:p w:rsidR="00972622" w:rsidRPr="009B289E" w:rsidRDefault="00972622" w:rsidP="00BD69BA">
            <w:pPr>
              <w:jc w:val="both"/>
              <w:rPr>
                <w:rFonts w:eastAsia="Calibri"/>
                <w:sz w:val="20"/>
              </w:rPr>
            </w:pPr>
            <w:r w:rsidRPr="009B289E">
              <w:rPr>
                <w:rFonts w:eastAsia="Calibri"/>
                <w:sz w:val="20"/>
              </w:rPr>
              <w:t>Supreme Court of British Columbia</w:t>
            </w:r>
          </w:p>
          <w:p w:rsidR="00972622" w:rsidRPr="009B289E" w:rsidRDefault="00972622" w:rsidP="00433B12">
            <w:pPr>
              <w:jc w:val="both"/>
              <w:rPr>
                <w:rFonts w:eastAsia="Calibri"/>
                <w:sz w:val="20"/>
              </w:rPr>
            </w:pPr>
            <w:r w:rsidRPr="009B289E">
              <w:rPr>
                <w:rFonts w:eastAsia="Calibri"/>
                <w:sz w:val="20"/>
              </w:rPr>
              <w:t>(Arnold-Bailey J.)</w:t>
            </w:r>
          </w:p>
        </w:tc>
        <w:tc>
          <w:tcPr>
            <w:tcW w:w="244" w:type="pct"/>
          </w:tcPr>
          <w:p w:rsidR="00972622" w:rsidRDefault="00972622" w:rsidP="00BD69BA">
            <w:pPr>
              <w:jc w:val="both"/>
              <w:rPr>
                <w:rFonts w:eastAsia="Calibri"/>
                <w:sz w:val="20"/>
              </w:rPr>
            </w:pPr>
          </w:p>
          <w:p w:rsidR="00433B12" w:rsidRDefault="00433B12" w:rsidP="00BD69BA">
            <w:pPr>
              <w:jc w:val="both"/>
              <w:rPr>
                <w:rFonts w:eastAsia="Calibri"/>
                <w:sz w:val="20"/>
              </w:rPr>
            </w:pPr>
          </w:p>
          <w:p w:rsidR="00506C47" w:rsidRDefault="00506C47" w:rsidP="00BD69BA">
            <w:pPr>
              <w:jc w:val="both"/>
              <w:rPr>
                <w:rFonts w:eastAsia="Calibri"/>
                <w:sz w:val="20"/>
              </w:rPr>
            </w:pPr>
          </w:p>
          <w:p w:rsidR="00433B12" w:rsidRPr="009B289E" w:rsidRDefault="00433B12" w:rsidP="00BD69BA">
            <w:pPr>
              <w:jc w:val="both"/>
              <w:rPr>
                <w:rFonts w:eastAsia="Calibri"/>
                <w:sz w:val="20"/>
              </w:rPr>
            </w:pPr>
          </w:p>
        </w:tc>
        <w:tc>
          <w:tcPr>
            <w:tcW w:w="2329" w:type="pct"/>
          </w:tcPr>
          <w:p w:rsidR="00972622" w:rsidRPr="009B289E" w:rsidRDefault="00972622" w:rsidP="00BD69BA">
            <w:pPr>
              <w:jc w:val="both"/>
              <w:rPr>
                <w:rFonts w:eastAsia="Calibri"/>
                <w:sz w:val="20"/>
              </w:rPr>
            </w:pPr>
            <w:r w:rsidRPr="009B289E">
              <w:rPr>
                <w:rFonts w:eastAsia="Calibri"/>
                <w:sz w:val="20"/>
              </w:rPr>
              <w:t xml:space="preserve">Conviction on one count of sexual assault under s. 271 of the </w:t>
            </w:r>
            <w:r w:rsidRPr="009B289E">
              <w:rPr>
                <w:rFonts w:eastAsia="Calibri"/>
                <w:i/>
                <w:sz w:val="20"/>
              </w:rPr>
              <w:t>Criminal Code</w:t>
            </w:r>
          </w:p>
          <w:p w:rsidR="00972622" w:rsidRPr="009B289E" w:rsidRDefault="00972622" w:rsidP="00BD69BA">
            <w:pPr>
              <w:jc w:val="both"/>
              <w:rPr>
                <w:rFonts w:eastAsia="Calibri"/>
                <w:sz w:val="20"/>
              </w:rPr>
            </w:pPr>
          </w:p>
        </w:tc>
      </w:tr>
      <w:tr w:rsidR="00972622" w:rsidRPr="009B289E" w:rsidTr="00BD69BA">
        <w:tc>
          <w:tcPr>
            <w:tcW w:w="2427" w:type="pct"/>
          </w:tcPr>
          <w:p w:rsidR="00972622" w:rsidRPr="009B289E" w:rsidRDefault="00972622" w:rsidP="00BD69BA">
            <w:pPr>
              <w:jc w:val="both"/>
              <w:rPr>
                <w:rFonts w:eastAsia="Calibri"/>
                <w:sz w:val="20"/>
              </w:rPr>
            </w:pPr>
            <w:r w:rsidRPr="009B289E">
              <w:rPr>
                <w:rFonts w:eastAsia="Calibri"/>
                <w:sz w:val="20"/>
              </w:rPr>
              <w:t>March 9, 2010</w:t>
            </w:r>
          </w:p>
          <w:p w:rsidR="00972622" w:rsidRPr="009B289E" w:rsidRDefault="00972622" w:rsidP="00BD69BA">
            <w:pPr>
              <w:jc w:val="both"/>
              <w:rPr>
                <w:rFonts w:eastAsia="Calibri"/>
                <w:sz w:val="20"/>
              </w:rPr>
            </w:pPr>
            <w:r w:rsidRPr="009B289E">
              <w:rPr>
                <w:rFonts w:eastAsia="Calibri"/>
                <w:sz w:val="20"/>
              </w:rPr>
              <w:t xml:space="preserve">Court of Appeal for British Columbia </w:t>
            </w:r>
          </w:p>
          <w:p w:rsidR="00972622" w:rsidRPr="009B289E" w:rsidRDefault="00972622" w:rsidP="00BD69BA">
            <w:pPr>
              <w:jc w:val="both"/>
              <w:rPr>
                <w:rFonts w:eastAsia="Calibri"/>
                <w:sz w:val="20"/>
              </w:rPr>
            </w:pPr>
            <w:r w:rsidRPr="009B289E">
              <w:rPr>
                <w:rFonts w:eastAsia="Calibri"/>
                <w:sz w:val="20"/>
              </w:rPr>
              <w:t>Vancouver)</w:t>
            </w:r>
          </w:p>
          <w:p w:rsidR="00972622" w:rsidRPr="009B289E" w:rsidRDefault="00972622" w:rsidP="00433B12">
            <w:pPr>
              <w:jc w:val="both"/>
              <w:rPr>
                <w:rFonts w:eastAsia="Calibri"/>
                <w:sz w:val="20"/>
              </w:rPr>
            </w:pPr>
            <w:r w:rsidRPr="009B289E">
              <w:rPr>
                <w:rFonts w:eastAsia="Calibri"/>
                <w:sz w:val="20"/>
              </w:rPr>
              <w:t>(</w:t>
            </w:r>
            <w:proofErr w:type="spellStart"/>
            <w:r w:rsidRPr="009B289E">
              <w:rPr>
                <w:rFonts w:eastAsia="Calibri"/>
                <w:sz w:val="20"/>
              </w:rPr>
              <w:t>Chiasson</w:t>
            </w:r>
            <w:proofErr w:type="spellEnd"/>
            <w:r w:rsidRPr="009B289E">
              <w:rPr>
                <w:rFonts w:eastAsia="Calibri"/>
                <w:sz w:val="20"/>
              </w:rPr>
              <w:t>, Smith, Neilson JJ.A.)</w:t>
            </w:r>
          </w:p>
        </w:tc>
        <w:tc>
          <w:tcPr>
            <w:tcW w:w="244" w:type="pct"/>
          </w:tcPr>
          <w:p w:rsidR="00972622" w:rsidRDefault="00972622" w:rsidP="00BD69BA">
            <w:pPr>
              <w:jc w:val="both"/>
              <w:rPr>
                <w:rFonts w:eastAsia="Calibri"/>
                <w:sz w:val="20"/>
              </w:rPr>
            </w:pPr>
          </w:p>
          <w:p w:rsidR="00433B12" w:rsidRDefault="00433B12" w:rsidP="00BD69BA">
            <w:pPr>
              <w:jc w:val="both"/>
              <w:rPr>
                <w:rFonts w:eastAsia="Calibri"/>
                <w:sz w:val="20"/>
              </w:rPr>
            </w:pPr>
          </w:p>
          <w:p w:rsidR="00433B12" w:rsidRDefault="00433B12" w:rsidP="00BD69BA">
            <w:pPr>
              <w:jc w:val="both"/>
              <w:rPr>
                <w:rFonts w:eastAsia="Calibri"/>
                <w:sz w:val="20"/>
              </w:rPr>
            </w:pPr>
          </w:p>
          <w:p w:rsidR="00433B12" w:rsidRDefault="00433B12" w:rsidP="00BD69BA">
            <w:pPr>
              <w:jc w:val="both"/>
              <w:rPr>
                <w:rFonts w:eastAsia="Calibri"/>
                <w:sz w:val="20"/>
              </w:rPr>
            </w:pPr>
          </w:p>
          <w:p w:rsidR="00433B12" w:rsidRPr="009B289E" w:rsidRDefault="00433B12" w:rsidP="00BD69BA">
            <w:pPr>
              <w:jc w:val="both"/>
              <w:rPr>
                <w:rFonts w:eastAsia="Calibri"/>
                <w:sz w:val="20"/>
              </w:rPr>
            </w:pPr>
          </w:p>
        </w:tc>
        <w:tc>
          <w:tcPr>
            <w:tcW w:w="2329" w:type="pct"/>
          </w:tcPr>
          <w:p w:rsidR="00972622" w:rsidRPr="009B289E" w:rsidRDefault="00972622" w:rsidP="00BD69BA">
            <w:pPr>
              <w:jc w:val="both"/>
              <w:rPr>
                <w:rFonts w:eastAsia="Calibri"/>
                <w:sz w:val="20"/>
              </w:rPr>
            </w:pPr>
            <w:r w:rsidRPr="009B289E">
              <w:rPr>
                <w:rFonts w:eastAsia="Calibri"/>
                <w:sz w:val="20"/>
              </w:rPr>
              <w:t>Appeal against conviction dismissed</w:t>
            </w:r>
          </w:p>
          <w:p w:rsidR="00972622" w:rsidRPr="009B289E" w:rsidRDefault="00972622" w:rsidP="00BD69BA">
            <w:pPr>
              <w:jc w:val="both"/>
              <w:rPr>
                <w:rFonts w:eastAsia="Calibri"/>
                <w:sz w:val="20"/>
              </w:rPr>
            </w:pPr>
          </w:p>
        </w:tc>
      </w:tr>
      <w:tr w:rsidR="00972622" w:rsidRPr="009B289E" w:rsidTr="00BD69BA">
        <w:tc>
          <w:tcPr>
            <w:tcW w:w="2427" w:type="pct"/>
          </w:tcPr>
          <w:p w:rsidR="00972622" w:rsidRPr="009B289E" w:rsidRDefault="00972622" w:rsidP="00BD69BA">
            <w:pPr>
              <w:jc w:val="both"/>
              <w:rPr>
                <w:rFonts w:eastAsia="Calibri"/>
                <w:sz w:val="20"/>
              </w:rPr>
            </w:pPr>
            <w:r w:rsidRPr="009B289E">
              <w:rPr>
                <w:rFonts w:eastAsia="Calibri"/>
                <w:sz w:val="20"/>
              </w:rPr>
              <w:t>May 6, 2010</w:t>
            </w:r>
          </w:p>
          <w:p w:rsidR="00972622" w:rsidRPr="009B289E" w:rsidRDefault="00972622" w:rsidP="00BD69BA">
            <w:pPr>
              <w:jc w:val="both"/>
              <w:rPr>
                <w:rFonts w:eastAsia="Calibri"/>
                <w:sz w:val="20"/>
              </w:rPr>
            </w:pPr>
            <w:r w:rsidRPr="009B289E">
              <w:rPr>
                <w:rFonts w:eastAsia="Calibri"/>
                <w:sz w:val="20"/>
              </w:rPr>
              <w:t>Supreme Court of Canada</w:t>
            </w:r>
          </w:p>
        </w:tc>
        <w:tc>
          <w:tcPr>
            <w:tcW w:w="244" w:type="pct"/>
          </w:tcPr>
          <w:p w:rsidR="00972622" w:rsidRPr="009B289E" w:rsidRDefault="00972622" w:rsidP="00BD69BA">
            <w:pPr>
              <w:jc w:val="both"/>
              <w:rPr>
                <w:rFonts w:eastAsia="Calibri"/>
                <w:sz w:val="20"/>
              </w:rPr>
            </w:pPr>
          </w:p>
        </w:tc>
        <w:tc>
          <w:tcPr>
            <w:tcW w:w="2329" w:type="pct"/>
          </w:tcPr>
          <w:p w:rsidR="00972622" w:rsidRPr="009B289E" w:rsidRDefault="00972622" w:rsidP="00BD69BA">
            <w:pPr>
              <w:jc w:val="both"/>
              <w:rPr>
                <w:rFonts w:eastAsia="Calibri"/>
                <w:sz w:val="20"/>
              </w:rPr>
            </w:pPr>
            <w:r w:rsidRPr="009B289E">
              <w:rPr>
                <w:rFonts w:eastAsia="Calibri"/>
                <w:sz w:val="20"/>
              </w:rPr>
              <w:t>Application for leave to appeal filed</w:t>
            </w:r>
          </w:p>
        </w:tc>
      </w:tr>
    </w:tbl>
    <w:p w:rsidR="00A90641" w:rsidRPr="00D15140" w:rsidRDefault="00A90641" w:rsidP="00A90641">
      <w:pPr>
        <w:rPr>
          <w:sz w:val="20"/>
          <w:szCs w:val="20"/>
        </w:rPr>
      </w:pPr>
    </w:p>
    <w:p w:rsidR="00A90641" w:rsidRDefault="006D705A" w:rsidP="00A90641">
      <w:pPr>
        <w:rPr>
          <w:sz w:val="20"/>
          <w:szCs w:val="20"/>
          <w:lang w:val="fr-CA"/>
        </w:rPr>
      </w:pPr>
      <w:r w:rsidRPr="006D705A">
        <w:rPr>
          <w:sz w:val="20"/>
          <w:szCs w:val="20"/>
          <w:lang w:val="fr-CA"/>
        </w:rPr>
        <w:pict>
          <v:rect id="_x0000_i1043" style="width:2in;height:1pt" o:hrpct="0" o:hralign="center" o:hrstd="t" o:hrnoshade="t" o:hr="t" fillcolor="black [3213]" stroked="f"/>
        </w:pict>
      </w:r>
    </w:p>
    <w:p w:rsidR="00A90641" w:rsidRDefault="00A90641" w:rsidP="00A90641">
      <w:pPr>
        <w:rPr>
          <w:sz w:val="20"/>
          <w:szCs w:val="20"/>
        </w:rPr>
      </w:pPr>
    </w:p>
    <w:p w:rsidR="00A90641" w:rsidRPr="00D15140" w:rsidRDefault="00A90641" w:rsidP="00A90641">
      <w:pPr>
        <w:rPr>
          <w:sz w:val="20"/>
          <w:szCs w:val="20"/>
        </w:rPr>
      </w:pPr>
      <w:r>
        <w:rPr>
          <w:sz w:val="20"/>
          <w:szCs w:val="20"/>
          <w:u w:val="single"/>
        </w:rPr>
        <w:t>RÉSUME DE L’AFFAIRE</w:t>
      </w:r>
    </w:p>
    <w:p w:rsidR="00A90641" w:rsidRDefault="00A90641" w:rsidP="00A90641">
      <w:pPr>
        <w:rPr>
          <w:sz w:val="20"/>
          <w:szCs w:val="20"/>
        </w:rPr>
      </w:pPr>
    </w:p>
    <w:tbl>
      <w:tblPr>
        <w:tblW w:w="4954" w:type="pct"/>
        <w:tblLayout w:type="fixed"/>
        <w:tblCellMar>
          <w:left w:w="0" w:type="dxa"/>
          <w:bottom w:w="99" w:type="dxa"/>
          <w:right w:w="0" w:type="dxa"/>
        </w:tblCellMar>
        <w:tblLook w:val="00A0"/>
      </w:tblPr>
      <w:tblGrid>
        <w:gridCol w:w="9531"/>
      </w:tblGrid>
      <w:tr w:rsidR="00972622" w:rsidRPr="00075333" w:rsidTr="00BD69BA">
        <w:tc>
          <w:tcPr>
            <w:tcW w:w="5000" w:type="pct"/>
          </w:tcPr>
          <w:p w:rsidR="00972622" w:rsidRPr="009B289E" w:rsidRDefault="00972622" w:rsidP="00BD69BA">
            <w:pPr>
              <w:rPr>
                <w:rFonts w:eastAsia="Calibri"/>
                <w:smallCaps/>
                <w:sz w:val="20"/>
                <w:lang w:val="fr-CA"/>
              </w:rPr>
            </w:pPr>
            <w:r w:rsidRPr="009B289E">
              <w:rPr>
                <w:rFonts w:eastAsia="Calibri"/>
                <w:smallCaps/>
                <w:sz w:val="20"/>
                <w:lang w:val="fr-CA"/>
              </w:rPr>
              <w:t>(Ordonnance de non-publication dans le dossier)</w:t>
            </w:r>
          </w:p>
          <w:p w:rsidR="00972622" w:rsidRPr="009B289E" w:rsidRDefault="00972622" w:rsidP="00BD69BA">
            <w:pPr>
              <w:rPr>
                <w:rFonts w:eastAsia="Calibri"/>
                <w:sz w:val="20"/>
                <w:lang w:val="fr-CA"/>
              </w:rPr>
            </w:pPr>
          </w:p>
          <w:p w:rsidR="00972622" w:rsidRDefault="00972622" w:rsidP="00972622">
            <w:pPr>
              <w:jc w:val="both"/>
              <w:rPr>
                <w:rFonts w:eastAsia="Calibri"/>
                <w:sz w:val="20"/>
                <w:lang w:val="fr-CA"/>
              </w:rPr>
            </w:pPr>
            <w:r w:rsidRPr="009B289E">
              <w:rPr>
                <w:rFonts w:eastAsia="Calibri"/>
                <w:sz w:val="20"/>
                <w:lang w:val="fr-CA"/>
              </w:rPr>
              <w:t xml:space="preserve">Droit criminel – Preuve – Preuve de faits similaires – Voir-dire - Admissibilité – Le ministère public a-t-il le droit de déposer la condamnation antérieure d’un accusé pour agression sexuelle pour établir le lien probant entre l’accusé et la conduite antérieure? – Dans l’affirmative, l’accusé a-t-il le droit de contester la validité de sa condamnation antérieure? – Les principes de </w:t>
            </w:r>
            <w:proofErr w:type="spellStart"/>
            <w:r w:rsidRPr="009B289E">
              <w:rPr>
                <w:rFonts w:eastAsia="Calibri"/>
                <w:sz w:val="20"/>
                <w:lang w:val="fr-CA"/>
              </w:rPr>
              <w:t>common</w:t>
            </w:r>
            <w:proofErr w:type="spellEnd"/>
            <w:r w:rsidRPr="009B289E">
              <w:rPr>
                <w:rFonts w:eastAsia="Calibri"/>
                <w:sz w:val="20"/>
                <w:lang w:val="fr-CA"/>
              </w:rPr>
              <w:t xml:space="preserve"> </w:t>
            </w:r>
            <w:proofErr w:type="spellStart"/>
            <w:r w:rsidRPr="009B289E">
              <w:rPr>
                <w:rFonts w:eastAsia="Calibri"/>
                <w:sz w:val="20"/>
                <w:lang w:val="fr-CA"/>
              </w:rPr>
              <w:t>law</w:t>
            </w:r>
            <w:proofErr w:type="spellEnd"/>
            <w:r w:rsidRPr="009B289E">
              <w:rPr>
                <w:rFonts w:eastAsia="Calibri"/>
                <w:sz w:val="20"/>
                <w:lang w:val="fr-CA"/>
              </w:rPr>
              <w:t xml:space="preserve"> de </w:t>
            </w:r>
            <w:proofErr w:type="spellStart"/>
            <w:r w:rsidRPr="009B289E">
              <w:rPr>
                <w:rFonts w:eastAsia="Calibri"/>
                <w:sz w:val="20"/>
                <w:lang w:val="fr-CA"/>
              </w:rPr>
              <w:t>préclusion</w:t>
            </w:r>
            <w:proofErr w:type="spellEnd"/>
            <w:r w:rsidRPr="009B289E">
              <w:rPr>
                <w:rFonts w:eastAsia="Calibri"/>
                <w:sz w:val="20"/>
                <w:lang w:val="fr-CA"/>
              </w:rPr>
              <w:t xml:space="preserve"> découlant d’une question déjà tranchée et d’abus de procédure l’emportent-ils sur le droit d’un accusé de présenter une défense pleine et entière?</w:t>
            </w:r>
          </w:p>
          <w:p w:rsidR="00972622" w:rsidRPr="009B289E" w:rsidRDefault="00972622" w:rsidP="00BD69BA">
            <w:pPr>
              <w:rPr>
                <w:rFonts w:eastAsia="Calibri"/>
                <w:sz w:val="20"/>
                <w:lang w:val="fr-CA"/>
              </w:rPr>
            </w:pPr>
          </w:p>
        </w:tc>
      </w:tr>
      <w:tr w:rsidR="00972622" w:rsidRPr="00075333" w:rsidTr="00BD69BA">
        <w:tc>
          <w:tcPr>
            <w:tcW w:w="5000" w:type="pct"/>
          </w:tcPr>
          <w:p w:rsidR="00972622" w:rsidRPr="009B289E" w:rsidRDefault="00972622" w:rsidP="00BD69BA">
            <w:pPr>
              <w:jc w:val="both"/>
              <w:rPr>
                <w:rFonts w:eastAsia="Calibri"/>
                <w:sz w:val="20"/>
                <w:lang w:val="fr-CA"/>
              </w:rPr>
            </w:pPr>
            <w:r w:rsidRPr="009B289E">
              <w:rPr>
                <w:rFonts w:eastAsia="Calibri"/>
                <w:sz w:val="20"/>
                <w:lang w:val="fr-CA"/>
              </w:rPr>
              <w:t>Monsieur Jesse et J.M. se trouvaient à la même fête chez des gens, mais ils ont eu peu affaire l’un avec l’autre pendant la soirée. J.M. avait perdu connaissance dans un coin de la salle à manger lorsque M. Jesse et plusieurs autres ont quitté la maison, laissant J.M. et un homme intoxiqué, sans connaissance, dans la maison qui n’était pas fermée à clé. Deux résidents de la maison ont tenté de trouver M. Jesse sur le chemin pour le conduire chez-lui en voiture. Incapables de le trouver, ils sont retournés à la maison, mais ont trouvé que la porte était maintenant fermée à clé. Lorsqu’ils ont frappé à la porte, M. Jesse a déverrouillé la porte et il est immédiatement parti. J.M. a été trouvée à l’intérieur, encore sans connaissance, mais à un autre endroit de la salle à manger et nue de la taille aux pieds. Il y avait près d’elle certains objets contondants provenant de la salle de bains. On a appelé la police, mais, les policiers n’ont pas pu interroger J.M. en raison de son état d’intoxication. Le lendemain matin, J.M. a excrété un bouchon de vin de son vagin. La principale question au procès était de savoir comment le bouchon de vin s’est retrouvé à l’intérieur de son corps et qui l’y avait introduit.</w:t>
            </w:r>
          </w:p>
          <w:p w:rsidR="00972622" w:rsidRPr="009B289E" w:rsidRDefault="00972622" w:rsidP="00BD69BA">
            <w:pPr>
              <w:jc w:val="both"/>
              <w:rPr>
                <w:rFonts w:eastAsia="Calibri"/>
                <w:sz w:val="20"/>
                <w:lang w:val="fr-CA"/>
              </w:rPr>
            </w:pPr>
          </w:p>
          <w:p w:rsidR="00972622" w:rsidRPr="009B289E" w:rsidRDefault="00972622" w:rsidP="00A57C2C">
            <w:pPr>
              <w:jc w:val="both"/>
              <w:rPr>
                <w:rFonts w:eastAsia="Calibri"/>
                <w:sz w:val="20"/>
                <w:lang w:val="fr-CA"/>
              </w:rPr>
            </w:pPr>
            <w:r w:rsidRPr="009B289E">
              <w:rPr>
                <w:rFonts w:eastAsia="Calibri"/>
                <w:sz w:val="20"/>
                <w:lang w:val="fr-CA"/>
              </w:rPr>
              <w:t xml:space="preserve">Au procès, le ministère public a cherché à introduire une preuve de faits similaires, c’est-à-dire la condamnation de M. Jesse relativement à une autre agression sexuelle douze ans auparavant. Monsieur Jesse n’avait pas interjeté appel de la condamnation, et celle-ci n’avait pas été contestée par ailleurs. Le juge du procès a admis la preuve de faits similaires et a statué que M. Jesse ne pouvait pas contester la condamnation dans le cadre d’un voir-dire relativement à la preuve de faits similaires et a conclu que dans ce contexte, la condamnation antérieure était chose jugée, si bien que M. Jesse était </w:t>
            </w:r>
            <w:proofErr w:type="spellStart"/>
            <w:r w:rsidRPr="009B289E">
              <w:rPr>
                <w:rFonts w:eastAsia="Calibri"/>
                <w:sz w:val="20"/>
                <w:lang w:val="fr-CA"/>
              </w:rPr>
              <w:t>préclus</w:t>
            </w:r>
            <w:proofErr w:type="spellEnd"/>
            <w:r w:rsidRPr="009B289E">
              <w:rPr>
                <w:rFonts w:eastAsia="Calibri"/>
                <w:sz w:val="20"/>
                <w:lang w:val="fr-CA"/>
              </w:rPr>
              <w:t xml:space="preserve"> de la contester, mais qu’il pourrait la contester au procès à proprement parler. La défense a demandé un autre voir-dire relativement à des questions liées à la </w:t>
            </w:r>
            <w:r w:rsidRPr="009B289E">
              <w:rPr>
                <w:rFonts w:eastAsia="Calibri"/>
                <w:i/>
                <w:iCs/>
                <w:sz w:val="20"/>
                <w:lang w:val="fr-CA"/>
              </w:rPr>
              <w:t>Charte</w:t>
            </w:r>
            <w:r w:rsidRPr="009B289E">
              <w:rPr>
                <w:rFonts w:eastAsia="Calibri"/>
                <w:sz w:val="20"/>
                <w:lang w:val="fr-CA"/>
              </w:rPr>
              <w:t xml:space="preserve">, mais encore une fois, sans succès. Le juge du procès a déclaré M. Jesse coupable d’agression sexuelle. Entre temps, jugement a été rendu dans l’affaire </w:t>
            </w:r>
            <w:r w:rsidRPr="009B289E">
              <w:rPr>
                <w:rFonts w:eastAsia="Calibri"/>
                <w:i/>
                <w:iCs/>
                <w:sz w:val="20"/>
                <w:lang w:val="fr-CA"/>
              </w:rPr>
              <w:t xml:space="preserve">R. c. </w:t>
            </w:r>
            <w:proofErr w:type="spellStart"/>
            <w:r w:rsidRPr="009B289E">
              <w:rPr>
                <w:rFonts w:eastAsia="Calibri"/>
                <w:i/>
                <w:iCs/>
                <w:sz w:val="20"/>
                <w:lang w:val="fr-CA"/>
              </w:rPr>
              <w:t>Mahalingan</w:t>
            </w:r>
            <w:proofErr w:type="spellEnd"/>
            <w:r w:rsidRPr="009B289E">
              <w:rPr>
                <w:rFonts w:eastAsia="Calibri"/>
                <w:sz w:val="20"/>
                <w:lang w:val="fr-CA"/>
              </w:rPr>
              <w:t>, 2008 CSC 63, [2008] 3 R.C.S. 316. La Cour d’appel a rejeté un appel de la condamnation.</w:t>
            </w:r>
          </w:p>
        </w:tc>
      </w:tr>
    </w:tbl>
    <w:p w:rsidR="00020793" w:rsidRPr="004F6FAD" w:rsidRDefault="00020793">
      <w:pPr>
        <w:rPr>
          <w:lang w:val="fr-CA"/>
        </w:rPr>
      </w:pPr>
    </w:p>
    <w:tbl>
      <w:tblPr>
        <w:tblW w:w="4954" w:type="pct"/>
        <w:tblLayout w:type="fixed"/>
        <w:tblCellMar>
          <w:left w:w="0" w:type="dxa"/>
          <w:bottom w:w="99" w:type="dxa"/>
          <w:right w:w="0" w:type="dxa"/>
        </w:tblCellMar>
        <w:tblLook w:val="00A0"/>
      </w:tblPr>
      <w:tblGrid>
        <w:gridCol w:w="4628"/>
        <w:gridCol w:w="465"/>
        <w:gridCol w:w="4438"/>
      </w:tblGrid>
      <w:tr w:rsidR="00972622" w:rsidRPr="00075333" w:rsidTr="00020793">
        <w:trPr>
          <w:cantSplit/>
        </w:trPr>
        <w:tc>
          <w:tcPr>
            <w:tcW w:w="2428" w:type="pct"/>
          </w:tcPr>
          <w:p w:rsidR="00972622" w:rsidRPr="009B289E" w:rsidRDefault="00972622" w:rsidP="00BD69BA">
            <w:pPr>
              <w:jc w:val="both"/>
              <w:rPr>
                <w:rFonts w:eastAsia="Calibri"/>
                <w:sz w:val="20"/>
                <w:lang w:val="fr-CA"/>
              </w:rPr>
            </w:pPr>
            <w:r w:rsidRPr="009B289E">
              <w:rPr>
                <w:rFonts w:eastAsia="Calibri"/>
                <w:sz w:val="20"/>
                <w:lang w:val="fr-CA"/>
              </w:rPr>
              <w:t>7 septembre 2007</w:t>
            </w:r>
          </w:p>
          <w:p w:rsidR="00972622" w:rsidRPr="009B289E" w:rsidRDefault="00972622" w:rsidP="00BD69BA">
            <w:pPr>
              <w:jc w:val="both"/>
              <w:rPr>
                <w:rFonts w:eastAsia="Calibri"/>
                <w:sz w:val="20"/>
                <w:lang w:val="fr-CA"/>
              </w:rPr>
            </w:pPr>
            <w:r w:rsidRPr="009B289E">
              <w:rPr>
                <w:rFonts w:eastAsia="Calibri"/>
                <w:sz w:val="20"/>
                <w:lang w:val="fr-CA"/>
              </w:rPr>
              <w:t>Cour suprême de la Colombie-Britannique</w:t>
            </w:r>
          </w:p>
          <w:p w:rsidR="00972622" w:rsidRPr="009B289E" w:rsidRDefault="00972622" w:rsidP="00433B12">
            <w:pPr>
              <w:jc w:val="both"/>
              <w:rPr>
                <w:rFonts w:eastAsia="Calibri"/>
                <w:sz w:val="20"/>
                <w:lang w:val="fr-CA"/>
              </w:rPr>
            </w:pPr>
            <w:r w:rsidRPr="009B289E">
              <w:rPr>
                <w:rFonts w:eastAsia="Calibri"/>
                <w:sz w:val="20"/>
                <w:lang w:val="fr-CA"/>
              </w:rPr>
              <w:t>(Juge Arnold-Bailey)</w:t>
            </w:r>
          </w:p>
        </w:tc>
        <w:tc>
          <w:tcPr>
            <w:tcW w:w="244" w:type="pct"/>
          </w:tcPr>
          <w:p w:rsidR="00972622" w:rsidRDefault="00972622" w:rsidP="00BD69BA">
            <w:pPr>
              <w:jc w:val="both"/>
              <w:rPr>
                <w:rFonts w:eastAsia="Calibri"/>
                <w:sz w:val="20"/>
                <w:lang w:val="fr-CA"/>
              </w:rPr>
            </w:pPr>
          </w:p>
          <w:p w:rsidR="00433B12" w:rsidRDefault="00433B12" w:rsidP="00BD69BA">
            <w:pPr>
              <w:jc w:val="both"/>
              <w:rPr>
                <w:rFonts w:eastAsia="Calibri"/>
                <w:sz w:val="20"/>
                <w:lang w:val="fr-CA"/>
              </w:rPr>
            </w:pPr>
          </w:p>
          <w:p w:rsidR="00433B12" w:rsidRPr="009B289E" w:rsidRDefault="00433B12" w:rsidP="00BD69BA">
            <w:pPr>
              <w:jc w:val="both"/>
              <w:rPr>
                <w:rFonts w:eastAsia="Calibri"/>
                <w:sz w:val="20"/>
                <w:lang w:val="fr-CA"/>
              </w:rPr>
            </w:pPr>
          </w:p>
        </w:tc>
        <w:tc>
          <w:tcPr>
            <w:tcW w:w="2328" w:type="pct"/>
          </w:tcPr>
          <w:p w:rsidR="00972622" w:rsidRPr="009B289E" w:rsidRDefault="00972622" w:rsidP="00BD69BA">
            <w:pPr>
              <w:jc w:val="both"/>
              <w:rPr>
                <w:rFonts w:eastAsia="Calibri"/>
                <w:sz w:val="20"/>
                <w:lang w:val="fr-CA"/>
              </w:rPr>
            </w:pPr>
            <w:r w:rsidRPr="009B289E">
              <w:rPr>
                <w:rFonts w:eastAsia="Calibri"/>
                <w:sz w:val="20"/>
                <w:lang w:val="fr-CA"/>
              </w:rPr>
              <w:t xml:space="preserve">Déclaration de culpabilité sous un chef d’agression sexuelle en vertu de l’art. 271 du </w:t>
            </w:r>
            <w:r w:rsidRPr="009B289E">
              <w:rPr>
                <w:rFonts w:eastAsia="Calibri"/>
                <w:i/>
                <w:iCs/>
                <w:sz w:val="20"/>
                <w:lang w:val="fr-CA"/>
              </w:rPr>
              <w:t>Code criminel</w:t>
            </w:r>
          </w:p>
          <w:p w:rsidR="00972622" w:rsidRPr="009B289E" w:rsidRDefault="00972622" w:rsidP="00BD69BA">
            <w:pPr>
              <w:jc w:val="both"/>
              <w:rPr>
                <w:rFonts w:eastAsia="Calibri"/>
                <w:sz w:val="20"/>
                <w:lang w:val="fr-CA"/>
              </w:rPr>
            </w:pPr>
          </w:p>
        </w:tc>
      </w:tr>
    </w:tbl>
    <w:p w:rsidR="00A57C2C" w:rsidRPr="00A57C2C" w:rsidRDefault="00A57C2C">
      <w:pPr>
        <w:rPr>
          <w:lang w:val="fr-CA"/>
        </w:rPr>
      </w:pPr>
    </w:p>
    <w:tbl>
      <w:tblPr>
        <w:tblW w:w="4954" w:type="pct"/>
        <w:tblLayout w:type="fixed"/>
        <w:tblCellMar>
          <w:left w:w="0" w:type="dxa"/>
          <w:bottom w:w="99" w:type="dxa"/>
          <w:right w:w="0" w:type="dxa"/>
        </w:tblCellMar>
        <w:tblLook w:val="00A0"/>
      </w:tblPr>
      <w:tblGrid>
        <w:gridCol w:w="4628"/>
        <w:gridCol w:w="465"/>
        <w:gridCol w:w="4438"/>
      </w:tblGrid>
      <w:tr w:rsidR="00972622" w:rsidRPr="00433B12" w:rsidTr="00020793">
        <w:trPr>
          <w:cantSplit/>
        </w:trPr>
        <w:tc>
          <w:tcPr>
            <w:tcW w:w="2428" w:type="pct"/>
          </w:tcPr>
          <w:p w:rsidR="00972622" w:rsidRPr="009B289E" w:rsidRDefault="00972622" w:rsidP="00BD69BA">
            <w:pPr>
              <w:jc w:val="both"/>
              <w:rPr>
                <w:rFonts w:eastAsia="Calibri"/>
                <w:sz w:val="20"/>
                <w:lang w:val="fr-CA"/>
              </w:rPr>
            </w:pPr>
            <w:r w:rsidRPr="009B289E">
              <w:rPr>
                <w:rFonts w:eastAsia="Calibri"/>
                <w:sz w:val="20"/>
                <w:lang w:val="fr-CA"/>
              </w:rPr>
              <w:lastRenderedPageBreak/>
              <w:t>9 mars 2010</w:t>
            </w:r>
          </w:p>
          <w:p w:rsidR="00972622" w:rsidRPr="009B289E" w:rsidRDefault="00972622" w:rsidP="00BD69BA">
            <w:pPr>
              <w:jc w:val="both"/>
              <w:rPr>
                <w:rFonts w:eastAsia="Calibri"/>
                <w:sz w:val="20"/>
                <w:lang w:val="fr-CA"/>
              </w:rPr>
            </w:pPr>
            <w:r w:rsidRPr="009B289E">
              <w:rPr>
                <w:rFonts w:eastAsia="Calibri"/>
                <w:sz w:val="20"/>
                <w:lang w:val="fr-CA"/>
              </w:rPr>
              <w:t>Cour d’appel de la Colombie-Britannique</w:t>
            </w:r>
          </w:p>
          <w:p w:rsidR="00972622" w:rsidRPr="009B289E" w:rsidRDefault="00972622" w:rsidP="00BD69BA">
            <w:pPr>
              <w:jc w:val="both"/>
              <w:rPr>
                <w:rFonts w:eastAsia="Calibri"/>
                <w:sz w:val="20"/>
                <w:lang w:val="fr-CA"/>
              </w:rPr>
            </w:pPr>
            <w:r w:rsidRPr="009B289E">
              <w:rPr>
                <w:rFonts w:eastAsia="Calibri"/>
                <w:sz w:val="20"/>
                <w:lang w:val="fr-CA"/>
              </w:rPr>
              <w:t>Vancouver)</w:t>
            </w:r>
          </w:p>
          <w:p w:rsidR="00972622" w:rsidRPr="009B289E" w:rsidRDefault="00972622" w:rsidP="00433B12">
            <w:pPr>
              <w:jc w:val="both"/>
              <w:rPr>
                <w:rFonts w:eastAsia="Calibri"/>
                <w:sz w:val="20"/>
                <w:lang w:val="fr-CA"/>
              </w:rPr>
            </w:pPr>
            <w:r w:rsidRPr="009B289E">
              <w:rPr>
                <w:rFonts w:eastAsia="Calibri"/>
                <w:sz w:val="20"/>
                <w:lang w:val="fr-CA"/>
              </w:rPr>
              <w:t xml:space="preserve">(Juges Chiasson, Smith et </w:t>
            </w:r>
            <w:proofErr w:type="spellStart"/>
            <w:r w:rsidRPr="009B289E">
              <w:rPr>
                <w:rFonts w:eastAsia="Calibri"/>
                <w:sz w:val="20"/>
                <w:lang w:val="fr-CA"/>
              </w:rPr>
              <w:t>Neilson</w:t>
            </w:r>
            <w:proofErr w:type="spellEnd"/>
            <w:r w:rsidRPr="009B289E">
              <w:rPr>
                <w:rFonts w:eastAsia="Calibri"/>
                <w:sz w:val="20"/>
                <w:lang w:val="fr-CA"/>
              </w:rPr>
              <w:t>)</w:t>
            </w:r>
            <w:r w:rsidR="00433B12" w:rsidRPr="009B289E">
              <w:rPr>
                <w:rFonts w:eastAsia="Calibri"/>
                <w:sz w:val="20"/>
                <w:lang w:val="fr-CA"/>
              </w:rPr>
              <w:t xml:space="preserve"> </w:t>
            </w:r>
          </w:p>
        </w:tc>
        <w:tc>
          <w:tcPr>
            <w:tcW w:w="244" w:type="pct"/>
          </w:tcPr>
          <w:p w:rsidR="00972622" w:rsidRDefault="00972622" w:rsidP="00BD69BA">
            <w:pPr>
              <w:jc w:val="both"/>
              <w:rPr>
                <w:rFonts w:eastAsia="Calibri"/>
                <w:sz w:val="20"/>
                <w:lang w:val="fr-CA"/>
              </w:rPr>
            </w:pPr>
          </w:p>
          <w:p w:rsidR="00433B12" w:rsidRDefault="00433B12" w:rsidP="00BD69BA">
            <w:pPr>
              <w:jc w:val="both"/>
              <w:rPr>
                <w:rFonts w:eastAsia="Calibri"/>
                <w:sz w:val="20"/>
                <w:lang w:val="fr-CA"/>
              </w:rPr>
            </w:pPr>
          </w:p>
          <w:p w:rsidR="00433B12" w:rsidRDefault="00433B12" w:rsidP="00BD69BA">
            <w:pPr>
              <w:jc w:val="both"/>
              <w:rPr>
                <w:rFonts w:eastAsia="Calibri"/>
                <w:sz w:val="20"/>
                <w:lang w:val="fr-CA"/>
              </w:rPr>
            </w:pPr>
          </w:p>
          <w:p w:rsidR="00433B12" w:rsidRDefault="00433B12" w:rsidP="00BD69BA">
            <w:pPr>
              <w:jc w:val="both"/>
              <w:rPr>
                <w:rFonts w:eastAsia="Calibri"/>
                <w:sz w:val="20"/>
                <w:lang w:val="fr-CA"/>
              </w:rPr>
            </w:pPr>
          </w:p>
          <w:p w:rsidR="00433B12" w:rsidRPr="009B289E" w:rsidRDefault="00433B12" w:rsidP="00BD69BA">
            <w:pPr>
              <w:jc w:val="both"/>
              <w:rPr>
                <w:rFonts w:eastAsia="Calibri"/>
                <w:sz w:val="20"/>
                <w:lang w:val="fr-CA"/>
              </w:rPr>
            </w:pPr>
          </w:p>
        </w:tc>
        <w:tc>
          <w:tcPr>
            <w:tcW w:w="2328" w:type="pct"/>
          </w:tcPr>
          <w:p w:rsidR="00972622" w:rsidRPr="009B289E" w:rsidRDefault="00972622" w:rsidP="00BD69BA">
            <w:pPr>
              <w:jc w:val="both"/>
              <w:rPr>
                <w:rFonts w:eastAsia="Calibri"/>
                <w:sz w:val="20"/>
                <w:lang w:val="fr-CA"/>
              </w:rPr>
            </w:pPr>
            <w:r w:rsidRPr="009B289E">
              <w:rPr>
                <w:rFonts w:eastAsia="Calibri"/>
                <w:sz w:val="20"/>
                <w:lang w:val="fr-CA"/>
              </w:rPr>
              <w:t>Appel de la condamnation rejeté</w:t>
            </w:r>
          </w:p>
          <w:p w:rsidR="00972622" w:rsidRPr="009B289E" w:rsidRDefault="00972622" w:rsidP="00BD69BA">
            <w:pPr>
              <w:jc w:val="both"/>
              <w:rPr>
                <w:rFonts w:eastAsia="Calibri"/>
                <w:sz w:val="20"/>
                <w:lang w:val="fr-CA"/>
              </w:rPr>
            </w:pPr>
          </w:p>
        </w:tc>
      </w:tr>
      <w:tr w:rsidR="00972622" w:rsidRPr="009B289E" w:rsidTr="00020793">
        <w:trPr>
          <w:cantSplit/>
        </w:trPr>
        <w:tc>
          <w:tcPr>
            <w:tcW w:w="2428" w:type="pct"/>
          </w:tcPr>
          <w:p w:rsidR="00972622" w:rsidRPr="009B289E" w:rsidRDefault="00972622" w:rsidP="00BD69BA">
            <w:pPr>
              <w:jc w:val="both"/>
              <w:rPr>
                <w:rFonts w:eastAsia="Calibri"/>
                <w:sz w:val="20"/>
                <w:lang w:val="fr-CA"/>
              </w:rPr>
            </w:pPr>
            <w:r w:rsidRPr="009B289E">
              <w:rPr>
                <w:rFonts w:eastAsia="Calibri"/>
                <w:sz w:val="20"/>
                <w:lang w:val="fr-CA"/>
              </w:rPr>
              <w:t>6 mai 2010</w:t>
            </w:r>
          </w:p>
          <w:p w:rsidR="00972622" w:rsidRPr="009B289E" w:rsidRDefault="00972622" w:rsidP="00BD69BA">
            <w:pPr>
              <w:jc w:val="both"/>
              <w:rPr>
                <w:rFonts w:eastAsia="Calibri"/>
                <w:sz w:val="20"/>
                <w:lang w:val="fr-CA"/>
              </w:rPr>
            </w:pPr>
            <w:r w:rsidRPr="009B289E">
              <w:rPr>
                <w:rFonts w:eastAsia="Calibri"/>
                <w:sz w:val="20"/>
                <w:lang w:val="fr-CA"/>
              </w:rPr>
              <w:t>Cour suprême du Canada</w:t>
            </w:r>
          </w:p>
        </w:tc>
        <w:tc>
          <w:tcPr>
            <w:tcW w:w="244" w:type="pct"/>
          </w:tcPr>
          <w:p w:rsidR="00972622" w:rsidRPr="009B289E" w:rsidRDefault="00972622" w:rsidP="00BD69BA">
            <w:pPr>
              <w:jc w:val="both"/>
              <w:rPr>
                <w:rFonts w:eastAsia="Calibri"/>
                <w:sz w:val="20"/>
                <w:lang w:val="fr-CA"/>
              </w:rPr>
            </w:pPr>
          </w:p>
        </w:tc>
        <w:tc>
          <w:tcPr>
            <w:tcW w:w="2328" w:type="pct"/>
          </w:tcPr>
          <w:p w:rsidR="00972622" w:rsidRPr="009B289E" w:rsidRDefault="00972622" w:rsidP="00BD69BA">
            <w:pPr>
              <w:jc w:val="both"/>
              <w:rPr>
                <w:rFonts w:eastAsia="Calibri"/>
                <w:sz w:val="20"/>
                <w:lang w:val="fr-CA"/>
              </w:rPr>
            </w:pPr>
            <w:r w:rsidRPr="009B289E">
              <w:rPr>
                <w:rFonts w:eastAsia="Calibri"/>
                <w:sz w:val="20"/>
                <w:lang w:val="fr-CA"/>
              </w:rPr>
              <w:t>Demande d’autorisation d’appel, déposée</w:t>
            </w:r>
          </w:p>
        </w:tc>
      </w:tr>
    </w:tbl>
    <w:p w:rsidR="00A90641" w:rsidRDefault="00A90641" w:rsidP="00A90641">
      <w:pPr>
        <w:rPr>
          <w:sz w:val="20"/>
          <w:szCs w:val="20"/>
        </w:rPr>
      </w:pPr>
    </w:p>
    <w:p w:rsidR="00A90641" w:rsidRDefault="006D705A" w:rsidP="00A90641">
      <w:pPr>
        <w:rPr>
          <w:sz w:val="20"/>
          <w:szCs w:val="20"/>
          <w:lang w:val="fr-CA"/>
        </w:rPr>
      </w:pPr>
      <w:r w:rsidRPr="006D705A">
        <w:rPr>
          <w:sz w:val="20"/>
          <w:szCs w:val="20"/>
          <w:lang w:val="fr-CA"/>
        </w:rPr>
        <w:pict>
          <v:rect id="_x0000_i1044" style="width:2in;height:1pt" o:hrpct="0" o:hralign="center" o:hrstd="t" o:hrnoshade="t" o:hr="t" fillcolor="black [3213]" stroked="f"/>
        </w:pict>
      </w:r>
    </w:p>
    <w:p w:rsidR="00A90641" w:rsidRDefault="00A90641" w:rsidP="00A9064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72622" w:rsidRPr="00972622" w:rsidTr="00BD69BA">
        <w:trPr>
          <w:cantSplit/>
        </w:trPr>
        <w:tc>
          <w:tcPr>
            <w:tcW w:w="1458" w:type="dxa"/>
          </w:tcPr>
          <w:p w:rsidR="00972622" w:rsidRPr="00972622" w:rsidRDefault="00972622" w:rsidP="00BD69BA">
            <w:pPr>
              <w:rPr>
                <w:sz w:val="20"/>
                <w:szCs w:val="20"/>
              </w:rPr>
            </w:pPr>
            <w:r w:rsidRPr="00972622">
              <w:rPr>
                <w:rStyle w:val="SCCFileNumberChar"/>
                <w:sz w:val="20"/>
                <w:szCs w:val="20"/>
              </w:rPr>
              <w:t>33900</w:t>
            </w:r>
          </w:p>
          <w:p w:rsidR="00972622" w:rsidRPr="00972622" w:rsidRDefault="00972622" w:rsidP="00BD69BA">
            <w:pPr>
              <w:rPr>
                <w:b/>
                <w:sz w:val="20"/>
                <w:szCs w:val="20"/>
                <w:lang w:val="fr-CA"/>
              </w:rPr>
            </w:pPr>
          </w:p>
        </w:tc>
        <w:tc>
          <w:tcPr>
            <w:tcW w:w="8118" w:type="dxa"/>
          </w:tcPr>
          <w:p w:rsidR="00972622" w:rsidRPr="00972622" w:rsidRDefault="00972622" w:rsidP="00972622">
            <w:pPr>
              <w:jc w:val="both"/>
              <w:rPr>
                <w:sz w:val="20"/>
                <w:szCs w:val="20"/>
              </w:rPr>
            </w:pPr>
            <w:r w:rsidRPr="00972622">
              <w:rPr>
                <w:rStyle w:val="SCCLsocChar"/>
                <w:sz w:val="20"/>
                <w:szCs w:val="20"/>
                <w:lang w:val="en-CA"/>
              </w:rPr>
              <w:t xml:space="preserve">Richard C. Breeden, Richard C. Breeden &amp; Co., Gordon A. Paris, James R. Thompson, Richard D. Burt, Graham W. Savage, Raymond G.H. Seitz v. Conrad Black AND BETWEEN Richard C. Breeden, Richard C. Breeden &amp; Co., Gordon A. Paris, James R. Thompson, Richard D. Burt, Graham W. Savage, Raymond G.H. Seitz v. Conrad Black AND BETWEEN Richard C. Breeden, Richard C. Breeden &amp; Co., Gordon A. Paris, James R. Thompson, Richard D. Burt, Graham W. Savage, Raymond G.H. Seitz v. Conrad Black AND BETWEEN Richard C. Breeden, Richard C. Breeden &amp; Co., Gordon A. Paris, James R. Thompson, Richard D. Burt, Graham W. Savage, Raymond G.H. Seitz v. Conrad Black AND BETWEEN Richard C. Breeden, Richard C. Breeden &amp; Co., Gordon A. Paris, Graham W. Savage, Raymond G.H. Seitz and Paul B. Healy v. Conrad Black AND BETWEEN Richard C. Breeden, Richard C. Breeden &amp; Co., Gordon A. Paris, James R. Thompson, Richard D. Burt, Graham W. Savage, Raymond G.H. Seitz, </w:t>
            </w:r>
            <w:proofErr w:type="spellStart"/>
            <w:r w:rsidRPr="00972622">
              <w:rPr>
                <w:rStyle w:val="SCCLsocChar"/>
                <w:sz w:val="20"/>
                <w:szCs w:val="20"/>
                <w:lang w:val="en-CA"/>
              </w:rPr>
              <w:t>Shmuel</w:t>
            </w:r>
            <w:proofErr w:type="spellEnd"/>
            <w:r w:rsidRPr="00972622">
              <w:rPr>
                <w:rStyle w:val="SCCLsocChar"/>
                <w:sz w:val="20"/>
                <w:szCs w:val="20"/>
                <w:lang w:val="en-CA"/>
              </w:rPr>
              <w:t xml:space="preserve"> </w:t>
            </w:r>
            <w:proofErr w:type="spellStart"/>
            <w:r w:rsidRPr="00972622">
              <w:rPr>
                <w:rStyle w:val="SCCLsocChar"/>
                <w:sz w:val="20"/>
                <w:szCs w:val="20"/>
                <w:lang w:val="en-CA"/>
              </w:rPr>
              <w:t>Meitar</w:t>
            </w:r>
            <w:proofErr w:type="spellEnd"/>
            <w:r w:rsidRPr="00972622">
              <w:rPr>
                <w:rStyle w:val="SCCLsocChar"/>
                <w:sz w:val="20"/>
                <w:szCs w:val="20"/>
                <w:lang w:val="en-CA"/>
              </w:rPr>
              <w:t xml:space="preserve"> and Henry A. Kissinger v. Conrad Black</w:t>
            </w:r>
            <w:r w:rsidRPr="00972622">
              <w:rPr>
                <w:sz w:val="20"/>
                <w:szCs w:val="20"/>
              </w:rPr>
              <w:t xml:space="preserve"> (Ont.) (Civil) (By Leave)</w:t>
            </w:r>
          </w:p>
          <w:p w:rsidR="00972622" w:rsidRPr="00972622" w:rsidRDefault="00972622" w:rsidP="00BD69BA">
            <w:pPr>
              <w:rPr>
                <w:sz w:val="20"/>
                <w:szCs w:val="20"/>
              </w:rPr>
            </w:pPr>
          </w:p>
        </w:tc>
      </w:tr>
      <w:tr w:rsidR="00972622" w:rsidRPr="00972622" w:rsidTr="00BD69BA">
        <w:trPr>
          <w:cantSplit/>
        </w:trPr>
        <w:tc>
          <w:tcPr>
            <w:tcW w:w="1458" w:type="dxa"/>
          </w:tcPr>
          <w:p w:rsidR="00972622" w:rsidRPr="00972622" w:rsidRDefault="00972622" w:rsidP="00BD69BA">
            <w:pPr>
              <w:rPr>
                <w:sz w:val="20"/>
                <w:szCs w:val="20"/>
              </w:rPr>
            </w:pPr>
            <w:r w:rsidRPr="00972622">
              <w:rPr>
                <w:sz w:val="20"/>
                <w:szCs w:val="20"/>
              </w:rPr>
              <w:t>Coram :</w:t>
            </w:r>
          </w:p>
        </w:tc>
        <w:tc>
          <w:tcPr>
            <w:tcW w:w="8118" w:type="dxa"/>
          </w:tcPr>
          <w:p w:rsidR="00972622" w:rsidRPr="00972622" w:rsidRDefault="00972622" w:rsidP="00BD69BA">
            <w:pPr>
              <w:rPr>
                <w:sz w:val="20"/>
                <w:szCs w:val="20"/>
              </w:rPr>
            </w:pPr>
            <w:proofErr w:type="spellStart"/>
            <w:r w:rsidRPr="00972622">
              <w:rPr>
                <w:rStyle w:val="SCCCoramChar"/>
                <w:sz w:val="20"/>
                <w:szCs w:val="20"/>
                <w:lang w:val="en-CA"/>
              </w:rPr>
              <w:t>McLachlin</w:t>
            </w:r>
            <w:proofErr w:type="spellEnd"/>
            <w:r w:rsidRPr="00972622">
              <w:rPr>
                <w:rStyle w:val="SCCCoramChar"/>
                <w:sz w:val="20"/>
                <w:szCs w:val="20"/>
                <w:lang w:val="en-CA"/>
              </w:rPr>
              <w:t xml:space="preserve"> C.J. and </w:t>
            </w:r>
            <w:proofErr w:type="spellStart"/>
            <w:r w:rsidRPr="00972622">
              <w:rPr>
                <w:rStyle w:val="SCCCoramChar"/>
                <w:sz w:val="20"/>
                <w:szCs w:val="20"/>
                <w:lang w:val="en-CA"/>
              </w:rPr>
              <w:t>Abella</w:t>
            </w:r>
            <w:proofErr w:type="spellEnd"/>
            <w:r w:rsidRPr="00972622">
              <w:rPr>
                <w:rStyle w:val="SCCCoramChar"/>
                <w:sz w:val="20"/>
                <w:szCs w:val="20"/>
                <w:lang w:val="en-CA"/>
              </w:rPr>
              <w:t xml:space="preserve"> and Cromwell JJ.</w:t>
            </w:r>
          </w:p>
          <w:p w:rsidR="00972622" w:rsidRPr="00972622" w:rsidRDefault="00972622" w:rsidP="00BD69BA">
            <w:pPr>
              <w:rPr>
                <w:sz w:val="20"/>
                <w:szCs w:val="20"/>
                <w:u w:val="single"/>
              </w:rPr>
            </w:pPr>
          </w:p>
        </w:tc>
      </w:tr>
      <w:tr w:rsidR="00972622" w:rsidRPr="00075333" w:rsidTr="00BD69BA">
        <w:trPr>
          <w:cantSplit/>
        </w:trPr>
        <w:tc>
          <w:tcPr>
            <w:tcW w:w="9576" w:type="dxa"/>
            <w:gridSpan w:val="2"/>
          </w:tcPr>
          <w:p w:rsidR="00972622" w:rsidRPr="00972622" w:rsidRDefault="00972622" w:rsidP="00BD69BA">
            <w:pPr>
              <w:pStyle w:val="SCCShortJudgment"/>
              <w:rPr>
                <w:szCs w:val="20"/>
              </w:rPr>
            </w:pPr>
            <w:r w:rsidRPr="00972622">
              <w:rPr>
                <w:szCs w:val="20"/>
              </w:rPr>
              <w:t>The motion to expedite the application for leave to appeal is granted. The application for leave to appeal from the judgment of the Court of Appeal for Ontario, Number C50380, 2010 ONCA 547, dated August 13, 2010, is granted with costs in the cause.  The appeal is to be heard on March 22, 2011, and the schedule for serving and filing the material and any application for leave to intervene shall be set by the Registrar.</w:t>
            </w:r>
          </w:p>
          <w:p w:rsidR="00972622" w:rsidRPr="00972622" w:rsidRDefault="00972622" w:rsidP="00BD69BA">
            <w:pPr>
              <w:pStyle w:val="SCCShortJudgment"/>
              <w:ind w:firstLine="0"/>
              <w:rPr>
                <w:szCs w:val="20"/>
              </w:rPr>
            </w:pPr>
          </w:p>
          <w:p w:rsidR="00972622" w:rsidRPr="00972622" w:rsidRDefault="00972622" w:rsidP="00433B12">
            <w:pPr>
              <w:pStyle w:val="SCCShortJudgment"/>
              <w:rPr>
                <w:szCs w:val="20"/>
                <w:lang w:val="fr-CA"/>
              </w:rPr>
            </w:pPr>
            <w:r w:rsidRPr="00972622">
              <w:rPr>
                <w:szCs w:val="20"/>
                <w:lang w:val="fr-CA"/>
              </w:rPr>
              <w:t>La requête visant à accélérer la procédure de demande d’autorisation d’appel est accordée.  La demande d’autorisation d’appel de l’arrêt de la Cour d’appel de l’Ontario, numéro C50380, 2010 ONCA 547, daté du 13 août 2010, est accordée avec dépens suivant l’issue de la cause.  L’appel sera entendu le 22 mars 2011, et l’échéancier pour la signification et le dépôt des documents et pour toute requête en intervention sera fixé par le registraire.</w:t>
            </w:r>
          </w:p>
        </w:tc>
      </w:tr>
    </w:tbl>
    <w:p w:rsidR="00972622" w:rsidRPr="00972622" w:rsidRDefault="00972622" w:rsidP="00A90641">
      <w:pPr>
        <w:rPr>
          <w:sz w:val="20"/>
          <w:szCs w:val="20"/>
          <w:lang w:val="fr-CA"/>
        </w:rPr>
      </w:pPr>
    </w:p>
    <w:p w:rsidR="00A90641" w:rsidRDefault="00A90641" w:rsidP="00A90641">
      <w:pPr>
        <w:rPr>
          <w:sz w:val="20"/>
          <w:szCs w:val="20"/>
        </w:rPr>
      </w:pPr>
      <w:r>
        <w:rPr>
          <w:sz w:val="20"/>
          <w:szCs w:val="20"/>
          <w:u w:val="single"/>
        </w:rPr>
        <w:t>CASE SUMMARY</w:t>
      </w:r>
    </w:p>
    <w:p w:rsidR="00A90641" w:rsidRDefault="00A90641" w:rsidP="00A90641">
      <w:pPr>
        <w:rPr>
          <w:sz w:val="20"/>
          <w:szCs w:val="20"/>
        </w:rPr>
      </w:pPr>
    </w:p>
    <w:tbl>
      <w:tblPr>
        <w:tblW w:w="4952" w:type="pct"/>
        <w:tblLayout w:type="fixed"/>
        <w:tblCellMar>
          <w:left w:w="0" w:type="dxa"/>
          <w:bottom w:w="99" w:type="dxa"/>
          <w:right w:w="0" w:type="dxa"/>
        </w:tblCellMar>
        <w:tblLook w:val="04A0"/>
      </w:tblPr>
      <w:tblGrid>
        <w:gridCol w:w="9527"/>
      </w:tblGrid>
      <w:tr w:rsidR="00972622" w:rsidRPr="009B289E" w:rsidTr="00BD69BA">
        <w:tc>
          <w:tcPr>
            <w:tcW w:w="5000" w:type="pct"/>
          </w:tcPr>
          <w:p w:rsidR="00972622" w:rsidRDefault="00972622" w:rsidP="00BD69BA">
            <w:pPr>
              <w:jc w:val="both"/>
              <w:rPr>
                <w:rFonts w:eastAsia="Calibri"/>
                <w:sz w:val="20"/>
              </w:rPr>
            </w:pPr>
            <w:r w:rsidRPr="009B289E">
              <w:rPr>
                <w:rFonts w:eastAsia="Calibri"/>
                <w:sz w:val="20"/>
              </w:rPr>
              <w:t xml:space="preserve">Private international law - Courts - Jurisdiction - Choice of forum - Jurisdiction </w:t>
            </w:r>
            <w:proofErr w:type="spellStart"/>
            <w:r w:rsidRPr="009B289E">
              <w:rPr>
                <w:rFonts w:eastAsia="Calibri"/>
                <w:i/>
                <w:sz w:val="20"/>
              </w:rPr>
              <w:t>simpliciter</w:t>
            </w:r>
            <w:proofErr w:type="spellEnd"/>
            <w:r w:rsidRPr="009B289E">
              <w:rPr>
                <w:rFonts w:eastAsia="Calibri"/>
                <w:sz w:val="20"/>
              </w:rPr>
              <w:t xml:space="preserve"> -</w:t>
            </w:r>
            <w:r w:rsidRPr="009B289E">
              <w:rPr>
                <w:rFonts w:eastAsia="Calibri"/>
                <w:i/>
                <w:sz w:val="20"/>
              </w:rPr>
              <w:t xml:space="preserve"> Forum </w:t>
            </w:r>
            <w:proofErr w:type="spellStart"/>
            <w:r w:rsidRPr="009B289E">
              <w:rPr>
                <w:rFonts w:eastAsia="Calibri"/>
                <w:i/>
                <w:sz w:val="20"/>
              </w:rPr>
              <w:t>conveniens</w:t>
            </w:r>
            <w:proofErr w:type="spellEnd"/>
            <w:r w:rsidRPr="009B289E">
              <w:rPr>
                <w:rFonts w:eastAsia="Calibri"/>
                <w:sz w:val="20"/>
              </w:rPr>
              <w:t xml:space="preserve"> - Real and substantial connection test - Torts - Libel and slander - Foreign defendants moving to stay actions for want of jurisdiction or on grounds of </w:t>
            </w:r>
            <w:r w:rsidRPr="009B289E">
              <w:rPr>
                <w:rFonts w:eastAsia="Calibri"/>
                <w:i/>
                <w:sz w:val="20"/>
              </w:rPr>
              <w:t xml:space="preserve">forum non </w:t>
            </w:r>
            <w:proofErr w:type="spellStart"/>
            <w:r w:rsidRPr="009B289E">
              <w:rPr>
                <w:rFonts w:eastAsia="Calibri"/>
                <w:i/>
                <w:sz w:val="20"/>
              </w:rPr>
              <w:t>conveniens</w:t>
            </w:r>
            <w:proofErr w:type="spellEnd"/>
            <w:r w:rsidRPr="009B289E">
              <w:rPr>
                <w:rFonts w:eastAsia="Calibri"/>
                <w:sz w:val="20"/>
              </w:rPr>
              <w:t xml:space="preserve"> - Whether Canadian courts should assume jurisdiction over libel suits based on allegedly defamatory statements made via Internet postings in a foreign country that are downloaded in Canada.</w:t>
            </w:r>
          </w:p>
          <w:p w:rsidR="00972622" w:rsidRPr="009B289E" w:rsidRDefault="00972622" w:rsidP="00BD69BA">
            <w:pPr>
              <w:jc w:val="both"/>
              <w:rPr>
                <w:rFonts w:eastAsia="Calibri"/>
                <w:sz w:val="20"/>
              </w:rPr>
            </w:pPr>
          </w:p>
        </w:tc>
      </w:tr>
      <w:tr w:rsidR="00972622" w:rsidRPr="009B289E" w:rsidTr="00BD69BA">
        <w:tc>
          <w:tcPr>
            <w:tcW w:w="5000" w:type="pct"/>
          </w:tcPr>
          <w:p w:rsidR="00972622" w:rsidRPr="009B289E" w:rsidRDefault="00972622" w:rsidP="008C4D49">
            <w:pPr>
              <w:jc w:val="both"/>
              <w:rPr>
                <w:rFonts w:eastAsia="Calibri"/>
                <w:sz w:val="20"/>
              </w:rPr>
            </w:pPr>
            <w:r w:rsidRPr="009B289E">
              <w:rPr>
                <w:rFonts w:eastAsia="Calibri"/>
                <w:sz w:val="20"/>
              </w:rPr>
              <w:t xml:space="preserve">The Respondent commenced six libel actions in the Superior Court of Ontario against the ten Applicants, alleging that press releases and reports issued by the Applicants contained defamatory statements that were downloaded, read and republished in Ontario. The Applicants brought a motion to have the actions stayed on grounds that the Ontario Superior Court does not have the jurisdiction over the actions and that Ontario is not the convenient forum. The motion judge dismissed the motion and the Court of Appeal for Ontario dismissed the appeal. </w:t>
            </w:r>
          </w:p>
        </w:tc>
      </w:tr>
    </w:tbl>
    <w:p w:rsidR="008C4D49" w:rsidRDefault="008C4D49"/>
    <w:tbl>
      <w:tblPr>
        <w:tblW w:w="4952" w:type="pct"/>
        <w:tblLayout w:type="fixed"/>
        <w:tblCellMar>
          <w:left w:w="0" w:type="dxa"/>
          <w:bottom w:w="99" w:type="dxa"/>
          <w:right w:w="0" w:type="dxa"/>
        </w:tblCellMar>
        <w:tblLook w:val="04A0"/>
      </w:tblPr>
      <w:tblGrid>
        <w:gridCol w:w="4624"/>
        <w:gridCol w:w="463"/>
        <w:gridCol w:w="4440"/>
      </w:tblGrid>
      <w:tr w:rsidR="00972622" w:rsidRPr="009B289E" w:rsidTr="00BD69BA">
        <w:tc>
          <w:tcPr>
            <w:tcW w:w="2427" w:type="pct"/>
          </w:tcPr>
          <w:p w:rsidR="00972622" w:rsidRPr="009B289E" w:rsidRDefault="00972622" w:rsidP="00BD69BA">
            <w:pPr>
              <w:jc w:val="both"/>
              <w:rPr>
                <w:rFonts w:eastAsia="Calibri"/>
                <w:sz w:val="20"/>
              </w:rPr>
            </w:pPr>
            <w:r w:rsidRPr="009B289E">
              <w:rPr>
                <w:rFonts w:eastAsia="Calibri"/>
                <w:sz w:val="20"/>
              </w:rPr>
              <w:lastRenderedPageBreak/>
              <w:t>March 31, 2009</w:t>
            </w:r>
          </w:p>
          <w:p w:rsidR="00972622" w:rsidRPr="009B289E" w:rsidRDefault="00972622" w:rsidP="00BD69BA">
            <w:pPr>
              <w:jc w:val="both"/>
              <w:rPr>
                <w:rFonts w:eastAsia="Calibri"/>
                <w:sz w:val="20"/>
              </w:rPr>
            </w:pPr>
            <w:r w:rsidRPr="009B289E">
              <w:rPr>
                <w:rFonts w:eastAsia="Calibri"/>
                <w:sz w:val="20"/>
              </w:rPr>
              <w:t>Ontario Superior Court of Justice</w:t>
            </w:r>
          </w:p>
          <w:p w:rsidR="00972622" w:rsidRPr="009B289E" w:rsidRDefault="00972622" w:rsidP="00433B12">
            <w:pPr>
              <w:jc w:val="both"/>
              <w:rPr>
                <w:rFonts w:eastAsia="Calibri"/>
                <w:sz w:val="20"/>
              </w:rPr>
            </w:pPr>
            <w:r w:rsidRPr="009B289E">
              <w:rPr>
                <w:rFonts w:eastAsia="Calibri"/>
                <w:sz w:val="20"/>
              </w:rPr>
              <w:t>(</w:t>
            </w:r>
            <w:proofErr w:type="spellStart"/>
            <w:r w:rsidRPr="009B289E">
              <w:rPr>
                <w:rFonts w:eastAsia="Calibri"/>
                <w:sz w:val="20"/>
              </w:rPr>
              <w:t>Belobaba</w:t>
            </w:r>
            <w:proofErr w:type="spellEnd"/>
            <w:r w:rsidRPr="009B289E">
              <w:rPr>
                <w:rFonts w:eastAsia="Calibri"/>
                <w:sz w:val="20"/>
              </w:rPr>
              <w:t xml:space="preserve"> J.)</w:t>
            </w:r>
          </w:p>
        </w:tc>
        <w:tc>
          <w:tcPr>
            <w:tcW w:w="243" w:type="pct"/>
          </w:tcPr>
          <w:p w:rsidR="00972622" w:rsidRDefault="00972622" w:rsidP="00BD69BA">
            <w:pPr>
              <w:jc w:val="both"/>
              <w:rPr>
                <w:rFonts w:eastAsia="Calibri"/>
                <w:sz w:val="20"/>
              </w:rPr>
            </w:pPr>
          </w:p>
          <w:p w:rsidR="00433B12" w:rsidRDefault="00433B12" w:rsidP="00BD69BA">
            <w:pPr>
              <w:jc w:val="both"/>
              <w:rPr>
                <w:rFonts w:eastAsia="Calibri"/>
                <w:sz w:val="20"/>
              </w:rPr>
            </w:pPr>
          </w:p>
          <w:p w:rsidR="00433B12" w:rsidRDefault="00433B12" w:rsidP="00BD69BA">
            <w:pPr>
              <w:jc w:val="both"/>
              <w:rPr>
                <w:rFonts w:eastAsia="Calibri"/>
                <w:sz w:val="20"/>
              </w:rPr>
            </w:pPr>
          </w:p>
          <w:p w:rsidR="00433B12" w:rsidRPr="009B289E" w:rsidRDefault="00433B12" w:rsidP="00BD69BA">
            <w:pPr>
              <w:jc w:val="both"/>
              <w:rPr>
                <w:rFonts w:eastAsia="Calibri"/>
                <w:sz w:val="20"/>
              </w:rPr>
            </w:pPr>
          </w:p>
        </w:tc>
        <w:tc>
          <w:tcPr>
            <w:tcW w:w="2330" w:type="pct"/>
          </w:tcPr>
          <w:p w:rsidR="00972622" w:rsidRPr="009B289E" w:rsidRDefault="00972622" w:rsidP="00BD69BA">
            <w:pPr>
              <w:jc w:val="both"/>
              <w:rPr>
                <w:rFonts w:eastAsia="Calibri"/>
                <w:sz w:val="20"/>
              </w:rPr>
            </w:pPr>
            <w:r w:rsidRPr="009B289E">
              <w:rPr>
                <w:rFonts w:eastAsia="Calibri"/>
                <w:sz w:val="20"/>
              </w:rPr>
              <w:t>Motion to stay actions dismissed</w:t>
            </w:r>
          </w:p>
          <w:p w:rsidR="00972622" w:rsidRPr="009B289E" w:rsidRDefault="00972622" w:rsidP="00BD69BA">
            <w:pPr>
              <w:jc w:val="both"/>
              <w:rPr>
                <w:rFonts w:eastAsia="Calibri"/>
                <w:sz w:val="20"/>
              </w:rPr>
            </w:pPr>
          </w:p>
        </w:tc>
      </w:tr>
      <w:tr w:rsidR="00972622" w:rsidRPr="009B289E" w:rsidTr="00BD69BA">
        <w:tc>
          <w:tcPr>
            <w:tcW w:w="2427" w:type="pct"/>
          </w:tcPr>
          <w:p w:rsidR="00972622" w:rsidRPr="009B289E" w:rsidRDefault="00972622" w:rsidP="00BD69BA">
            <w:pPr>
              <w:jc w:val="both"/>
              <w:rPr>
                <w:rFonts w:eastAsia="Calibri"/>
                <w:sz w:val="20"/>
              </w:rPr>
            </w:pPr>
            <w:r w:rsidRPr="009B289E">
              <w:rPr>
                <w:rFonts w:eastAsia="Calibri"/>
                <w:sz w:val="20"/>
              </w:rPr>
              <w:t>August 13, 2010</w:t>
            </w:r>
          </w:p>
          <w:p w:rsidR="00972622" w:rsidRPr="009B289E" w:rsidRDefault="00972622" w:rsidP="00BD69BA">
            <w:pPr>
              <w:jc w:val="both"/>
              <w:rPr>
                <w:rFonts w:eastAsia="Calibri"/>
                <w:sz w:val="20"/>
              </w:rPr>
            </w:pPr>
            <w:r w:rsidRPr="009B289E">
              <w:rPr>
                <w:rFonts w:eastAsia="Calibri"/>
                <w:sz w:val="20"/>
              </w:rPr>
              <w:t>Court of Appeal for Ontario</w:t>
            </w:r>
          </w:p>
          <w:p w:rsidR="00972622" w:rsidRPr="009B289E" w:rsidRDefault="00972622" w:rsidP="00BD69BA">
            <w:pPr>
              <w:jc w:val="both"/>
              <w:rPr>
                <w:rFonts w:eastAsia="Calibri"/>
                <w:sz w:val="20"/>
              </w:rPr>
            </w:pPr>
            <w:r w:rsidRPr="009B289E">
              <w:rPr>
                <w:rFonts w:eastAsia="Calibri"/>
                <w:sz w:val="20"/>
              </w:rPr>
              <w:t xml:space="preserve">(Doherty, </w:t>
            </w:r>
            <w:proofErr w:type="spellStart"/>
            <w:r w:rsidRPr="009B289E">
              <w:rPr>
                <w:rFonts w:eastAsia="Calibri"/>
                <w:sz w:val="20"/>
              </w:rPr>
              <w:t>Juriansz</w:t>
            </w:r>
            <w:proofErr w:type="spellEnd"/>
            <w:r w:rsidRPr="009B289E">
              <w:rPr>
                <w:rFonts w:eastAsia="Calibri"/>
                <w:sz w:val="20"/>
              </w:rPr>
              <w:t xml:space="preserve"> and </w:t>
            </w:r>
            <w:proofErr w:type="spellStart"/>
            <w:r w:rsidRPr="009B289E">
              <w:rPr>
                <w:rFonts w:eastAsia="Calibri"/>
                <w:sz w:val="20"/>
              </w:rPr>
              <w:t>Karakatsanis</w:t>
            </w:r>
            <w:proofErr w:type="spellEnd"/>
            <w:r w:rsidRPr="009B289E">
              <w:rPr>
                <w:rFonts w:eastAsia="Calibri"/>
                <w:sz w:val="20"/>
              </w:rPr>
              <w:t xml:space="preserve"> JJ.A.)</w:t>
            </w:r>
          </w:p>
          <w:p w:rsidR="00972622" w:rsidRPr="009B289E" w:rsidRDefault="00972622" w:rsidP="00433B12">
            <w:pPr>
              <w:jc w:val="both"/>
              <w:rPr>
                <w:rFonts w:eastAsia="Calibri"/>
                <w:sz w:val="20"/>
              </w:rPr>
            </w:pPr>
            <w:r w:rsidRPr="009B289E">
              <w:rPr>
                <w:rFonts w:eastAsia="Calibri"/>
                <w:sz w:val="20"/>
              </w:rPr>
              <w:t>Neutral citation: 2010 ONCA 547</w:t>
            </w:r>
          </w:p>
        </w:tc>
        <w:tc>
          <w:tcPr>
            <w:tcW w:w="243" w:type="pct"/>
          </w:tcPr>
          <w:p w:rsidR="00972622" w:rsidRDefault="00972622" w:rsidP="00BD69BA">
            <w:pPr>
              <w:jc w:val="both"/>
              <w:rPr>
                <w:rFonts w:eastAsia="Calibri"/>
                <w:sz w:val="20"/>
              </w:rPr>
            </w:pPr>
          </w:p>
          <w:p w:rsidR="00433B12" w:rsidRDefault="00433B12" w:rsidP="00BD69BA">
            <w:pPr>
              <w:jc w:val="both"/>
              <w:rPr>
                <w:rFonts w:eastAsia="Calibri"/>
                <w:sz w:val="20"/>
              </w:rPr>
            </w:pPr>
          </w:p>
          <w:p w:rsidR="00433B12" w:rsidRDefault="00433B12" w:rsidP="00BD69BA">
            <w:pPr>
              <w:jc w:val="both"/>
              <w:rPr>
                <w:rFonts w:eastAsia="Calibri"/>
                <w:sz w:val="20"/>
              </w:rPr>
            </w:pPr>
          </w:p>
          <w:p w:rsidR="00433B12" w:rsidRDefault="00433B12" w:rsidP="00BD69BA">
            <w:pPr>
              <w:jc w:val="both"/>
              <w:rPr>
                <w:rFonts w:eastAsia="Calibri"/>
                <w:sz w:val="20"/>
              </w:rPr>
            </w:pPr>
          </w:p>
          <w:p w:rsidR="00433B12" w:rsidRPr="009B289E" w:rsidRDefault="00433B12" w:rsidP="00BD69BA">
            <w:pPr>
              <w:jc w:val="both"/>
              <w:rPr>
                <w:rFonts w:eastAsia="Calibri"/>
                <w:sz w:val="20"/>
              </w:rPr>
            </w:pPr>
          </w:p>
        </w:tc>
        <w:tc>
          <w:tcPr>
            <w:tcW w:w="2330" w:type="pct"/>
          </w:tcPr>
          <w:p w:rsidR="00972622" w:rsidRPr="009B289E" w:rsidRDefault="00972622" w:rsidP="00BD69BA">
            <w:pPr>
              <w:jc w:val="both"/>
              <w:rPr>
                <w:rFonts w:eastAsia="Calibri"/>
                <w:sz w:val="20"/>
              </w:rPr>
            </w:pPr>
            <w:r w:rsidRPr="009B289E">
              <w:rPr>
                <w:rFonts w:eastAsia="Calibri"/>
                <w:sz w:val="20"/>
              </w:rPr>
              <w:t>Appeal dismissed</w:t>
            </w:r>
          </w:p>
          <w:p w:rsidR="00972622" w:rsidRPr="009B289E" w:rsidRDefault="00972622" w:rsidP="00BD69BA">
            <w:pPr>
              <w:jc w:val="both"/>
              <w:rPr>
                <w:rFonts w:eastAsia="Calibri"/>
                <w:sz w:val="20"/>
              </w:rPr>
            </w:pPr>
          </w:p>
        </w:tc>
      </w:tr>
      <w:tr w:rsidR="00972622" w:rsidRPr="009B289E" w:rsidTr="00BD69BA">
        <w:tc>
          <w:tcPr>
            <w:tcW w:w="2427" w:type="pct"/>
          </w:tcPr>
          <w:p w:rsidR="00972622" w:rsidRPr="009B289E" w:rsidRDefault="00972622" w:rsidP="00BD69BA">
            <w:pPr>
              <w:jc w:val="both"/>
              <w:rPr>
                <w:rFonts w:eastAsia="Calibri"/>
                <w:sz w:val="20"/>
              </w:rPr>
            </w:pPr>
            <w:r w:rsidRPr="009B289E">
              <w:rPr>
                <w:rFonts w:eastAsia="Calibri"/>
                <w:sz w:val="20"/>
              </w:rPr>
              <w:t>October 12, 2010</w:t>
            </w:r>
          </w:p>
          <w:p w:rsidR="00972622" w:rsidRPr="009B289E" w:rsidRDefault="00972622" w:rsidP="00BD69BA">
            <w:pPr>
              <w:jc w:val="both"/>
              <w:rPr>
                <w:rFonts w:eastAsia="Calibri"/>
                <w:sz w:val="20"/>
              </w:rPr>
            </w:pPr>
            <w:r w:rsidRPr="009B289E">
              <w:rPr>
                <w:rFonts w:eastAsia="Calibri"/>
                <w:sz w:val="20"/>
              </w:rPr>
              <w:t>Supreme Court of Canada</w:t>
            </w:r>
          </w:p>
        </w:tc>
        <w:tc>
          <w:tcPr>
            <w:tcW w:w="243" w:type="pct"/>
          </w:tcPr>
          <w:p w:rsidR="00972622" w:rsidRPr="009B289E" w:rsidRDefault="00972622" w:rsidP="00BD69BA">
            <w:pPr>
              <w:jc w:val="both"/>
              <w:rPr>
                <w:rFonts w:eastAsia="Calibri"/>
                <w:sz w:val="20"/>
              </w:rPr>
            </w:pPr>
          </w:p>
        </w:tc>
        <w:tc>
          <w:tcPr>
            <w:tcW w:w="2330" w:type="pct"/>
          </w:tcPr>
          <w:p w:rsidR="00972622" w:rsidRPr="009B289E" w:rsidRDefault="00972622" w:rsidP="00BD69BA">
            <w:pPr>
              <w:jc w:val="both"/>
              <w:rPr>
                <w:rFonts w:eastAsia="Calibri"/>
                <w:sz w:val="20"/>
              </w:rPr>
            </w:pPr>
            <w:r w:rsidRPr="009B289E">
              <w:rPr>
                <w:rFonts w:eastAsia="Calibri"/>
                <w:sz w:val="20"/>
              </w:rPr>
              <w:t>Application for leave to appeal filed</w:t>
            </w:r>
          </w:p>
          <w:p w:rsidR="00972622" w:rsidRPr="009B289E" w:rsidRDefault="00972622" w:rsidP="00BD69BA">
            <w:pPr>
              <w:jc w:val="both"/>
              <w:rPr>
                <w:rFonts w:eastAsia="Calibri"/>
                <w:sz w:val="20"/>
              </w:rPr>
            </w:pPr>
          </w:p>
        </w:tc>
      </w:tr>
    </w:tbl>
    <w:p w:rsidR="00A90641" w:rsidRPr="00D15140" w:rsidRDefault="00A90641" w:rsidP="00A90641">
      <w:pPr>
        <w:rPr>
          <w:sz w:val="20"/>
          <w:szCs w:val="20"/>
        </w:rPr>
      </w:pPr>
    </w:p>
    <w:p w:rsidR="00A90641" w:rsidRDefault="006D705A" w:rsidP="00A90641">
      <w:pPr>
        <w:rPr>
          <w:sz w:val="20"/>
          <w:szCs w:val="20"/>
          <w:lang w:val="fr-CA"/>
        </w:rPr>
      </w:pPr>
      <w:r w:rsidRPr="006D705A">
        <w:rPr>
          <w:sz w:val="20"/>
          <w:szCs w:val="20"/>
          <w:lang w:val="fr-CA"/>
        </w:rPr>
        <w:pict>
          <v:rect id="_x0000_i1045" style="width:2in;height:1pt" o:hrpct="0" o:hralign="center" o:hrstd="t" o:hrnoshade="t" o:hr="t" fillcolor="black [3213]" stroked="f"/>
        </w:pict>
      </w:r>
    </w:p>
    <w:p w:rsidR="00A90641" w:rsidRDefault="00A90641" w:rsidP="00A90641">
      <w:pPr>
        <w:rPr>
          <w:sz w:val="20"/>
          <w:szCs w:val="20"/>
        </w:rPr>
      </w:pPr>
    </w:p>
    <w:p w:rsidR="00A90641" w:rsidRPr="00D15140" w:rsidRDefault="00A90641" w:rsidP="00A90641">
      <w:pPr>
        <w:rPr>
          <w:sz w:val="20"/>
          <w:szCs w:val="20"/>
        </w:rPr>
      </w:pPr>
      <w:r>
        <w:rPr>
          <w:sz w:val="20"/>
          <w:szCs w:val="20"/>
          <w:u w:val="single"/>
        </w:rPr>
        <w:t>RÉSUME DE L’AFFAIRE</w:t>
      </w:r>
    </w:p>
    <w:p w:rsidR="00A90641" w:rsidRDefault="00A90641" w:rsidP="00A90641">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72622" w:rsidRPr="00075333" w:rsidTr="00BD69BA">
        <w:tc>
          <w:tcPr>
            <w:tcW w:w="5000" w:type="pct"/>
            <w:gridSpan w:val="3"/>
          </w:tcPr>
          <w:p w:rsidR="00972622" w:rsidRDefault="00972622" w:rsidP="00BD69BA">
            <w:pPr>
              <w:jc w:val="both"/>
              <w:rPr>
                <w:rFonts w:eastAsia="Calibri"/>
                <w:sz w:val="20"/>
                <w:lang w:val="fr-CA"/>
              </w:rPr>
            </w:pPr>
            <w:r w:rsidRPr="009B289E">
              <w:rPr>
                <w:rFonts w:eastAsia="Calibri"/>
                <w:sz w:val="20"/>
                <w:lang w:val="fr-CA"/>
              </w:rPr>
              <w:t>Droit international privé - Tribunaux - Compétence – Élection de for – Simple reconnaissance de compétence -</w:t>
            </w:r>
            <w:r w:rsidRPr="009B289E">
              <w:rPr>
                <w:rFonts w:eastAsia="Calibri"/>
                <w:i/>
                <w:iCs/>
                <w:sz w:val="20"/>
                <w:lang w:val="fr-CA"/>
              </w:rPr>
              <w:t xml:space="preserve"> Forum </w:t>
            </w:r>
            <w:proofErr w:type="spellStart"/>
            <w:r w:rsidRPr="009B289E">
              <w:rPr>
                <w:rFonts w:eastAsia="Calibri"/>
                <w:i/>
                <w:iCs/>
                <w:sz w:val="20"/>
                <w:lang w:val="fr-CA"/>
              </w:rPr>
              <w:t>conveniens</w:t>
            </w:r>
            <w:proofErr w:type="spellEnd"/>
            <w:r w:rsidRPr="009B289E">
              <w:rPr>
                <w:rFonts w:eastAsia="Calibri"/>
                <w:sz w:val="20"/>
                <w:lang w:val="fr-CA"/>
              </w:rPr>
              <w:t xml:space="preserve"> – Critère du lien réel et substantiel – Responsabilité délictuelle – Diffamation – Motion des défendeurs étrangers en suspension d’instance pour manque de compétence ou au motif de </w:t>
            </w:r>
            <w:r w:rsidRPr="009B289E">
              <w:rPr>
                <w:rFonts w:eastAsia="Calibri"/>
                <w:i/>
                <w:iCs/>
                <w:sz w:val="20"/>
                <w:lang w:val="fr-CA"/>
              </w:rPr>
              <w:t xml:space="preserve">forum non </w:t>
            </w:r>
            <w:proofErr w:type="spellStart"/>
            <w:r w:rsidRPr="009B289E">
              <w:rPr>
                <w:rFonts w:eastAsia="Calibri"/>
                <w:i/>
                <w:iCs/>
                <w:sz w:val="20"/>
                <w:lang w:val="fr-CA"/>
              </w:rPr>
              <w:t>conveniens</w:t>
            </w:r>
            <w:proofErr w:type="spellEnd"/>
            <w:r w:rsidRPr="009B289E">
              <w:rPr>
                <w:rFonts w:eastAsia="Calibri"/>
                <w:sz w:val="20"/>
                <w:lang w:val="fr-CA"/>
              </w:rPr>
              <w:t xml:space="preserve"> – Les tribunaux canadiens doivent-ils se déclarer compétents pour connaître de poursuites en diffamation fondées sur les déclarations censément diffamatoires faites dans des articles parus sur l’internet dans un pays étranger et qui sont téléchargés au Canada?</w:t>
            </w:r>
          </w:p>
          <w:p w:rsidR="00972622" w:rsidRPr="009B289E" w:rsidRDefault="00972622" w:rsidP="00BD69BA">
            <w:pPr>
              <w:jc w:val="both"/>
              <w:rPr>
                <w:rFonts w:eastAsia="Calibri"/>
                <w:sz w:val="20"/>
                <w:lang w:val="fr-CA"/>
              </w:rPr>
            </w:pPr>
          </w:p>
        </w:tc>
      </w:tr>
      <w:tr w:rsidR="00972622" w:rsidRPr="00075333" w:rsidTr="00BD69BA">
        <w:tc>
          <w:tcPr>
            <w:tcW w:w="5000" w:type="pct"/>
            <w:gridSpan w:val="3"/>
          </w:tcPr>
          <w:p w:rsidR="00972622" w:rsidRPr="009B289E" w:rsidRDefault="00972622" w:rsidP="00BD69BA">
            <w:pPr>
              <w:jc w:val="both"/>
              <w:rPr>
                <w:rFonts w:eastAsia="Calibri"/>
                <w:sz w:val="20"/>
                <w:lang w:val="fr-CA"/>
              </w:rPr>
            </w:pPr>
            <w:r w:rsidRPr="009B289E">
              <w:rPr>
                <w:rFonts w:eastAsia="Calibri"/>
                <w:sz w:val="20"/>
                <w:lang w:val="fr-CA"/>
              </w:rPr>
              <w:t xml:space="preserve">L’intimé a intenté six actions en diffamation en Cour supérieure de l’Ontario contre les dix demandeurs, alléguant que des communiqués et des rapports de presse publiés par les demandeurs renfermaient des déclarations diffamatoires qui ont été téléchargés, lus et publiés de nouveau en Ontario. Les demandeurs ont présenté une motion en suspension d’instance, alléguant que la Cour supérieure de l’Ontario n’a pas compétence pour connaître des actions et que l’Ontario n’est pas le lieu où il convient que l’action soit instruite. Le juge saisi de la motion a rejeté celle-ci et la Cour d’appel de l’Ontario a rejeté l’appel. </w:t>
            </w:r>
          </w:p>
          <w:p w:rsidR="00972622" w:rsidRPr="009B289E" w:rsidRDefault="00972622" w:rsidP="00BD69BA">
            <w:pPr>
              <w:jc w:val="both"/>
              <w:rPr>
                <w:rFonts w:eastAsia="Calibri"/>
                <w:sz w:val="20"/>
                <w:lang w:val="fr-CA"/>
              </w:rPr>
            </w:pPr>
          </w:p>
        </w:tc>
      </w:tr>
      <w:tr w:rsidR="00972622" w:rsidRPr="009B289E" w:rsidTr="00BD69BA">
        <w:tc>
          <w:tcPr>
            <w:tcW w:w="2427" w:type="pct"/>
          </w:tcPr>
          <w:p w:rsidR="00972622" w:rsidRPr="009B289E" w:rsidRDefault="00972622" w:rsidP="00BD69BA">
            <w:pPr>
              <w:jc w:val="both"/>
              <w:rPr>
                <w:rFonts w:eastAsia="Calibri"/>
                <w:sz w:val="20"/>
                <w:lang w:val="fr-CA"/>
              </w:rPr>
            </w:pPr>
            <w:r w:rsidRPr="009B289E">
              <w:rPr>
                <w:rFonts w:eastAsia="Calibri"/>
                <w:sz w:val="20"/>
                <w:lang w:val="fr-CA"/>
              </w:rPr>
              <w:t>31 mars 2009</w:t>
            </w:r>
          </w:p>
          <w:p w:rsidR="00972622" w:rsidRPr="009B289E" w:rsidRDefault="00972622" w:rsidP="00BD69BA">
            <w:pPr>
              <w:jc w:val="both"/>
              <w:rPr>
                <w:rFonts w:eastAsia="Calibri"/>
                <w:sz w:val="20"/>
                <w:lang w:val="fr-CA"/>
              </w:rPr>
            </w:pPr>
            <w:r w:rsidRPr="009B289E">
              <w:rPr>
                <w:rFonts w:eastAsia="Calibri"/>
                <w:sz w:val="20"/>
                <w:lang w:val="fr-CA"/>
              </w:rPr>
              <w:t>Cour supérieure de justice de l’Ontario</w:t>
            </w:r>
          </w:p>
          <w:p w:rsidR="00972622" w:rsidRPr="009B289E" w:rsidRDefault="00972622" w:rsidP="00433B12">
            <w:pPr>
              <w:jc w:val="both"/>
              <w:rPr>
                <w:rFonts w:eastAsia="Calibri"/>
                <w:sz w:val="20"/>
                <w:lang w:val="fr-CA"/>
              </w:rPr>
            </w:pPr>
            <w:r w:rsidRPr="009B289E">
              <w:rPr>
                <w:rFonts w:eastAsia="Calibri"/>
                <w:sz w:val="20"/>
                <w:lang w:val="fr-CA"/>
              </w:rPr>
              <w:t xml:space="preserve">(Juge </w:t>
            </w:r>
            <w:proofErr w:type="spellStart"/>
            <w:r w:rsidRPr="009B289E">
              <w:rPr>
                <w:rFonts w:eastAsia="Calibri"/>
                <w:sz w:val="20"/>
                <w:lang w:val="fr-CA"/>
              </w:rPr>
              <w:t>Belobaba</w:t>
            </w:r>
            <w:proofErr w:type="spellEnd"/>
            <w:r w:rsidRPr="009B289E">
              <w:rPr>
                <w:rFonts w:eastAsia="Calibri"/>
                <w:sz w:val="20"/>
                <w:lang w:val="fr-CA"/>
              </w:rPr>
              <w:t>)</w:t>
            </w:r>
          </w:p>
        </w:tc>
        <w:tc>
          <w:tcPr>
            <w:tcW w:w="243" w:type="pct"/>
          </w:tcPr>
          <w:p w:rsidR="00972622" w:rsidRDefault="00972622" w:rsidP="00BD69BA">
            <w:pPr>
              <w:jc w:val="both"/>
              <w:rPr>
                <w:rFonts w:eastAsia="Calibri"/>
                <w:sz w:val="20"/>
                <w:lang w:val="fr-CA"/>
              </w:rPr>
            </w:pPr>
          </w:p>
          <w:p w:rsidR="00433B12" w:rsidRDefault="00433B12" w:rsidP="00BD69BA">
            <w:pPr>
              <w:jc w:val="both"/>
              <w:rPr>
                <w:rFonts w:eastAsia="Calibri"/>
                <w:sz w:val="20"/>
                <w:lang w:val="fr-CA"/>
              </w:rPr>
            </w:pPr>
          </w:p>
          <w:p w:rsidR="00433B12" w:rsidRDefault="00433B12" w:rsidP="00BD69BA">
            <w:pPr>
              <w:jc w:val="both"/>
              <w:rPr>
                <w:rFonts w:eastAsia="Calibri"/>
                <w:sz w:val="20"/>
                <w:lang w:val="fr-CA"/>
              </w:rPr>
            </w:pPr>
          </w:p>
          <w:p w:rsidR="00433B12" w:rsidRDefault="00433B12" w:rsidP="00BD69BA">
            <w:pPr>
              <w:jc w:val="both"/>
              <w:rPr>
                <w:rFonts w:eastAsia="Calibri"/>
                <w:sz w:val="20"/>
                <w:lang w:val="fr-CA"/>
              </w:rPr>
            </w:pPr>
          </w:p>
          <w:p w:rsidR="00433B12" w:rsidRPr="009B289E" w:rsidRDefault="00433B12" w:rsidP="00BD69BA">
            <w:pPr>
              <w:jc w:val="both"/>
              <w:rPr>
                <w:rFonts w:eastAsia="Calibri"/>
                <w:sz w:val="20"/>
                <w:lang w:val="fr-CA"/>
              </w:rPr>
            </w:pPr>
          </w:p>
        </w:tc>
        <w:tc>
          <w:tcPr>
            <w:tcW w:w="2330" w:type="pct"/>
          </w:tcPr>
          <w:p w:rsidR="00972622" w:rsidRPr="009B289E" w:rsidRDefault="00972622" w:rsidP="00BD69BA">
            <w:pPr>
              <w:jc w:val="both"/>
              <w:rPr>
                <w:rFonts w:eastAsia="Calibri"/>
                <w:sz w:val="20"/>
                <w:lang w:val="fr-CA"/>
              </w:rPr>
            </w:pPr>
            <w:r w:rsidRPr="009B289E">
              <w:rPr>
                <w:rFonts w:eastAsia="Calibri"/>
                <w:sz w:val="20"/>
                <w:lang w:val="fr-CA"/>
              </w:rPr>
              <w:t>Motion en suspension d’instance, rejetée</w:t>
            </w:r>
          </w:p>
          <w:p w:rsidR="00972622" w:rsidRPr="009B289E" w:rsidRDefault="00972622" w:rsidP="00BD69BA">
            <w:pPr>
              <w:jc w:val="both"/>
              <w:rPr>
                <w:rFonts w:eastAsia="Calibri"/>
                <w:sz w:val="20"/>
                <w:lang w:val="fr-CA"/>
              </w:rPr>
            </w:pPr>
          </w:p>
        </w:tc>
      </w:tr>
      <w:tr w:rsidR="00972622" w:rsidRPr="009B289E" w:rsidTr="00BD69BA">
        <w:tc>
          <w:tcPr>
            <w:tcW w:w="2427" w:type="pct"/>
          </w:tcPr>
          <w:p w:rsidR="00972622" w:rsidRPr="009B289E" w:rsidRDefault="00972622" w:rsidP="00BD69BA">
            <w:pPr>
              <w:jc w:val="both"/>
              <w:rPr>
                <w:rFonts w:eastAsia="Calibri"/>
                <w:sz w:val="20"/>
                <w:lang w:val="fr-CA"/>
              </w:rPr>
            </w:pPr>
            <w:r w:rsidRPr="009B289E">
              <w:rPr>
                <w:rFonts w:eastAsia="Calibri"/>
                <w:sz w:val="20"/>
                <w:lang w:val="fr-CA"/>
              </w:rPr>
              <w:t>13 août 2010</w:t>
            </w:r>
          </w:p>
          <w:p w:rsidR="00972622" w:rsidRPr="009B289E" w:rsidRDefault="00972622" w:rsidP="00BD69BA">
            <w:pPr>
              <w:jc w:val="both"/>
              <w:rPr>
                <w:rFonts w:eastAsia="Calibri"/>
                <w:sz w:val="20"/>
                <w:lang w:val="fr-CA"/>
              </w:rPr>
            </w:pPr>
            <w:r w:rsidRPr="009B289E">
              <w:rPr>
                <w:rFonts w:eastAsia="Calibri"/>
                <w:sz w:val="20"/>
                <w:lang w:val="fr-CA"/>
              </w:rPr>
              <w:t>Cour d’appel de l’Ontario</w:t>
            </w:r>
          </w:p>
          <w:p w:rsidR="00972622" w:rsidRPr="009B289E" w:rsidRDefault="00972622" w:rsidP="00BD69BA">
            <w:pPr>
              <w:jc w:val="both"/>
              <w:rPr>
                <w:rFonts w:eastAsia="Calibri"/>
                <w:sz w:val="20"/>
                <w:lang w:val="fr-CA"/>
              </w:rPr>
            </w:pPr>
            <w:r w:rsidRPr="009B289E">
              <w:rPr>
                <w:rFonts w:eastAsia="Calibri"/>
                <w:sz w:val="20"/>
                <w:lang w:val="fr-CA"/>
              </w:rPr>
              <w:t xml:space="preserve">(Juges Doherty, </w:t>
            </w:r>
            <w:proofErr w:type="spellStart"/>
            <w:r w:rsidRPr="009B289E">
              <w:rPr>
                <w:rFonts w:eastAsia="Calibri"/>
                <w:sz w:val="20"/>
                <w:lang w:val="fr-CA"/>
              </w:rPr>
              <w:t>Juriansz</w:t>
            </w:r>
            <w:proofErr w:type="spellEnd"/>
            <w:r w:rsidRPr="009B289E">
              <w:rPr>
                <w:rFonts w:eastAsia="Calibri"/>
                <w:sz w:val="20"/>
                <w:lang w:val="fr-CA"/>
              </w:rPr>
              <w:t xml:space="preserve"> et </w:t>
            </w:r>
            <w:proofErr w:type="spellStart"/>
            <w:r w:rsidRPr="009B289E">
              <w:rPr>
                <w:rFonts w:eastAsia="Calibri"/>
                <w:sz w:val="20"/>
                <w:lang w:val="fr-CA"/>
              </w:rPr>
              <w:t>Karakatsanis</w:t>
            </w:r>
            <w:proofErr w:type="spellEnd"/>
            <w:r w:rsidRPr="009B289E">
              <w:rPr>
                <w:rFonts w:eastAsia="Calibri"/>
                <w:sz w:val="20"/>
                <w:lang w:val="fr-CA"/>
              </w:rPr>
              <w:t>)</w:t>
            </w:r>
          </w:p>
          <w:p w:rsidR="00972622" w:rsidRPr="009B289E" w:rsidRDefault="00972622" w:rsidP="00433B12">
            <w:pPr>
              <w:jc w:val="both"/>
              <w:rPr>
                <w:rFonts w:eastAsia="Calibri"/>
                <w:sz w:val="20"/>
                <w:lang w:val="fr-CA"/>
              </w:rPr>
            </w:pPr>
            <w:r w:rsidRPr="009B289E">
              <w:rPr>
                <w:rFonts w:eastAsia="Calibri"/>
                <w:sz w:val="20"/>
                <w:lang w:val="fr-CA"/>
              </w:rPr>
              <w:t>Référence neutre : 2010 ONCA 547</w:t>
            </w:r>
          </w:p>
        </w:tc>
        <w:tc>
          <w:tcPr>
            <w:tcW w:w="243" w:type="pct"/>
          </w:tcPr>
          <w:p w:rsidR="00972622" w:rsidRDefault="00972622" w:rsidP="00BD69BA">
            <w:pPr>
              <w:jc w:val="both"/>
              <w:rPr>
                <w:rFonts w:eastAsia="Calibri"/>
                <w:sz w:val="20"/>
                <w:lang w:val="fr-CA"/>
              </w:rPr>
            </w:pPr>
          </w:p>
          <w:p w:rsidR="00433B12" w:rsidRDefault="00433B12" w:rsidP="00BD69BA">
            <w:pPr>
              <w:jc w:val="both"/>
              <w:rPr>
                <w:rFonts w:eastAsia="Calibri"/>
                <w:sz w:val="20"/>
                <w:lang w:val="fr-CA"/>
              </w:rPr>
            </w:pPr>
          </w:p>
          <w:p w:rsidR="00433B12" w:rsidRDefault="00433B12" w:rsidP="00BD69BA">
            <w:pPr>
              <w:jc w:val="both"/>
              <w:rPr>
                <w:rFonts w:eastAsia="Calibri"/>
                <w:sz w:val="20"/>
                <w:lang w:val="fr-CA"/>
              </w:rPr>
            </w:pPr>
          </w:p>
          <w:p w:rsidR="00433B12" w:rsidRDefault="00433B12" w:rsidP="00BD69BA">
            <w:pPr>
              <w:jc w:val="both"/>
              <w:rPr>
                <w:rFonts w:eastAsia="Calibri"/>
                <w:sz w:val="20"/>
                <w:lang w:val="fr-CA"/>
              </w:rPr>
            </w:pPr>
          </w:p>
          <w:p w:rsidR="00433B12" w:rsidRPr="009B289E" w:rsidRDefault="00433B12" w:rsidP="00BD69BA">
            <w:pPr>
              <w:jc w:val="both"/>
              <w:rPr>
                <w:rFonts w:eastAsia="Calibri"/>
                <w:sz w:val="20"/>
                <w:lang w:val="fr-CA"/>
              </w:rPr>
            </w:pPr>
          </w:p>
        </w:tc>
        <w:tc>
          <w:tcPr>
            <w:tcW w:w="2330" w:type="pct"/>
          </w:tcPr>
          <w:p w:rsidR="00972622" w:rsidRPr="009B289E" w:rsidRDefault="00972622" w:rsidP="00BD69BA">
            <w:pPr>
              <w:jc w:val="both"/>
              <w:rPr>
                <w:rFonts w:eastAsia="Calibri"/>
                <w:sz w:val="20"/>
                <w:lang w:val="fr-CA"/>
              </w:rPr>
            </w:pPr>
            <w:r w:rsidRPr="009B289E">
              <w:rPr>
                <w:rFonts w:eastAsia="Calibri"/>
                <w:sz w:val="20"/>
                <w:lang w:val="fr-CA"/>
              </w:rPr>
              <w:t>Appel rejeté</w:t>
            </w:r>
          </w:p>
          <w:p w:rsidR="00972622" w:rsidRPr="009B289E" w:rsidRDefault="00972622" w:rsidP="00BD69BA">
            <w:pPr>
              <w:jc w:val="both"/>
              <w:rPr>
                <w:rFonts w:eastAsia="Calibri"/>
                <w:sz w:val="20"/>
                <w:lang w:val="fr-CA"/>
              </w:rPr>
            </w:pPr>
          </w:p>
        </w:tc>
      </w:tr>
      <w:tr w:rsidR="00972622" w:rsidRPr="009B289E" w:rsidTr="00BD69BA">
        <w:tc>
          <w:tcPr>
            <w:tcW w:w="2427" w:type="pct"/>
          </w:tcPr>
          <w:p w:rsidR="00972622" w:rsidRPr="009B289E" w:rsidRDefault="00972622" w:rsidP="00BD69BA">
            <w:pPr>
              <w:jc w:val="both"/>
              <w:rPr>
                <w:rFonts w:eastAsia="Calibri"/>
                <w:sz w:val="20"/>
                <w:lang w:val="fr-CA"/>
              </w:rPr>
            </w:pPr>
            <w:r w:rsidRPr="009B289E">
              <w:rPr>
                <w:rFonts w:eastAsia="Calibri"/>
                <w:sz w:val="20"/>
                <w:lang w:val="fr-CA"/>
              </w:rPr>
              <w:t>12 octobre 2010</w:t>
            </w:r>
          </w:p>
          <w:p w:rsidR="00972622" w:rsidRPr="009B289E" w:rsidRDefault="00972622" w:rsidP="00BD69BA">
            <w:pPr>
              <w:jc w:val="both"/>
              <w:rPr>
                <w:rFonts w:eastAsia="Calibri"/>
                <w:sz w:val="20"/>
                <w:lang w:val="fr-CA"/>
              </w:rPr>
            </w:pPr>
            <w:r w:rsidRPr="009B289E">
              <w:rPr>
                <w:rFonts w:eastAsia="Calibri"/>
                <w:sz w:val="20"/>
                <w:lang w:val="fr-CA"/>
              </w:rPr>
              <w:t>Cour suprême du Canada</w:t>
            </w:r>
          </w:p>
        </w:tc>
        <w:tc>
          <w:tcPr>
            <w:tcW w:w="243" w:type="pct"/>
          </w:tcPr>
          <w:p w:rsidR="00972622" w:rsidRPr="009B289E" w:rsidRDefault="00972622" w:rsidP="00BD69BA">
            <w:pPr>
              <w:jc w:val="both"/>
              <w:rPr>
                <w:rFonts w:eastAsia="Calibri"/>
                <w:sz w:val="20"/>
                <w:lang w:val="fr-CA"/>
              </w:rPr>
            </w:pPr>
          </w:p>
        </w:tc>
        <w:tc>
          <w:tcPr>
            <w:tcW w:w="2330" w:type="pct"/>
          </w:tcPr>
          <w:p w:rsidR="00972622" w:rsidRDefault="00972622" w:rsidP="00BD69BA">
            <w:pPr>
              <w:jc w:val="both"/>
              <w:rPr>
                <w:rFonts w:eastAsia="Calibri"/>
                <w:sz w:val="20"/>
                <w:lang w:val="fr-CA"/>
              </w:rPr>
            </w:pPr>
            <w:r w:rsidRPr="009B289E">
              <w:rPr>
                <w:rFonts w:eastAsia="Calibri"/>
                <w:sz w:val="20"/>
                <w:lang w:val="fr-CA"/>
              </w:rPr>
              <w:t>Demande d’autorisation d’appel, déposée</w:t>
            </w:r>
          </w:p>
          <w:p w:rsidR="00972622" w:rsidRPr="009B289E" w:rsidRDefault="00972622" w:rsidP="00BD69BA">
            <w:pPr>
              <w:jc w:val="both"/>
              <w:rPr>
                <w:rFonts w:eastAsia="Calibri"/>
                <w:sz w:val="20"/>
                <w:lang w:val="fr-CA"/>
              </w:rPr>
            </w:pPr>
          </w:p>
        </w:tc>
      </w:tr>
    </w:tbl>
    <w:p w:rsidR="00A90641" w:rsidRDefault="00A90641" w:rsidP="00A90641">
      <w:pPr>
        <w:rPr>
          <w:sz w:val="20"/>
          <w:szCs w:val="20"/>
        </w:rPr>
      </w:pPr>
    </w:p>
    <w:p w:rsidR="00A90641" w:rsidRDefault="006D705A" w:rsidP="00A90641">
      <w:pPr>
        <w:rPr>
          <w:sz w:val="20"/>
          <w:szCs w:val="20"/>
          <w:lang w:val="fr-CA"/>
        </w:rPr>
      </w:pPr>
      <w:r w:rsidRPr="006D705A">
        <w:rPr>
          <w:sz w:val="20"/>
          <w:szCs w:val="20"/>
          <w:lang w:val="fr-CA"/>
        </w:rPr>
        <w:pict>
          <v:rect id="_x0000_i1046"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71A0C" w:rsidRPr="00171A0C" w:rsidRDefault="00171A0C" w:rsidP="00171A0C">
      <w:pPr>
        <w:tabs>
          <w:tab w:val="left" w:pos="-1440"/>
          <w:tab w:val="left" w:pos="-720"/>
        </w:tabs>
        <w:jc w:val="both"/>
        <w:rPr>
          <w:sz w:val="20"/>
          <w:szCs w:val="20"/>
        </w:rPr>
      </w:pPr>
      <w:r w:rsidRPr="00171A0C">
        <w:rPr>
          <w:sz w:val="20"/>
          <w:szCs w:val="20"/>
        </w:rPr>
        <w:t>06.12.2010</w:t>
      </w:r>
    </w:p>
    <w:p w:rsidR="00171A0C" w:rsidRPr="00171A0C" w:rsidRDefault="00171A0C" w:rsidP="00171A0C">
      <w:pPr>
        <w:tabs>
          <w:tab w:val="left" w:pos="-1440"/>
          <w:tab w:val="left" w:pos="-720"/>
        </w:tabs>
        <w:jc w:val="both"/>
        <w:rPr>
          <w:sz w:val="20"/>
          <w:szCs w:val="20"/>
        </w:rPr>
      </w:pPr>
    </w:p>
    <w:p w:rsidR="00171A0C" w:rsidRPr="00171A0C" w:rsidRDefault="00171A0C" w:rsidP="00171A0C">
      <w:pPr>
        <w:jc w:val="both"/>
        <w:rPr>
          <w:sz w:val="20"/>
          <w:szCs w:val="20"/>
          <w:lang w:val="fr-CA"/>
        </w:rPr>
      </w:pPr>
      <w:proofErr w:type="spellStart"/>
      <w:r w:rsidRPr="00171A0C">
        <w:rPr>
          <w:sz w:val="20"/>
          <w:szCs w:val="20"/>
          <w:lang w:val="fr-CA"/>
        </w:rPr>
        <w:t>Before</w:t>
      </w:r>
      <w:proofErr w:type="spellEnd"/>
      <w:r w:rsidRPr="00171A0C">
        <w:rPr>
          <w:sz w:val="20"/>
          <w:szCs w:val="20"/>
          <w:lang w:val="fr-CA"/>
        </w:rPr>
        <w:t xml:space="preserve"> / Devant:   LEBEL J. / LE JUGE LEBEL</w:t>
      </w:r>
    </w:p>
    <w:p w:rsidR="00171A0C" w:rsidRPr="00171A0C" w:rsidRDefault="00171A0C" w:rsidP="00171A0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A0C" w:rsidRPr="00265EB7" w:rsidTr="00755DAC">
        <w:trPr>
          <w:trHeight w:val="151"/>
        </w:trPr>
        <w:tc>
          <w:tcPr>
            <w:tcW w:w="4338" w:type="dxa"/>
          </w:tcPr>
          <w:p w:rsidR="00171A0C" w:rsidRPr="00171A0C" w:rsidRDefault="006D705A" w:rsidP="00755DAC">
            <w:pPr>
              <w:tabs>
                <w:tab w:val="left" w:pos="-1440"/>
                <w:tab w:val="left" w:pos="-720"/>
              </w:tabs>
              <w:jc w:val="both"/>
              <w:rPr>
                <w:b/>
                <w:sz w:val="20"/>
                <w:szCs w:val="20"/>
              </w:rPr>
            </w:pPr>
            <w:r w:rsidRPr="00171A0C">
              <w:rPr>
                <w:sz w:val="20"/>
                <w:szCs w:val="20"/>
              </w:rPr>
              <w:fldChar w:fldCharType="begin"/>
            </w:r>
            <w:r w:rsidR="00171A0C" w:rsidRPr="00171A0C">
              <w:rPr>
                <w:sz w:val="20"/>
                <w:szCs w:val="20"/>
              </w:rPr>
              <w:instrText xml:space="preserve"> SEQ CHAPTER \h \r 1</w:instrText>
            </w:r>
            <w:r w:rsidRPr="00171A0C">
              <w:rPr>
                <w:sz w:val="20"/>
                <w:szCs w:val="20"/>
              </w:rPr>
              <w:fldChar w:fldCharType="end"/>
            </w:r>
            <w:r w:rsidR="00171A0C" w:rsidRPr="00171A0C">
              <w:rPr>
                <w:b/>
                <w:bCs/>
                <w:sz w:val="20"/>
                <w:szCs w:val="20"/>
              </w:rPr>
              <w:t>Motion from the Attorney General of Canada, Attorney General of Quebec and Attorney General of Alberta permitting each to file a factum of 60 pages</w:t>
            </w:r>
          </w:p>
          <w:p w:rsidR="00171A0C" w:rsidRPr="00171A0C" w:rsidRDefault="00171A0C" w:rsidP="00755DAC">
            <w:pPr>
              <w:tabs>
                <w:tab w:val="left" w:pos="-1440"/>
                <w:tab w:val="left" w:pos="-720"/>
              </w:tabs>
              <w:jc w:val="both"/>
              <w:rPr>
                <w:sz w:val="20"/>
                <w:szCs w:val="20"/>
              </w:rPr>
            </w:pPr>
          </w:p>
        </w:tc>
        <w:tc>
          <w:tcPr>
            <w:tcW w:w="1170" w:type="dxa"/>
          </w:tcPr>
          <w:p w:rsidR="00171A0C" w:rsidRPr="00171A0C" w:rsidRDefault="00171A0C" w:rsidP="00755DAC">
            <w:pPr>
              <w:jc w:val="both"/>
              <w:rPr>
                <w:sz w:val="20"/>
                <w:szCs w:val="20"/>
              </w:rPr>
            </w:pPr>
          </w:p>
          <w:p w:rsidR="00171A0C" w:rsidRPr="00171A0C" w:rsidRDefault="00171A0C" w:rsidP="00755DAC">
            <w:pPr>
              <w:jc w:val="both"/>
              <w:rPr>
                <w:sz w:val="20"/>
                <w:szCs w:val="20"/>
              </w:rPr>
            </w:pPr>
          </w:p>
          <w:p w:rsidR="00171A0C" w:rsidRPr="00171A0C" w:rsidRDefault="00171A0C" w:rsidP="00755DAC">
            <w:pPr>
              <w:jc w:val="both"/>
              <w:rPr>
                <w:sz w:val="20"/>
                <w:szCs w:val="20"/>
              </w:rPr>
            </w:pPr>
          </w:p>
          <w:p w:rsidR="00171A0C" w:rsidRPr="00171A0C" w:rsidRDefault="00171A0C" w:rsidP="00755DAC">
            <w:pPr>
              <w:jc w:val="both"/>
              <w:rPr>
                <w:sz w:val="20"/>
                <w:szCs w:val="20"/>
              </w:rPr>
            </w:pPr>
          </w:p>
        </w:tc>
        <w:tc>
          <w:tcPr>
            <w:tcW w:w="4327" w:type="dxa"/>
          </w:tcPr>
          <w:p w:rsidR="00171A0C" w:rsidRPr="00171A0C" w:rsidRDefault="006D705A" w:rsidP="00755DAC">
            <w:pPr>
              <w:jc w:val="both"/>
              <w:rPr>
                <w:sz w:val="20"/>
                <w:szCs w:val="20"/>
                <w:lang w:val="fr-CA"/>
              </w:rPr>
            </w:pPr>
            <w:r w:rsidRPr="00171A0C">
              <w:rPr>
                <w:sz w:val="20"/>
                <w:szCs w:val="20"/>
              </w:rPr>
              <w:fldChar w:fldCharType="begin"/>
            </w:r>
            <w:r w:rsidR="00171A0C" w:rsidRPr="00171A0C">
              <w:rPr>
                <w:sz w:val="20"/>
                <w:szCs w:val="20"/>
                <w:lang w:val="fr-CA"/>
              </w:rPr>
              <w:instrText xml:space="preserve"> SEQ CHAPTER \h \r 1</w:instrText>
            </w:r>
            <w:r w:rsidRPr="00171A0C">
              <w:rPr>
                <w:sz w:val="20"/>
                <w:szCs w:val="20"/>
              </w:rPr>
              <w:fldChar w:fldCharType="end"/>
            </w:r>
            <w:r w:rsidR="00171A0C" w:rsidRPr="00171A0C">
              <w:rPr>
                <w:b/>
                <w:bCs/>
                <w:sz w:val="20"/>
                <w:szCs w:val="20"/>
                <w:lang w:val="fr-CA"/>
              </w:rPr>
              <w:t xml:space="preserve">Requête des </w:t>
            </w:r>
            <w:proofErr w:type="gramStart"/>
            <w:r w:rsidR="00171A0C" w:rsidRPr="00171A0C">
              <w:rPr>
                <w:b/>
                <w:bCs/>
                <w:sz w:val="20"/>
                <w:szCs w:val="20"/>
                <w:lang w:val="fr-CA"/>
              </w:rPr>
              <w:t xml:space="preserve">procureur général du Canada, procureur général du Québec et procureur général de l’Alberta </w:t>
            </w:r>
            <w:proofErr w:type="gramEnd"/>
            <w:r w:rsidRPr="00171A0C">
              <w:rPr>
                <w:b/>
                <w:sz w:val="20"/>
                <w:szCs w:val="20"/>
              </w:rPr>
              <w:fldChar w:fldCharType="begin"/>
            </w:r>
            <w:r w:rsidR="00171A0C" w:rsidRPr="00171A0C">
              <w:rPr>
                <w:b/>
                <w:sz w:val="20"/>
                <w:szCs w:val="20"/>
                <w:lang w:val="fr-CA"/>
              </w:rPr>
              <w:instrText xml:space="preserve"> SEQ CHAPTER \h \r 1</w:instrText>
            </w:r>
            <w:r w:rsidRPr="00171A0C">
              <w:rPr>
                <w:b/>
                <w:sz w:val="20"/>
                <w:szCs w:val="20"/>
              </w:rPr>
              <w:fldChar w:fldCharType="end"/>
            </w:r>
            <w:proofErr w:type="gramStart"/>
            <w:r w:rsidR="00171A0C" w:rsidRPr="00171A0C">
              <w:rPr>
                <w:b/>
                <w:sz w:val="20"/>
                <w:szCs w:val="20"/>
                <w:lang w:val="fr-CA"/>
              </w:rPr>
              <w:t>en</w:t>
            </w:r>
            <w:proofErr w:type="gramEnd"/>
            <w:r w:rsidR="00171A0C" w:rsidRPr="00171A0C">
              <w:rPr>
                <w:b/>
                <w:sz w:val="20"/>
                <w:szCs w:val="20"/>
                <w:lang w:val="fr-CA"/>
              </w:rPr>
              <w:t xml:space="preserve"> vue de déposer</w:t>
            </w:r>
            <w:r w:rsidR="00171A0C" w:rsidRPr="00171A0C">
              <w:rPr>
                <w:b/>
                <w:bCs/>
                <w:sz w:val="20"/>
                <w:szCs w:val="20"/>
                <w:lang w:val="fr-CA"/>
              </w:rPr>
              <w:t xml:space="preserve"> chacun un  mémoire de 60 pages </w:t>
            </w:r>
          </w:p>
        </w:tc>
      </w:tr>
      <w:tr w:rsidR="00171A0C" w:rsidRPr="00171A0C" w:rsidTr="00755DAC">
        <w:trPr>
          <w:trHeight w:val="150"/>
        </w:trPr>
        <w:tc>
          <w:tcPr>
            <w:tcW w:w="4338" w:type="dxa"/>
          </w:tcPr>
          <w:p w:rsidR="00171A0C" w:rsidRPr="00171A0C" w:rsidRDefault="00171A0C" w:rsidP="00755DAC">
            <w:pPr>
              <w:tabs>
                <w:tab w:val="left" w:pos="-1440"/>
                <w:tab w:val="left" w:pos="-720"/>
              </w:tabs>
              <w:jc w:val="both"/>
              <w:rPr>
                <w:sz w:val="20"/>
                <w:szCs w:val="20"/>
                <w:lang w:val="fr-CA"/>
              </w:rPr>
            </w:pPr>
            <w:r w:rsidRPr="00171A0C">
              <w:rPr>
                <w:sz w:val="20"/>
                <w:szCs w:val="20"/>
              </w:rPr>
              <w:t>In the Matter of a Reference by Governor in Council concerning the proposed Canadian Securities Act, as set out in Order in Council P.C. 2010-667, dated May 26, 2010 (Can.) (33718)</w:t>
            </w:r>
          </w:p>
        </w:tc>
        <w:tc>
          <w:tcPr>
            <w:tcW w:w="1170" w:type="dxa"/>
          </w:tcPr>
          <w:p w:rsidR="00171A0C" w:rsidRPr="00171A0C" w:rsidRDefault="00171A0C" w:rsidP="00755DAC">
            <w:pPr>
              <w:jc w:val="both"/>
              <w:rPr>
                <w:sz w:val="20"/>
                <w:szCs w:val="20"/>
                <w:lang w:val="fr-CA"/>
              </w:rPr>
            </w:pPr>
          </w:p>
        </w:tc>
        <w:tc>
          <w:tcPr>
            <w:tcW w:w="4327" w:type="dxa"/>
          </w:tcPr>
          <w:p w:rsidR="00171A0C" w:rsidRPr="00171A0C" w:rsidRDefault="00171A0C" w:rsidP="00755DAC">
            <w:pPr>
              <w:jc w:val="both"/>
              <w:rPr>
                <w:sz w:val="20"/>
                <w:szCs w:val="20"/>
                <w:lang w:val="fr-CA"/>
              </w:rPr>
            </w:pPr>
          </w:p>
        </w:tc>
      </w:tr>
    </w:tbl>
    <w:p w:rsidR="00171A0C" w:rsidRPr="00171A0C" w:rsidRDefault="00171A0C" w:rsidP="00171A0C">
      <w:pPr>
        <w:tabs>
          <w:tab w:val="left" w:pos="-1440"/>
          <w:tab w:val="left" w:pos="-720"/>
        </w:tabs>
        <w:jc w:val="both"/>
        <w:rPr>
          <w:sz w:val="20"/>
          <w:szCs w:val="20"/>
          <w:lang w:val="fr-CA"/>
        </w:rPr>
      </w:pPr>
    </w:p>
    <w:p w:rsidR="00171A0C" w:rsidRPr="00171A0C" w:rsidRDefault="00171A0C" w:rsidP="00171A0C">
      <w:pPr>
        <w:tabs>
          <w:tab w:val="left" w:pos="-1440"/>
          <w:tab w:val="left" w:pos="-720"/>
        </w:tabs>
        <w:jc w:val="both"/>
        <w:rPr>
          <w:sz w:val="20"/>
          <w:szCs w:val="20"/>
        </w:rPr>
      </w:pPr>
      <w:r w:rsidRPr="00171A0C">
        <w:rPr>
          <w:b/>
          <w:sz w:val="20"/>
          <w:szCs w:val="20"/>
        </w:rPr>
        <w:t>GRANTED / ACCORDÉE</w:t>
      </w:r>
    </w:p>
    <w:p w:rsidR="00171A0C" w:rsidRPr="00171A0C" w:rsidRDefault="00171A0C" w:rsidP="00171A0C">
      <w:pPr>
        <w:tabs>
          <w:tab w:val="left" w:pos="-1440"/>
          <w:tab w:val="left" w:pos="-720"/>
        </w:tabs>
        <w:jc w:val="both"/>
        <w:rPr>
          <w:sz w:val="20"/>
          <w:szCs w:val="20"/>
        </w:rPr>
      </w:pPr>
    </w:p>
    <w:p w:rsidR="00171A0C" w:rsidRPr="00171A0C" w:rsidRDefault="00171A0C" w:rsidP="00171A0C">
      <w:pPr>
        <w:tabs>
          <w:tab w:val="left" w:pos="-1440"/>
          <w:tab w:val="left" w:pos="-720"/>
        </w:tabs>
        <w:spacing w:line="-19" w:lineRule="auto"/>
        <w:jc w:val="both"/>
        <w:rPr>
          <w:sz w:val="20"/>
          <w:szCs w:val="20"/>
          <w:lang w:val="fr-CA"/>
        </w:rPr>
      </w:pPr>
    </w:p>
    <w:p w:rsidR="00171A0C" w:rsidRPr="00171A0C" w:rsidRDefault="006D705A" w:rsidP="00171A0C">
      <w:pPr>
        <w:tabs>
          <w:tab w:val="left" w:pos="-1440"/>
          <w:tab w:val="left" w:pos="-720"/>
        </w:tabs>
        <w:jc w:val="both"/>
        <w:rPr>
          <w:sz w:val="20"/>
          <w:szCs w:val="20"/>
        </w:rPr>
      </w:pPr>
      <w:r w:rsidRPr="006D705A">
        <w:rPr>
          <w:sz w:val="20"/>
          <w:szCs w:val="20"/>
          <w:lang w:val="fr-CA"/>
        </w:rPr>
        <w:pict>
          <v:rect id="_x0000_i1049" style="width:2in;height:1pt" o:hrpct="0" o:hralign="center" o:hrstd="t" o:hrnoshade="t" o:hr="t" fillcolor="black [3213]" stroked="f"/>
        </w:pict>
      </w:r>
    </w:p>
    <w:p w:rsidR="00171A0C" w:rsidRPr="00171A0C" w:rsidRDefault="00171A0C" w:rsidP="00171A0C">
      <w:pPr>
        <w:tabs>
          <w:tab w:val="left" w:pos="-1440"/>
          <w:tab w:val="left" w:pos="-720"/>
        </w:tabs>
        <w:jc w:val="both"/>
        <w:rPr>
          <w:sz w:val="20"/>
          <w:szCs w:val="20"/>
        </w:rPr>
      </w:pPr>
    </w:p>
    <w:p w:rsidR="00171A0C" w:rsidRPr="00171A0C" w:rsidRDefault="00171A0C" w:rsidP="00171A0C">
      <w:pPr>
        <w:tabs>
          <w:tab w:val="left" w:pos="-1440"/>
          <w:tab w:val="left" w:pos="-720"/>
        </w:tabs>
        <w:jc w:val="both"/>
        <w:rPr>
          <w:sz w:val="20"/>
          <w:szCs w:val="20"/>
        </w:rPr>
      </w:pPr>
      <w:r w:rsidRPr="00171A0C">
        <w:rPr>
          <w:sz w:val="20"/>
          <w:szCs w:val="20"/>
        </w:rPr>
        <w:t>08.12.2010</w:t>
      </w:r>
    </w:p>
    <w:p w:rsidR="00171A0C" w:rsidRPr="00171A0C" w:rsidRDefault="00171A0C" w:rsidP="00171A0C">
      <w:pPr>
        <w:tabs>
          <w:tab w:val="left" w:pos="-1440"/>
          <w:tab w:val="left" w:pos="-720"/>
        </w:tabs>
        <w:jc w:val="both"/>
        <w:rPr>
          <w:sz w:val="20"/>
          <w:szCs w:val="20"/>
        </w:rPr>
      </w:pPr>
    </w:p>
    <w:p w:rsidR="00171A0C" w:rsidRPr="00171A0C" w:rsidRDefault="00171A0C" w:rsidP="00171A0C">
      <w:pPr>
        <w:jc w:val="both"/>
        <w:rPr>
          <w:sz w:val="20"/>
          <w:szCs w:val="20"/>
          <w:lang w:val="fr-CA"/>
        </w:rPr>
      </w:pPr>
      <w:proofErr w:type="spellStart"/>
      <w:r w:rsidRPr="00171A0C">
        <w:rPr>
          <w:sz w:val="20"/>
          <w:szCs w:val="20"/>
          <w:lang w:val="fr-CA"/>
        </w:rPr>
        <w:t>Before</w:t>
      </w:r>
      <w:proofErr w:type="spellEnd"/>
      <w:r w:rsidRPr="00171A0C">
        <w:rPr>
          <w:sz w:val="20"/>
          <w:szCs w:val="20"/>
          <w:lang w:val="fr-CA"/>
        </w:rPr>
        <w:t xml:space="preserve"> / Devant:   THE REGISTRAR / LE REGISTRAIRE</w:t>
      </w:r>
    </w:p>
    <w:p w:rsidR="00171A0C" w:rsidRPr="00171A0C" w:rsidRDefault="00171A0C" w:rsidP="00171A0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A0C" w:rsidRPr="00075333" w:rsidTr="00755DAC">
        <w:trPr>
          <w:trHeight w:val="151"/>
        </w:trPr>
        <w:tc>
          <w:tcPr>
            <w:tcW w:w="4338" w:type="dxa"/>
          </w:tcPr>
          <w:p w:rsidR="00171A0C" w:rsidRPr="00171A0C" w:rsidRDefault="006D705A" w:rsidP="00755DAC">
            <w:pPr>
              <w:tabs>
                <w:tab w:val="left" w:pos="-1440"/>
                <w:tab w:val="left" w:pos="-720"/>
              </w:tabs>
              <w:jc w:val="both"/>
              <w:rPr>
                <w:sz w:val="20"/>
                <w:szCs w:val="20"/>
              </w:rPr>
            </w:pPr>
            <w:r w:rsidRPr="00171A0C">
              <w:rPr>
                <w:sz w:val="20"/>
                <w:szCs w:val="20"/>
              </w:rPr>
              <w:fldChar w:fldCharType="begin"/>
            </w:r>
            <w:r w:rsidR="00171A0C" w:rsidRPr="00171A0C">
              <w:rPr>
                <w:sz w:val="20"/>
                <w:szCs w:val="20"/>
              </w:rPr>
              <w:instrText xml:space="preserve"> SEQ CHAPTER \h \r 1</w:instrText>
            </w:r>
            <w:r w:rsidRPr="00171A0C">
              <w:rPr>
                <w:sz w:val="20"/>
                <w:szCs w:val="20"/>
              </w:rPr>
              <w:fldChar w:fldCharType="end"/>
            </w:r>
            <w:r w:rsidR="00171A0C" w:rsidRPr="00171A0C">
              <w:rPr>
                <w:b/>
                <w:bCs/>
                <w:sz w:val="20"/>
                <w:szCs w:val="20"/>
              </w:rPr>
              <w:t>Motion to extend the time to serve and file the applicant’s reply</w:t>
            </w:r>
            <w:r w:rsidR="00171A0C" w:rsidRPr="00171A0C">
              <w:rPr>
                <w:sz w:val="20"/>
                <w:szCs w:val="20"/>
              </w:rPr>
              <w:t xml:space="preserve"> </w:t>
            </w:r>
            <w:r w:rsidRPr="00171A0C">
              <w:rPr>
                <w:sz w:val="20"/>
                <w:szCs w:val="20"/>
              </w:rPr>
              <w:fldChar w:fldCharType="begin"/>
            </w:r>
            <w:r w:rsidR="00171A0C" w:rsidRPr="00171A0C">
              <w:rPr>
                <w:sz w:val="20"/>
                <w:szCs w:val="20"/>
              </w:rPr>
              <w:instrText xml:space="preserve"> SEQ CHAPTER \h \r 1</w:instrText>
            </w:r>
            <w:r w:rsidRPr="00171A0C">
              <w:rPr>
                <w:sz w:val="20"/>
                <w:szCs w:val="20"/>
              </w:rPr>
              <w:fldChar w:fldCharType="end"/>
            </w:r>
            <w:r w:rsidR="00171A0C" w:rsidRPr="00171A0C">
              <w:rPr>
                <w:b/>
                <w:bCs/>
                <w:sz w:val="20"/>
                <w:szCs w:val="20"/>
              </w:rPr>
              <w:t>to November 15, 2010</w:t>
            </w:r>
          </w:p>
        </w:tc>
        <w:tc>
          <w:tcPr>
            <w:tcW w:w="1170" w:type="dxa"/>
          </w:tcPr>
          <w:p w:rsidR="00171A0C" w:rsidRPr="00171A0C" w:rsidRDefault="00171A0C" w:rsidP="00755DAC">
            <w:pPr>
              <w:jc w:val="both"/>
              <w:rPr>
                <w:sz w:val="20"/>
                <w:szCs w:val="20"/>
              </w:rPr>
            </w:pPr>
          </w:p>
          <w:p w:rsidR="00171A0C" w:rsidRPr="00171A0C" w:rsidRDefault="00171A0C" w:rsidP="00755DAC">
            <w:pPr>
              <w:jc w:val="both"/>
              <w:rPr>
                <w:sz w:val="20"/>
                <w:szCs w:val="20"/>
              </w:rPr>
            </w:pPr>
          </w:p>
          <w:p w:rsidR="00171A0C" w:rsidRPr="00171A0C" w:rsidRDefault="00171A0C" w:rsidP="00755DAC">
            <w:pPr>
              <w:jc w:val="both"/>
              <w:rPr>
                <w:sz w:val="20"/>
                <w:szCs w:val="20"/>
              </w:rPr>
            </w:pPr>
          </w:p>
          <w:p w:rsidR="00171A0C" w:rsidRPr="00171A0C" w:rsidRDefault="00171A0C" w:rsidP="00755DAC">
            <w:pPr>
              <w:jc w:val="both"/>
              <w:rPr>
                <w:sz w:val="20"/>
                <w:szCs w:val="20"/>
              </w:rPr>
            </w:pPr>
          </w:p>
        </w:tc>
        <w:tc>
          <w:tcPr>
            <w:tcW w:w="4327" w:type="dxa"/>
          </w:tcPr>
          <w:p w:rsidR="00171A0C" w:rsidRPr="00171A0C" w:rsidRDefault="006D705A" w:rsidP="00755DAC">
            <w:pPr>
              <w:jc w:val="both"/>
              <w:rPr>
                <w:b/>
                <w:sz w:val="20"/>
                <w:szCs w:val="20"/>
                <w:lang w:val="fr-CA"/>
              </w:rPr>
            </w:pPr>
            <w:r w:rsidRPr="00171A0C">
              <w:rPr>
                <w:b/>
                <w:sz w:val="20"/>
                <w:szCs w:val="20"/>
              </w:rPr>
              <w:fldChar w:fldCharType="begin"/>
            </w:r>
            <w:r w:rsidR="00171A0C" w:rsidRPr="00171A0C">
              <w:rPr>
                <w:b/>
                <w:sz w:val="20"/>
                <w:szCs w:val="20"/>
                <w:lang w:val="fr-CA"/>
              </w:rPr>
              <w:instrText xml:space="preserve"> SEQ CHAPTER \h \r 1</w:instrText>
            </w:r>
            <w:r w:rsidRPr="00171A0C">
              <w:rPr>
                <w:b/>
                <w:sz w:val="20"/>
                <w:szCs w:val="20"/>
              </w:rPr>
              <w:fldChar w:fldCharType="end"/>
            </w:r>
            <w:r w:rsidRPr="00171A0C">
              <w:rPr>
                <w:b/>
                <w:sz w:val="20"/>
                <w:szCs w:val="20"/>
              </w:rPr>
              <w:fldChar w:fldCharType="begin"/>
            </w:r>
            <w:r w:rsidR="00171A0C" w:rsidRPr="00171A0C">
              <w:rPr>
                <w:b/>
                <w:sz w:val="20"/>
                <w:szCs w:val="20"/>
                <w:lang w:val="fr-CA"/>
              </w:rPr>
              <w:instrText xml:space="preserve"> SEQ CHAPTER \h \r 1</w:instrText>
            </w:r>
            <w:r w:rsidRPr="00171A0C">
              <w:rPr>
                <w:b/>
                <w:sz w:val="20"/>
                <w:szCs w:val="20"/>
              </w:rPr>
              <w:fldChar w:fldCharType="end"/>
            </w:r>
            <w:r w:rsidR="00171A0C" w:rsidRPr="00171A0C">
              <w:rPr>
                <w:b/>
                <w:bCs/>
                <w:sz w:val="20"/>
                <w:szCs w:val="20"/>
                <w:lang w:val="fr-CA"/>
              </w:rPr>
              <w:t xml:space="preserve">Requête en prorogation du délai de signification et de dépôt de la réplique du demandeur jusqu’au 15 novembre 2010 </w:t>
            </w:r>
            <w:r w:rsidRPr="00171A0C">
              <w:rPr>
                <w:b/>
                <w:sz w:val="20"/>
                <w:szCs w:val="20"/>
              </w:rPr>
              <w:fldChar w:fldCharType="begin"/>
            </w:r>
            <w:r w:rsidR="00171A0C" w:rsidRPr="00171A0C">
              <w:rPr>
                <w:b/>
                <w:sz w:val="20"/>
                <w:szCs w:val="20"/>
                <w:lang w:val="fr-CA"/>
              </w:rPr>
              <w:instrText xml:space="preserve"> SEQ CHAPTER \h \r 1</w:instrText>
            </w:r>
            <w:r w:rsidRPr="00171A0C">
              <w:rPr>
                <w:b/>
                <w:sz w:val="20"/>
                <w:szCs w:val="20"/>
              </w:rPr>
              <w:fldChar w:fldCharType="end"/>
            </w:r>
          </w:p>
        </w:tc>
      </w:tr>
      <w:tr w:rsidR="00171A0C" w:rsidRPr="00171A0C" w:rsidTr="00755DAC">
        <w:trPr>
          <w:trHeight w:val="150"/>
        </w:trPr>
        <w:tc>
          <w:tcPr>
            <w:tcW w:w="4338" w:type="dxa"/>
          </w:tcPr>
          <w:p w:rsidR="00171A0C" w:rsidRPr="00171A0C" w:rsidRDefault="00171A0C" w:rsidP="00755DAC">
            <w:pPr>
              <w:tabs>
                <w:tab w:val="left" w:pos="-1440"/>
                <w:tab w:val="left" w:pos="-720"/>
              </w:tabs>
              <w:jc w:val="both"/>
              <w:rPr>
                <w:sz w:val="20"/>
                <w:szCs w:val="20"/>
              </w:rPr>
            </w:pPr>
            <w:r w:rsidRPr="00171A0C">
              <w:rPr>
                <w:sz w:val="20"/>
                <w:szCs w:val="20"/>
              </w:rPr>
              <w:t xml:space="preserve">Colin </w:t>
            </w:r>
            <w:proofErr w:type="spellStart"/>
            <w:r w:rsidRPr="00171A0C">
              <w:rPr>
                <w:sz w:val="20"/>
                <w:szCs w:val="20"/>
              </w:rPr>
              <w:t>Allooloo</w:t>
            </w:r>
            <w:proofErr w:type="spellEnd"/>
          </w:p>
          <w:p w:rsidR="00171A0C" w:rsidRPr="00171A0C" w:rsidRDefault="00171A0C" w:rsidP="00755DAC">
            <w:pPr>
              <w:tabs>
                <w:tab w:val="left" w:pos="-1440"/>
                <w:tab w:val="left" w:pos="-720"/>
              </w:tabs>
              <w:jc w:val="both"/>
              <w:rPr>
                <w:sz w:val="20"/>
                <w:szCs w:val="20"/>
              </w:rPr>
            </w:pPr>
          </w:p>
          <w:p w:rsidR="00171A0C" w:rsidRPr="00171A0C" w:rsidRDefault="00171A0C" w:rsidP="00755DAC">
            <w:pPr>
              <w:tabs>
                <w:tab w:val="left" w:pos="-1440"/>
                <w:tab w:val="left" w:pos="-720"/>
              </w:tabs>
              <w:jc w:val="both"/>
              <w:rPr>
                <w:sz w:val="20"/>
                <w:szCs w:val="20"/>
              </w:rPr>
            </w:pPr>
            <w:r w:rsidRPr="00171A0C">
              <w:rPr>
                <w:sz w:val="20"/>
                <w:szCs w:val="20"/>
              </w:rPr>
              <w:tab/>
              <w:t>v. (33873)</w:t>
            </w:r>
          </w:p>
          <w:p w:rsidR="00171A0C" w:rsidRPr="00171A0C" w:rsidRDefault="00171A0C" w:rsidP="00755DAC">
            <w:pPr>
              <w:tabs>
                <w:tab w:val="left" w:pos="-1440"/>
                <w:tab w:val="left" w:pos="-720"/>
              </w:tabs>
              <w:jc w:val="both"/>
              <w:rPr>
                <w:sz w:val="20"/>
                <w:szCs w:val="20"/>
              </w:rPr>
            </w:pPr>
          </w:p>
          <w:p w:rsidR="00171A0C" w:rsidRPr="00171A0C" w:rsidRDefault="00171A0C" w:rsidP="00755DAC">
            <w:pPr>
              <w:tabs>
                <w:tab w:val="left" w:pos="-1440"/>
                <w:tab w:val="left" w:pos="-720"/>
              </w:tabs>
              <w:jc w:val="both"/>
              <w:rPr>
                <w:sz w:val="20"/>
                <w:szCs w:val="20"/>
              </w:rPr>
            </w:pPr>
            <w:r w:rsidRPr="00171A0C">
              <w:rPr>
                <w:sz w:val="20"/>
                <w:szCs w:val="20"/>
              </w:rPr>
              <w:t>Her Majesty the Queen (Crim.) (N.W.T.)</w:t>
            </w:r>
          </w:p>
        </w:tc>
        <w:tc>
          <w:tcPr>
            <w:tcW w:w="1170" w:type="dxa"/>
          </w:tcPr>
          <w:p w:rsidR="00171A0C" w:rsidRPr="00171A0C" w:rsidRDefault="00171A0C" w:rsidP="00755DAC">
            <w:pPr>
              <w:jc w:val="both"/>
              <w:rPr>
                <w:sz w:val="20"/>
                <w:szCs w:val="20"/>
              </w:rPr>
            </w:pPr>
          </w:p>
        </w:tc>
        <w:tc>
          <w:tcPr>
            <w:tcW w:w="4327" w:type="dxa"/>
          </w:tcPr>
          <w:p w:rsidR="00171A0C" w:rsidRPr="00171A0C" w:rsidRDefault="00171A0C" w:rsidP="00755DAC">
            <w:pPr>
              <w:jc w:val="both"/>
              <w:rPr>
                <w:sz w:val="20"/>
                <w:szCs w:val="20"/>
              </w:rPr>
            </w:pPr>
          </w:p>
        </w:tc>
      </w:tr>
    </w:tbl>
    <w:p w:rsidR="00171A0C" w:rsidRPr="00171A0C" w:rsidRDefault="00171A0C" w:rsidP="00171A0C">
      <w:pPr>
        <w:tabs>
          <w:tab w:val="left" w:pos="-1440"/>
          <w:tab w:val="left" w:pos="-720"/>
        </w:tabs>
        <w:jc w:val="both"/>
        <w:rPr>
          <w:sz w:val="20"/>
          <w:szCs w:val="20"/>
        </w:rPr>
      </w:pPr>
    </w:p>
    <w:p w:rsidR="00171A0C" w:rsidRPr="00171A0C" w:rsidRDefault="00171A0C" w:rsidP="00171A0C">
      <w:pPr>
        <w:tabs>
          <w:tab w:val="left" w:pos="-1440"/>
          <w:tab w:val="left" w:pos="-720"/>
        </w:tabs>
        <w:jc w:val="both"/>
        <w:rPr>
          <w:sz w:val="20"/>
          <w:szCs w:val="20"/>
        </w:rPr>
      </w:pPr>
      <w:r w:rsidRPr="00171A0C">
        <w:rPr>
          <w:b/>
          <w:sz w:val="20"/>
          <w:szCs w:val="20"/>
        </w:rPr>
        <w:t>GRANTED / ACCORDÉE</w:t>
      </w:r>
    </w:p>
    <w:p w:rsidR="00171A0C" w:rsidRPr="00171A0C" w:rsidRDefault="00171A0C" w:rsidP="00171A0C">
      <w:pPr>
        <w:tabs>
          <w:tab w:val="left" w:pos="-1440"/>
          <w:tab w:val="left" w:pos="-720"/>
        </w:tabs>
        <w:jc w:val="both"/>
        <w:rPr>
          <w:sz w:val="20"/>
          <w:szCs w:val="20"/>
        </w:rPr>
      </w:pPr>
    </w:p>
    <w:p w:rsidR="00171A0C" w:rsidRPr="00171A0C" w:rsidRDefault="00171A0C" w:rsidP="00171A0C">
      <w:pPr>
        <w:tabs>
          <w:tab w:val="left" w:pos="-1440"/>
          <w:tab w:val="left" w:pos="-720"/>
        </w:tabs>
        <w:spacing w:line="-19" w:lineRule="auto"/>
        <w:jc w:val="both"/>
        <w:rPr>
          <w:sz w:val="20"/>
          <w:szCs w:val="20"/>
        </w:rPr>
      </w:pPr>
    </w:p>
    <w:p w:rsidR="00171A0C" w:rsidRPr="00171A0C" w:rsidRDefault="006D705A" w:rsidP="00171A0C">
      <w:pPr>
        <w:tabs>
          <w:tab w:val="left" w:pos="-1440"/>
          <w:tab w:val="left" w:pos="-720"/>
        </w:tabs>
        <w:jc w:val="both"/>
        <w:rPr>
          <w:sz w:val="20"/>
          <w:szCs w:val="20"/>
        </w:rPr>
      </w:pPr>
      <w:r w:rsidRPr="006D705A">
        <w:rPr>
          <w:sz w:val="20"/>
          <w:szCs w:val="20"/>
          <w:lang w:val="fr-CA"/>
        </w:rPr>
        <w:pict>
          <v:rect id="_x0000_i1050" style="width:2in;height:1pt" o:hrpct="0" o:hralign="center" o:hrstd="t" o:hrnoshade="t" o:hr="t" fillcolor="black [3213]" stroked="f"/>
        </w:pict>
      </w:r>
    </w:p>
    <w:p w:rsidR="00171A0C" w:rsidRPr="00171A0C" w:rsidRDefault="00171A0C" w:rsidP="00171A0C">
      <w:pPr>
        <w:rPr>
          <w:sz w:val="20"/>
          <w:szCs w:val="20"/>
        </w:rPr>
      </w:pPr>
    </w:p>
    <w:p w:rsidR="00171A0C" w:rsidRPr="00171A0C" w:rsidRDefault="00171A0C" w:rsidP="00171A0C">
      <w:pPr>
        <w:tabs>
          <w:tab w:val="left" w:pos="-1440"/>
          <w:tab w:val="left" w:pos="-720"/>
        </w:tabs>
        <w:jc w:val="both"/>
        <w:rPr>
          <w:sz w:val="20"/>
          <w:szCs w:val="20"/>
        </w:rPr>
      </w:pPr>
      <w:r w:rsidRPr="00171A0C">
        <w:rPr>
          <w:sz w:val="20"/>
          <w:szCs w:val="20"/>
        </w:rPr>
        <w:t>08.12.2010</w:t>
      </w:r>
    </w:p>
    <w:p w:rsidR="00171A0C" w:rsidRPr="00171A0C" w:rsidRDefault="00171A0C" w:rsidP="00171A0C">
      <w:pPr>
        <w:tabs>
          <w:tab w:val="left" w:pos="-1440"/>
          <w:tab w:val="left" w:pos="-720"/>
        </w:tabs>
        <w:jc w:val="both"/>
        <w:rPr>
          <w:sz w:val="20"/>
          <w:szCs w:val="20"/>
        </w:rPr>
      </w:pPr>
    </w:p>
    <w:p w:rsidR="00171A0C" w:rsidRPr="00171A0C" w:rsidRDefault="00171A0C" w:rsidP="00171A0C">
      <w:pPr>
        <w:tabs>
          <w:tab w:val="left" w:pos="-1440"/>
          <w:tab w:val="left" w:pos="-720"/>
        </w:tabs>
        <w:jc w:val="both"/>
        <w:rPr>
          <w:sz w:val="20"/>
          <w:szCs w:val="20"/>
        </w:rPr>
      </w:pPr>
      <w:r w:rsidRPr="00171A0C">
        <w:rPr>
          <w:sz w:val="20"/>
          <w:szCs w:val="20"/>
        </w:rPr>
        <w:t xml:space="preserve">Before / </w:t>
      </w:r>
      <w:proofErr w:type="spellStart"/>
      <w:proofErr w:type="gramStart"/>
      <w:r w:rsidRPr="00171A0C">
        <w:rPr>
          <w:sz w:val="20"/>
          <w:szCs w:val="20"/>
        </w:rPr>
        <w:t>Devant</w:t>
      </w:r>
      <w:proofErr w:type="spellEnd"/>
      <w:r w:rsidRPr="00171A0C">
        <w:rPr>
          <w:sz w:val="20"/>
          <w:szCs w:val="20"/>
        </w:rPr>
        <w:t xml:space="preserve"> :</w:t>
      </w:r>
      <w:proofErr w:type="gramEnd"/>
      <w:r w:rsidRPr="00171A0C">
        <w:rPr>
          <w:sz w:val="20"/>
          <w:szCs w:val="20"/>
        </w:rPr>
        <w:t xml:space="preserve">   </w:t>
      </w:r>
      <w:r w:rsidRPr="00171A0C">
        <w:rPr>
          <w:sz w:val="20"/>
          <w:szCs w:val="20"/>
          <w:lang w:val="fr-CA"/>
        </w:rPr>
        <w:t>THE REGISTRAR / LE REGISTRAIRE</w:t>
      </w:r>
    </w:p>
    <w:p w:rsidR="00171A0C" w:rsidRPr="00171A0C" w:rsidRDefault="00171A0C" w:rsidP="00171A0C">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71A0C" w:rsidRPr="00075333" w:rsidTr="00755DAC">
        <w:tc>
          <w:tcPr>
            <w:tcW w:w="4338" w:type="dxa"/>
          </w:tcPr>
          <w:p w:rsidR="00171A0C" w:rsidRPr="00171A0C" w:rsidRDefault="006D705A" w:rsidP="00C47832">
            <w:pPr>
              <w:jc w:val="both"/>
              <w:rPr>
                <w:sz w:val="20"/>
                <w:szCs w:val="20"/>
              </w:rPr>
            </w:pPr>
            <w:r w:rsidRPr="00171A0C">
              <w:rPr>
                <w:sz w:val="20"/>
                <w:szCs w:val="20"/>
              </w:rPr>
              <w:fldChar w:fldCharType="begin"/>
            </w:r>
            <w:r w:rsidR="00171A0C" w:rsidRPr="00171A0C">
              <w:rPr>
                <w:sz w:val="20"/>
                <w:szCs w:val="20"/>
              </w:rPr>
              <w:instrText xml:space="preserve"> SEQ CHAPTER \h \r 1</w:instrText>
            </w:r>
            <w:r w:rsidRPr="00171A0C">
              <w:rPr>
                <w:sz w:val="20"/>
                <w:szCs w:val="20"/>
              </w:rPr>
              <w:fldChar w:fldCharType="end"/>
            </w:r>
            <w:r w:rsidR="00171A0C" w:rsidRPr="00171A0C">
              <w:rPr>
                <w:b/>
                <w:bCs/>
                <w:sz w:val="20"/>
                <w:szCs w:val="20"/>
              </w:rPr>
              <w:t>Motion to extend the time to serve and file the respondents’ response to November 22</w:t>
            </w:r>
            <w:r w:rsidR="00897990">
              <w:rPr>
                <w:b/>
                <w:bCs/>
                <w:sz w:val="20"/>
                <w:szCs w:val="20"/>
              </w:rPr>
              <w:t>,</w:t>
            </w:r>
            <w:r w:rsidR="00171A0C" w:rsidRPr="00171A0C">
              <w:rPr>
                <w:b/>
                <w:bCs/>
                <w:sz w:val="20"/>
                <w:szCs w:val="20"/>
              </w:rPr>
              <w:t xml:space="preserve"> 2010</w:t>
            </w:r>
          </w:p>
        </w:tc>
        <w:tc>
          <w:tcPr>
            <w:tcW w:w="1170" w:type="dxa"/>
          </w:tcPr>
          <w:p w:rsidR="00171A0C" w:rsidRPr="00171A0C" w:rsidRDefault="00171A0C" w:rsidP="00755DAC">
            <w:pPr>
              <w:tabs>
                <w:tab w:val="left" w:pos="-1440"/>
                <w:tab w:val="left" w:pos="-720"/>
              </w:tabs>
              <w:jc w:val="both"/>
              <w:rPr>
                <w:sz w:val="20"/>
                <w:szCs w:val="20"/>
              </w:rPr>
            </w:pPr>
          </w:p>
          <w:p w:rsidR="00171A0C" w:rsidRPr="00171A0C" w:rsidRDefault="00171A0C" w:rsidP="00755DAC">
            <w:pPr>
              <w:tabs>
                <w:tab w:val="left" w:pos="-1440"/>
                <w:tab w:val="left" w:pos="-720"/>
              </w:tabs>
              <w:jc w:val="both"/>
              <w:rPr>
                <w:sz w:val="20"/>
                <w:szCs w:val="20"/>
              </w:rPr>
            </w:pPr>
          </w:p>
          <w:p w:rsidR="00171A0C" w:rsidRPr="00171A0C" w:rsidRDefault="00171A0C" w:rsidP="00755DAC">
            <w:pPr>
              <w:tabs>
                <w:tab w:val="left" w:pos="-1440"/>
                <w:tab w:val="left" w:pos="-720"/>
              </w:tabs>
              <w:jc w:val="both"/>
              <w:rPr>
                <w:sz w:val="20"/>
                <w:szCs w:val="20"/>
              </w:rPr>
            </w:pPr>
          </w:p>
          <w:p w:rsidR="00171A0C" w:rsidRPr="00171A0C" w:rsidRDefault="00171A0C" w:rsidP="00755DAC">
            <w:pPr>
              <w:tabs>
                <w:tab w:val="left" w:pos="-1440"/>
                <w:tab w:val="left" w:pos="-720"/>
              </w:tabs>
              <w:jc w:val="both"/>
              <w:rPr>
                <w:sz w:val="20"/>
                <w:szCs w:val="20"/>
              </w:rPr>
            </w:pPr>
          </w:p>
        </w:tc>
        <w:tc>
          <w:tcPr>
            <w:tcW w:w="4327" w:type="dxa"/>
          </w:tcPr>
          <w:p w:rsidR="00171A0C" w:rsidRPr="00171A0C" w:rsidRDefault="006D705A" w:rsidP="00755DAC">
            <w:pPr>
              <w:tabs>
                <w:tab w:val="left" w:pos="-1440"/>
                <w:tab w:val="left" w:pos="-720"/>
              </w:tabs>
              <w:jc w:val="both"/>
              <w:rPr>
                <w:sz w:val="20"/>
                <w:szCs w:val="20"/>
                <w:lang w:val="fr-CA"/>
              </w:rPr>
            </w:pPr>
            <w:r w:rsidRPr="00171A0C">
              <w:rPr>
                <w:sz w:val="20"/>
                <w:szCs w:val="20"/>
              </w:rPr>
              <w:fldChar w:fldCharType="begin"/>
            </w:r>
            <w:r w:rsidR="00171A0C" w:rsidRPr="00171A0C">
              <w:rPr>
                <w:sz w:val="20"/>
                <w:szCs w:val="20"/>
                <w:lang w:val="fr-CA"/>
              </w:rPr>
              <w:instrText xml:space="preserve"> SEQ CHAPTER \h \r 1</w:instrText>
            </w:r>
            <w:r w:rsidRPr="00171A0C">
              <w:rPr>
                <w:sz w:val="20"/>
                <w:szCs w:val="20"/>
              </w:rPr>
              <w:fldChar w:fldCharType="end"/>
            </w:r>
            <w:r w:rsidR="00171A0C" w:rsidRPr="00171A0C">
              <w:rPr>
                <w:b/>
                <w:bCs/>
                <w:sz w:val="20"/>
                <w:szCs w:val="20"/>
                <w:lang w:val="fr-CA"/>
              </w:rPr>
              <w:t>Requête en prorogation du délai de signification et de dépôt de la réponse des intimés jusqu’au 22 novembre 2010</w:t>
            </w:r>
          </w:p>
        </w:tc>
      </w:tr>
      <w:tr w:rsidR="00171A0C" w:rsidRPr="00171A0C" w:rsidTr="00755DAC">
        <w:tc>
          <w:tcPr>
            <w:tcW w:w="4338" w:type="dxa"/>
          </w:tcPr>
          <w:p w:rsidR="00171A0C" w:rsidRPr="00171A0C" w:rsidRDefault="00171A0C" w:rsidP="00C47832">
            <w:pPr>
              <w:jc w:val="both"/>
              <w:rPr>
                <w:sz w:val="20"/>
                <w:szCs w:val="20"/>
              </w:rPr>
            </w:pPr>
            <w:r w:rsidRPr="00171A0C">
              <w:rPr>
                <w:sz w:val="20"/>
                <w:szCs w:val="20"/>
              </w:rPr>
              <w:t>Basho Oran</w:t>
            </w:r>
          </w:p>
          <w:p w:rsidR="00171A0C" w:rsidRPr="00171A0C" w:rsidRDefault="00171A0C" w:rsidP="00755DAC">
            <w:pPr>
              <w:tabs>
                <w:tab w:val="left" w:pos="-1440"/>
                <w:tab w:val="left" w:pos="-720"/>
              </w:tabs>
              <w:jc w:val="both"/>
              <w:rPr>
                <w:sz w:val="20"/>
                <w:szCs w:val="20"/>
              </w:rPr>
            </w:pPr>
          </w:p>
          <w:p w:rsidR="00171A0C" w:rsidRPr="00171A0C" w:rsidRDefault="00171A0C" w:rsidP="00C47832">
            <w:pPr>
              <w:jc w:val="both"/>
              <w:rPr>
                <w:sz w:val="20"/>
                <w:szCs w:val="20"/>
              </w:rPr>
            </w:pPr>
            <w:r w:rsidRPr="00171A0C">
              <w:rPr>
                <w:sz w:val="20"/>
                <w:szCs w:val="20"/>
              </w:rPr>
              <w:tab/>
              <w:t>v. (33908)</w:t>
            </w:r>
          </w:p>
          <w:p w:rsidR="00171A0C" w:rsidRPr="00171A0C" w:rsidRDefault="00171A0C" w:rsidP="00755DAC">
            <w:pPr>
              <w:tabs>
                <w:tab w:val="left" w:pos="-1440"/>
                <w:tab w:val="left" w:pos="-720"/>
              </w:tabs>
              <w:jc w:val="both"/>
              <w:rPr>
                <w:sz w:val="20"/>
                <w:szCs w:val="20"/>
              </w:rPr>
            </w:pPr>
          </w:p>
          <w:p w:rsidR="00171A0C" w:rsidRPr="00171A0C" w:rsidRDefault="00171A0C" w:rsidP="00C47832">
            <w:pPr>
              <w:jc w:val="both"/>
              <w:rPr>
                <w:sz w:val="20"/>
                <w:szCs w:val="20"/>
              </w:rPr>
            </w:pPr>
            <w:r w:rsidRPr="00171A0C">
              <w:rPr>
                <w:sz w:val="20"/>
                <w:szCs w:val="20"/>
              </w:rPr>
              <w:t xml:space="preserve">Hussein </w:t>
            </w:r>
            <w:proofErr w:type="spellStart"/>
            <w:r w:rsidRPr="00171A0C">
              <w:rPr>
                <w:sz w:val="20"/>
                <w:szCs w:val="20"/>
              </w:rPr>
              <w:t>Musbah</w:t>
            </w:r>
            <w:proofErr w:type="spellEnd"/>
            <w:r w:rsidRPr="00171A0C">
              <w:rPr>
                <w:sz w:val="20"/>
                <w:szCs w:val="20"/>
              </w:rPr>
              <w:t xml:space="preserve"> </w:t>
            </w:r>
            <w:proofErr w:type="spellStart"/>
            <w:r w:rsidRPr="00171A0C">
              <w:rPr>
                <w:sz w:val="20"/>
                <w:szCs w:val="20"/>
              </w:rPr>
              <w:t>Khalaff</w:t>
            </w:r>
            <w:proofErr w:type="spellEnd"/>
            <w:r w:rsidRPr="00171A0C">
              <w:rPr>
                <w:sz w:val="20"/>
                <w:szCs w:val="20"/>
              </w:rPr>
              <w:t xml:space="preserve"> </w:t>
            </w:r>
            <w:proofErr w:type="spellStart"/>
            <w:r w:rsidRPr="00171A0C">
              <w:rPr>
                <w:sz w:val="20"/>
                <w:szCs w:val="20"/>
              </w:rPr>
              <w:t>Abourawi</w:t>
            </w:r>
            <w:proofErr w:type="spellEnd"/>
            <w:r w:rsidRPr="00171A0C">
              <w:rPr>
                <w:sz w:val="20"/>
                <w:szCs w:val="20"/>
              </w:rPr>
              <w:t xml:space="preserve"> et al. (Ont.)</w:t>
            </w:r>
          </w:p>
        </w:tc>
        <w:tc>
          <w:tcPr>
            <w:tcW w:w="1170" w:type="dxa"/>
          </w:tcPr>
          <w:p w:rsidR="00171A0C" w:rsidRPr="00171A0C" w:rsidRDefault="00171A0C" w:rsidP="00755DAC">
            <w:pPr>
              <w:tabs>
                <w:tab w:val="left" w:pos="-1440"/>
                <w:tab w:val="left" w:pos="-720"/>
              </w:tabs>
              <w:jc w:val="both"/>
              <w:rPr>
                <w:sz w:val="20"/>
                <w:szCs w:val="20"/>
              </w:rPr>
            </w:pPr>
          </w:p>
        </w:tc>
        <w:tc>
          <w:tcPr>
            <w:tcW w:w="4327" w:type="dxa"/>
          </w:tcPr>
          <w:p w:rsidR="00171A0C" w:rsidRPr="00171A0C" w:rsidRDefault="00171A0C" w:rsidP="00755DAC">
            <w:pPr>
              <w:tabs>
                <w:tab w:val="left" w:pos="-1440"/>
                <w:tab w:val="left" w:pos="-720"/>
              </w:tabs>
              <w:jc w:val="both"/>
              <w:rPr>
                <w:sz w:val="20"/>
                <w:szCs w:val="20"/>
              </w:rPr>
            </w:pPr>
          </w:p>
        </w:tc>
      </w:tr>
    </w:tbl>
    <w:p w:rsidR="00171A0C" w:rsidRPr="00171A0C" w:rsidRDefault="00171A0C" w:rsidP="00171A0C">
      <w:pPr>
        <w:tabs>
          <w:tab w:val="left" w:pos="-1440"/>
          <w:tab w:val="left" w:pos="-720"/>
        </w:tabs>
        <w:jc w:val="both"/>
        <w:rPr>
          <w:b/>
          <w:sz w:val="20"/>
          <w:szCs w:val="20"/>
        </w:rPr>
      </w:pPr>
    </w:p>
    <w:p w:rsidR="00171A0C" w:rsidRPr="00171A0C" w:rsidRDefault="00171A0C" w:rsidP="00C47832">
      <w:pPr>
        <w:jc w:val="both"/>
        <w:rPr>
          <w:sz w:val="20"/>
          <w:szCs w:val="20"/>
        </w:rPr>
      </w:pPr>
      <w:r w:rsidRPr="00171A0C">
        <w:rPr>
          <w:b/>
          <w:sz w:val="20"/>
          <w:szCs w:val="20"/>
        </w:rPr>
        <w:t>GRANTED / ACCORDÉE</w:t>
      </w:r>
    </w:p>
    <w:p w:rsidR="0010587F" w:rsidRPr="00171A0C" w:rsidRDefault="0010587F" w:rsidP="0010587F">
      <w:pPr>
        <w:tabs>
          <w:tab w:val="left" w:pos="-1440"/>
          <w:tab w:val="left" w:pos="-720"/>
        </w:tabs>
        <w:jc w:val="both"/>
        <w:rPr>
          <w:sz w:val="20"/>
          <w:szCs w:val="20"/>
          <w:lang w:val="fr-CA"/>
        </w:rPr>
      </w:pPr>
    </w:p>
    <w:p w:rsidR="0010587F" w:rsidRPr="00171A0C" w:rsidRDefault="006D705A" w:rsidP="0010587F">
      <w:pPr>
        <w:tabs>
          <w:tab w:val="left" w:pos="-1440"/>
          <w:tab w:val="left" w:pos="-720"/>
        </w:tabs>
        <w:jc w:val="both"/>
        <w:rPr>
          <w:sz w:val="20"/>
          <w:szCs w:val="20"/>
          <w:lang w:val="fr-CA"/>
        </w:rPr>
      </w:pPr>
      <w:r w:rsidRPr="006D705A">
        <w:rPr>
          <w:sz w:val="20"/>
          <w:szCs w:val="20"/>
          <w:lang w:val="fr-CA"/>
        </w:rPr>
        <w:pict>
          <v:rect id="_x0000_i1051"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075333"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FD50B6" w:rsidRDefault="008C4D49" w:rsidP="00C1697B">
            <w:pPr>
              <w:rPr>
                <w:sz w:val="20"/>
                <w:szCs w:val="20"/>
                <w:lang w:val="fr-CA"/>
              </w:rPr>
            </w:pPr>
            <w:r>
              <w:rPr>
                <w:sz w:val="20"/>
                <w:szCs w:val="20"/>
                <w:lang w:val="fr-CA"/>
              </w:rPr>
              <w:t>09</w:t>
            </w:r>
            <w:r w:rsidR="00C1697B" w:rsidRPr="00FD50B6">
              <w:rPr>
                <w:sz w:val="20"/>
                <w:szCs w:val="20"/>
                <w:lang w:val="fr-CA"/>
              </w:rPr>
              <w:t>.</w:t>
            </w:r>
            <w:r>
              <w:rPr>
                <w:sz w:val="20"/>
                <w:szCs w:val="20"/>
                <w:lang w:val="fr-CA"/>
              </w:rPr>
              <w:t>12</w:t>
            </w:r>
            <w:r w:rsidR="00C1697B" w:rsidRPr="00FD50B6">
              <w:rPr>
                <w:sz w:val="20"/>
                <w:szCs w:val="20"/>
                <w:lang w:val="fr-CA"/>
              </w:rPr>
              <w:t>.2010</w:t>
            </w:r>
          </w:p>
          <w:p w:rsidR="00C1697B" w:rsidRPr="00FD50B6" w:rsidRDefault="00C1697B" w:rsidP="00C1697B">
            <w:pPr>
              <w:rPr>
                <w:sz w:val="20"/>
                <w:szCs w:val="20"/>
                <w:lang w:val="fr-CA"/>
              </w:rPr>
            </w:pPr>
          </w:p>
          <w:p w:rsidR="00C1697B" w:rsidRPr="006426FB" w:rsidRDefault="006426FB" w:rsidP="00C1697B">
            <w:pPr>
              <w:rPr>
                <w:b/>
                <w:sz w:val="20"/>
                <w:szCs w:val="20"/>
                <w:lang w:val="fr-CA"/>
              </w:rPr>
            </w:pPr>
            <w:proofErr w:type="spellStart"/>
            <w:r w:rsidRPr="006426FB">
              <w:rPr>
                <w:b/>
                <w:sz w:val="20"/>
                <w:szCs w:val="20"/>
                <w:lang w:val="fr-CA"/>
              </w:rPr>
              <w:t>Shmuel</w:t>
            </w:r>
            <w:proofErr w:type="spellEnd"/>
            <w:r w:rsidRPr="006426FB">
              <w:rPr>
                <w:b/>
                <w:sz w:val="20"/>
                <w:szCs w:val="20"/>
                <w:lang w:val="fr-CA"/>
              </w:rPr>
              <w:t xml:space="preserve"> </w:t>
            </w:r>
            <w:proofErr w:type="spellStart"/>
            <w:r w:rsidRPr="006426FB">
              <w:rPr>
                <w:b/>
                <w:sz w:val="20"/>
                <w:szCs w:val="20"/>
                <w:lang w:val="fr-CA"/>
              </w:rPr>
              <w:t>Hershkovitz</w:t>
            </w:r>
            <w:proofErr w:type="spellEnd"/>
            <w:r w:rsidRPr="006426FB">
              <w:rPr>
                <w:b/>
                <w:sz w:val="20"/>
                <w:szCs w:val="20"/>
                <w:lang w:val="fr-CA"/>
              </w:rPr>
              <w:t xml:space="preserve"> et a</w:t>
            </w:r>
            <w:r w:rsidR="00C1697B" w:rsidRPr="006426FB">
              <w:rPr>
                <w:b/>
                <w:sz w:val="20"/>
                <w:szCs w:val="20"/>
                <w:lang w:val="fr-CA"/>
              </w:rPr>
              <w:t>l</w:t>
            </w:r>
            <w:r w:rsidRPr="006426FB">
              <w:rPr>
                <w:b/>
                <w:sz w:val="20"/>
                <w:szCs w:val="20"/>
                <w:lang w:val="fr-CA"/>
              </w:rPr>
              <w:t>.</w:t>
            </w:r>
          </w:p>
          <w:p w:rsidR="00C1697B" w:rsidRPr="006426FB" w:rsidRDefault="00C1697B" w:rsidP="00C1697B">
            <w:pPr>
              <w:rPr>
                <w:b/>
                <w:sz w:val="20"/>
                <w:szCs w:val="20"/>
                <w:lang w:val="fr-CA"/>
              </w:rPr>
            </w:pPr>
          </w:p>
          <w:p w:rsidR="00C1697B" w:rsidRPr="006426FB" w:rsidRDefault="00C1697B" w:rsidP="00C1697B">
            <w:pPr>
              <w:rPr>
                <w:b/>
                <w:sz w:val="20"/>
                <w:szCs w:val="20"/>
                <w:lang w:val="fr-CA"/>
              </w:rPr>
            </w:pPr>
            <w:r w:rsidRPr="006426FB">
              <w:rPr>
                <w:b/>
                <w:sz w:val="20"/>
                <w:szCs w:val="20"/>
                <w:lang w:val="fr-CA"/>
              </w:rPr>
              <w:tab/>
              <w:t>v. (33</w:t>
            </w:r>
            <w:r w:rsidR="006426FB" w:rsidRPr="006426FB">
              <w:rPr>
                <w:b/>
                <w:sz w:val="20"/>
                <w:szCs w:val="20"/>
                <w:lang w:val="fr-CA"/>
              </w:rPr>
              <w:t>79</w:t>
            </w:r>
            <w:r w:rsidRPr="006426FB">
              <w:rPr>
                <w:b/>
                <w:sz w:val="20"/>
                <w:szCs w:val="20"/>
                <w:lang w:val="fr-CA"/>
              </w:rPr>
              <w:t>9)</w:t>
            </w:r>
          </w:p>
          <w:p w:rsidR="00C1697B" w:rsidRPr="006426FB" w:rsidRDefault="00C1697B" w:rsidP="00C1697B">
            <w:pPr>
              <w:rPr>
                <w:b/>
                <w:sz w:val="20"/>
                <w:szCs w:val="20"/>
                <w:lang w:val="fr-CA"/>
              </w:rPr>
            </w:pPr>
          </w:p>
          <w:p w:rsidR="00C1697B" w:rsidRPr="00C1697B" w:rsidRDefault="006426FB" w:rsidP="00C1697B">
            <w:pPr>
              <w:rPr>
                <w:b/>
                <w:sz w:val="20"/>
                <w:szCs w:val="20"/>
              </w:rPr>
            </w:pPr>
            <w:r>
              <w:rPr>
                <w:b/>
                <w:sz w:val="20"/>
                <w:szCs w:val="20"/>
              </w:rPr>
              <w:t>Tyco Safety Products Canada</w:t>
            </w:r>
            <w:r w:rsidR="00C1697B" w:rsidRPr="00C1697B">
              <w:rPr>
                <w:b/>
                <w:sz w:val="20"/>
                <w:szCs w:val="20"/>
              </w:rPr>
              <w:t xml:space="preserve"> L</w:t>
            </w:r>
            <w:r>
              <w:rPr>
                <w:b/>
                <w:sz w:val="20"/>
                <w:szCs w:val="20"/>
              </w:rPr>
              <w:t>td.</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6426FB" w:rsidRDefault="006D705A" w:rsidP="00697C62">
            <w:pPr>
              <w:rPr>
                <w:sz w:val="20"/>
                <w:szCs w:val="20"/>
              </w:rPr>
            </w:pPr>
            <w:r w:rsidRPr="006D705A">
              <w:rPr>
                <w:sz w:val="20"/>
                <w:szCs w:val="20"/>
                <w:lang w:val="fr-CA"/>
              </w:rPr>
              <w:pict>
                <v:rect id="_x0000_i1054" style="width:108pt;height:1pt" o:hrpct="0" o:hralign="center" o:hrstd="t" o:hrnoshade="t" o:hr="t" fillcolor="black [3213]" stroked="f"/>
              </w:pict>
            </w:r>
          </w:p>
        </w:tc>
        <w:tc>
          <w:tcPr>
            <w:tcW w:w="1080" w:type="dxa"/>
            <w:shd w:val="clear" w:color="auto" w:fill="auto"/>
          </w:tcPr>
          <w:p w:rsidR="00802863" w:rsidRPr="006426FB" w:rsidRDefault="00802863"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p w:rsidR="003B3977" w:rsidRPr="006426FB" w:rsidRDefault="003B3977" w:rsidP="00802863">
            <w:pPr>
              <w:jc w:val="center"/>
              <w:rPr>
                <w:sz w:val="20"/>
                <w:szCs w:val="20"/>
              </w:rPr>
            </w:pPr>
          </w:p>
        </w:tc>
        <w:tc>
          <w:tcPr>
            <w:tcW w:w="4417" w:type="dxa"/>
            <w:shd w:val="clear" w:color="auto" w:fill="auto"/>
          </w:tcPr>
          <w:p w:rsidR="00802863" w:rsidRPr="006426FB" w:rsidRDefault="00802863" w:rsidP="00802863">
            <w:pPr>
              <w:rPr>
                <w:sz w:val="20"/>
                <w:szCs w:val="20"/>
              </w:rPr>
            </w:pPr>
          </w:p>
        </w:tc>
      </w:tr>
    </w:tbl>
    <w:p w:rsidR="00802863" w:rsidRPr="006426FB" w:rsidRDefault="00802863" w:rsidP="00802863">
      <w:pPr>
        <w:rPr>
          <w:sz w:val="20"/>
          <w:szCs w:val="20"/>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075333"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A56A3E" w:rsidRPr="006426FB" w:rsidRDefault="00A56A3E" w:rsidP="00732DB7">
      <w:pPr>
        <w:widowControl w:val="0"/>
        <w:rPr>
          <w:sz w:val="20"/>
          <w:szCs w:val="20"/>
        </w:rPr>
      </w:pPr>
      <w:r w:rsidRPr="006426FB">
        <w:rPr>
          <w:sz w:val="20"/>
          <w:szCs w:val="20"/>
        </w:rPr>
        <w:t>10.12.2010</w:t>
      </w:r>
    </w:p>
    <w:p w:rsidR="00A56A3E" w:rsidRPr="006426FB" w:rsidRDefault="00A56A3E" w:rsidP="00732DB7">
      <w:pPr>
        <w:widowControl w:val="0"/>
        <w:rPr>
          <w:sz w:val="20"/>
          <w:szCs w:val="20"/>
        </w:rPr>
      </w:pPr>
    </w:p>
    <w:p w:rsidR="00A56A3E" w:rsidRPr="00A56A3E" w:rsidRDefault="00A56A3E" w:rsidP="00A56A3E">
      <w:pPr>
        <w:tabs>
          <w:tab w:val="left" w:pos="720"/>
          <w:tab w:val="left" w:pos="1440"/>
          <w:tab w:val="left" w:pos="2851"/>
          <w:tab w:val="left" w:pos="4320"/>
        </w:tabs>
        <w:ind w:left="1440" w:hanging="1440"/>
        <w:jc w:val="both"/>
        <w:rPr>
          <w:sz w:val="20"/>
          <w:szCs w:val="20"/>
          <w:lang w:val="en-GB"/>
        </w:rPr>
      </w:pPr>
      <w:r w:rsidRPr="00A56A3E">
        <w:rPr>
          <w:sz w:val="20"/>
          <w:szCs w:val="20"/>
          <w:lang w:val="en-GB"/>
        </w:rPr>
        <w:t xml:space="preserve">Coram: </w:t>
      </w:r>
      <w:r w:rsidRPr="00A56A3E">
        <w:rPr>
          <w:sz w:val="20"/>
          <w:szCs w:val="20"/>
          <w:lang w:val="en-GB"/>
        </w:rPr>
        <w:tab/>
      </w:r>
      <w:proofErr w:type="spellStart"/>
      <w:r w:rsidRPr="00A56A3E">
        <w:rPr>
          <w:sz w:val="20"/>
          <w:szCs w:val="20"/>
          <w:u w:val="single"/>
          <w:lang w:val="en-GB"/>
        </w:rPr>
        <w:t>McLachin</w:t>
      </w:r>
      <w:proofErr w:type="spellEnd"/>
      <w:r w:rsidRPr="00A56A3E">
        <w:rPr>
          <w:sz w:val="20"/>
          <w:szCs w:val="20"/>
          <w:u w:val="single"/>
          <w:lang w:val="en-GB"/>
        </w:rPr>
        <w:t xml:space="preserve"> C.J. and </w:t>
      </w:r>
      <w:proofErr w:type="spellStart"/>
      <w:r w:rsidRPr="00A56A3E">
        <w:rPr>
          <w:sz w:val="20"/>
          <w:szCs w:val="20"/>
          <w:u w:val="single"/>
          <w:lang w:val="en-GB"/>
        </w:rPr>
        <w:t>Binnie</w:t>
      </w:r>
      <w:proofErr w:type="spellEnd"/>
      <w:r w:rsidRPr="00A56A3E">
        <w:rPr>
          <w:sz w:val="20"/>
          <w:szCs w:val="20"/>
          <w:u w:val="single"/>
          <w:lang w:val="en-GB"/>
        </w:rPr>
        <w:t xml:space="preserve">, </w:t>
      </w:r>
      <w:proofErr w:type="spellStart"/>
      <w:r w:rsidRPr="00A56A3E">
        <w:rPr>
          <w:sz w:val="20"/>
          <w:szCs w:val="20"/>
          <w:u w:val="single"/>
          <w:lang w:val="en-GB"/>
        </w:rPr>
        <w:t>Deschamps</w:t>
      </w:r>
      <w:proofErr w:type="spellEnd"/>
      <w:r w:rsidRPr="00A56A3E">
        <w:rPr>
          <w:sz w:val="20"/>
          <w:szCs w:val="20"/>
          <w:u w:val="single"/>
          <w:lang w:val="en-GB"/>
        </w:rPr>
        <w:t xml:space="preserve">, Fish, </w:t>
      </w:r>
      <w:proofErr w:type="spellStart"/>
      <w:r w:rsidRPr="00A56A3E">
        <w:rPr>
          <w:sz w:val="20"/>
          <w:szCs w:val="20"/>
          <w:u w:val="single"/>
          <w:lang w:val="en-GB"/>
        </w:rPr>
        <w:t>Abella</w:t>
      </w:r>
      <w:proofErr w:type="spellEnd"/>
      <w:r w:rsidRPr="00A56A3E">
        <w:rPr>
          <w:sz w:val="20"/>
          <w:szCs w:val="20"/>
          <w:u w:val="single"/>
          <w:lang w:val="en-GB"/>
        </w:rPr>
        <w:t>, Rothstein and Cromwell JJ.</w:t>
      </w:r>
      <w:r w:rsidRPr="00A56A3E">
        <w:rPr>
          <w:sz w:val="20"/>
          <w:szCs w:val="20"/>
          <w:lang w:val="en-GB"/>
        </w:rPr>
        <w:t xml:space="preserve">  </w:t>
      </w:r>
    </w:p>
    <w:p w:rsidR="00A56A3E" w:rsidRPr="00A56A3E" w:rsidRDefault="00A56A3E" w:rsidP="00732DB7">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A56A3E" w:rsidP="00C1697B">
            <w:pPr>
              <w:widowControl w:val="0"/>
              <w:jc w:val="both"/>
              <w:rPr>
                <w:b/>
                <w:sz w:val="20"/>
                <w:szCs w:val="20"/>
              </w:rPr>
            </w:pPr>
            <w:r w:rsidRPr="005A1B27">
              <w:rPr>
                <w:rStyle w:val="SCCSsocChar"/>
                <w:b/>
                <w:i w:val="0"/>
              </w:rPr>
              <w:t xml:space="preserve">Canada </w:t>
            </w:r>
            <w:proofErr w:type="spellStart"/>
            <w:r w:rsidRPr="005A1B27">
              <w:rPr>
                <w:rStyle w:val="SCCSsocChar"/>
                <w:b/>
                <w:i w:val="0"/>
              </w:rPr>
              <w:t>Trustco</w:t>
            </w:r>
            <w:proofErr w:type="spellEnd"/>
            <w:r w:rsidRPr="005A1B27">
              <w:rPr>
                <w:rStyle w:val="SCCSsocChar"/>
                <w:b/>
                <w:i w:val="0"/>
              </w:rPr>
              <w:t xml:space="preserve"> Mortgage Company</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(33</w:t>
            </w:r>
            <w:r w:rsidR="00A56A3E">
              <w:rPr>
                <w:b/>
                <w:sz w:val="20"/>
                <w:szCs w:val="20"/>
              </w:rPr>
              <w:t>422</w:t>
            </w:r>
            <w:r w:rsidRPr="00C50A5C">
              <w:rPr>
                <w:b/>
                <w:sz w:val="20"/>
                <w:szCs w:val="20"/>
              </w:rPr>
              <w:t>)</w:t>
            </w:r>
          </w:p>
          <w:p w:rsidR="00732DB7" w:rsidRPr="00C50A5C" w:rsidRDefault="00732DB7" w:rsidP="00C1697B">
            <w:pPr>
              <w:widowControl w:val="0"/>
              <w:jc w:val="both"/>
              <w:rPr>
                <w:b/>
                <w:sz w:val="20"/>
                <w:szCs w:val="20"/>
              </w:rPr>
            </w:pPr>
          </w:p>
          <w:p w:rsidR="00732DB7" w:rsidRPr="00A56A3E" w:rsidRDefault="00A56A3E" w:rsidP="005738ED">
            <w:pPr>
              <w:widowControl w:val="0"/>
              <w:jc w:val="both"/>
              <w:rPr>
                <w:sz w:val="20"/>
                <w:szCs w:val="20"/>
              </w:rPr>
            </w:pPr>
            <w:r w:rsidRPr="00A56A3E">
              <w:rPr>
                <w:rStyle w:val="SCCSsocChar"/>
                <w:b/>
                <w:i w:val="0"/>
              </w:rPr>
              <w:t>Her Majesty the Queen</w:t>
            </w:r>
            <w:r w:rsidRPr="00A56A3E">
              <w:rPr>
                <w:b/>
                <w:sz w:val="20"/>
                <w:szCs w:val="20"/>
              </w:rPr>
              <w:t xml:space="preserve"> (F</w:t>
            </w:r>
            <w:r>
              <w:rPr>
                <w:b/>
                <w:sz w:val="20"/>
                <w:szCs w:val="20"/>
              </w:rPr>
              <w:t>.</w:t>
            </w:r>
            <w:r w:rsidRPr="00A56A3E">
              <w:rPr>
                <w:b/>
                <w:sz w:val="20"/>
                <w:szCs w:val="20"/>
              </w:rPr>
              <w:t>C</w:t>
            </w:r>
            <w:r>
              <w:rPr>
                <w:b/>
                <w:sz w:val="20"/>
                <w:szCs w:val="20"/>
              </w:rPr>
              <w:t>.</w:t>
            </w:r>
            <w:r w:rsidRPr="00A56A3E">
              <w:rPr>
                <w:b/>
                <w:sz w:val="20"/>
                <w:szCs w:val="20"/>
              </w:rPr>
              <w:t>) (Civil) (By Leave)</w:t>
            </w:r>
          </w:p>
        </w:tc>
        <w:tc>
          <w:tcPr>
            <w:tcW w:w="720" w:type="dxa"/>
            <w:tcMar>
              <w:left w:w="0" w:type="dxa"/>
              <w:right w:w="0" w:type="dxa"/>
            </w:tcMar>
          </w:tcPr>
          <w:p w:rsidR="00732DB7" w:rsidRPr="00A56A3E" w:rsidRDefault="00732DB7" w:rsidP="00732DB7">
            <w:pPr>
              <w:widowControl w:val="0"/>
              <w:jc w:val="center"/>
              <w:rPr>
                <w:sz w:val="20"/>
                <w:szCs w:val="20"/>
              </w:rPr>
            </w:pPr>
          </w:p>
        </w:tc>
        <w:tc>
          <w:tcPr>
            <w:tcW w:w="4380" w:type="dxa"/>
            <w:tcMar>
              <w:left w:w="0" w:type="dxa"/>
              <w:right w:w="0" w:type="dxa"/>
            </w:tcMar>
          </w:tcPr>
          <w:p w:rsidR="00732DB7" w:rsidRDefault="005738ED" w:rsidP="00A56A3E">
            <w:pPr>
              <w:widowControl w:val="0"/>
              <w:jc w:val="both"/>
              <w:rPr>
                <w:sz w:val="20"/>
                <w:szCs w:val="20"/>
              </w:rPr>
            </w:pPr>
            <w:r w:rsidRPr="005738ED">
              <w:rPr>
                <w:sz w:val="20"/>
                <w:szCs w:val="20"/>
              </w:rPr>
              <w:t>R. Paul Steep and Tom Sutton for the appellant.</w:t>
            </w:r>
          </w:p>
          <w:p w:rsidR="005738ED" w:rsidRDefault="005738ED" w:rsidP="00A56A3E">
            <w:pPr>
              <w:widowControl w:val="0"/>
              <w:jc w:val="both"/>
              <w:rPr>
                <w:sz w:val="20"/>
                <w:szCs w:val="20"/>
              </w:rPr>
            </w:pPr>
          </w:p>
          <w:p w:rsidR="005738ED" w:rsidRPr="005738ED" w:rsidRDefault="005738ED" w:rsidP="00A56A3E">
            <w:pPr>
              <w:widowControl w:val="0"/>
              <w:jc w:val="both"/>
              <w:rPr>
                <w:sz w:val="20"/>
                <w:szCs w:val="20"/>
              </w:rPr>
            </w:pPr>
            <w:r w:rsidRPr="005738ED">
              <w:rPr>
                <w:sz w:val="20"/>
                <w:szCs w:val="20"/>
              </w:rPr>
              <w:t xml:space="preserve">Wendy Burnham and Michael </w:t>
            </w:r>
            <w:proofErr w:type="spellStart"/>
            <w:r w:rsidRPr="005738ED">
              <w:rPr>
                <w:sz w:val="20"/>
                <w:szCs w:val="20"/>
              </w:rPr>
              <w:t>Lema</w:t>
            </w:r>
            <w:proofErr w:type="spellEnd"/>
            <w:r w:rsidRPr="005738ED">
              <w:rPr>
                <w:sz w:val="20"/>
                <w:szCs w:val="20"/>
              </w:rPr>
              <w:t xml:space="preserve"> for the respondent.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075333"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5738ED" w:rsidRPr="005738ED" w:rsidRDefault="006D705A" w:rsidP="005738ED">
            <w:pPr>
              <w:jc w:val="both"/>
              <w:rPr>
                <w:sz w:val="20"/>
                <w:szCs w:val="20"/>
              </w:rPr>
            </w:pPr>
            <w:r w:rsidRPr="005738ED">
              <w:rPr>
                <w:sz w:val="20"/>
                <w:szCs w:val="20"/>
              </w:rPr>
              <w:fldChar w:fldCharType="begin"/>
            </w:r>
            <w:r w:rsidR="005738ED" w:rsidRPr="005738ED">
              <w:rPr>
                <w:sz w:val="20"/>
                <w:szCs w:val="20"/>
              </w:rPr>
              <w:instrText xml:space="preserve"> SEQ CHAPTER \h \r 1</w:instrText>
            </w:r>
            <w:r w:rsidRPr="005738ED">
              <w:rPr>
                <w:sz w:val="20"/>
                <w:szCs w:val="20"/>
              </w:rPr>
              <w:fldChar w:fldCharType="end"/>
            </w:r>
            <w:r w:rsidR="005738ED" w:rsidRPr="005738ED">
              <w:rPr>
                <w:sz w:val="20"/>
                <w:szCs w:val="20"/>
              </w:rPr>
              <w:t xml:space="preserve">Taxation - Income tax - Collection - Garnishment - Minister of National Revenue issuing requirements to pay to appellant financial institution with respect to lawyer’s tax liability - Whether the courts below erred in finding that the act of delivering the cheques for deposit into the joint account rendered the bank liable to make a payment to the tax debtor such that the funds were payable to the tax debtor within the meaning of s. 224(1) of the </w:t>
            </w:r>
            <w:r w:rsidR="005738ED" w:rsidRPr="005738ED">
              <w:rPr>
                <w:i/>
                <w:sz w:val="20"/>
                <w:szCs w:val="20"/>
              </w:rPr>
              <w:t>Income Tax Act</w:t>
            </w:r>
            <w:r w:rsidR="005738ED" w:rsidRPr="005738ED">
              <w:rPr>
                <w:sz w:val="20"/>
                <w:szCs w:val="20"/>
              </w:rPr>
              <w:t>, R.S.C. 1985, c. 1 (5th Supp.) - Whether the courts below erred in concluding that cheques written on a bank account by an account holder and made payable to that account holder, with instructions to deposit the amounts in another of the account holder’s accounts, are demands for payment, once presented to the bank.</w:t>
            </w:r>
          </w:p>
          <w:p w:rsidR="00C1697B" w:rsidRPr="00C1697B" w:rsidRDefault="00C1697B" w:rsidP="00C1697B">
            <w:pPr>
              <w:widowControl w:val="0"/>
              <w:jc w:val="both"/>
              <w:rPr>
                <w:b/>
                <w:sz w:val="20"/>
                <w:szCs w:val="20"/>
              </w:rPr>
            </w:pP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5738ED" w:rsidP="005738ED">
            <w:pPr>
              <w:widowControl w:val="0"/>
              <w:jc w:val="both"/>
              <w:rPr>
                <w:sz w:val="20"/>
                <w:szCs w:val="20"/>
                <w:lang w:val="fr-CA"/>
              </w:rPr>
            </w:pPr>
            <w:r w:rsidRPr="005738ED">
              <w:rPr>
                <w:rFonts w:eastAsia="Calibri" w:cs="Times New Roman"/>
                <w:sz w:val="20"/>
                <w:szCs w:val="20"/>
                <w:lang w:val="fr-CA"/>
              </w:rPr>
              <w:t xml:space="preserve">Droit fiscal - Impôt sur le revenu - Recouvrement - Saisie-arrêt - Le ministre du Revenu national a délivré des demandes péremptoires de paiement à l’institution financière appelante relativement à la dette fiscale d’un avocat - Les juridictions inférieures </w:t>
            </w:r>
            <w:proofErr w:type="spellStart"/>
            <w:r w:rsidRPr="005738ED">
              <w:rPr>
                <w:rFonts w:eastAsia="Calibri" w:cs="Times New Roman"/>
                <w:sz w:val="20"/>
                <w:szCs w:val="20"/>
                <w:lang w:val="fr-CA"/>
              </w:rPr>
              <w:t>ont</w:t>
            </w:r>
            <w:r w:rsidRPr="005738ED">
              <w:rPr>
                <w:rFonts w:eastAsia="Calibri" w:cs="Times New Roman"/>
                <w:sz w:val="20"/>
                <w:szCs w:val="20"/>
                <w:lang w:val="fr-CA"/>
              </w:rPr>
              <w:noBreakHyphen/>
              <w:t>elles</w:t>
            </w:r>
            <w:proofErr w:type="spellEnd"/>
            <w:r w:rsidRPr="005738ED">
              <w:rPr>
                <w:rFonts w:eastAsia="Calibri" w:cs="Times New Roman"/>
                <w:sz w:val="20"/>
                <w:szCs w:val="20"/>
                <w:lang w:val="fr-CA"/>
              </w:rPr>
              <w:t xml:space="preserve"> eu tort de conclure que la présentation de chèques pour dépôt dans le compte conjoint faisait en sorte que la banque était tenue de faire un paiement au débiteur fiscal, si bien que les fonds étaient payables au débiteur fiscal au sens du par. 224(1) de la </w:t>
            </w:r>
            <w:r w:rsidRPr="005738ED">
              <w:rPr>
                <w:rFonts w:eastAsia="Calibri" w:cs="Times New Roman"/>
                <w:i/>
                <w:sz w:val="20"/>
                <w:szCs w:val="20"/>
                <w:lang w:val="fr-CA"/>
              </w:rPr>
              <w:t>Loi de l’impôt sur le revenu</w:t>
            </w:r>
            <w:r w:rsidRPr="005738ED">
              <w:rPr>
                <w:rFonts w:eastAsia="Calibri" w:cs="Times New Roman"/>
                <w:sz w:val="20"/>
                <w:szCs w:val="20"/>
                <w:lang w:val="fr-CA"/>
              </w:rPr>
              <w:t>, L.R.C. 1985, ch. 1 (5</w:t>
            </w:r>
            <w:r w:rsidRPr="005738ED">
              <w:rPr>
                <w:rFonts w:eastAsia="Calibri" w:cs="Times New Roman"/>
                <w:sz w:val="20"/>
                <w:szCs w:val="20"/>
                <w:vertAlign w:val="superscript"/>
                <w:lang w:val="fr-CA"/>
              </w:rPr>
              <w:t>e</w:t>
            </w:r>
            <w:r w:rsidRPr="005738ED">
              <w:rPr>
                <w:rFonts w:eastAsia="Calibri" w:cs="Times New Roman"/>
                <w:sz w:val="20"/>
                <w:szCs w:val="20"/>
                <w:lang w:val="fr-CA"/>
              </w:rPr>
              <w:t xml:space="preserve"> suppl.)? - Les juridictions inférieures </w:t>
            </w:r>
            <w:proofErr w:type="spellStart"/>
            <w:r w:rsidRPr="005738ED">
              <w:rPr>
                <w:rFonts w:eastAsia="Calibri" w:cs="Times New Roman"/>
                <w:sz w:val="20"/>
                <w:szCs w:val="20"/>
                <w:lang w:val="fr-CA"/>
              </w:rPr>
              <w:t>ont</w:t>
            </w:r>
            <w:r w:rsidRPr="005738ED">
              <w:rPr>
                <w:rFonts w:eastAsia="Calibri" w:cs="Times New Roman"/>
                <w:sz w:val="20"/>
                <w:szCs w:val="20"/>
                <w:lang w:val="fr-CA"/>
              </w:rPr>
              <w:noBreakHyphen/>
              <w:t>elles</w:t>
            </w:r>
            <w:proofErr w:type="spellEnd"/>
            <w:r w:rsidRPr="005738ED">
              <w:rPr>
                <w:rFonts w:eastAsia="Calibri" w:cs="Times New Roman"/>
                <w:sz w:val="20"/>
                <w:szCs w:val="20"/>
                <w:lang w:val="fr-CA"/>
              </w:rPr>
              <w:t xml:space="preserve"> eu tort de conclure que les chèques tirés d’un compte bancaire par un titulaire de compte et faits à l’ordre de ce titulaire, avec des directives de déposer les montants dans un autre compte du titulaire, sont des demandes de paiement, une fois présentés à la banque?</w:t>
            </w:r>
          </w:p>
        </w:tc>
      </w:tr>
    </w:tbl>
    <w:p w:rsidR="00732DB7" w:rsidRDefault="00732DB7" w:rsidP="00732DB7">
      <w:pPr>
        <w:widowControl w:val="0"/>
        <w:rPr>
          <w:sz w:val="20"/>
          <w:szCs w:val="20"/>
          <w:lang w:val="fr-CA"/>
        </w:rPr>
      </w:pPr>
    </w:p>
    <w:p w:rsidR="00E940EB" w:rsidRDefault="006D705A" w:rsidP="00732DB7">
      <w:pPr>
        <w:widowControl w:val="0"/>
        <w:rPr>
          <w:sz w:val="20"/>
          <w:szCs w:val="20"/>
          <w:lang w:val="fr-CA"/>
        </w:rPr>
      </w:pPr>
      <w:r w:rsidRPr="006D705A">
        <w:rPr>
          <w:sz w:val="20"/>
          <w:szCs w:val="20"/>
          <w:lang w:val="fr-CA"/>
        </w:rPr>
        <w:pict>
          <v:rect id="_x0000_i1057" style="width:2in;height:1pt" o:hrpct="0" o:hralign="center" o:hrstd="t" o:hrnoshade="t" o:hr="t" fillcolor="black [3213]" stroked="f"/>
        </w:pict>
      </w:r>
    </w:p>
    <w:p w:rsidR="005738ED" w:rsidRDefault="005738ED" w:rsidP="00732DB7">
      <w:pPr>
        <w:widowControl w:val="0"/>
        <w:rPr>
          <w:sz w:val="20"/>
          <w:szCs w:val="20"/>
          <w:lang w:val="fr-CA"/>
        </w:rPr>
      </w:pPr>
    </w:p>
    <w:p w:rsidR="005738ED" w:rsidRPr="006426FB" w:rsidRDefault="005738ED" w:rsidP="00732DB7">
      <w:pPr>
        <w:widowControl w:val="0"/>
        <w:rPr>
          <w:sz w:val="20"/>
          <w:szCs w:val="20"/>
        </w:rPr>
      </w:pPr>
      <w:r w:rsidRPr="006426FB">
        <w:rPr>
          <w:sz w:val="20"/>
          <w:szCs w:val="20"/>
        </w:rPr>
        <w:t>13.12.2010</w:t>
      </w:r>
    </w:p>
    <w:p w:rsidR="005738ED" w:rsidRPr="006426FB" w:rsidRDefault="005738ED" w:rsidP="00732DB7">
      <w:pPr>
        <w:widowControl w:val="0"/>
        <w:rPr>
          <w:sz w:val="20"/>
          <w:szCs w:val="20"/>
        </w:rPr>
      </w:pPr>
    </w:p>
    <w:p w:rsidR="005738ED" w:rsidRPr="005738ED" w:rsidRDefault="005738ED" w:rsidP="005738ED">
      <w:pPr>
        <w:tabs>
          <w:tab w:val="left" w:pos="720"/>
          <w:tab w:val="left" w:pos="1440"/>
          <w:tab w:val="left" w:pos="2851"/>
          <w:tab w:val="left" w:pos="4320"/>
        </w:tabs>
        <w:ind w:left="1440" w:hanging="1440"/>
        <w:jc w:val="both"/>
        <w:rPr>
          <w:sz w:val="20"/>
          <w:szCs w:val="20"/>
          <w:lang w:val="en-GB"/>
        </w:rPr>
      </w:pPr>
      <w:r w:rsidRPr="005738ED">
        <w:rPr>
          <w:sz w:val="20"/>
          <w:szCs w:val="20"/>
          <w:lang w:val="en-GB"/>
        </w:rPr>
        <w:t xml:space="preserve">Coram: </w:t>
      </w:r>
      <w:r w:rsidRPr="005738ED">
        <w:rPr>
          <w:sz w:val="20"/>
          <w:szCs w:val="20"/>
          <w:lang w:val="en-GB"/>
        </w:rPr>
        <w:tab/>
      </w:r>
      <w:proofErr w:type="spellStart"/>
      <w:r w:rsidRPr="005738ED">
        <w:rPr>
          <w:sz w:val="20"/>
          <w:szCs w:val="20"/>
          <w:u w:val="single"/>
          <w:lang w:val="en-GB"/>
        </w:rPr>
        <w:t>McLachin</w:t>
      </w:r>
      <w:proofErr w:type="spellEnd"/>
      <w:r w:rsidRPr="005738ED">
        <w:rPr>
          <w:sz w:val="20"/>
          <w:szCs w:val="20"/>
          <w:u w:val="single"/>
          <w:lang w:val="en-GB"/>
        </w:rPr>
        <w:t xml:space="preserve"> C.J. and </w:t>
      </w:r>
      <w:proofErr w:type="spellStart"/>
      <w:r w:rsidRPr="005738ED">
        <w:rPr>
          <w:sz w:val="20"/>
          <w:szCs w:val="20"/>
          <w:u w:val="single"/>
          <w:lang w:val="en-GB"/>
        </w:rPr>
        <w:t>LeBel</w:t>
      </w:r>
      <w:proofErr w:type="spellEnd"/>
      <w:r w:rsidRPr="005738ED">
        <w:rPr>
          <w:sz w:val="20"/>
          <w:szCs w:val="20"/>
          <w:u w:val="single"/>
          <w:lang w:val="en-GB"/>
        </w:rPr>
        <w:t xml:space="preserve">, </w:t>
      </w:r>
      <w:proofErr w:type="spellStart"/>
      <w:r w:rsidRPr="005738ED">
        <w:rPr>
          <w:sz w:val="20"/>
          <w:szCs w:val="20"/>
          <w:u w:val="single"/>
          <w:lang w:val="en-GB"/>
        </w:rPr>
        <w:t>Deschamps</w:t>
      </w:r>
      <w:proofErr w:type="spellEnd"/>
      <w:r w:rsidRPr="005738ED">
        <w:rPr>
          <w:sz w:val="20"/>
          <w:szCs w:val="20"/>
          <w:u w:val="single"/>
          <w:lang w:val="en-GB"/>
        </w:rPr>
        <w:t xml:space="preserve">, </w:t>
      </w:r>
      <w:proofErr w:type="spellStart"/>
      <w:r w:rsidRPr="005738ED">
        <w:rPr>
          <w:sz w:val="20"/>
          <w:szCs w:val="20"/>
          <w:u w:val="single"/>
          <w:lang w:val="en-GB"/>
        </w:rPr>
        <w:t>Abella</w:t>
      </w:r>
      <w:proofErr w:type="spellEnd"/>
      <w:r w:rsidRPr="005738ED">
        <w:rPr>
          <w:sz w:val="20"/>
          <w:szCs w:val="20"/>
          <w:u w:val="single"/>
          <w:lang w:val="en-GB"/>
        </w:rPr>
        <w:t xml:space="preserve">, </w:t>
      </w:r>
      <w:proofErr w:type="spellStart"/>
      <w:r w:rsidRPr="005738ED">
        <w:rPr>
          <w:sz w:val="20"/>
          <w:szCs w:val="20"/>
          <w:u w:val="single"/>
          <w:lang w:val="en-GB"/>
        </w:rPr>
        <w:t>Charron</w:t>
      </w:r>
      <w:proofErr w:type="spellEnd"/>
      <w:r w:rsidRPr="005738ED">
        <w:rPr>
          <w:sz w:val="20"/>
          <w:szCs w:val="20"/>
          <w:u w:val="single"/>
          <w:lang w:val="en-GB"/>
        </w:rPr>
        <w:t>, Rothstein and Cromwell JJ.</w:t>
      </w:r>
      <w:r w:rsidRPr="005738ED">
        <w:rPr>
          <w:sz w:val="20"/>
          <w:szCs w:val="20"/>
          <w:lang w:val="en-GB"/>
        </w:rPr>
        <w:t xml:space="preserve">  </w:t>
      </w:r>
    </w:p>
    <w:p w:rsidR="005738ED" w:rsidRPr="005738ED" w:rsidRDefault="005738ED" w:rsidP="00732DB7">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5738ED" w:rsidRPr="00C50A5C" w:rsidTr="005738ED">
        <w:tc>
          <w:tcPr>
            <w:tcW w:w="4380" w:type="dxa"/>
            <w:tcMar>
              <w:left w:w="0" w:type="dxa"/>
              <w:right w:w="0" w:type="dxa"/>
            </w:tcMar>
          </w:tcPr>
          <w:p w:rsidR="005738ED" w:rsidRDefault="00855A10" w:rsidP="005738ED">
            <w:pPr>
              <w:widowControl w:val="0"/>
              <w:jc w:val="both"/>
              <w:rPr>
                <w:b/>
                <w:sz w:val="20"/>
                <w:szCs w:val="20"/>
              </w:rPr>
            </w:pPr>
            <w:r w:rsidRPr="006325D1">
              <w:rPr>
                <w:rStyle w:val="SCCSsocChar"/>
                <w:b/>
                <w:i w:val="0"/>
              </w:rPr>
              <w:t>Canadian Human Rights Commission et al.</w:t>
            </w:r>
          </w:p>
          <w:p w:rsidR="00855A10" w:rsidRPr="00C50A5C" w:rsidRDefault="00855A10" w:rsidP="005738ED">
            <w:pPr>
              <w:widowControl w:val="0"/>
              <w:jc w:val="both"/>
              <w:rPr>
                <w:b/>
                <w:sz w:val="20"/>
                <w:szCs w:val="20"/>
              </w:rPr>
            </w:pPr>
          </w:p>
          <w:p w:rsidR="005738ED" w:rsidRPr="00C50A5C" w:rsidRDefault="005738ED" w:rsidP="005738ED">
            <w:pPr>
              <w:widowControl w:val="0"/>
              <w:tabs>
                <w:tab w:val="left" w:pos="736"/>
              </w:tabs>
              <w:jc w:val="both"/>
              <w:rPr>
                <w:b/>
                <w:sz w:val="20"/>
                <w:szCs w:val="20"/>
              </w:rPr>
            </w:pPr>
            <w:r w:rsidRPr="00C50A5C">
              <w:rPr>
                <w:b/>
                <w:sz w:val="20"/>
                <w:szCs w:val="20"/>
              </w:rPr>
              <w:tab/>
              <w:t>v. (33</w:t>
            </w:r>
            <w:r w:rsidR="00855A10">
              <w:rPr>
                <w:b/>
                <w:sz w:val="20"/>
                <w:szCs w:val="20"/>
              </w:rPr>
              <w:t>507</w:t>
            </w:r>
            <w:r w:rsidRPr="00C50A5C">
              <w:rPr>
                <w:b/>
                <w:sz w:val="20"/>
                <w:szCs w:val="20"/>
              </w:rPr>
              <w:t>)</w:t>
            </w:r>
          </w:p>
          <w:p w:rsidR="005738ED" w:rsidRPr="00C50A5C" w:rsidRDefault="005738ED" w:rsidP="005738ED">
            <w:pPr>
              <w:widowControl w:val="0"/>
              <w:jc w:val="both"/>
              <w:rPr>
                <w:b/>
                <w:sz w:val="20"/>
                <w:szCs w:val="20"/>
              </w:rPr>
            </w:pPr>
          </w:p>
          <w:p w:rsidR="005738ED" w:rsidRPr="00855A10" w:rsidRDefault="00855A10" w:rsidP="005738ED">
            <w:pPr>
              <w:widowControl w:val="0"/>
              <w:jc w:val="both"/>
              <w:rPr>
                <w:b/>
                <w:sz w:val="20"/>
                <w:szCs w:val="20"/>
              </w:rPr>
            </w:pPr>
            <w:r w:rsidRPr="00855A10">
              <w:rPr>
                <w:rStyle w:val="SCCSsocChar"/>
                <w:b/>
                <w:i w:val="0"/>
              </w:rPr>
              <w:t>Attorney General of Canada</w:t>
            </w:r>
            <w:r w:rsidRPr="00855A10">
              <w:rPr>
                <w:rFonts w:eastAsia="Calibri" w:cs="Times New Roman"/>
                <w:b/>
                <w:sz w:val="20"/>
                <w:szCs w:val="20"/>
              </w:rPr>
              <w:t xml:space="preserve"> (F</w:t>
            </w:r>
            <w:r>
              <w:rPr>
                <w:b/>
                <w:sz w:val="20"/>
                <w:szCs w:val="20"/>
              </w:rPr>
              <w:t>.</w:t>
            </w:r>
            <w:r w:rsidRPr="00855A10">
              <w:rPr>
                <w:rFonts w:eastAsia="Calibri" w:cs="Times New Roman"/>
                <w:b/>
                <w:sz w:val="20"/>
                <w:szCs w:val="20"/>
              </w:rPr>
              <w:t>C</w:t>
            </w:r>
            <w:r>
              <w:rPr>
                <w:b/>
                <w:sz w:val="20"/>
                <w:szCs w:val="20"/>
              </w:rPr>
              <w:t>.</w:t>
            </w:r>
            <w:r w:rsidRPr="00855A10">
              <w:rPr>
                <w:rFonts w:eastAsia="Calibri" w:cs="Times New Roman"/>
                <w:b/>
                <w:sz w:val="20"/>
                <w:szCs w:val="20"/>
              </w:rPr>
              <w:t>) (Civil) (By Leave)</w:t>
            </w:r>
          </w:p>
        </w:tc>
        <w:tc>
          <w:tcPr>
            <w:tcW w:w="720" w:type="dxa"/>
            <w:tcMar>
              <w:left w:w="0" w:type="dxa"/>
              <w:right w:w="0" w:type="dxa"/>
            </w:tcMar>
          </w:tcPr>
          <w:p w:rsidR="005738ED" w:rsidRPr="00A56A3E" w:rsidRDefault="005738ED" w:rsidP="005738ED">
            <w:pPr>
              <w:widowControl w:val="0"/>
              <w:jc w:val="center"/>
              <w:rPr>
                <w:sz w:val="20"/>
                <w:szCs w:val="20"/>
              </w:rPr>
            </w:pPr>
          </w:p>
        </w:tc>
        <w:tc>
          <w:tcPr>
            <w:tcW w:w="4380" w:type="dxa"/>
            <w:tcMar>
              <w:left w:w="0" w:type="dxa"/>
              <w:right w:w="0" w:type="dxa"/>
            </w:tcMar>
          </w:tcPr>
          <w:p w:rsidR="003C4903" w:rsidRPr="003C4903" w:rsidRDefault="003C4903" w:rsidP="003C4903">
            <w:pPr>
              <w:spacing w:line="211" w:lineRule="auto"/>
              <w:jc w:val="both"/>
              <w:rPr>
                <w:sz w:val="20"/>
                <w:szCs w:val="20"/>
              </w:rPr>
            </w:pPr>
            <w:r w:rsidRPr="003C4903">
              <w:rPr>
                <w:sz w:val="20"/>
                <w:szCs w:val="20"/>
              </w:rPr>
              <w:t xml:space="preserve">Philippe </w:t>
            </w:r>
            <w:proofErr w:type="spellStart"/>
            <w:r w:rsidRPr="003C4903">
              <w:rPr>
                <w:sz w:val="20"/>
                <w:szCs w:val="20"/>
              </w:rPr>
              <w:t>Dufresne</w:t>
            </w:r>
            <w:proofErr w:type="spellEnd"/>
            <w:r w:rsidRPr="003C4903">
              <w:rPr>
                <w:sz w:val="20"/>
                <w:szCs w:val="20"/>
              </w:rPr>
              <w:t xml:space="preserve"> and Daniel </w:t>
            </w:r>
            <w:proofErr w:type="spellStart"/>
            <w:r w:rsidRPr="003C4903">
              <w:rPr>
                <w:sz w:val="20"/>
                <w:szCs w:val="20"/>
              </w:rPr>
              <w:t>Poulin</w:t>
            </w:r>
            <w:proofErr w:type="spellEnd"/>
            <w:r w:rsidRPr="003C4903">
              <w:rPr>
                <w:sz w:val="20"/>
                <w:szCs w:val="20"/>
              </w:rPr>
              <w:t xml:space="preserve"> for the appellant Canadian Human Rights Commission</w:t>
            </w:r>
            <w:r>
              <w:rPr>
                <w:sz w:val="20"/>
                <w:szCs w:val="20"/>
              </w:rPr>
              <w:t>.</w:t>
            </w:r>
          </w:p>
          <w:p w:rsidR="003C4903" w:rsidRPr="003C4903" w:rsidRDefault="003C4903" w:rsidP="003C4903">
            <w:pPr>
              <w:spacing w:line="211" w:lineRule="auto"/>
              <w:jc w:val="both"/>
              <w:rPr>
                <w:sz w:val="20"/>
                <w:szCs w:val="20"/>
              </w:rPr>
            </w:pPr>
          </w:p>
          <w:p w:rsidR="003C4903" w:rsidRPr="003C4903" w:rsidRDefault="003C4903" w:rsidP="003C4903">
            <w:pPr>
              <w:spacing w:line="211" w:lineRule="auto"/>
              <w:jc w:val="both"/>
              <w:rPr>
                <w:sz w:val="20"/>
                <w:szCs w:val="20"/>
              </w:rPr>
            </w:pPr>
            <w:r w:rsidRPr="003C4903">
              <w:rPr>
                <w:sz w:val="20"/>
                <w:szCs w:val="20"/>
              </w:rPr>
              <w:t xml:space="preserve">Andrew Raven, Andrew </w:t>
            </w:r>
            <w:proofErr w:type="spellStart"/>
            <w:r w:rsidRPr="003C4903">
              <w:rPr>
                <w:sz w:val="20"/>
                <w:szCs w:val="20"/>
              </w:rPr>
              <w:t>Astritis</w:t>
            </w:r>
            <w:proofErr w:type="spellEnd"/>
            <w:r w:rsidRPr="003C4903">
              <w:rPr>
                <w:sz w:val="20"/>
                <w:szCs w:val="20"/>
              </w:rPr>
              <w:t xml:space="preserve"> and </w:t>
            </w:r>
            <w:proofErr w:type="spellStart"/>
            <w:r w:rsidR="00CD4050" w:rsidRPr="003C4903">
              <w:rPr>
                <w:sz w:val="20"/>
                <w:szCs w:val="20"/>
              </w:rPr>
              <w:t>Bijon</w:t>
            </w:r>
            <w:proofErr w:type="spellEnd"/>
            <w:r w:rsidR="00CD4050" w:rsidRPr="003C4903">
              <w:rPr>
                <w:sz w:val="20"/>
                <w:szCs w:val="20"/>
              </w:rPr>
              <w:t xml:space="preserve"> Roy </w:t>
            </w:r>
            <w:r w:rsidRPr="003C4903">
              <w:rPr>
                <w:sz w:val="20"/>
                <w:szCs w:val="20"/>
              </w:rPr>
              <w:t>for the appellant</w:t>
            </w:r>
            <w:r w:rsidR="00CD4050">
              <w:rPr>
                <w:sz w:val="20"/>
                <w:szCs w:val="20"/>
              </w:rPr>
              <w:t xml:space="preserve"> </w:t>
            </w:r>
            <w:r w:rsidR="00CD4050" w:rsidRPr="003C4903">
              <w:rPr>
                <w:sz w:val="20"/>
                <w:szCs w:val="20"/>
              </w:rPr>
              <w:t xml:space="preserve">Donna </w:t>
            </w:r>
            <w:proofErr w:type="spellStart"/>
            <w:r w:rsidR="00CD4050" w:rsidRPr="003C4903">
              <w:rPr>
                <w:sz w:val="20"/>
                <w:szCs w:val="20"/>
              </w:rPr>
              <w:t>Mowat</w:t>
            </w:r>
            <w:proofErr w:type="spellEnd"/>
            <w:r>
              <w:rPr>
                <w:sz w:val="20"/>
                <w:szCs w:val="20"/>
              </w:rPr>
              <w:t>.</w:t>
            </w:r>
          </w:p>
          <w:p w:rsidR="003C4903" w:rsidRPr="003C4903" w:rsidRDefault="003C4903" w:rsidP="003C4903">
            <w:pPr>
              <w:spacing w:line="211" w:lineRule="auto"/>
              <w:jc w:val="both"/>
              <w:rPr>
                <w:sz w:val="20"/>
                <w:szCs w:val="20"/>
              </w:rPr>
            </w:pPr>
          </w:p>
          <w:p w:rsidR="003C4903" w:rsidRPr="003C4903" w:rsidRDefault="003C4903" w:rsidP="003C4903">
            <w:pPr>
              <w:spacing w:line="211" w:lineRule="auto"/>
              <w:jc w:val="both"/>
              <w:rPr>
                <w:sz w:val="20"/>
                <w:szCs w:val="20"/>
              </w:rPr>
            </w:pPr>
            <w:r w:rsidRPr="003C4903">
              <w:rPr>
                <w:sz w:val="20"/>
                <w:szCs w:val="20"/>
              </w:rPr>
              <w:t>David Baker and Paul Champ for the intervener Council of Canadians with Disabilities</w:t>
            </w:r>
            <w:r>
              <w:rPr>
                <w:sz w:val="20"/>
                <w:szCs w:val="20"/>
              </w:rPr>
              <w:t>.</w:t>
            </w:r>
          </w:p>
          <w:p w:rsidR="003C4903" w:rsidRPr="003C4903" w:rsidRDefault="003C4903" w:rsidP="003C4903">
            <w:pPr>
              <w:spacing w:line="211" w:lineRule="auto"/>
              <w:jc w:val="both"/>
              <w:rPr>
                <w:sz w:val="20"/>
                <w:szCs w:val="20"/>
              </w:rPr>
            </w:pPr>
          </w:p>
          <w:p w:rsidR="003C4903" w:rsidRPr="003C4903" w:rsidRDefault="003C4903" w:rsidP="003C4903">
            <w:pPr>
              <w:spacing w:line="211" w:lineRule="auto"/>
              <w:jc w:val="both"/>
              <w:rPr>
                <w:sz w:val="20"/>
                <w:szCs w:val="20"/>
              </w:rPr>
            </w:pPr>
            <w:proofErr w:type="spellStart"/>
            <w:r w:rsidRPr="003C4903">
              <w:rPr>
                <w:sz w:val="20"/>
                <w:szCs w:val="20"/>
              </w:rPr>
              <w:t>Reidar</w:t>
            </w:r>
            <w:proofErr w:type="spellEnd"/>
            <w:r w:rsidRPr="003C4903">
              <w:rPr>
                <w:sz w:val="20"/>
                <w:szCs w:val="20"/>
              </w:rPr>
              <w:t xml:space="preserve"> M. </w:t>
            </w:r>
            <w:proofErr w:type="spellStart"/>
            <w:r w:rsidRPr="003C4903">
              <w:rPr>
                <w:sz w:val="20"/>
                <w:szCs w:val="20"/>
              </w:rPr>
              <w:t>Mogerman</w:t>
            </w:r>
            <w:proofErr w:type="spellEnd"/>
            <w:r w:rsidRPr="003C4903">
              <w:rPr>
                <w:sz w:val="20"/>
                <w:szCs w:val="20"/>
              </w:rPr>
              <w:t xml:space="preserve"> for the intervener Canadian Bar Association</w:t>
            </w:r>
            <w:r>
              <w:rPr>
                <w:sz w:val="20"/>
                <w:szCs w:val="20"/>
              </w:rPr>
              <w:t>.</w:t>
            </w:r>
          </w:p>
          <w:p w:rsidR="003C4903" w:rsidRPr="003C4903" w:rsidRDefault="003C4903" w:rsidP="003C4903">
            <w:pPr>
              <w:spacing w:line="211" w:lineRule="auto"/>
              <w:jc w:val="both"/>
              <w:rPr>
                <w:sz w:val="20"/>
                <w:szCs w:val="20"/>
              </w:rPr>
            </w:pPr>
          </w:p>
          <w:p w:rsidR="003C4903" w:rsidRPr="003C4903" w:rsidRDefault="003C4903" w:rsidP="003C4903">
            <w:pPr>
              <w:spacing w:line="211" w:lineRule="auto"/>
              <w:jc w:val="both"/>
              <w:rPr>
                <w:sz w:val="20"/>
                <w:szCs w:val="20"/>
              </w:rPr>
            </w:pPr>
            <w:r w:rsidRPr="003C4903">
              <w:rPr>
                <w:sz w:val="20"/>
                <w:szCs w:val="20"/>
              </w:rPr>
              <w:t xml:space="preserve">Peter Southey and Sean </w:t>
            </w:r>
            <w:proofErr w:type="spellStart"/>
            <w:r w:rsidRPr="003C4903">
              <w:rPr>
                <w:sz w:val="20"/>
                <w:szCs w:val="20"/>
              </w:rPr>
              <w:t>Gaudet</w:t>
            </w:r>
            <w:proofErr w:type="spellEnd"/>
            <w:r w:rsidRPr="003C4903">
              <w:rPr>
                <w:sz w:val="20"/>
                <w:szCs w:val="20"/>
              </w:rPr>
              <w:t xml:space="preserve"> for the respondent</w:t>
            </w:r>
            <w:r>
              <w:rPr>
                <w:sz w:val="20"/>
                <w:szCs w:val="20"/>
              </w:rPr>
              <w:t>.</w:t>
            </w:r>
            <w:r w:rsidRPr="003C4903">
              <w:rPr>
                <w:sz w:val="20"/>
                <w:szCs w:val="20"/>
              </w:rPr>
              <w:t xml:space="preserve"> </w:t>
            </w:r>
          </w:p>
          <w:p w:rsidR="005738ED" w:rsidRPr="005738ED" w:rsidRDefault="005738ED" w:rsidP="005738ED">
            <w:pPr>
              <w:widowControl w:val="0"/>
              <w:jc w:val="both"/>
              <w:rPr>
                <w:sz w:val="20"/>
                <w:szCs w:val="20"/>
              </w:rPr>
            </w:pPr>
          </w:p>
        </w:tc>
      </w:tr>
    </w:tbl>
    <w:p w:rsidR="00605599" w:rsidRDefault="00605599" w:rsidP="00732DB7">
      <w:pPr>
        <w:widowControl w:val="0"/>
        <w:rPr>
          <w:sz w:val="20"/>
          <w:szCs w:val="20"/>
        </w:rPr>
      </w:pPr>
    </w:p>
    <w:p w:rsidR="00512719" w:rsidRDefault="00855A10" w:rsidP="00512719">
      <w:pPr>
        <w:widowControl w:val="0"/>
        <w:rPr>
          <w:b/>
          <w:sz w:val="20"/>
          <w:szCs w:val="20"/>
          <w:lang w:val="fr-CA"/>
        </w:rPr>
      </w:pPr>
      <w:r w:rsidRPr="0085476B">
        <w:rPr>
          <w:b/>
          <w:sz w:val="20"/>
          <w:szCs w:val="20"/>
        </w:rPr>
        <w:t xml:space="preserve">RESERVED / </w:t>
      </w:r>
      <w:r w:rsidRPr="0085476B">
        <w:rPr>
          <w:b/>
          <w:sz w:val="20"/>
          <w:szCs w:val="20"/>
          <w:lang w:val="fr-CA"/>
        </w:rPr>
        <w:t>EN DÉLIBÉRÉ</w:t>
      </w:r>
      <w:r w:rsidR="00512719">
        <w:rPr>
          <w:b/>
          <w:sz w:val="20"/>
          <w:szCs w:val="20"/>
          <w:lang w:val="fr-CA"/>
        </w:rPr>
        <w:br w:type="page"/>
      </w:r>
    </w:p>
    <w:tbl>
      <w:tblPr>
        <w:tblW w:w="0" w:type="auto"/>
        <w:tblLayout w:type="fixed"/>
        <w:tblCellMar>
          <w:left w:w="0" w:type="dxa"/>
          <w:right w:w="0" w:type="dxa"/>
        </w:tblCellMar>
        <w:tblLook w:val="0000"/>
      </w:tblPr>
      <w:tblGrid>
        <w:gridCol w:w="4380"/>
        <w:gridCol w:w="720"/>
        <w:gridCol w:w="4380"/>
      </w:tblGrid>
      <w:tr w:rsidR="00855A10" w:rsidRPr="00075333" w:rsidTr="00855A10">
        <w:tc>
          <w:tcPr>
            <w:tcW w:w="4380" w:type="dxa"/>
            <w:tcMar>
              <w:left w:w="0" w:type="dxa"/>
              <w:right w:w="0" w:type="dxa"/>
            </w:tcMar>
          </w:tcPr>
          <w:p w:rsidR="00855A10" w:rsidRPr="00CC4D84" w:rsidRDefault="00855A10" w:rsidP="00855A10">
            <w:pPr>
              <w:widowControl w:val="0"/>
              <w:jc w:val="both"/>
              <w:rPr>
                <w:b/>
                <w:sz w:val="20"/>
                <w:szCs w:val="20"/>
                <w:u w:val="single"/>
              </w:rPr>
            </w:pPr>
            <w:r w:rsidRPr="00CC4D84">
              <w:rPr>
                <w:b/>
                <w:sz w:val="20"/>
                <w:szCs w:val="20"/>
                <w:u w:val="single"/>
              </w:rPr>
              <w:lastRenderedPageBreak/>
              <w:t>Nature of the case:</w:t>
            </w:r>
          </w:p>
          <w:p w:rsidR="00855A10" w:rsidRPr="00C1697B" w:rsidRDefault="00855A10" w:rsidP="00855A10">
            <w:pPr>
              <w:widowControl w:val="0"/>
              <w:jc w:val="both"/>
              <w:rPr>
                <w:b/>
                <w:sz w:val="20"/>
                <w:szCs w:val="20"/>
              </w:rPr>
            </w:pPr>
          </w:p>
          <w:p w:rsidR="00855A10" w:rsidRPr="00C1697B" w:rsidRDefault="006D705A" w:rsidP="00855A10">
            <w:pPr>
              <w:jc w:val="both"/>
              <w:rPr>
                <w:b/>
                <w:sz w:val="20"/>
                <w:szCs w:val="20"/>
              </w:rPr>
            </w:pPr>
            <w:r w:rsidRPr="00855A10">
              <w:rPr>
                <w:sz w:val="20"/>
                <w:szCs w:val="20"/>
              </w:rPr>
              <w:fldChar w:fldCharType="begin"/>
            </w:r>
            <w:r w:rsidR="00855A10" w:rsidRPr="00855A10">
              <w:rPr>
                <w:sz w:val="20"/>
                <w:szCs w:val="20"/>
              </w:rPr>
              <w:instrText xml:space="preserve"> SEQ CHAPTER \h \r 1</w:instrText>
            </w:r>
            <w:r w:rsidRPr="00855A10">
              <w:rPr>
                <w:sz w:val="20"/>
                <w:szCs w:val="20"/>
              </w:rPr>
              <w:fldChar w:fldCharType="end"/>
            </w:r>
            <w:r w:rsidR="00855A10" w:rsidRPr="00855A10">
              <w:rPr>
                <w:sz w:val="20"/>
                <w:szCs w:val="20"/>
              </w:rPr>
              <w:t xml:space="preserve">Human Rights - Discriminatory practices - Standard of review - Recovery of legal costs - Whether permissible - What is the appropriate standard of review of a decision of the Canadian Human Rights Tribunal as to the interpretation of paragraph 53(2)(c) of the </w:t>
            </w:r>
            <w:r w:rsidR="00855A10" w:rsidRPr="00855A10">
              <w:rPr>
                <w:i/>
                <w:sz w:val="20"/>
                <w:szCs w:val="20"/>
              </w:rPr>
              <w:t>Canadian Human Rights Act</w:t>
            </w:r>
            <w:r w:rsidR="00855A10" w:rsidRPr="00855A10">
              <w:rPr>
                <w:sz w:val="20"/>
                <w:szCs w:val="20"/>
              </w:rPr>
              <w:t>, R.S. 1985, c. H</w:t>
            </w:r>
            <w:r w:rsidR="00855A10" w:rsidRPr="00855A10">
              <w:rPr>
                <w:sz w:val="20"/>
                <w:szCs w:val="20"/>
              </w:rPr>
              <w:noBreakHyphen/>
              <w:t xml:space="preserve">6 - Whether paragraph 53(2)(c) of the </w:t>
            </w:r>
            <w:r w:rsidR="00855A10" w:rsidRPr="00855A10">
              <w:rPr>
                <w:i/>
                <w:sz w:val="20"/>
                <w:szCs w:val="20"/>
              </w:rPr>
              <w:t>Canadian Human Rights Act</w:t>
            </w:r>
            <w:r w:rsidR="00855A10" w:rsidRPr="00855A10">
              <w:rPr>
                <w:sz w:val="20"/>
                <w:szCs w:val="20"/>
              </w:rPr>
              <w:t xml:space="preserve"> permits the Canadian Human Rights Tribunal to award compensation for legal expenses incurred by complainants who are successful in advancing claims of discriminatory treatment in contravention of the </w:t>
            </w:r>
            <w:r w:rsidR="00855A10" w:rsidRPr="00855A10">
              <w:rPr>
                <w:i/>
                <w:sz w:val="20"/>
                <w:szCs w:val="20"/>
              </w:rPr>
              <w:t>Canadian Human Rights Act</w:t>
            </w:r>
            <w:r w:rsidR="00855A10" w:rsidRPr="00855A10">
              <w:rPr>
                <w:sz w:val="20"/>
                <w:szCs w:val="20"/>
              </w:rPr>
              <w:t>.</w:t>
            </w:r>
            <w:r w:rsidRPr="005738ED">
              <w:rPr>
                <w:sz w:val="20"/>
                <w:szCs w:val="20"/>
              </w:rPr>
              <w:fldChar w:fldCharType="begin"/>
            </w:r>
            <w:r w:rsidR="00855A10" w:rsidRPr="005738ED">
              <w:rPr>
                <w:sz w:val="20"/>
                <w:szCs w:val="20"/>
              </w:rPr>
              <w:instrText xml:space="preserve"> SEQ CHAPTER \h \r 1</w:instrText>
            </w:r>
            <w:r w:rsidRPr="005738ED">
              <w:rPr>
                <w:sz w:val="20"/>
                <w:szCs w:val="20"/>
              </w:rPr>
              <w:fldChar w:fldCharType="end"/>
            </w:r>
          </w:p>
        </w:tc>
        <w:tc>
          <w:tcPr>
            <w:tcW w:w="720" w:type="dxa"/>
            <w:tcMar>
              <w:left w:w="0" w:type="dxa"/>
              <w:right w:w="0" w:type="dxa"/>
            </w:tcMar>
          </w:tcPr>
          <w:p w:rsidR="00855A10" w:rsidRPr="00C1697B" w:rsidRDefault="00855A10" w:rsidP="00855A10">
            <w:pPr>
              <w:widowControl w:val="0"/>
              <w:jc w:val="center"/>
              <w:rPr>
                <w:sz w:val="20"/>
                <w:szCs w:val="20"/>
              </w:rPr>
            </w:pPr>
          </w:p>
        </w:tc>
        <w:tc>
          <w:tcPr>
            <w:tcW w:w="4380" w:type="dxa"/>
            <w:tcMar>
              <w:left w:w="0" w:type="dxa"/>
              <w:right w:w="0" w:type="dxa"/>
            </w:tcMar>
          </w:tcPr>
          <w:p w:rsidR="00855A10" w:rsidRPr="00CC4D84" w:rsidRDefault="00855A10" w:rsidP="00855A10">
            <w:pPr>
              <w:widowControl w:val="0"/>
              <w:jc w:val="both"/>
              <w:rPr>
                <w:b/>
                <w:sz w:val="20"/>
                <w:szCs w:val="20"/>
                <w:u w:val="single"/>
                <w:lang w:val="fr-CA"/>
              </w:rPr>
            </w:pPr>
            <w:r w:rsidRPr="00CC4D84">
              <w:rPr>
                <w:b/>
                <w:sz w:val="20"/>
                <w:szCs w:val="20"/>
                <w:u w:val="single"/>
                <w:lang w:val="fr-CA"/>
              </w:rPr>
              <w:t>Nature de la cause :</w:t>
            </w:r>
          </w:p>
          <w:p w:rsidR="00855A10" w:rsidRPr="00C1697B" w:rsidRDefault="00855A10" w:rsidP="00855A10">
            <w:pPr>
              <w:widowControl w:val="0"/>
              <w:jc w:val="both"/>
              <w:rPr>
                <w:sz w:val="20"/>
                <w:szCs w:val="20"/>
                <w:lang w:val="fr-CA"/>
              </w:rPr>
            </w:pPr>
          </w:p>
          <w:p w:rsidR="00855A10" w:rsidRPr="00855A10" w:rsidRDefault="00855A10" w:rsidP="00855A10">
            <w:pPr>
              <w:widowControl w:val="0"/>
              <w:jc w:val="both"/>
              <w:rPr>
                <w:sz w:val="20"/>
                <w:szCs w:val="20"/>
                <w:lang w:val="fr-CA"/>
              </w:rPr>
            </w:pPr>
            <w:r w:rsidRPr="00855A10">
              <w:rPr>
                <w:rFonts w:eastAsia="Calibri" w:cs="Times New Roman"/>
                <w:sz w:val="20"/>
                <w:szCs w:val="20"/>
                <w:lang w:val="fr-CA"/>
              </w:rPr>
              <w:t xml:space="preserve">Droits de la personne - Pratiques discriminatoires - Norme de contrôle - Recouvrement des frais de justice - Est-ce permissible? - Quelle norme de contrôle </w:t>
            </w:r>
            <w:proofErr w:type="spellStart"/>
            <w:r w:rsidRPr="00855A10">
              <w:rPr>
                <w:rFonts w:eastAsia="Calibri" w:cs="Times New Roman"/>
                <w:sz w:val="20"/>
                <w:szCs w:val="20"/>
                <w:lang w:val="fr-CA"/>
              </w:rPr>
              <w:t>faut</w:t>
            </w:r>
            <w:r w:rsidRPr="00855A10">
              <w:rPr>
                <w:rFonts w:eastAsia="Calibri" w:cs="Times New Roman"/>
                <w:sz w:val="20"/>
                <w:szCs w:val="20"/>
                <w:lang w:val="fr-CA"/>
              </w:rPr>
              <w:noBreakHyphen/>
              <w:t>il</w:t>
            </w:r>
            <w:proofErr w:type="spellEnd"/>
            <w:r w:rsidRPr="00855A10">
              <w:rPr>
                <w:rFonts w:eastAsia="Calibri" w:cs="Times New Roman"/>
                <w:sz w:val="20"/>
                <w:szCs w:val="20"/>
                <w:lang w:val="fr-CA"/>
              </w:rPr>
              <w:t xml:space="preserve"> appliquer à une décision du Tribunal canadien des droits de la personne quant à l’interprétation de l’alinéa 53(2) c) de la </w:t>
            </w:r>
            <w:r w:rsidRPr="00855A10">
              <w:rPr>
                <w:rFonts w:eastAsia="Calibri" w:cs="Times New Roman"/>
                <w:i/>
                <w:sz w:val="20"/>
                <w:szCs w:val="20"/>
                <w:lang w:val="fr-CA"/>
              </w:rPr>
              <w:t>Loi canadienne sur les droits de la personne</w:t>
            </w:r>
            <w:r w:rsidRPr="00855A10">
              <w:rPr>
                <w:rFonts w:eastAsia="Calibri" w:cs="Times New Roman"/>
                <w:sz w:val="20"/>
                <w:szCs w:val="20"/>
                <w:lang w:val="fr-CA"/>
              </w:rPr>
              <w:t>, L.R.C. 1985, ch. H</w:t>
            </w:r>
            <w:r w:rsidRPr="00855A10">
              <w:rPr>
                <w:rFonts w:eastAsia="Calibri" w:cs="Times New Roman"/>
                <w:sz w:val="20"/>
                <w:szCs w:val="20"/>
                <w:lang w:val="fr-CA"/>
              </w:rPr>
              <w:noBreakHyphen/>
              <w:t xml:space="preserve">6? - L’alinéa 53(2) c) de la </w:t>
            </w:r>
            <w:r w:rsidRPr="00855A10">
              <w:rPr>
                <w:rFonts w:eastAsia="Calibri" w:cs="Times New Roman"/>
                <w:i/>
                <w:sz w:val="20"/>
                <w:szCs w:val="20"/>
                <w:lang w:val="fr-CA"/>
              </w:rPr>
              <w:t>Loi canadienne sur les droits de la personne</w:t>
            </w:r>
            <w:r w:rsidRPr="00855A10">
              <w:rPr>
                <w:rFonts w:eastAsia="Calibri" w:cs="Times New Roman"/>
                <w:sz w:val="20"/>
                <w:szCs w:val="20"/>
                <w:lang w:val="fr-CA"/>
              </w:rPr>
              <w:t xml:space="preserve"> </w:t>
            </w:r>
            <w:proofErr w:type="spellStart"/>
            <w:r w:rsidRPr="00855A10">
              <w:rPr>
                <w:rFonts w:eastAsia="Calibri" w:cs="Times New Roman"/>
                <w:sz w:val="20"/>
                <w:szCs w:val="20"/>
                <w:lang w:val="fr-CA"/>
              </w:rPr>
              <w:t>permet</w:t>
            </w:r>
            <w:r w:rsidRPr="00855A10">
              <w:rPr>
                <w:rFonts w:eastAsia="Calibri" w:cs="Times New Roman"/>
                <w:sz w:val="20"/>
                <w:szCs w:val="20"/>
                <w:lang w:val="fr-CA"/>
              </w:rPr>
              <w:noBreakHyphen/>
              <w:t>il</w:t>
            </w:r>
            <w:proofErr w:type="spellEnd"/>
            <w:r w:rsidRPr="00855A10">
              <w:rPr>
                <w:rFonts w:eastAsia="Calibri" w:cs="Times New Roman"/>
                <w:sz w:val="20"/>
                <w:szCs w:val="20"/>
                <w:lang w:val="fr-CA"/>
              </w:rPr>
              <w:t xml:space="preserve"> au Tribunal canadien des droits de la personne d’accorder une indemnité pour les frais de justice engagés par des plaignants qui réussissent à faire valoir des allégations de traitement discriminatoire en contravention de la </w:t>
            </w:r>
            <w:r w:rsidRPr="00855A10">
              <w:rPr>
                <w:rFonts w:eastAsia="Calibri" w:cs="Times New Roman"/>
                <w:i/>
                <w:sz w:val="20"/>
                <w:szCs w:val="20"/>
                <w:lang w:val="fr-CA"/>
              </w:rPr>
              <w:t>Loi canadienne sur les droits de la personne</w:t>
            </w:r>
            <w:r w:rsidRPr="00855A10">
              <w:rPr>
                <w:rFonts w:eastAsia="Calibri" w:cs="Times New Roman"/>
                <w:sz w:val="20"/>
                <w:szCs w:val="20"/>
                <w:lang w:val="fr-CA"/>
              </w:rPr>
              <w:t>?</w:t>
            </w:r>
          </w:p>
        </w:tc>
      </w:tr>
    </w:tbl>
    <w:p w:rsidR="005738ED" w:rsidRPr="00855A10" w:rsidRDefault="005738ED" w:rsidP="00732DB7">
      <w:pPr>
        <w:widowControl w:val="0"/>
        <w:rPr>
          <w:sz w:val="20"/>
          <w:szCs w:val="20"/>
          <w:lang w:val="fr-CA"/>
        </w:rPr>
      </w:pPr>
    </w:p>
    <w:p w:rsidR="00E940EB" w:rsidRDefault="006D705A" w:rsidP="00732DB7">
      <w:pPr>
        <w:widowControl w:val="0"/>
        <w:rPr>
          <w:sz w:val="20"/>
          <w:szCs w:val="20"/>
          <w:lang w:val="fr-CA"/>
        </w:rPr>
      </w:pPr>
      <w:r w:rsidRPr="006D705A">
        <w:rPr>
          <w:sz w:val="20"/>
          <w:szCs w:val="20"/>
          <w:lang w:val="fr-CA"/>
        </w:rPr>
        <w:pict>
          <v:rect id="_x0000_i1058" style="width:2in;height:1pt" o:hrpct="0" o:hralign="center" o:hrstd="t" o:hrnoshade="t" o:hr="t" fillcolor="black [3213]" stroked="f"/>
        </w:pict>
      </w:r>
    </w:p>
    <w:p w:rsidR="00FD50B6" w:rsidRDefault="00FD50B6" w:rsidP="00732DB7">
      <w:pPr>
        <w:widowControl w:val="0"/>
        <w:rPr>
          <w:sz w:val="20"/>
          <w:szCs w:val="20"/>
          <w:lang w:val="fr-CA"/>
        </w:rPr>
      </w:pPr>
    </w:p>
    <w:p w:rsidR="00FD50B6" w:rsidRPr="006426FB" w:rsidRDefault="00FD50B6" w:rsidP="00FD50B6">
      <w:pPr>
        <w:widowControl w:val="0"/>
        <w:rPr>
          <w:sz w:val="20"/>
          <w:szCs w:val="20"/>
        </w:rPr>
      </w:pPr>
      <w:r w:rsidRPr="006426FB">
        <w:rPr>
          <w:sz w:val="20"/>
          <w:szCs w:val="20"/>
        </w:rPr>
        <w:t>1</w:t>
      </w:r>
      <w:r>
        <w:rPr>
          <w:sz w:val="20"/>
          <w:szCs w:val="20"/>
        </w:rPr>
        <w:t>4</w:t>
      </w:r>
      <w:r w:rsidRPr="006426FB">
        <w:rPr>
          <w:sz w:val="20"/>
          <w:szCs w:val="20"/>
        </w:rPr>
        <w:t>.12.2010</w:t>
      </w:r>
    </w:p>
    <w:p w:rsidR="00FD50B6" w:rsidRPr="00FD50B6" w:rsidRDefault="00FD50B6" w:rsidP="00732DB7">
      <w:pPr>
        <w:widowControl w:val="0"/>
        <w:rPr>
          <w:sz w:val="20"/>
          <w:szCs w:val="20"/>
        </w:rPr>
      </w:pPr>
    </w:p>
    <w:p w:rsidR="00614AAA" w:rsidRPr="00614AAA" w:rsidRDefault="00614AAA" w:rsidP="00614AAA">
      <w:pPr>
        <w:jc w:val="both"/>
        <w:rPr>
          <w:rFonts w:eastAsia="Calibri" w:cs="Times New Roman"/>
          <w:sz w:val="20"/>
          <w:szCs w:val="20"/>
          <w:lang w:val="en-GB"/>
        </w:rPr>
      </w:pPr>
      <w:r w:rsidRPr="00614AAA">
        <w:rPr>
          <w:rFonts w:eastAsia="Calibri" w:cs="Times New Roman"/>
          <w:sz w:val="20"/>
          <w:szCs w:val="20"/>
          <w:lang w:val="en-GB"/>
        </w:rPr>
        <w:t xml:space="preserve">Coram: </w:t>
      </w:r>
      <w:r w:rsidRPr="00614AAA">
        <w:rPr>
          <w:rFonts w:eastAsia="Calibri" w:cs="Times New Roman"/>
          <w:sz w:val="20"/>
          <w:szCs w:val="20"/>
          <w:lang w:val="en-GB"/>
        </w:rPr>
        <w:tab/>
      </w:r>
      <w:proofErr w:type="spellStart"/>
      <w:r w:rsidRPr="00614AAA">
        <w:rPr>
          <w:rFonts w:eastAsia="Calibri" w:cs="Times New Roman"/>
          <w:sz w:val="20"/>
          <w:szCs w:val="20"/>
          <w:u w:val="single"/>
          <w:lang w:val="en-GB"/>
        </w:rPr>
        <w:t>McLachlin</w:t>
      </w:r>
      <w:proofErr w:type="spellEnd"/>
      <w:r w:rsidRPr="00614AAA">
        <w:rPr>
          <w:rFonts w:eastAsia="Calibri" w:cs="Times New Roman"/>
          <w:sz w:val="20"/>
          <w:szCs w:val="20"/>
          <w:u w:val="single"/>
          <w:lang w:val="en-GB"/>
        </w:rPr>
        <w:t xml:space="preserve"> C.J. and </w:t>
      </w:r>
      <w:proofErr w:type="spellStart"/>
      <w:r w:rsidRPr="00614AAA">
        <w:rPr>
          <w:rFonts w:eastAsia="Calibri" w:cs="Times New Roman"/>
          <w:sz w:val="20"/>
          <w:szCs w:val="20"/>
          <w:u w:val="single"/>
          <w:lang w:val="en-GB"/>
        </w:rPr>
        <w:t>Binnie</w:t>
      </w:r>
      <w:proofErr w:type="spellEnd"/>
      <w:r w:rsidRPr="00614AAA">
        <w:rPr>
          <w:rFonts w:eastAsia="Calibri" w:cs="Times New Roman"/>
          <w:sz w:val="20"/>
          <w:szCs w:val="20"/>
          <w:u w:val="single"/>
          <w:lang w:val="en-GB"/>
        </w:rPr>
        <w:t xml:space="preserve">, </w:t>
      </w:r>
      <w:proofErr w:type="spellStart"/>
      <w:r w:rsidRPr="00614AAA">
        <w:rPr>
          <w:rFonts w:eastAsia="Calibri" w:cs="Times New Roman"/>
          <w:sz w:val="20"/>
          <w:szCs w:val="20"/>
          <w:u w:val="single"/>
          <w:lang w:val="en-GB"/>
        </w:rPr>
        <w:t>LeBel</w:t>
      </w:r>
      <w:proofErr w:type="spellEnd"/>
      <w:r w:rsidRPr="00614AAA">
        <w:rPr>
          <w:rFonts w:eastAsia="Calibri" w:cs="Times New Roman"/>
          <w:sz w:val="20"/>
          <w:szCs w:val="20"/>
          <w:u w:val="single"/>
          <w:lang w:val="en-GB"/>
        </w:rPr>
        <w:t xml:space="preserve">, </w:t>
      </w:r>
      <w:proofErr w:type="spellStart"/>
      <w:r w:rsidRPr="00614AAA">
        <w:rPr>
          <w:rFonts w:eastAsia="Calibri" w:cs="Times New Roman"/>
          <w:sz w:val="20"/>
          <w:szCs w:val="20"/>
          <w:u w:val="single"/>
          <w:lang w:val="en-GB"/>
        </w:rPr>
        <w:t>Deschamps</w:t>
      </w:r>
      <w:proofErr w:type="spellEnd"/>
      <w:r w:rsidRPr="00614AAA">
        <w:rPr>
          <w:rFonts w:eastAsia="Calibri" w:cs="Times New Roman"/>
          <w:sz w:val="20"/>
          <w:szCs w:val="20"/>
          <w:u w:val="single"/>
          <w:lang w:val="en-GB"/>
        </w:rPr>
        <w:t xml:space="preserve">, Fish, </w:t>
      </w:r>
      <w:proofErr w:type="spellStart"/>
      <w:r w:rsidRPr="00614AAA">
        <w:rPr>
          <w:rFonts w:eastAsia="Calibri" w:cs="Times New Roman"/>
          <w:sz w:val="20"/>
          <w:szCs w:val="20"/>
          <w:u w:val="single"/>
          <w:lang w:val="en-GB"/>
        </w:rPr>
        <w:t>Abella</w:t>
      </w:r>
      <w:proofErr w:type="spellEnd"/>
      <w:r w:rsidRPr="00614AAA">
        <w:rPr>
          <w:rFonts w:eastAsia="Calibri" w:cs="Times New Roman"/>
          <w:sz w:val="20"/>
          <w:szCs w:val="20"/>
          <w:u w:val="single"/>
          <w:lang w:val="en-GB"/>
        </w:rPr>
        <w:t xml:space="preserve">, </w:t>
      </w:r>
      <w:proofErr w:type="spellStart"/>
      <w:r w:rsidRPr="00614AAA">
        <w:rPr>
          <w:rFonts w:eastAsia="Calibri" w:cs="Times New Roman"/>
          <w:sz w:val="20"/>
          <w:szCs w:val="20"/>
          <w:u w:val="single"/>
          <w:lang w:val="en-GB"/>
        </w:rPr>
        <w:t>Charron</w:t>
      </w:r>
      <w:proofErr w:type="spellEnd"/>
      <w:r w:rsidRPr="00614AAA">
        <w:rPr>
          <w:rFonts w:eastAsia="Calibri" w:cs="Times New Roman"/>
          <w:sz w:val="20"/>
          <w:szCs w:val="20"/>
          <w:u w:val="single"/>
          <w:lang w:val="en-GB"/>
        </w:rPr>
        <w:t>, Rothstein and Cromwell JJ.</w:t>
      </w:r>
      <w:r w:rsidRPr="00614AAA">
        <w:rPr>
          <w:rFonts w:eastAsia="Calibri" w:cs="Times New Roman"/>
          <w:sz w:val="20"/>
          <w:szCs w:val="20"/>
          <w:lang w:val="en-GB"/>
        </w:rPr>
        <w:t xml:space="preserve">  </w:t>
      </w:r>
    </w:p>
    <w:p w:rsidR="00FD50B6" w:rsidRPr="00614AAA" w:rsidRDefault="00FD50B6" w:rsidP="00FD50B6">
      <w:pPr>
        <w:jc w:val="both"/>
        <w:rPr>
          <w:rFonts w:eastAsia="Calibri" w:cs="Times New Roman"/>
          <w:sz w:val="20"/>
          <w:szCs w:val="20"/>
          <w:lang w:val="en-GB"/>
        </w:rPr>
      </w:pPr>
    </w:p>
    <w:tbl>
      <w:tblPr>
        <w:tblW w:w="0" w:type="auto"/>
        <w:tblLayout w:type="fixed"/>
        <w:tblCellMar>
          <w:left w:w="0" w:type="dxa"/>
          <w:right w:w="0" w:type="dxa"/>
        </w:tblCellMar>
        <w:tblLook w:val="0000"/>
      </w:tblPr>
      <w:tblGrid>
        <w:gridCol w:w="4380"/>
        <w:gridCol w:w="720"/>
        <w:gridCol w:w="4380"/>
      </w:tblGrid>
      <w:tr w:rsidR="00FD50B6" w:rsidRPr="00C50A5C" w:rsidTr="00FD50B6">
        <w:tc>
          <w:tcPr>
            <w:tcW w:w="4380" w:type="dxa"/>
            <w:tcMar>
              <w:left w:w="0" w:type="dxa"/>
              <w:right w:w="0" w:type="dxa"/>
            </w:tcMar>
          </w:tcPr>
          <w:p w:rsidR="00FD50B6" w:rsidRDefault="00FD50B6" w:rsidP="00FD50B6">
            <w:pPr>
              <w:widowControl w:val="0"/>
              <w:jc w:val="both"/>
              <w:rPr>
                <w:b/>
                <w:sz w:val="20"/>
                <w:szCs w:val="20"/>
              </w:rPr>
            </w:pPr>
            <w:r w:rsidRPr="00FD50B6">
              <w:rPr>
                <w:rStyle w:val="SCCSsocChar"/>
                <w:b/>
                <w:i w:val="0"/>
              </w:rPr>
              <w:t>Her Majesty the Queen</w:t>
            </w:r>
          </w:p>
          <w:p w:rsidR="00FD50B6" w:rsidRPr="00C50A5C" w:rsidRDefault="00FD50B6" w:rsidP="00FD50B6">
            <w:pPr>
              <w:widowControl w:val="0"/>
              <w:jc w:val="both"/>
              <w:rPr>
                <w:b/>
                <w:sz w:val="20"/>
                <w:szCs w:val="20"/>
              </w:rPr>
            </w:pPr>
          </w:p>
          <w:p w:rsidR="00FD50B6" w:rsidRPr="00C50A5C" w:rsidRDefault="00FD50B6" w:rsidP="00FD50B6">
            <w:pPr>
              <w:widowControl w:val="0"/>
              <w:tabs>
                <w:tab w:val="left" w:pos="736"/>
              </w:tabs>
              <w:jc w:val="both"/>
              <w:rPr>
                <w:b/>
                <w:sz w:val="20"/>
                <w:szCs w:val="20"/>
              </w:rPr>
            </w:pPr>
            <w:r w:rsidRPr="00C50A5C">
              <w:rPr>
                <w:b/>
                <w:sz w:val="20"/>
                <w:szCs w:val="20"/>
              </w:rPr>
              <w:tab/>
              <w:t>v. (33</w:t>
            </w:r>
            <w:r>
              <w:rPr>
                <w:b/>
                <w:sz w:val="20"/>
                <w:szCs w:val="20"/>
              </w:rPr>
              <w:t>359</w:t>
            </w:r>
            <w:r w:rsidRPr="00C50A5C">
              <w:rPr>
                <w:b/>
                <w:sz w:val="20"/>
                <w:szCs w:val="20"/>
              </w:rPr>
              <w:t>)</w:t>
            </w:r>
          </w:p>
          <w:p w:rsidR="00FD50B6" w:rsidRPr="00C50A5C" w:rsidRDefault="00FD50B6" w:rsidP="00FD50B6">
            <w:pPr>
              <w:widowControl w:val="0"/>
              <w:jc w:val="both"/>
              <w:rPr>
                <w:b/>
                <w:sz w:val="20"/>
                <w:szCs w:val="20"/>
              </w:rPr>
            </w:pPr>
          </w:p>
          <w:p w:rsidR="00FD50B6" w:rsidRPr="00855A10" w:rsidRDefault="00FD50B6" w:rsidP="00FD50B6">
            <w:pPr>
              <w:widowControl w:val="0"/>
              <w:jc w:val="both"/>
              <w:rPr>
                <w:b/>
                <w:sz w:val="20"/>
                <w:szCs w:val="20"/>
              </w:rPr>
            </w:pPr>
            <w:r w:rsidRPr="00FD50B6">
              <w:rPr>
                <w:rStyle w:val="SCCSsocChar"/>
                <w:b/>
                <w:i w:val="0"/>
              </w:rPr>
              <w:t>Terrence Sinclair</w:t>
            </w:r>
            <w:r w:rsidRPr="00FD50B6">
              <w:rPr>
                <w:rFonts w:eastAsia="Calibri" w:cs="Times New Roman"/>
                <w:b/>
                <w:sz w:val="20"/>
                <w:szCs w:val="20"/>
              </w:rPr>
              <w:t xml:space="preserve"> (Man.) (Criminal) (By Leave)</w:t>
            </w:r>
          </w:p>
        </w:tc>
        <w:tc>
          <w:tcPr>
            <w:tcW w:w="720" w:type="dxa"/>
            <w:tcMar>
              <w:left w:w="0" w:type="dxa"/>
              <w:right w:w="0" w:type="dxa"/>
            </w:tcMar>
          </w:tcPr>
          <w:p w:rsidR="00FD50B6" w:rsidRPr="00A56A3E" w:rsidRDefault="00FD50B6" w:rsidP="00FD50B6">
            <w:pPr>
              <w:widowControl w:val="0"/>
              <w:jc w:val="center"/>
              <w:rPr>
                <w:sz w:val="20"/>
                <w:szCs w:val="20"/>
              </w:rPr>
            </w:pPr>
          </w:p>
        </w:tc>
        <w:tc>
          <w:tcPr>
            <w:tcW w:w="4380" w:type="dxa"/>
            <w:tcMar>
              <w:left w:w="0" w:type="dxa"/>
              <w:right w:w="0" w:type="dxa"/>
            </w:tcMar>
          </w:tcPr>
          <w:p w:rsidR="00FD50B6" w:rsidRPr="00FD50B6" w:rsidRDefault="00FD50B6" w:rsidP="00FD50B6">
            <w:pPr>
              <w:spacing w:line="211" w:lineRule="auto"/>
              <w:jc w:val="both"/>
              <w:rPr>
                <w:sz w:val="20"/>
                <w:szCs w:val="20"/>
              </w:rPr>
            </w:pPr>
            <w:r w:rsidRPr="00FD50B6">
              <w:rPr>
                <w:sz w:val="20"/>
                <w:szCs w:val="20"/>
              </w:rPr>
              <w:t xml:space="preserve">Elizabeth A. Thomson and Ami </w:t>
            </w:r>
            <w:proofErr w:type="spellStart"/>
            <w:r w:rsidRPr="00FD50B6">
              <w:rPr>
                <w:sz w:val="20"/>
                <w:szCs w:val="20"/>
              </w:rPr>
              <w:t>Kotler</w:t>
            </w:r>
            <w:proofErr w:type="spellEnd"/>
            <w:r w:rsidRPr="00FD50B6">
              <w:rPr>
                <w:sz w:val="20"/>
                <w:szCs w:val="20"/>
              </w:rPr>
              <w:t xml:space="preserve"> for the appellant</w:t>
            </w:r>
            <w:r>
              <w:rPr>
                <w:sz w:val="20"/>
                <w:szCs w:val="20"/>
              </w:rPr>
              <w:t>.</w:t>
            </w:r>
          </w:p>
          <w:p w:rsidR="00FD50B6" w:rsidRPr="00FD50B6" w:rsidRDefault="00FD50B6" w:rsidP="00FD50B6">
            <w:pPr>
              <w:spacing w:line="211" w:lineRule="auto"/>
              <w:jc w:val="both"/>
              <w:rPr>
                <w:sz w:val="20"/>
                <w:szCs w:val="20"/>
              </w:rPr>
            </w:pPr>
          </w:p>
          <w:p w:rsidR="00FD50B6" w:rsidRPr="00FD50B6" w:rsidRDefault="00FD50B6" w:rsidP="00FD50B6">
            <w:pPr>
              <w:spacing w:line="211" w:lineRule="auto"/>
              <w:jc w:val="both"/>
              <w:rPr>
                <w:sz w:val="20"/>
                <w:szCs w:val="20"/>
              </w:rPr>
            </w:pPr>
            <w:r w:rsidRPr="00FD50B6">
              <w:rPr>
                <w:sz w:val="20"/>
                <w:szCs w:val="20"/>
              </w:rPr>
              <w:t>James D. Sutton and Carole Sheppard for the intervener Director of Public Prosecutions of Canada</w:t>
            </w:r>
            <w:r>
              <w:rPr>
                <w:sz w:val="20"/>
                <w:szCs w:val="20"/>
              </w:rPr>
              <w:t>.</w:t>
            </w:r>
          </w:p>
          <w:p w:rsidR="00FD50B6" w:rsidRPr="00FD50B6" w:rsidRDefault="00FD50B6" w:rsidP="00FD50B6">
            <w:pPr>
              <w:spacing w:line="211" w:lineRule="auto"/>
              <w:jc w:val="both"/>
              <w:rPr>
                <w:sz w:val="20"/>
                <w:szCs w:val="20"/>
              </w:rPr>
            </w:pPr>
          </w:p>
          <w:p w:rsidR="00FD50B6" w:rsidRPr="00FD50B6" w:rsidRDefault="00FD50B6" w:rsidP="00FD50B6">
            <w:pPr>
              <w:spacing w:line="211" w:lineRule="auto"/>
              <w:jc w:val="both"/>
              <w:rPr>
                <w:sz w:val="20"/>
                <w:szCs w:val="20"/>
              </w:rPr>
            </w:pPr>
            <w:r w:rsidRPr="00FD50B6">
              <w:rPr>
                <w:sz w:val="20"/>
                <w:szCs w:val="20"/>
              </w:rPr>
              <w:t>Joan Barrett for the intervener Attorney General of Ontario</w:t>
            </w:r>
            <w:r>
              <w:rPr>
                <w:sz w:val="20"/>
                <w:szCs w:val="20"/>
              </w:rPr>
              <w:t>.</w:t>
            </w:r>
          </w:p>
          <w:p w:rsidR="00FD50B6" w:rsidRPr="00FD50B6" w:rsidRDefault="00FD50B6" w:rsidP="00FD50B6">
            <w:pPr>
              <w:spacing w:line="211" w:lineRule="auto"/>
              <w:jc w:val="both"/>
              <w:rPr>
                <w:sz w:val="20"/>
                <w:szCs w:val="20"/>
              </w:rPr>
            </w:pPr>
          </w:p>
          <w:p w:rsidR="00FD50B6" w:rsidRPr="005738ED" w:rsidRDefault="00FD50B6" w:rsidP="00614AAA">
            <w:pPr>
              <w:spacing w:line="211" w:lineRule="auto"/>
              <w:jc w:val="both"/>
              <w:rPr>
                <w:sz w:val="20"/>
                <w:szCs w:val="20"/>
              </w:rPr>
            </w:pPr>
            <w:r w:rsidRPr="00FD50B6">
              <w:rPr>
                <w:sz w:val="20"/>
                <w:szCs w:val="20"/>
              </w:rPr>
              <w:t xml:space="preserve">Evan </w:t>
            </w:r>
            <w:proofErr w:type="spellStart"/>
            <w:r w:rsidRPr="00FD50B6">
              <w:rPr>
                <w:sz w:val="20"/>
                <w:szCs w:val="20"/>
              </w:rPr>
              <w:t>Roitenberg</w:t>
            </w:r>
            <w:proofErr w:type="spellEnd"/>
            <w:r w:rsidRPr="00FD50B6">
              <w:rPr>
                <w:sz w:val="20"/>
                <w:szCs w:val="20"/>
              </w:rPr>
              <w:t xml:space="preserve"> and Richard J. </w:t>
            </w:r>
            <w:proofErr w:type="spellStart"/>
            <w:r w:rsidRPr="00FD50B6">
              <w:rPr>
                <w:sz w:val="20"/>
                <w:szCs w:val="20"/>
              </w:rPr>
              <w:t>Woldon</w:t>
            </w:r>
            <w:proofErr w:type="spellEnd"/>
            <w:r w:rsidRPr="00FD50B6">
              <w:rPr>
                <w:sz w:val="20"/>
                <w:szCs w:val="20"/>
              </w:rPr>
              <w:t>, Q.C. for the respondent</w:t>
            </w:r>
            <w:r>
              <w:rPr>
                <w:sz w:val="20"/>
                <w:szCs w:val="20"/>
              </w:rPr>
              <w:t>.</w:t>
            </w:r>
          </w:p>
        </w:tc>
      </w:tr>
    </w:tbl>
    <w:p w:rsidR="00FD50B6" w:rsidRDefault="00FD50B6" w:rsidP="00732DB7">
      <w:pPr>
        <w:widowControl w:val="0"/>
        <w:rPr>
          <w:sz w:val="20"/>
          <w:szCs w:val="20"/>
        </w:rPr>
      </w:pPr>
    </w:p>
    <w:p w:rsidR="00614AAA" w:rsidRPr="0085476B" w:rsidRDefault="00614AAA" w:rsidP="00614AAA">
      <w:pPr>
        <w:widowControl w:val="0"/>
        <w:rPr>
          <w:sz w:val="20"/>
          <w:szCs w:val="20"/>
        </w:rPr>
      </w:pPr>
      <w:r w:rsidRPr="0085476B">
        <w:rPr>
          <w:b/>
          <w:sz w:val="20"/>
          <w:szCs w:val="20"/>
        </w:rPr>
        <w:t xml:space="preserve">RESERVED / </w:t>
      </w:r>
      <w:r w:rsidRPr="0085476B">
        <w:rPr>
          <w:b/>
          <w:sz w:val="20"/>
          <w:szCs w:val="20"/>
          <w:lang w:val="fr-CA"/>
        </w:rPr>
        <w:t>EN DÉLIBÉRÉ</w:t>
      </w:r>
    </w:p>
    <w:p w:rsidR="00614AAA" w:rsidRDefault="00614AAA"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14AAA" w:rsidRPr="00075333" w:rsidTr="00F768E2">
        <w:tc>
          <w:tcPr>
            <w:tcW w:w="4380" w:type="dxa"/>
            <w:tcMar>
              <w:left w:w="0" w:type="dxa"/>
              <w:right w:w="0" w:type="dxa"/>
            </w:tcMar>
          </w:tcPr>
          <w:p w:rsidR="00614AAA" w:rsidRPr="00CC4D84" w:rsidRDefault="00614AAA" w:rsidP="00F768E2">
            <w:pPr>
              <w:widowControl w:val="0"/>
              <w:jc w:val="both"/>
              <w:rPr>
                <w:b/>
                <w:sz w:val="20"/>
                <w:szCs w:val="20"/>
                <w:u w:val="single"/>
              </w:rPr>
            </w:pPr>
            <w:r w:rsidRPr="00CC4D84">
              <w:rPr>
                <w:b/>
                <w:sz w:val="20"/>
                <w:szCs w:val="20"/>
                <w:u w:val="single"/>
              </w:rPr>
              <w:t>Nature of the case:</w:t>
            </w:r>
          </w:p>
          <w:p w:rsidR="00614AAA" w:rsidRPr="00C1697B" w:rsidRDefault="00614AAA" w:rsidP="00F768E2">
            <w:pPr>
              <w:widowControl w:val="0"/>
              <w:jc w:val="both"/>
              <w:rPr>
                <w:b/>
                <w:sz w:val="20"/>
                <w:szCs w:val="20"/>
              </w:rPr>
            </w:pPr>
          </w:p>
          <w:p w:rsidR="00F768E2" w:rsidRPr="00F768E2" w:rsidRDefault="00F768E2" w:rsidP="00F768E2">
            <w:pPr>
              <w:widowControl w:val="0"/>
              <w:jc w:val="both"/>
              <w:rPr>
                <w:rFonts w:eastAsia="Calibri" w:cs="Times New Roman"/>
                <w:sz w:val="20"/>
                <w:szCs w:val="20"/>
              </w:rPr>
            </w:pPr>
            <w:r w:rsidRPr="00F768E2">
              <w:rPr>
                <w:rFonts w:eastAsia="Calibri" w:cs="Times New Roman"/>
                <w:smallCaps/>
                <w:sz w:val="20"/>
                <w:szCs w:val="20"/>
              </w:rPr>
              <w:t>(Publication ban in case)</w:t>
            </w:r>
          </w:p>
          <w:p w:rsidR="00F768E2" w:rsidRDefault="00F768E2" w:rsidP="00F768E2">
            <w:pPr>
              <w:widowControl w:val="0"/>
              <w:jc w:val="both"/>
              <w:rPr>
                <w:rFonts w:eastAsia="Calibri" w:cs="Times New Roman"/>
                <w:sz w:val="20"/>
                <w:szCs w:val="20"/>
              </w:rPr>
            </w:pPr>
          </w:p>
          <w:p w:rsidR="006A6A9C" w:rsidRPr="00F768E2" w:rsidRDefault="006A6A9C" w:rsidP="00F768E2">
            <w:pPr>
              <w:widowControl w:val="0"/>
              <w:jc w:val="both"/>
              <w:rPr>
                <w:rFonts w:eastAsia="Calibri" w:cs="Times New Roman"/>
                <w:sz w:val="20"/>
                <w:szCs w:val="20"/>
              </w:rPr>
            </w:pPr>
          </w:p>
          <w:p w:rsidR="00614AAA" w:rsidRPr="00C1697B" w:rsidRDefault="00F768E2" w:rsidP="00F768E2">
            <w:pPr>
              <w:jc w:val="both"/>
              <w:rPr>
                <w:b/>
                <w:sz w:val="20"/>
                <w:szCs w:val="20"/>
              </w:rPr>
            </w:pPr>
            <w:r w:rsidRPr="00F768E2">
              <w:rPr>
                <w:rFonts w:eastAsia="Calibri" w:cs="Times New Roman"/>
                <w:sz w:val="20"/>
                <w:szCs w:val="20"/>
              </w:rPr>
              <w:t>Criminal Law - Appeals - Power of appellate court - Unreasonable verdict - Whether Court of Appeal applied the correct test for an unreasonable verdict pursuant to s. 686(1)(a)(</w:t>
            </w:r>
            <w:proofErr w:type="spellStart"/>
            <w:r w:rsidRPr="00F768E2">
              <w:rPr>
                <w:rFonts w:eastAsia="Calibri" w:cs="Times New Roman"/>
                <w:sz w:val="20"/>
                <w:szCs w:val="20"/>
              </w:rPr>
              <w:t>i</w:t>
            </w:r>
            <w:proofErr w:type="spellEnd"/>
            <w:r w:rsidRPr="00F768E2">
              <w:rPr>
                <w:rFonts w:eastAsia="Calibri" w:cs="Times New Roman"/>
                <w:sz w:val="20"/>
                <w:szCs w:val="20"/>
              </w:rPr>
              <w:t xml:space="preserve">) of the </w:t>
            </w:r>
            <w:r w:rsidRPr="00F768E2">
              <w:rPr>
                <w:rFonts w:eastAsia="Calibri" w:cs="Times New Roman"/>
                <w:i/>
                <w:sz w:val="20"/>
                <w:szCs w:val="20"/>
              </w:rPr>
              <w:t>Criminal Code</w:t>
            </w:r>
            <w:r w:rsidRPr="00F768E2">
              <w:rPr>
                <w:rFonts w:eastAsia="Calibri" w:cs="Times New Roman"/>
                <w:sz w:val="20"/>
                <w:szCs w:val="20"/>
              </w:rPr>
              <w:t>, R.S.C. 1985, c. C-46.</w:t>
            </w:r>
            <w:r w:rsidR="006D705A" w:rsidRPr="00855A10">
              <w:rPr>
                <w:sz w:val="20"/>
                <w:szCs w:val="20"/>
              </w:rPr>
              <w:fldChar w:fldCharType="begin"/>
            </w:r>
            <w:r w:rsidR="00614AAA" w:rsidRPr="00855A10">
              <w:rPr>
                <w:sz w:val="20"/>
                <w:szCs w:val="20"/>
              </w:rPr>
              <w:instrText xml:space="preserve"> SEQ CHAPTER \h \r 1</w:instrText>
            </w:r>
            <w:r w:rsidR="006D705A" w:rsidRPr="00855A10">
              <w:rPr>
                <w:sz w:val="20"/>
                <w:szCs w:val="20"/>
              </w:rPr>
              <w:fldChar w:fldCharType="end"/>
            </w:r>
            <w:r w:rsidR="006D705A" w:rsidRPr="005738ED">
              <w:rPr>
                <w:sz w:val="20"/>
                <w:szCs w:val="20"/>
              </w:rPr>
              <w:fldChar w:fldCharType="begin"/>
            </w:r>
            <w:r w:rsidR="00614AAA" w:rsidRPr="005738ED">
              <w:rPr>
                <w:sz w:val="20"/>
                <w:szCs w:val="20"/>
              </w:rPr>
              <w:instrText xml:space="preserve"> SEQ CHAPTER \h \r 1</w:instrText>
            </w:r>
            <w:r w:rsidR="006D705A" w:rsidRPr="005738ED">
              <w:rPr>
                <w:sz w:val="20"/>
                <w:szCs w:val="20"/>
              </w:rPr>
              <w:fldChar w:fldCharType="end"/>
            </w:r>
          </w:p>
        </w:tc>
        <w:tc>
          <w:tcPr>
            <w:tcW w:w="720" w:type="dxa"/>
            <w:tcMar>
              <w:left w:w="0" w:type="dxa"/>
              <w:right w:w="0" w:type="dxa"/>
            </w:tcMar>
          </w:tcPr>
          <w:p w:rsidR="00614AAA" w:rsidRPr="00C1697B" w:rsidRDefault="00614AAA" w:rsidP="00F768E2">
            <w:pPr>
              <w:widowControl w:val="0"/>
              <w:jc w:val="center"/>
              <w:rPr>
                <w:sz w:val="20"/>
                <w:szCs w:val="20"/>
              </w:rPr>
            </w:pPr>
          </w:p>
        </w:tc>
        <w:tc>
          <w:tcPr>
            <w:tcW w:w="4380" w:type="dxa"/>
            <w:tcMar>
              <w:left w:w="0" w:type="dxa"/>
              <w:right w:w="0" w:type="dxa"/>
            </w:tcMar>
          </w:tcPr>
          <w:p w:rsidR="00614AAA" w:rsidRPr="00CC4D84" w:rsidRDefault="00614AAA" w:rsidP="00F768E2">
            <w:pPr>
              <w:widowControl w:val="0"/>
              <w:jc w:val="both"/>
              <w:rPr>
                <w:b/>
                <w:sz w:val="20"/>
                <w:szCs w:val="20"/>
                <w:u w:val="single"/>
                <w:lang w:val="fr-CA"/>
              </w:rPr>
            </w:pPr>
            <w:r w:rsidRPr="00CC4D84">
              <w:rPr>
                <w:b/>
                <w:sz w:val="20"/>
                <w:szCs w:val="20"/>
                <w:u w:val="single"/>
                <w:lang w:val="fr-CA"/>
              </w:rPr>
              <w:t>Nature de la cause :</w:t>
            </w:r>
          </w:p>
          <w:p w:rsidR="00614AAA" w:rsidRPr="00C1697B" w:rsidRDefault="00614AAA" w:rsidP="00F768E2">
            <w:pPr>
              <w:widowControl w:val="0"/>
              <w:jc w:val="both"/>
              <w:rPr>
                <w:sz w:val="20"/>
                <w:szCs w:val="20"/>
                <w:lang w:val="fr-CA"/>
              </w:rPr>
            </w:pPr>
          </w:p>
          <w:p w:rsidR="006A6A9C" w:rsidRPr="006A6A9C" w:rsidRDefault="006A6A9C" w:rsidP="006A6A9C">
            <w:pPr>
              <w:widowControl w:val="0"/>
              <w:jc w:val="both"/>
              <w:rPr>
                <w:rFonts w:eastAsia="Calibri" w:cs="Times New Roman"/>
                <w:sz w:val="20"/>
                <w:szCs w:val="20"/>
                <w:lang w:val="fr-CA"/>
              </w:rPr>
            </w:pPr>
            <w:r w:rsidRPr="006A6A9C">
              <w:rPr>
                <w:rFonts w:eastAsia="Calibri" w:cs="Times New Roman"/>
                <w:smallCaps/>
                <w:sz w:val="20"/>
                <w:szCs w:val="20"/>
                <w:lang w:val="fr-CA"/>
              </w:rPr>
              <w:t>(O</w:t>
            </w:r>
            <w:r>
              <w:rPr>
                <w:smallCaps/>
                <w:sz w:val="20"/>
                <w:szCs w:val="20"/>
                <w:lang w:val="fr-CA"/>
              </w:rPr>
              <w:t>rdonnance de non-publication dans le dossier</w:t>
            </w:r>
            <w:r w:rsidRPr="006A6A9C">
              <w:rPr>
                <w:rFonts w:eastAsia="Calibri" w:cs="Times New Roman"/>
                <w:smallCaps/>
                <w:sz w:val="20"/>
                <w:szCs w:val="20"/>
                <w:lang w:val="fr-CA"/>
              </w:rPr>
              <w:t>)</w:t>
            </w:r>
          </w:p>
          <w:p w:rsidR="006A6A9C" w:rsidRPr="006A6A9C" w:rsidRDefault="006A6A9C" w:rsidP="006A6A9C">
            <w:pPr>
              <w:widowControl w:val="0"/>
              <w:jc w:val="both"/>
              <w:rPr>
                <w:rFonts w:eastAsia="Calibri" w:cs="Times New Roman"/>
                <w:sz w:val="20"/>
                <w:szCs w:val="20"/>
                <w:lang w:val="fr-CA"/>
              </w:rPr>
            </w:pPr>
          </w:p>
          <w:p w:rsidR="00614AAA" w:rsidRPr="00855A10" w:rsidRDefault="006A6A9C" w:rsidP="008D7323">
            <w:pPr>
              <w:widowControl w:val="0"/>
              <w:jc w:val="both"/>
              <w:rPr>
                <w:sz w:val="20"/>
                <w:szCs w:val="20"/>
                <w:lang w:val="fr-CA"/>
              </w:rPr>
            </w:pPr>
            <w:r w:rsidRPr="006A6A9C">
              <w:rPr>
                <w:rFonts w:eastAsia="Calibri" w:cs="Times New Roman"/>
                <w:sz w:val="20"/>
                <w:szCs w:val="20"/>
                <w:lang w:val="fr-CA"/>
              </w:rPr>
              <w:t xml:space="preserve">Droit criminel - Appels - Pouvoir de la cour d’appel - Verdict déraisonnable - La Cour d’appel a-t-elle appliqué le bon critère à l’égard d’un verdict déraisonnable en vertu du sous-al. 686(1) a)(i) du </w:t>
            </w:r>
            <w:r w:rsidRPr="006A6A9C">
              <w:rPr>
                <w:rFonts w:eastAsia="Calibri" w:cs="Times New Roman"/>
                <w:i/>
                <w:sz w:val="20"/>
                <w:szCs w:val="20"/>
                <w:lang w:val="fr-CA"/>
              </w:rPr>
              <w:t>Code criminel</w:t>
            </w:r>
            <w:r w:rsidRPr="006A6A9C">
              <w:rPr>
                <w:rFonts w:eastAsia="Calibri" w:cs="Times New Roman"/>
                <w:sz w:val="20"/>
                <w:szCs w:val="20"/>
                <w:lang w:val="fr-CA"/>
              </w:rPr>
              <w:t>, L.R.C. 1985, ch. C-46?</w:t>
            </w:r>
          </w:p>
        </w:tc>
      </w:tr>
    </w:tbl>
    <w:p w:rsidR="00614AAA" w:rsidRDefault="00614AAA" w:rsidP="00732DB7">
      <w:pPr>
        <w:widowControl w:val="0"/>
        <w:rPr>
          <w:sz w:val="20"/>
          <w:szCs w:val="20"/>
          <w:lang w:val="fr-CA"/>
        </w:rPr>
      </w:pPr>
    </w:p>
    <w:p w:rsidR="008D7323" w:rsidRDefault="006D705A" w:rsidP="00732DB7">
      <w:pPr>
        <w:widowControl w:val="0"/>
        <w:rPr>
          <w:sz w:val="20"/>
          <w:szCs w:val="20"/>
          <w:lang w:val="fr-CA"/>
        </w:rPr>
      </w:pPr>
      <w:r w:rsidRPr="006D705A">
        <w:rPr>
          <w:sz w:val="20"/>
          <w:szCs w:val="20"/>
          <w:lang w:val="fr-CA"/>
        </w:rPr>
        <w:pict>
          <v:rect id="_x0000_i1059" style="width:2in;height:1pt" o:hrpct="0" o:hralign="center" o:hrstd="t" o:hrnoshade="t" o:hr="t" fillcolor="black [3213]" stroked="f"/>
        </w:pict>
      </w:r>
    </w:p>
    <w:p w:rsidR="00CD46D1" w:rsidRDefault="00CD46D1">
      <w:pPr>
        <w:rPr>
          <w:sz w:val="20"/>
          <w:szCs w:val="20"/>
          <w:lang w:val="fr-CA"/>
        </w:rPr>
      </w:pPr>
      <w:r>
        <w:rPr>
          <w:sz w:val="20"/>
          <w:szCs w:val="20"/>
          <w:lang w:val="fr-CA"/>
        </w:rPr>
        <w:br w:type="page"/>
      </w:r>
    </w:p>
    <w:p w:rsidR="00C42D69" w:rsidRPr="00544A28" w:rsidRDefault="00C42D69" w:rsidP="00732DB7">
      <w:pPr>
        <w:widowControl w:val="0"/>
        <w:rPr>
          <w:sz w:val="20"/>
          <w:szCs w:val="20"/>
        </w:rPr>
      </w:pPr>
      <w:r w:rsidRPr="00544A28">
        <w:rPr>
          <w:sz w:val="20"/>
          <w:szCs w:val="20"/>
        </w:rPr>
        <w:lastRenderedPageBreak/>
        <w:t>15.12.2010</w:t>
      </w:r>
    </w:p>
    <w:p w:rsidR="00C42D69" w:rsidRPr="00544A28" w:rsidRDefault="00C42D69" w:rsidP="00732DB7">
      <w:pPr>
        <w:widowControl w:val="0"/>
        <w:rPr>
          <w:sz w:val="20"/>
          <w:szCs w:val="20"/>
        </w:rPr>
      </w:pPr>
    </w:p>
    <w:p w:rsidR="00C42D69" w:rsidRPr="004F40C3" w:rsidRDefault="00C42D69" w:rsidP="00C42D69">
      <w:pPr>
        <w:jc w:val="both"/>
        <w:rPr>
          <w:rFonts w:eastAsia="Calibri" w:cs="Times New Roman"/>
          <w:sz w:val="20"/>
          <w:szCs w:val="20"/>
          <w:lang w:val="en-GB"/>
        </w:rPr>
      </w:pPr>
      <w:r w:rsidRPr="004F40C3">
        <w:rPr>
          <w:rFonts w:eastAsia="Calibri" w:cs="Times New Roman"/>
          <w:sz w:val="20"/>
          <w:szCs w:val="20"/>
          <w:lang w:val="en-GB"/>
        </w:rPr>
        <w:t xml:space="preserve">Coram: </w:t>
      </w:r>
      <w:r w:rsidRPr="004F40C3">
        <w:rPr>
          <w:rFonts w:eastAsia="Calibri" w:cs="Times New Roman"/>
          <w:sz w:val="20"/>
          <w:szCs w:val="20"/>
          <w:lang w:val="en-GB"/>
        </w:rPr>
        <w:tab/>
      </w:r>
      <w:proofErr w:type="spellStart"/>
      <w:r w:rsidRPr="004F40C3">
        <w:rPr>
          <w:rFonts w:eastAsia="Calibri" w:cs="Times New Roman"/>
          <w:sz w:val="20"/>
          <w:szCs w:val="20"/>
          <w:u w:val="single"/>
          <w:lang w:val="en-GB"/>
        </w:rPr>
        <w:t>McLachin</w:t>
      </w:r>
      <w:proofErr w:type="spellEnd"/>
      <w:r w:rsidRPr="004F40C3">
        <w:rPr>
          <w:rFonts w:eastAsia="Calibri" w:cs="Times New Roman"/>
          <w:sz w:val="20"/>
          <w:szCs w:val="20"/>
          <w:u w:val="single"/>
          <w:lang w:val="en-GB"/>
        </w:rPr>
        <w:t xml:space="preserve"> C.J. and </w:t>
      </w:r>
      <w:proofErr w:type="spellStart"/>
      <w:r w:rsidRPr="004F40C3">
        <w:rPr>
          <w:rFonts w:eastAsia="Calibri" w:cs="Times New Roman"/>
          <w:sz w:val="20"/>
          <w:szCs w:val="20"/>
          <w:u w:val="single"/>
          <w:lang w:val="en-GB"/>
        </w:rPr>
        <w:t>Binnie</w:t>
      </w:r>
      <w:proofErr w:type="spellEnd"/>
      <w:r w:rsidRPr="004F40C3">
        <w:rPr>
          <w:rFonts w:eastAsia="Calibri" w:cs="Times New Roman"/>
          <w:sz w:val="20"/>
          <w:szCs w:val="20"/>
          <w:u w:val="single"/>
          <w:lang w:val="en-GB"/>
        </w:rPr>
        <w:t xml:space="preserve">, </w:t>
      </w:r>
      <w:proofErr w:type="spellStart"/>
      <w:r w:rsidRPr="004F40C3">
        <w:rPr>
          <w:rFonts w:eastAsia="Calibri" w:cs="Times New Roman"/>
          <w:sz w:val="20"/>
          <w:szCs w:val="20"/>
          <w:u w:val="single"/>
          <w:lang w:val="en-GB"/>
        </w:rPr>
        <w:t>LeBel</w:t>
      </w:r>
      <w:proofErr w:type="spellEnd"/>
      <w:r w:rsidRPr="004F40C3">
        <w:rPr>
          <w:rFonts w:eastAsia="Calibri" w:cs="Times New Roman"/>
          <w:sz w:val="20"/>
          <w:szCs w:val="20"/>
          <w:u w:val="single"/>
          <w:lang w:val="en-GB"/>
        </w:rPr>
        <w:t xml:space="preserve">, </w:t>
      </w:r>
      <w:proofErr w:type="spellStart"/>
      <w:r w:rsidRPr="004F40C3">
        <w:rPr>
          <w:rFonts w:eastAsia="Calibri" w:cs="Times New Roman"/>
          <w:sz w:val="20"/>
          <w:szCs w:val="20"/>
          <w:u w:val="single"/>
          <w:lang w:val="en-GB"/>
        </w:rPr>
        <w:t>Deschamps</w:t>
      </w:r>
      <w:proofErr w:type="spellEnd"/>
      <w:r w:rsidRPr="004F40C3">
        <w:rPr>
          <w:rFonts w:eastAsia="Calibri" w:cs="Times New Roman"/>
          <w:sz w:val="20"/>
          <w:szCs w:val="20"/>
          <w:u w:val="single"/>
          <w:lang w:val="en-GB"/>
        </w:rPr>
        <w:t xml:space="preserve">, Fish, </w:t>
      </w:r>
      <w:proofErr w:type="spellStart"/>
      <w:r w:rsidRPr="004F40C3">
        <w:rPr>
          <w:rFonts w:eastAsia="Calibri" w:cs="Times New Roman"/>
          <w:sz w:val="20"/>
          <w:szCs w:val="20"/>
          <w:u w:val="single"/>
          <w:lang w:val="en-GB"/>
        </w:rPr>
        <w:t>Abella</w:t>
      </w:r>
      <w:proofErr w:type="spellEnd"/>
      <w:r w:rsidRPr="004F40C3">
        <w:rPr>
          <w:rFonts w:eastAsia="Calibri" w:cs="Times New Roman"/>
          <w:sz w:val="20"/>
          <w:szCs w:val="20"/>
          <w:u w:val="single"/>
          <w:lang w:val="en-GB"/>
        </w:rPr>
        <w:t xml:space="preserve">, </w:t>
      </w:r>
      <w:proofErr w:type="spellStart"/>
      <w:r w:rsidRPr="004F40C3">
        <w:rPr>
          <w:rFonts w:eastAsia="Calibri" w:cs="Times New Roman"/>
          <w:sz w:val="20"/>
          <w:szCs w:val="20"/>
          <w:u w:val="single"/>
          <w:lang w:val="en-GB"/>
        </w:rPr>
        <w:t>Charron</w:t>
      </w:r>
      <w:proofErr w:type="spellEnd"/>
      <w:r w:rsidRPr="004F40C3">
        <w:rPr>
          <w:rFonts w:eastAsia="Calibri" w:cs="Times New Roman"/>
          <w:sz w:val="20"/>
          <w:szCs w:val="20"/>
          <w:u w:val="single"/>
          <w:lang w:val="en-GB"/>
        </w:rPr>
        <w:t>, Rothstein and Cromwell JJ.</w:t>
      </w:r>
      <w:r w:rsidRPr="004F40C3">
        <w:rPr>
          <w:rFonts w:eastAsia="Calibri" w:cs="Times New Roman"/>
          <w:sz w:val="20"/>
          <w:szCs w:val="20"/>
          <w:lang w:val="en-GB"/>
        </w:rPr>
        <w:t xml:space="preserve">  </w:t>
      </w:r>
    </w:p>
    <w:p w:rsidR="00C42D69" w:rsidRDefault="00C42D69" w:rsidP="00732DB7">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C42D69" w:rsidRPr="00C50A5C" w:rsidTr="00C42D69">
        <w:tc>
          <w:tcPr>
            <w:tcW w:w="4380" w:type="dxa"/>
            <w:tcMar>
              <w:left w:w="0" w:type="dxa"/>
              <w:right w:w="0" w:type="dxa"/>
            </w:tcMar>
          </w:tcPr>
          <w:p w:rsidR="00C42D69" w:rsidRDefault="00C42D69" w:rsidP="00C42D69">
            <w:pPr>
              <w:widowControl w:val="0"/>
              <w:jc w:val="both"/>
              <w:rPr>
                <w:b/>
                <w:sz w:val="20"/>
                <w:szCs w:val="20"/>
              </w:rPr>
            </w:pPr>
            <w:r w:rsidRPr="004F40C3">
              <w:rPr>
                <w:rStyle w:val="SCCSsocChar"/>
                <w:b/>
                <w:i w:val="0"/>
              </w:rPr>
              <w:t>Olga Maria Nixon</w:t>
            </w:r>
          </w:p>
          <w:p w:rsidR="00C42D69" w:rsidRPr="00C50A5C" w:rsidRDefault="00C42D69" w:rsidP="00C42D69">
            <w:pPr>
              <w:widowControl w:val="0"/>
              <w:jc w:val="both"/>
              <w:rPr>
                <w:b/>
                <w:sz w:val="20"/>
                <w:szCs w:val="20"/>
              </w:rPr>
            </w:pPr>
          </w:p>
          <w:p w:rsidR="00C42D69" w:rsidRPr="00C50A5C" w:rsidRDefault="00C42D69" w:rsidP="00C42D69">
            <w:pPr>
              <w:widowControl w:val="0"/>
              <w:tabs>
                <w:tab w:val="left" w:pos="736"/>
              </w:tabs>
              <w:jc w:val="both"/>
              <w:rPr>
                <w:b/>
                <w:sz w:val="20"/>
                <w:szCs w:val="20"/>
              </w:rPr>
            </w:pPr>
            <w:r w:rsidRPr="00C50A5C">
              <w:rPr>
                <w:b/>
                <w:sz w:val="20"/>
                <w:szCs w:val="20"/>
              </w:rPr>
              <w:tab/>
              <w:t>v. (33</w:t>
            </w:r>
            <w:r>
              <w:rPr>
                <w:b/>
                <w:sz w:val="20"/>
                <w:szCs w:val="20"/>
              </w:rPr>
              <w:t>476</w:t>
            </w:r>
            <w:r w:rsidRPr="00C50A5C">
              <w:rPr>
                <w:b/>
                <w:sz w:val="20"/>
                <w:szCs w:val="20"/>
              </w:rPr>
              <w:t>)</w:t>
            </w:r>
          </w:p>
          <w:p w:rsidR="00C42D69" w:rsidRDefault="00C42D69" w:rsidP="00C42D69">
            <w:pPr>
              <w:widowControl w:val="0"/>
              <w:jc w:val="both"/>
              <w:rPr>
                <w:b/>
                <w:sz w:val="20"/>
                <w:szCs w:val="20"/>
              </w:rPr>
            </w:pPr>
          </w:p>
          <w:p w:rsidR="00C42D69" w:rsidRDefault="00C42D69" w:rsidP="00C42D69">
            <w:pPr>
              <w:widowControl w:val="0"/>
              <w:jc w:val="both"/>
              <w:rPr>
                <w:b/>
                <w:sz w:val="20"/>
                <w:szCs w:val="20"/>
              </w:rPr>
            </w:pPr>
            <w:r w:rsidRPr="004F40C3">
              <w:rPr>
                <w:rStyle w:val="SCCSsocChar"/>
                <w:b/>
                <w:i w:val="0"/>
              </w:rPr>
              <w:t>Her Majesty the Queen</w:t>
            </w:r>
            <w:r w:rsidRPr="004F40C3">
              <w:rPr>
                <w:rFonts w:eastAsia="Calibri" w:cs="Times New Roman"/>
                <w:b/>
                <w:sz w:val="20"/>
                <w:szCs w:val="20"/>
              </w:rPr>
              <w:t xml:space="preserve"> (Alta.) (Criminal)</w:t>
            </w:r>
          </w:p>
          <w:p w:rsidR="00C42D69" w:rsidRPr="00855A10" w:rsidRDefault="00C42D69" w:rsidP="00C42D69">
            <w:pPr>
              <w:widowControl w:val="0"/>
              <w:jc w:val="both"/>
              <w:rPr>
                <w:b/>
                <w:sz w:val="20"/>
                <w:szCs w:val="20"/>
              </w:rPr>
            </w:pPr>
            <w:r w:rsidRPr="004F40C3">
              <w:rPr>
                <w:rFonts w:eastAsia="Calibri" w:cs="Times New Roman"/>
                <w:b/>
                <w:sz w:val="20"/>
                <w:szCs w:val="20"/>
              </w:rPr>
              <w:t>(By Leave)</w:t>
            </w:r>
          </w:p>
        </w:tc>
        <w:tc>
          <w:tcPr>
            <w:tcW w:w="720" w:type="dxa"/>
            <w:tcMar>
              <w:left w:w="0" w:type="dxa"/>
              <w:right w:w="0" w:type="dxa"/>
            </w:tcMar>
          </w:tcPr>
          <w:p w:rsidR="00C42D69" w:rsidRPr="00A56A3E" w:rsidRDefault="00C42D69" w:rsidP="00C42D69">
            <w:pPr>
              <w:widowControl w:val="0"/>
              <w:jc w:val="center"/>
              <w:rPr>
                <w:sz w:val="20"/>
                <w:szCs w:val="20"/>
              </w:rPr>
            </w:pPr>
          </w:p>
        </w:tc>
        <w:tc>
          <w:tcPr>
            <w:tcW w:w="4380" w:type="dxa"/>
            <w:tcMar>
              <w:left w:w="0" w:type="dxa"/>
              <w:right w:w="0" w:type="dxa"/>
            </w:tcMar>
          </w:tcPr>
          <w:p w:rsidR="00CD46D1" w:rsidRPr="00CD46D1" w:rsidRDefault="00CD46D1" w:rsidP="00CD46D1">
            <w:pPr>
              <w:spacing w:line="211" w:lineRule="auto"/>
              <w:jc w:val="both"/>
              <w:rPr>
                <w:sz w:val="20"/>
                <w:szCs w:val="20"/>
              </w:rPr>
            </w:pPr>
            <w:r w:rsidRPr="00CD46D1">
              <w:rPr>
                <w:sz w:val="20"/>
                <w:szCs w:val="20"/>
              </w:rPr>
              <w:t xml:space="preserve">Marvin R. </w:t>
            </w:r>
            <w:proofErr w:type="spellStart"/>
            <w:r w:rsidRPr="00CD46D1">
              <w:rPr>
                <w:sz w:val="20"/>
                <w:szCs w:val="20"/>
              </w:rPr>
              <w:t>Bloos</w:t>
            </w:r>
            <w:proofErr w:type="spellEnd"/>
            <w:r w:rsidRPr="00CD46D1">
              <w:rPr>
                <w:sz w:val="20"/>
                <w:szCs w:val="20"/>
              </w:rPr>
              <w:t>, Q.C. for the appellant.</w:t>
            </w:r>
          </w:p>
          <w:p w:rsidR="00CD46D1" w:rsidRPr="00CD46D1" w:rsidRDefault="00CD46D1" w:rsidP="00CD46D1">
            <w:pPr>
              <w:spacing w:line="211" w:lineRule="auto"/>
              <w:jc w:val="both"/>
              <w:rPr>
                <w:sz w:val="20"/>
                <w:szCs w:val="20"/>
              </w:rPr>
            </w:pPr>
          </w:p>
          <w:p w:rsidR="00CD46D1" w:rsidRPr="00CD46D1" w:rsidRDefault="00CD46D1" w:rsidP="00CD46D1">
            <w:pPr>
              <w:spacing w:line="211" w:lineRule="auto"/>
              <w:jc w:val="both"/>
              <w:rPr>
                <w:sz w:val="20"/>
                <w:szCs w:val="20"/>
              </w:rPr>
            </w:pPr>
            <w:r w:rsidRPr="00CD46D1">
              <w:rPr>
                <w:sz w:val="20"/>
                <w:szCs w:val="20"/>
              </w:rPr>
              <w:t xml:space="preserve">D’Arcy </w:t>
            </w:r>
            <w:proofErr w:type="spellStart"/>
            <w:r w:rsidRPr="00CD46D1">
              <w:rPr>
                <w:sz w:val="20"/>
                <w:szCs w:val="20"/>
              </w:rPr>
              <w:t>DePoe</w:t>
            </w:r>
            <w:proofErr w:type="spellEnd"/>
            <w:r w:rsidRPr="00CD46D1">
              <w:rPr>
                <w:sz w:val="20"/>
                <w:szCs w:val="20"/>
              </w:rPr>
              <w:t xml:space="preserve"> for the intervener Criminal Trial Lawyers’ Association.</w:t>
            </w:r>
          </w:p>
          <w:p w:rsidR="00CD46D1" w:rsidRPr="00CD46D1" w:rsidRDefault="00CD46D1" w:rsidP="00CD46D1">
            <w:pPr>
              <w:spacing w:line="211" w:lineRule="auto"/>
              <w:jc w:val="both"/>
              <w:rPr>
                <w:sz w:val="20"/>
                <w:szCs w:val="20"/>
              </w:rPr>
            </w:pPr>
          </w:p>
          <w:p w:rsidR="00CD46D1" w:rsidRPr="00CD46D1" w:rsidRDefault="00CD46D1" w:rsidP="00CD46D1">
            <w:pPr>
              <w:spacing w:line="211" w:lineRule="auto"/>
              <w:jc w:val="both"/>
              <w:rPr>
                <w:sz w:val="20"/>
                <w:szCs w:val="20"/>
              </w:rPr>
            </w:pPr>
            <w:r w:rsidRPr="00CD46D1">
              <w:rPr>
                <w:sz w:val="20"/>
                <w:szCs w:val="20"/>
              </w:rPr>
              <w:t xml:space="preserve">Marie </w:t>
            </w:r>
            <w:proofErr w:type="spellStart"/>
            <w:r w:rsidRPr="00CD46D1">
              <w:rPr>
                <w:sz w:val="20"/>
                <w:szCs w:val="20"/>
              </w:rPr>
              <w:t>Henein</w:t>
            </w:r>
            <w:proofErr w:type="spellEnd"/>
            <w:r w:rsidRPr="00CD46D1">
              <w:rPr>
                <w:sz w:val="20"/>
                <w:szCs w:val="20"/>
              </w:rPr>
              <w:t xml:space="preserve">, Matthew </w:t>
            </w:r>
            <w:proofErr w:type="spellStart"/>
            <w:r w:rsidRPr="00CD46D1">
              <w:rPr>
                <w:sz w:val="20"/>
                <w:szCs w:val="20"/>
              </w:rPr>
              <w:t>Gourlay</w:t>
            </w:r>
            <w:proofErr w:type="spellEnd"/>
            <w:r w:rsidRPr="00CD46D1">
              <w:rPr>
                <w:sz w:val="20"/>
                <w:szCs w:val="20"/>
              </w:rPr>
              <w:t xml:space="preserve"> and Lou </w:t>
            </w:r>
            <w:proofErr w:type="spellStart"/>
            <w:r w:rsidRPr="00CD46D1">
              <w:rPr>
                <w:sz w:val="20"/>
                <w:szCs w:val="20"/>
              </w:rPr>
              <w:t>Strezos</w:t>
            </w:r>
            <w:proofErr w:type="spellEnd"/>
            <w:r w:rsidRPr="00CD46D1">
              <w:rPr>
                <w:sz w:val="20"/>
                <w:szCs w:val="20"/>
              </w:rPr>
              <w:t xml:space="preserve"> for the intervener Criminal Lawyers’ Association.</w:t>
            </w:r>
          </w:p>
          <w:p w:rsidR="00CD46D1" w:rsidRPr="00CD46D1" w:rsidRDefault="00CD46D1" w:rsidP="00CD46D1">
            <w:pPr>
              <w:tabs>
                <w:tab w:val="left" w:pos="-1440"/>
                <w:tab w:val="left" w:pos="-720"/>
              </w:tabs>
              <w:spacing w:line="211" w:lineRule="auto"/>
              <w:jc w:val="both"/>
              <w:rPr>
                <w:b/>
                <w:sz w:val="20"/>
                <w:szCs w:val="20"/>
              </w:rPr>
            </w:pPr>
          </w:p>
          <w:p w:rsidR="00CD46D1" w:rsidRPr="00CD46D1" w:rsidRDefault="00CD46D1" w:rsidP="00CD46D1">
            <w:pPr>
              <w:spacing w:line="211" w:lineRule="auto"/>
              <w:jc w:val="both"/>
              <w:rPr>
                <w:sz w:val="20"/>
                <w:szCs w:val="20"/>
              </w:rPr>
            </w:pPr>
            <w:proofErr w:type="spellStart"/>
            <w:r w:rsidRPr="00CD46D1">
              <w:rPr>
                <w:sz w:val="20"/>
                <w:szCs w:val="20"/>
              </w:rPr>
              <w:t>Goran</w:t>
            </w:r>
            <w:proofErr w:type="spellEnd"/>
            <w:r w:rsidRPr="00CD46D1">
              <w:rPr>
                <w:sz w:val="20"/>
                <w:szCs w:val="20"/>
              </w:rPr>
              <w:t xml:space="preserve"> </w:t>
            </w:r>
            <w:proofErr w:type="spellStart"/>
            <w:r w:rsidRPr="00CD46D1">
              <w:rPr>
                <w:sz w:val="20"/>
                <w:szCs w:val="20"/>
              </w:rPr>
              <w:t>Tomljanovic</w:t>
            </w:r>
            <w:proofErr w:type="spellEnd"/>
            <w:r w:rsidRPr="00CD46D1">
              <w:rPr>
                <w:sz w:val="20"/>
                <w:szCs w:val="20"/>
              </w:rPr>
              <w:t xml:space="preserve">, Q.C. and Christine </w:t>
            </w:r>
            <w:proofErr w:type="spellStart"/>
            <w:r w:rsidRPr="00CD46D1">
              <w:rPr>
                <w:sz w:val="20"/>
                <w:szCs w:val="20"/>
              </w:rPr>
              <w:t>Rideout</w:t>
            </w:r>
            <w:proofErr w:type="spellEnd"/>
            <w:r w:rsidRPr="00CD46D1">
              <w:rPr>
                <w:sz w:val="20"/>
                <w:szCs w:val="20"/>
              </w:rPr>
              <w:t xml:space="preserve"> for the respondent.</w:t>
            </w:r>
          </w:p>
          <w:p w:rsidR="00CD46D1" w:rsidRPr="00CD46D1" w:rsidRDefault="00CD46D1" w:rsidP="00CD46D1">
            <w:pPr>
              <w:tabs>
                <w:tab w:val="left" w:pos="-1440"/>
                <w:tab w:val="left" w:pos="-720"/>
              </w:tabs>
              <w:spacing w:line="211" w:lineRule="auto"/>
              <w:jc w:val="both"/>
              <w:rPr>
                <w:sz w:val="20"/>
                <w:szCs w:val="20"/>
              </w:rPr>
            </w:pPr>
          </w:p>
          <w:p w:rsidR="00CD46D1" w:rsidRPr="00CD46D1" w:rsidRDefault="00CD46D1" w:rsidP="00CD46D1">
            <w:pPr>
              <w:spacing w:line="211" w:lineRule="auto"/>
              <w:jc w:val="both"/>
              <w:rPr>
                <w:sz w:val="20"/>
                <w:szCs w:val="20"/>
              </w:rPr>
            </w:pPr>
            <w:r w:rsidRPr="00CD46D1">
              <w:rPr>
                <w:sz w:val="20"/>
                <w:szCs w:val="20"/>
              </w:rPr>
              <w:t>Michal Fairburn and Frank Au for the intervener Attorney General of Ontario.</w:t>
            </w:r>
          </w:p>
          <w:p w:rsidR="00CD46D1" w:rsidRPr="00CD46D1" w:rsidRDefault="00CD46D1" w:rsidP="00CD46D1">
            <w:pPr>
              <w:spacing w:line="211" w:lineRule="auto"/>
              <w:jc w:val="both"/>
              <w:rPr>
                <w:sz w:val="20"/>
                <w:szCs w:val="20"/>
              </w:rPr>
            </w:pPr>
          </w:p>
          <w:p w:rsidR="00CD46D1" w:rsidRPr="00CD46D1" w:rsidRDefault="00CD46D1" w:rsidP="00CD46D1">
            <w:pPr>
              <w:spacing w:line="211" w:lineRule="auto"/>
              <w:jc w:val="both"/>
              <w:rPr>
                <w:sz w:val="20"/>
                <w:szCs w:val="20"/>
              </w:rPr>
            </w:pPr>
            <w:r w:rsidRPr="00CD46D1">
              <w:rPr>
                <w:sz w:val="20"/>
                <w:szCs w:val="20"/>
              </w:rPr>
              <w:t xml:space="preserve">Ami </w:t>
            </w:r>
            <w:proofErr w:type="spellStart"/>
            <w:r w:rsidRPr="00CD46D1">
              <w:rPr>
                <w:sz w:val="20"/>
                <w:szCs w:val="20"/>
              </w:rPr>
              <w:t>Kotler</w:t>
            </w:r>
            <w:proofErr w:type="spellEnd"/>
            <w:r w:rsidRPr="00CD46D1">
              <w:rPr>
                <w:sz w:val="20"/>
                <w:szCs w:val="20"/>
              </w:rPr>
              <w:t xml:space="preserve"> for the intervener Attorney General of Manitoba.</w:t>
            </w:r>
          </w:p>
          <w:p w:rsidR="00CD46D1" w:rsidRPr="00CD46D1" w:rsidRDefault="00CD46D1" w:rsidP="00CD46D1">
            <w:pPr>
              <w:spacing w:line="211" w:lineRule="auto"/>
              <w:jc w:val="both"/>
              <w:rPr>
                <w:b/>
                <w:sz w:val="20"/>
                <w:szCs w:val="20"/>
              </w:rPr>
            </w:pPr>
          </w:p>
          <w:p w:rsidR="00C42D69" w:rsidRPr="005738ED" w:rsidRDefault="00CD46D1" w:rsidP="00CD46D1">
            <w:pPr>
              <w:spacing w:line="211" w:lineRule="auto"/>
              <w:jc w:val="both"/>
              <w:rPr>
                <w:sz w:val="20"/>
                <w:szCs w:val="20"/>
              </w:rPr>
            </w:pPr>
            <w:r w:rsidRPr="00CD46D1">
              <w:rPr>
                <w:sz w:val="20"/>
                <w:szCs w:val="20"/>
              </w:rPr>
              <w:t xml:space="preserve">Joyce DeWitt-Van </w:t>
            </w:r>
            <w:proofErr w:type="spellStart"/>
            <w:r w:rsidRPr="00CD46D1">
              <w:rPr>
                <w:sz w:val="20"/>
                <w:szCs w:val="20"/>
              </w:rPr>
              <w:t>Oosten</w:t>
            </w:r>
            <w:proofErr w:type="spellEnd"/>
            <w:r w:rsidRPr="00CD46D1">
              <w:rPr>
                <w:sz w:val="20"/>
                <w:szCs w:val="20"/>
              </w:rPr>
              <w:t>, Q.C. for the intervener Attorney General of British Columbia.</w:t>
            </w:r>
          </w:p>
        </w:tc>
      </w:tr>
    </w:tbl>
    <w:p w:rsidR="00C42D69" w:rsidRDefault="00C42D69" w:rsidP="00C42D69">
      <w:pPr>
        <w:widowControl w:val="0"/>
        <w:rPr>
          <w:sz w:val="20"/>
          <w:szCs w:val="20"/>
        </w:rPr>
      </w:pPr>
    </w:p>
    <w:p w:rsidR="00C42D69" w:rsidRPr="0085476B" w:rsidRDefault="00C42D69" w:rsidP="00C42D69">
      <w:pPr>
        <w:widowControl w:val="0"/>
        <w:rPr>
          <w:sz w:val="20"/>
          <w:szCs w:val="20"/>
        </w:rPr>
      </w:pPr>
      <w:r w:rsidRPr="0085476B">
        <w:rPr>
          <w:b/>
          <w:sz w:val="20"/>
          <w:szCs w:val="20"/>
        </w:rPr>
        <w:t xml:space="preserve">RESERVED / </w:t>
      </w:r>
      <w:r w:rsidRPr="0085476B">
        <w:rPr>
          <w:b/>
          <w:sz w:val="20"/>
          <w:szCs w:val="20"/>
          <w:lang w:val="fr-CA"/>
        </w:rPr>
        <w:t>EN DÉLIBÉRÉ</w:t>
      </w:r>
    </w:p>
    <w:p w:rsidR="00C42D69" w:rsidRDefault="00C42D69" w:rsidP="00C42D69">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42D69" w:rsidRPr="00075333" w:rsidTr="00C42D69">
        <w:tc>
          <w:tcPr>
            <w:tcW w:w="4380" w:type="dxa"/>
            <w:tcMar>
              <w:left w:w="0" w:type="dxa"/>
              <w:right w:w="0" w:type="dxa"/>
            </w:tcMar>
          </w:tcPr>
          <w:p w:rsidR="00C42D69" w:rsidRPr="00CC4D84" w:rsidRDefault="00C42D69" w:rsidP="00C42D69">
            <w:pPr>
              <w:widowControl w:val="0"/>
              <w:jc w:val="both"/>
              <w:rPr>
                <w:b/>
                <w:sz w:val="20"/>
                <w:szCs w:val="20"/>
                <w:u w:val="single"/>
              </w:rPr>
            </w:pPr>
            <w:r w:rsidRPr="00CC4D84">
              <w:rPr>
                <w:b/>
                <w:sz w:val="20"/>
                <w:szCs w:val="20"/>
                <w:u w:val="single"/>
              </w:rPr>
              <w:t>Nature of the case:</w:t>
            </w:r>
          </w:p>
          <w:p w:rsidR="00C42D69" w:rsidRPr="00C1697B" w:rsidRDefault="00C42D69" w:rsidP="00C42D69">
            <w:pPr>
              <w:widowControl w:val="0"/>
              <w:jc w:val="both"/>
              <w:rPr>
                <w:b/>
                <w:sz w:val="20"/>
                <w:szCs w:val="20"/>
              </w:rPr>
            </w:pPr>
          </w:p>
          <w:p w:rsidR="00CD46D1" w:rsidRPr="00CD46D1" w:rsidRDefault="006D705A" w:rsidP="00CD46D1">
            <w:pPr>
              <w:jc w:val="both"/>
              <w:rPr>
                <w:sz w:val="20"/>
                <w:szCs w:val="20"/>
              </w:rPr>
            </w:pPr>
            <w:r w:rsidRPr="00CD46D1">
              <w:rPr>
                <w:sz w:val="20"/>
                <w:szCs w:val="20"/>
              </w:rPr>
              <w:fldChar w:fldCharType="begin"/>
            </w:r>
            <w:r w:rsidR="00CD46D1" w:rsidRPr="00CD46D1">
              <w:rPr>
                <w:sz w:val="20"/>
                <w:szCs w:val="20"/>
              </w:rPr>
              <w:instrText xml:space="preserve"> SEQ CHAPTER \h \r 1</w:instrText>
            </w:r>
            <w:r w:rsidRPr="00CD46D1">
              <w:rPr>
                <w:sz w:val="20"/>
                <w:szCs w:val="20"/>
              </w:rPr>
              <w:fldChar w:fldCharType="end"/>
            </w:r>
            <w:r w:rsidR="00CD46D1" w:rsidRPr="00CD46D1">
              <w:rPr>
                <w:i/>
                <w:iCs/>
                <w:sz w:val="20"/>
                <w:szCs w:val="20"/>
              </w:rPr>
              <w:t xml:space="preserve">Charter of Rights </w:t>
            </w:r>
            <w:r w:rsidR="00CD46D1" w:rsidRPr="00CD46D1">
              <w:rPr>
                <w:sz w:val="20"/>
                <w:szCs w:val="20"/>
              </w:rPr>
              <w:t xml:space="preserve">- Criminal law - Prosecutorial discretion - Abuse of process - Right to life, liberty and security of person - Plea resolution agreements - Repudiation of plea resolution agreements - Whether the repudiation of a plea resolution agreement constitutes tactics or conduct before the court that falls within the inherent jurisdiction of the court to control - Whether plea resolution agreements are akin to undertakings - Whether there was an abuse of process in this case - Whether the Court of Appeal erred in permitting the Crown to reverse its position on appeal - </w:t>
            </w:r>
            <w:r w:rsidR="00CD46D1" w:rsidRPr="00CD46D1">
              <w:rPr>
                <w:i/>
                <w:sz w:val="20"/>
                <w:szCs w:val="20"/>
              </w:rPr>
              <w:t>Canadian Charter of Rights and Freedoms</w:t>
            </w:r>
            <w:r w:rsidR="00CD46D1" w:rsidRPr="00CD46D1">
              <w:rPr>
                <w:sz w:val="20"/>
                <w:szCs w:val="20"/>
              </w:rPr>
              <w:t>, s. 7.</w:t>
            </w:r>
          </w:p>
          <w:p w:rsidR="00C42D69" w:rsidRPr="00C1697B" w:rsidRDefault="006D705A" w:rsidP="00C42D69">
            <w:pPr>
              <w:jc w:val="both"/>
              <w:rPr>
                <w:b/>
                <w:sz w:val="20"/>
                <w:szCs w:val="20"/>
              </w:rPr>
            </w:pPr>
            <w:r w:rsidRPr="00855A10">
              <w:rPr>
                <w:sz w:val="20"/>
                <w:szCs w:val="20"/>
              </w:rPr>
              <w:fldChar w:fldCharType="begin"/>
            </w:r>
            <w:r w:rsidR="00C42D69" w:rsidRPr="00855A10">
              <w:rPr>
                <w:sz w:val="20"/>
                <w:szCs w:val="20"/>
              </w:rPr>
              <w:instrText xml:space="preserve"> SEQ CHAPTER \h \r 1</w:instrText>
            </w:r>
            <w:r w:rsidRPr="00855A10">
              <w:rPr>
                <w:sz w:val="20"/>
                <w:szCs w:val="20"/>
              </w:rPr>
              <w:fldChar w:fldCharType="end"/>
            </w:r>
            <w:r w:rsidRPr="005738ED">
              <w:rPr>
                <w:sz w:val="20"/>
                <w:szCs w:val="20"/>
              </w:rPr>
              <w:fldChar w:fldCharType="begin"/>
            </w:r>
            <w:r w:rsidR="00C42D69" w:rsidRPr="005738ED">
              <w:rPr>
                <w:sz w:val="20"/>
                <w:szCs w:val="20"/>
              </w:rPr>
              <w:instrText xml:space="preserve"> SEQ CHAPTER \h \r 1</w:instrText>
            </w:r>
            <w:r w:rsidRPr="005738ED">
              <w:rPr>
                <w:sz w:val="20"/>
                <w:szCs w:val="20"/>
              </w:rPr>
              <w:fldChar w:fldCharType="end"/>
            </w:r>
          </w:p>
        </w:tc>
        <w:tc>
          <w:tcPr>
            <w:tcW w:w="720" w:type="dxa"/>
            <w:tcMar>
              <w:left w:w="0" w:type="dxa"/>
              <w:right w:w="0" w:type="dxa"/>
            </w:tcMar>
          </w:tcPr>
          <w:p w:rsidR="00C42D69" w:rsidRPr="00C1697B" w:rsidRDefault="00C42D69" w:rsidP="00C42D69">
            <w:pPr>
              <w:widowControl w:val="0"/>
              <w:jc w:val="center"/>
              <w:rPr>
                <w:sz w:val="20"/>
                <w:szCs w:val="20"/>
              </w:rPr>
            </w:pPr>
          </w:p>
        </w:tc>
        <w:tc>
          <w:tcPr>
            <w:tcW w:w="4380" w:type="dxa"/>
            <w:tcMar>
              <w:left w:w="0" w:type="dxa"/>
              <w:right w:w="0" w:type="dxa"/>
            </w:tcMar>
          </w:tcPr>
          <w:p w:rsidR="00C42D69" w:rsidRPr="00CC4D84" w:rsidRDefault="00C42D69" w:rsidP="00C42D69">
            <w:pPr>
              <w:widowControl w:val="0"/>
              <w:jc w:val="both"/>
              <w:rPr>
                <w:b/>
                <w:sz w:val="20"/>
                <w:szCs w:val="20"/>
                <w:u w:val="single"/>
                <w:lang w:val="fr-CA"/>
              </w:rPr>
            </w:pPr>
            <w:r w:rsidRPr="00CC4D84">
              <w:rPr>
                <w:b/>
                <w:sz w:val="20"/>
                <w:szCs w:val="20"/>
                <w:u w:val="single"/>
                <w:lang w:val="fr-CA"/>
              </w:rPr>
              <w:t>Nature de la cause :</w:t>
            </w:r>
          </w:p>
          <w:p w:rsidR="00C42D69" w:rsidRPr="00C1697B" w:rsidRDefault="00C42D69" w:rsidP="00C42D69">
            <w:pPr>
              <w:widowControl w:val="0"/>
              <w:jc w:val="both"/>
              <w:rPr>
                <w:sz w:val="20"/>
                <w:szCs w:val="20"/>
                <w:lang w:val="fr-CA"/>
              </w:rPr>
            </w:pPr>
          </w:p>
          <w:p w:rsidR="00C42D69" w:rsidRPr="00855A10" w:rsidRDefault="00CD46D1" w:rsidP="00CD46D1">
            <w:pPr>
              <w:widowControl w:val="0"/>
              <w:jc w:val="both"/>
              <w:rPr>
                <w:sz w:val="20"/>
                <w:szCs w:val="20"/>
                <w:lang w:val="fr-CA"/>
              </w:rPr>
            </w:pPr>
            <w:r w:rsidRPr="00CD46D1">
              <w:rPr>
                <w:i/>
                <w:sz w:val="20"/>
                <w:szCs w:val="20"/>
                <w:lang w:val="fr-CA"/>
              </w:rPr>
              <w:t>Charte des droits</w:t>
            </w:r>
            <w:r w:rsidRPr="00CD46D1">
              <w:rPr>
                <w:sz w:val="20"/>
                <w:szCs w:val="20"/>
                <w:lang w:val="fr-CA"/>
              </w:rPr>
              <w:t xml:space="preserve"> - Droit criminel - Pouvoir discrétionnaire en matière de poursuites - Abus de procédure - Droit à la vie, à la liberté et à la sécurité de la personne - Transactions pénales - Répudiation des transactions pénales - La répudiation d’une transaction pénale </w:t>
            </w:r>
            <w:proofErr w:type="spellStart"/>
            <w:r w:rsidRPr="00CD46D1">
              <w:rPr>
                <w:sz w:val="20"/>
                <w:szCs w:val="20"/>
                <w:lang w:val="fr-CA"/>
              </w:rPr>
              <w:t>constitue</w:t>
            </w:r>
            <w:r w:rsidRPr="00CD46D1">
              <w:rPr>
                <w:sz w:val="20"/>
                <w:szCs w:val="20"/>
                <w:lang w:val="fr-CA"/>
              </w:rPr>
              <w:noBreakHyphen/>
              <w:t>t</w:t>
            </w:r>
            <w:r w:rsidRPr="00CD46D1">
              <w:rPr>
                <w:sz w:val="20"/>
                <w:szCs w:val="20"/>
                <w:lang w:val="fr-CA"/>
              </w:rPr>
              <w:noBreakHyphen/>
              <w:t>elle</w:t>
            </w:r>
            <w:proofErr w:type="spellEnd"/>
            <w:r w:rsidRPr="00CD46D1">
              <w:rPr>
                <w:sz w:val="20"/>
                <w:szCs w:val="20"/>
                <w:lang w:val="fr-CA"/>
              </w:rPr>
              <w:t xml:space="preserve"> une stratégie ou une conduite devant le tribunal qui relève de la compétence inhérente de contrôle du tribunal?  Les transactions pénales s’</w:t>
            </w:r>
            <w:proofErr w:type="spellStart"/>
            <w:r w:rsidRPr="00CD46D1">
              <w:rPr>
                <w:sz w:val="20"/>
                <w:szCs w:val="20"/>
                <w:lang w:val="fr-CA"/>
              </w:rPr>
              <w:t>apparentent</w:t>
            </w:r>
            <w:r w:rsidRPr="00CD46D1">
              <w:rPr>
                <w:sz w:val="20"/>
                <w:szCs w:val="20"/>
                <w:lang w:val="fr-CA"/>
              </w:rPr>
              <w:noBreakHyphen/>
              <w:t>elles</w:t>
            </w:r>
            <w:proofErr w:type="spellEnd"/>
            <w:r w:rsidRPr="00CD46D1">
              <w:rPr>
                <w:sz w:val="20"/>
                <w:szCs w:val="20"/>
                <w:lang w:val="fr-CA"/>
              </w:rPr>
              <w:t xml:space="preserve"> aux engagements d’un avocat? - Y </w:t>
            </w:r>
            <w:proofErr w:type="spellStart"/>
            <w:r w:rsidRPr="00CD46D1">
              <w:rPr>
                <w:sz w:val="20"/>
                <w:szCs w:val="20"/>
                <w:lang w:val="fr-CA"/>
              </w:rPr>
              <w:t>a</w:t>
            </w:r>
            <w:r w:rsidRPr="00CD46D1">
              <w:rPr>
                <w:sz w:val="20"/>
                <w:szCs w:val="20"/>
                <w:lang w:val="fr-CA"/>
              </w:rPr>
              <w:noBreakHyphen/>
              <w:t>t</w:t>
            </w:r>
            <w:r w:rsidRPr="00CD46D1">
              <w:rPr>
                <w:sz w:val="20"/>
                <w:szCs w:val="20"/>
                <w:lang w:val="fr-CA"/>
              </w:rPr>
              <w:noBreakHyphen/>
              <w:t>il</w:t>
            </w:r>
            <w:proofErr w:type="spellEnd"/>
            <w:r w:rsidRPr="00CD46D1">
              <w:rPr>
                <w:sz w:val="20"/>
                <w:szCs w:val="20"/>
                <w:lang w:val="fr-CA"/>
              </w:rPr>
              <w:t xml:space="preserve"> eu abus de procédure en l’espèce? - La Cour d’appel </w:t>
            </w:r>
            <w:proofErr w:type="spellStart"/>
            <w:r w:rsidRPr="00CD46D1">
              <w:rPr>
                <w:sz w:val="20"/>
                <w:szCs w:val="20"/>
                <w:lang w:val="fr-CA"/>
              </w:rPr>
              <w:t>a</w:t>
            </w:r>
            <w:r w:rsidRPr="00CD46D1">
              <w:rPr>
                <w:sz w:val="20"/>
                <w:szCs w:val="20"/>
                <w:lang w:val="fr-CA"/>
              </w:rPr>
              <w:noBreakHyphen/>
              <w:t>t</w:t>
            </w:r>
            <w:r w:rsidRPr="00CD46D1">
              <w:rPr>
                <w:sz w:val="20"/>
                <w:szCs w:val="20"/>
                <w:lang w:val="fr-CA"/>
              </w:rPr>
              <w:noBreakHyphen/>
              <w:t>elle</w:t>
            </w:r>
            <w:proofErr w:type="spellEnd"/>
            <w:r w:rsidRPr="00CD46D1">
              <w:rPr>
                <w:sz w:val="20"/>
                <w:szCs w:val="20"/>
                <w:lang w:val="fr-CA"/>
              </w:rPr>
              <w:t xml:space="preserve"> eu tort de permettre au ministère public de revenir sur sa position en appel? - </w:t>
            </w:r>
            <w:r w:rsidRPr="00CD46D1">
              <w:rPr>
                <w:i/>
                <w:sz w:val="20"/>
                <w:szCs w:val="20"/>
                <w:lang w:val="fr-CA"/>
              </w:rPr>
              <w:t>Charte canadienne des droits et libertés</w:t>
            </w:r>
            <w:r w:rsidRPr="00CD46D1">
              <w:rPr>
                <w:sz w:val="20"/>
                <w:szCs w:val="20"/>
                <w:lang w:val="fr-CA"/>
              </w:rPr>
              <w:t>, art. 7.</w:t>
            </w:r>
          </w:p>
        </w:tc>
      </w:tr>
    </w:tbl>
    <w:p w:rsidR="00C42D69" w:rsidRDefault="00C42D69" w:rsidP="00C42D69">
      <w:pPr>
        <w:widowControl w:val="0"/>
        <w:rPr>
          <w:sz w:val="20"/>
          <w:szCs w:val="20"/>
          <w:lang w:val="fr-CA"/>
        </w:rPr>
      </w:pPr>
    </w:p>
    <w:p w:rsidR="00C42D69" w:rsidRDefault="006D705A" w:rsidP="00C42D69">
      <w:pPr>
        <w:widowControl w:val="0"/>
        <w:rPr>
          <w:sz w:val="20"/>
          <w:szCs w:val="20"/>
          <w:lang w:val="fr-CA"/>
        </w:rPr>
      </w:pPr>
      <w:r w:rsidRPr="006D705A">
        <w:rPr>
          <w:sz w:val="20"/>
          <w:szCs w:val="20"/>
          <w:lang w:val="fr-CA"/>
        </w:rPr>
        <w:pict>
          <v:rect id="_x0000_i1060" style="width:2in;height:1pt" o:hrpct="0" o:hralign="center" o:hrstd="t" o:hrnoshade="t" o:hr="t" fillcolor="black [3213]" stroked="f"/>
        </w:pict>
      </w:r>
    </w:p>
    <w:p w:rsidR="00DE0F38" w:rsidRDefault="00DE0F38">
      <w:pPr>
        <w:rPr>
          <w:sz w:val="20"/>
          <w:szCs w:val="20"/>
          <w:lang w:val="en-GB"/>
        </w:rPr>
      </w:pPr>
      <w:r>
        <w:rPr>
          <w:sz w:val="20"/>
          <w:szCs w:val="20"/>
          <w:lang w:val="en-GB"/>
        </w:rPr>
        <w:br w:type="page"/>
      </w:r>
    </w:p>
    <w:p w:rsidR="00CD46D1" w:rsidRDefault="00CD46D1" w:rsidP="00732DB7">
      <w:pPr>
        <w:widowControl w:val="0"/>
        <w:rPr>
          <w:sz w:val="20"/>
          <w:szCs w:val="20"/>
          <w:lang w:val="en-GB"/>
        </w:rPr>
      </w:pPr>
      <w:r>
        <w:rPr>
          <w:sz w:val="20"/>
          <w:szCs w:val="20"/>
          <w:lang w:val="en-GB"/>
        </w:rPr>
        <w:lastRenderedPageBreak/>
        <w:t>16.12.2010</w:t>
      </w:r>
    </w:p>
    <w:p w:rsidR="00CD46D1" w:rsidRDefault="00CD46D1" w:rsidP="00732DB7">
      <w:pPr>
        <w:widowControl w:val="0"/>
        <w:rPr>
          <w:sz w:val="20"/>
          <w:szCs w:val="20"/>
          <w:lang w:val="en-GB"/>
        </w:rPr>
      </w:pPr>
    </w:p>
    <w:p w:rsidR="00DF5BA7" w:rsidRPr="00DF5BA7" w:rsidRDefault="00DF5BA7" w:rsidP="00DF5BA7">
      <w:pPr>
        <w:jc w:val="both"/>
        <w:rPr>
          <w:rFonts w:eastAsia="Calibri" w:cs="Times New Roman"/>
          <w:sz w:val="20"/>
          <w:szCs w:val="20"/>
          <w:lang w:val="en-GB"/>
        </w:rPr>
      </w:pPr>
      <w:r w:rsidRPr="00DF5BA7">
        <w:rPr>
          <w:rFonts w:eastAsia="Calibri" w:cs="Times New Roman"/>
          <w:sz w:val="20"/>
          <w:szCs w:val="20"/>
          <w:lang w:val="en-GB"/>
        </w:rPr>
        <w:t xml:space="preserve">Coram: </w:t>
      </w:r>
      <w:r w:rsidRPr="00DF5BA7">
        <w:rPr>
          <w:rFonts w:eastAsia="Calibri" w:cs="Times New Roman"/>
          <w:sz w:val="20"/>
          <w:szCs w:val="20"/>
          <w:lang w:val="en-GB"/>
        </w:rPr>
        <w:tab/>
      </w:r>
      <w:proofErr w:type="spellStart"/>
      <w:r w:rsidRPr="00DF5BA7">
        <w:rPr>
          <w:rFonts w:eastAsia="Calibri" w:cs="Times New Roman"/>
          <w:sz w:val="20"/>
          <w:szCs w:val="20"/>
          <w:u w:val="single"/>
          <w:lang w:val="en-GB"/>
        </w:rPr>
        <w:t>McLachlin</w:t>
      </w:r>
      <w:proofErr w:type="spellEnd"/>
      <w:r w:rsidRPr="00DF5BA7">
        <w:rPr>
          <w:rFonts w:eastAsia="Calibri" w:cs="Times New Roman"/>
          <w:sz w:val="20"/>
          <w:szCs w:val="20"/>
          <w:u w:val="single"/>
          <w:lang w:val="en-GB"/>
        </w:rPr>
        <w:t xml:space="preserve"> C.J. and </w:t>
      </w:r>
      <w:proofErr w:type="spellStart"/>
      <w:r w:rsidRPr="00DF5BA7">
        <w:rPr>
          <w:rFonts w:eastAsia="Calibri" w:cs="Times New Roman"/>
          <w:sz w:val="20"/>
          <w:szCs w:val="20"/>
          <w:u w:val="single"/>
          <w:lang w:val="en-GB"/>
        </w:rPr>
        <w:t>Binnie</w:t>
      </w:r>
      <w:proofErr w:type="spellEnd"/>
      <w:r w:rsidRPr="00DF5BA7">
        <w:rPr>
          <w:rFonts w:eastAsia="Calibri" w:cs="Times New Roman"/>
          <w:sz w:val="20"/>
          <w:szCs w:val="20"/>
          <w:u w:val="single"/>
          <w:lang w:val="en-GB"/>
        </w:rPr>
        <w:t xml:space="preserve">, </w:t>
      </w:r>
      <w:proofErr w:type="spellStart"/>
      <w:r w:rsidRPr="00DF5BA7">
        <w:rPr>
          <w:rFonts w:eastAsia="Calibri" w:cs="Times New Roman"/>
          <w:sz w:val="20"/>
          <w:szCs w:val="20"/>
          <w:u w:val="single"/>
          <w:lang w:val="en-GB"/>
        </w:rPr>
        <w:t>LeBel</w:t>
      </w:r>
      <w:proofErr w:type="spellEnd"/>
      <w:r w:rsidRPr="00DF5BA7">
        <w:rPr>
          <w:rFonts w:eastAsia="Calibri" w:cs="Times New Roman"/>
          <w:sz w:val="20"/>
          <w:szCs w:val="20"/>
          <w:u w:val="single"/>
          <w:lang w:val="en-GB"/>
        </w:rPr>
        <w:t xml:space="preserve">, </w:t>
      </w:r>
      <w:proofErr w:type="spellStart"/>
      <w:r w:rsidRPr="00DF5BA7">
        <w:rPr>
          <w:rFonts w:eastAsia="Calibri" w:cs="Times New Roman"/>
          <w:sz w:val="20"/>
          <w:szCs w:val="20"/>
          <w:u w:val="single"/>
          <w:lang w:val="en-GB"/>
        </w:rPr>
        <w:t>Deschamps</w:t>
      </w:r>
      <w:proofErr w:type="spellEnd"/>
      <w:r w:rsidRPr="00DF5BA7">
        <w:rPr>
          <w:rFonts w:eastAsia="Calibri" w:cs="Times New Roman"/>
          <w:sz w:val="20"/>
          <w:szCs w:val="20"/>
          <w:u w:val="single"/>
          <w:lang w:val="en-GB"/>
        </w:rPr>
        <w:t xml:space="preserve">, Fish, </w:t>
      </w:r>
      <w:proofErr w:type="spellStart"/>
      <w:r w:rsidRPr="00DF5BA7">
        <w:rPr>
          <w:rFonts w:eastAsia="Calibri" w:cs="Times New Roman"/>
          <w:sz w:val="20"/>
          <w:szCs w:val="20"/>
          <w:u w:val="single"/>
          <w:lang w:val="en-GB"/>
        </w:rPr>
        <w:t>Abella</w:t>
      </w:r>
      <w:proofErr w:type="spellEnd"/>
      <w:r w:rsidRPr="00DF5BA7">
        <w:rPr>
          <w:rFonts w:eastAsia="Calibri" w:cs="Times New Roman"/>
          <w:sz w:val="20"/>
          <w:szCs w:val="20"/>
          <w:u w:val="single"/>
          <w:lang w:val="en-GB"/>
        </w:rPr>
        <w:t xml:space="preserve">, </w:t>
      </w:r>
      <w:proofErr w:type="spellStart"/>
      <w:r w:rsidRPr="00DF5BA7">
        <w:rPr>
          <w:rFonts w:eastAsia="Calibri" w:cs="Times New Roman"/>
          <w:sz w:val="20"/>
          <w:szCs w:val="20"/>
          <w:u w:val="single"/>
          <w:lang w:val="en-GB"/>
        </w:rPr>
        <w:t>Charron</w:t>
      </w:r>
      <w:proofErr w:type="spellEnd"/>
      <w:r w:rsidRPr="00DF5BA7">
        <w:rPr>
          <w:rFonts w:eastAsia="Calibri" w:cs="Times New Roman"/>
          <w:sz w:val="20"/>
          <w:szCs w:val="20"/>
          <w:u w:val="single"/>
          <w:lang w:val="en-GB"/>
        </w:rPr>
        <w:t>, Rothstein and Cromwell JJ.</w:t>
      </w:r>
      <w:r w:rsidRPr="00DF5BA7">
        <w:rPr>
          <w:rFonts w:eastAsia="Calibri" w:cs="Times New Roman"/>
          <w:sz w:val="20"/>
          <w:szCs w:val="20"/>
          <w:lang w:val="en-GB"/>
        </w:rPr>
        <w:t xml:space="preserve">  </w:t>
      </w:r>
    </w:p>
    <w:p w:rsidR="00DF5BA7" w:rsidRDefault="00DF5BA7" w:rsidP="00732DB7">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CD46D1" w:rsidRPr="00C50A5C" w:rsidTr="00CD46D1">
        <w:tc>
          <w:tcPr>
            <w:tcW w:w="4380" w:type="dxa"/>
            <w:tcMar>
              <w:left w:w="0" w:type="dxa"/>
              <w:right w:w="0" w:type="dxa"/>
            </w:tcMar>
          </w:tcPr>
          <w:p w:rsidR="00CD46D1" w:rsidRPr="00DF5BA7" w:rsidRDefault="00DF5BA7" w:rsidP="00CD46D1">
            <w:pPr>
              <w:widowControl w:val="0"/>
              <w:jc w:val="both"/>
              <w:rPr>
                <w:b/>
                <w:sz w:val="20"/>
                <w:szCs w:val="20"/>
                <w:lang w:val="en-GB"/>
              </w:rPr>
            </w:pPr>
            <w:r w:rsidRPr="00DF5BA7">
              <w:rPr>
                <w:rStyle w:val="SCCSsocChar"/>
                <w:b/>
                <w:i w:val="0"/>
              </w:rPr>
              <w:t>Her Majesty the Queen in Right of Alberta (Minister of Aboriginal Affairs and Northern Development) et al.</w:t>
            </w:r>
          </w:p>
          <w:p w:rsidR="00CD46D1" w:rsidRPr="00C50A5C" w:rsidRDefault="00CD46D1" w:rsidP="00CD46D1">
            <w:pPr>
              <w:widowControl w:val="0"/>
              <w:jc w:val="both"/>
              <w:rPr>
                <w:b/>
                <w:sz w:val="20"/>
                <w:szCs w:val="20"/>
              </w:rPr>
            </w:pPr>
          </w:p>
          <w:p w:rsidR="00CD46D1" w:rsidRPr="00DF5BA7" w:rsidRDefault="00CD46D1" w:rsidP="00CD46D1">
            <w:pPr>
              <w:widowControl w:val="0"/>
              <w:tabs>
                <w:tab w:val="left" w:pos="736"/>
              </w:tabs>
              <w:jc w:val="both"/>
              <w:rPr>
                <w:b/>
                <w:sz w:val="20"/>
                <w:szCs w:val="20"/>
                <w:lang w:val="fr-CA"/>
              </w:rPr>
            </w:pPr>
            <w:r w:rsidRPr="00C50A5C">
              <w:rPr>
                <w:b/>
                <w:sz w:val="20"/>
                <w:szCs w:val="20"/>
              </w:rPr>
              <w:tab/>
            </w:r>
            <w:r w:rsidRPr="00DF5BA7">
              <w:rPr>
                <w:b/>
                <w:sz w:val="20"/>
                <w:szCs w:val="20"/>
                <w:lang w:val="fr-CA"/>
              </w:rPr>
              <w:t>v. (33340)</w:t>
            </w:r>
          </w:p>
          <w:p w:rsidR="00CD46D1" w:rsidRPr="00DF5BA7" w:rsidRDefault="00CD46D1" w:rsidP="00CD46D1">
            <w:pPr>
              <w:widowControl w:val="0"/>
              <w:jc w:val="both"/>
              <w:rPr>
                <w:b/>
                <w:sz w:val="20"/>
                <w:szCs w:val="20"/>
                <w:lang w:val="fr-CA"/>
              </w:rPr>
            </w:pPr>
          </w:p>
          <w:p w:rsidR="00CD46D1" w:rsidRPr="00855A10" w:rsidRDefault="00DF5BA7" w:rsidP="00CD46D1">
            <w:pPr>
              <w:widowControl w:val="0"/>
              <w:jc w:val="both"/>
              <w:rPr>
                <w:b/>
                <w:sz w:val="20"/>
                <w:szCs w:val="20"/>
              </w:rPr>
            </w:pPr>
            <w:r w:rsidRPr="00DF5BA7">
              <w:rPr>
                <w:rStyle w:val="SCCSsocChar"/>
                <w:b/>
                <w:i w:val="0"/>
                <w:lang w:val="fr-CA"/>
              </w:rPr>
              <w:t>Barbara Cunningham et al.</w:t>
            </w:r>
            <w:r w:rsidRPr="00DF5BA7">
              <w:rPr>
                <w:rFonts w:eastAsia="Calibri" w:cs="Times New Roman"/>
                <w:b/>
                <w:sz w:val="20"/>
                <w:szCs w:val="20"/>
                <w:lang w:val="fr-CA"/>
              </w:rPr>
              <w:t xml:space="preserve"> </w:t>
            </w:r>
            <w:r w:rsidRPr="00DF5BA7">
              <w:rPr>
                <w:rFonts w:eastAsia="Calibri" w:cs="Times New Roman"/>
                <w:b/>
                <w:sz w:val="20"/>
                <w:szCs w:val="20"/>
              </w:rPr>
              <w:t>(Alta.) (Civil) (By Leave)</w:t>
            </w:r>
          </w:p>
        </w:tc>
        <w:tc>
          <w:tcPr>
            <w:tcW w:w="720" w:type="dxa"/>
            <w:tcMar>
              <w:left w:w="0" w:type="dxa"/>
              <w:right w:w="0" w:type="dxa"/>
            </w:tcMar>
          </w:tcPr>
          <w:p w:rsidR="00CD46D1" w:rsidRPr="00A56A3E" w:rsidRDefault="00CD46D1" w:rsidP="00CD46D1">
            <w:pPr>
              <w:widowControl w:val="0"/>
              <w:jc w:val="center"/>
              <w:rPr>
                <w:sz w:val="20"/>
                <w:szCs w:val="20"/>
              </w:rPr>
            </w:pPr>
          </w:p>
        </w:tc>
        <w:tc>
          <w:tcPr>
            <w:tcW w:w="4380" w:type="dxa"/>
            <w:tcMar>
              <w:left w:w="0" w:type="dxa"/>
              <w:right w:w="0" w:type="dxa"/>
            </w:tcMar>
          </w:tcPr>
          <w:p w:rsidR="00D71B4F" w:rsidRPr="00D71B4F" w:rsidRDefault="00D71B4F" w:rsidP="00D71B4F">
            <w:pPr>
              <w:tabs>
                <w:tab w:val="left" w:pos="-1440"/>
                <w:tab w:val="left" w:pos="-720"/>
              </w:tabs>
              <w:spacing w:line="211" w:lineRule="auto"/>
              <w:ind w:left="90"/>
              <w:jc w:val="both"/>
              <w:rPr>
                <w:sz w:val="20"/>
                <w:szCs w:val="20"/>
              </w:rPr>
            </w:pPr>
            <w:r w:rsidRPr="00D71B4F">
              <w:rPr>
                <w:sz w:val="20"/>
                <w:szCs w:val="20"/>
              </w:rPr>
              <w:t xml:space="preserve">Robert J. </w:t>
            </w:r>
            <w:proofErr w:type="spellStart"/>
            <w:r w:rsidRPr="00D71B4F">
              <w:rPr>
                <w:sz w:val="20"/>
                <w:szCs w:val="20"/>
              </w:rPr>
              <w:t>Normey</w:t>
            </w:r>
            <w:proofErr w:type="spellEnd"/>
            <w:r w:rsidRPr="00D71B4F">
              <w:rPr>
                <w:sz w:val="20"/>
                <w:szCs w:val="20"/>
              </w:rPr>
              <w:t xml:space="preserve"> and David N. </w:t>
            </w:r>
            <w:proofErr w:type="spellStart"/>
            <w:r w:rsidRPr="00D71B4F">
              <w:rPr>
                <w:sz w:val="20"/>
                <w:szCs w:val="20"/>
              </w:rPr>
              <w:t>Kamal</w:t>
            </w:r>
            <w:proofErr w:type="spellEnd"/>
            <w:r w:rsidRPr="00D71B4F">
              <w:rPr>
                <w:sz w:val="20"/>
                <w:szCs w:val="20"/>
              </w:rPr>
              <w:t xml:space="preserve"> for the appellants.</w:t>
            </w:r>
          </w:p>
          <w:p w:rsidR="00D71B4F" w:rsidRPr="00D71B4F" w:rsidRDefault="00D71B4F" w:rsidP="00D71B4F">
            <w:pPr>
              <w:spacing w:line="211" w:lineRule="auto"/>
              <w:ind w:left="90"/>
              <w:jc w:val="both"/>
              <w:rPr>
                <w:sz w:val="20"/>
                <w:szCs w:val="20"/>
              </w:rPr>
            </w:pPr>
          </w:p>
          <w:p w:rsidR="00D71B4F" w:rsidRPr="00D71B4F" w:rsidRDefault="00D71B4F" w:rsidP="00D71B4F">
            <w:pPr>
              <w:tabs>
                <w:tab w:val="left" w:pos="-1440"/>
                <w:tab w:val="left" w:pos="-720"/>
              </w:tabs>
              <w:spacing w:line="211" w:lineRule="auto"/>
              <w:ind w:left="90"/>
              <w:jc w:val="both"/>
              <w:rPr>
                <w:sz w:val="20"/>
                <w:szCs w:val="20"/>
              </w:rPr>
            </w:pPr>
            <w:r w:rsidRPr="00D71B4F">
              <w:rPr>
                <w:sz w:val="20"/>
                <w:szCs w:val="20"/>
              </w:rPr>
              <w:t>Janet Minor and Mark Crow for the intervener Attorney General of Ontario.</w:t>
            </w:r>
          </w:p>
          <w:p w:rsidR="00D71B4F" w:rsidRPr="00D71B4F" w:rsidRDefault="00D71B4F" w:rsidP="00D71B4F">
            <w:pPr>
              <w:tabs>
                <w:tab w:val="left" w:pos="-1440"/>
                <w:tab w:val="left" w:pos="-720"/>
              </w:tabs>
              <w:spacing w:line="211" w:lineRule="auto"/>
              <w:ind w:left="90"/>
              <w:jc w:val="both"/>
              <w:rPr>
                <w:sz w:val="20"/>
                <w:szCs w:val="20"/>
              </w:rPr>
            </w:pPr>
          </w:p>
          <w:p w:rsidR="00D71B4F" w:rsidRPr="00D71B4F" w:rsidRDefault="00D71B4F" w:rsidP="00D71B4F">
            <w:pPr>
              <w:tabs>
                <w:tab w:val="left" w:pos="-1440"/>
                <w:tab w:val="left" w:pos="-720"/>
              </w:tabs>
              <w:spacing w:line="211" w:lineRule="auto"/>
              <w:ind w:left="90"/>
              <w:jc w:val="both"/>
              <w:rPr>
                <w:sz w:val="20"/>
                <w:szCs w:val="20"/>
                <w:lang w:val="fr-CA"/>
              </w:rPr>
            </w:pPr>
            <w:r w:rsidRPr="00D71B4F">
              <w:rPr>
                <w:sz w:val="20"/>
                <w:szCs w:val="20"/>
                <w:lang w:val="fr-CA"/>
              </w:rPr>
              <w:t>Isabelle Harnois pour l’intervenant Procureur général du Québec.</w:t>
            </w:r>
          </w:p>
          <w:p w:rsidR="00D71B4F" w:rsidRPr="00D71B4F" w:rsidRDefault="00D71B4F" w:rsidP="00D71B4F">
            <w:pPr>
              <w:spacing w:line="211" w:lineRule="auto"/>
              <w:ind w:left="90"/>
              <w:jc w:val="both"/>
              <w:rPr>
                <w:sz w:val="20"/>
                <w:szCs w:val="20"/>
                <w:lang w:val="fr-CA"/>
              </w:rPr>
            </w:pPr>
          </w:p>
          <w:p w:rsidR="00D71B4F" w:rsidRPr="00D71B4F" w:rsidRDefault="00605599" w:rsidP="00D71B4F">
            <w:pPr>
              <w:spacing w:line="211" w:lineRule="auto"/>
              <w:ind w:left="90"/>
              <w:jc w:val="both"/>
              <w:rPr>
                <w:sz w:val="20"/>
                <w:szCs w:val="20"/>
              </w:rPr>
            </w:pPr>
            <w:r w:rsidRPr="00D71B4F">
              <w:rPr>
                <w:sz w:val="20"/>
                <w:szCs w:val="20"/>
              </w:rPr>
              <w:t xml:space="preserve">Written submission only </w:t>
            </w:r>
            <w:r>
              <w:rPr>
                <w:sz w:val="20"/>
                <w:szCs w:val="20"/>
              </w:rPr>
              <w:t>by</w:t>
            </w:r>
            <w:r w:rsidR="00D71B4F" w:rsidRPr="00D71B4F">
              <w:rPr>
                <w:sz w:val="20"/>
                <w:szCs w:val="20"/>
              </w:rPr>
              <w:t xml:space="preserve"> the intervener Attorney General for Saskatchewan</w:t>
            </w:r>
            <w:r>
              <w:rPr>
                <w:sz w:val="20"/>
                <w:szCs w:val="20"/>
              </w:rPr>
              <w:t>.</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Richard </w:t>
            </w:r>
            <w:proofErr w:type="spellStart"/>
            <w:r w:rsidRPr="00D71B4F">
              <w:rPr>
                <w:sz w:val="20"/>
                <w:szCs w:val="20"/>
              </w:rPr>
              <w:t>Hajduk</w:t>
            </w:r>
            <w:proofErr w:type="spellEnd"/>
            <w:r w:rsidRPr="00D71B4F">
              <w:rPr>
                <w:sz w:val="20"/>
                <w:szCs w:val="20"/>
              </w:rPr>
              <w:t xml:space="preserve"> and Rodger C. Gibbs for the intervener East Prairie Métis Settlements.</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Thomas R. Owen and Tara Rout for the intervener Elizabeth </w:t>
            </w:r>
            <w:proofErr w:type="spellStart"/>
            <w:r w:rsidRPr="00D71B4F">
              <w:rPr>
                <w:sz w:val="20"/>
                <w:szCs w:val="20"/>
              </w:rPr>
              <w:t>Metis</w:t>
            </w:r>
            <w:proofErr w:type="spellEnd"/>
            <w:r w:rsidRPr="00D71B4F">
              <w:rPr>
                <w:sz w:val="20"/>
                <w:szCs w:val="20"/>
              </w:rPr>
              <w:t xml:space="preserve"> Settlement.</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Beverly J.M. </w:t>
            </w:r>
            <w:proofErr w:type="spellStart"/>
            <w:r w:rsidRPr="00D71B4F">
              <w:rPr>
                <w:sz w:val="20"/>
                <w:szCs w:val="20"/>
              </w:rPr>
              <w:t>Teillet</w:t>
            </w:r>
            <w:proofErr w:type="spellEnd"/>
            <w:r w:rsidRPr="00D71B4F">
              <w:rPr>
                <w:sz w:val="20"/>
                <w:szCs w:val="20"/>
              </w:rPr>
              <w:t xml:space="preserve"> for the intervener Métis Nation of Alberta.</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Jason Madden, </w:t>
            </w:r>
            <w:proofErr w:type="spellStart"/>
            <w:r w:rsidRPr="00D71B4F">
              <w:rPr>
                <w:sz w:val="20"/>
                <w:szCs w:val="20"/>
              </w:rPr>
              <w:t>Clément</w:t>
            </w:r>
            <w:proofErr w:type="spellEnd"/>
            <w:r w:rsidRPr="00D71B4F">
              <w:rPr>
                <w:sz w:val="20"/>
                <w:szCs w:val="20"/>
              </w:rPr>
              <w:t xml:space="preserve"> </w:t>
            </w:r>
            <w:proofErr w:type="spellStart"/>
            <w:r w:rsidRPr="00D71B4F">
              <w:rPr>
                <w:sz w:val="20"/>
                <w:szCs w:val="20"/>
              </w:rPr>
              <w:t>Chartier</w:t>
            </w:r>
            <w:proofErr w:type="spellEnd"/>
            <w:r w:rsidRPr="00D71B4F">
              <w:rPr>
                <w:sz w:val="20"/>
                <w:szCs w:val="20"/>
              </w:rPr>
              <w:t>, Q.C. and Kathy L. Hodgson-Smith for the intervener Métis National Council.</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Garry </w:t>
            </w:r>
            <w:proofErr w:type="spellStart"/>
            <w:r w:rsidRPr="00D71B4F">
              <w:rPr>
                <w:sz w:val="20"/>
                <w:szCs w:val="20"/>
              </w:rPr>
              <w:t>Appelt</w:t>
            </w:r>
            <w:proofErr w:type="spellEnd"/>
            <w:r w:rsidRPr="00D71B4F">
              <w:rPr>
                <w:sz w:val="20"/>
                <w:szCs w:val="20"/>
              </w:rPr>
              <w:t xml:space="preserve"> and </w:t>
            </w:r>
            <w:proofErr w:type="spellStart"/>
            <w:r w:rsidRPr="00D71B4F">
              <w:rPr>
                <w:sz w:val="20"/>
                <w:szCs w:val="20"/>
              </w:rPr>
              <w:t>Keltie</w:t>
            </w:r>
            <w:proofErr w:type="spellEnd"/>
            <w:r w:rsidRPr="00D71B4F">
              <w:rPr>
                <w:sz w:val="20"/>
                <w:szCs w:val="20"/>
              </w:rPr>
              <w:t xml:space="preserve"> L. Lambert for the intervener Métis Settlements General Council.</w:t>
            </w:r>
          </w:p>
          <w:p w:rsidR="00D71B4F" w:rsidRPr="00D71B4F" w:rsidRDefault="00D71B4F" w:rsidP="00D71B4F">
            <w:pPr>
              <w:spacing w:line="211" w:lineRule="auto"/>
              <w:ind w:left="90"/>
              <w:jc w:val="both"/>
              <w:rPr>
                <w:sz w:val="20"/>
                <w:szCs w:val="20"/>
              </w:rPr>
            </w:pPr>
          </w:p>
          <w:p w:rsidR="00D71B4F" w:rsidRPr="00D71B4F" w:rsidRDefault="00D71B4F" w:rsidP="00D71B4F">
            <w:pPr>
              <w:tabs>
                <w:tab w:val="left" w:pos="-1440"/>
                <w:tab w:val="left" w:pos="-720"/>
              </w:tabs>
              <w:spacing w:line="211" w:lineRule="auto"/>
              <w:ind w:left="90"/>
              <w:jc w:val="both"/>
              <w:rPr>
                <w:sz w:val="20"/>
                <w:szCs w:val="20"/>
              </w:rPr>
            </w:pPr>
            <w:r w:rsidRPr="00D71B4F">
              <w:rPr>
                <w:sz w:val="20"/>
                <w:szCs w:val="20"/>
              </w:rPr>
              <w:t xml:space="preserve">Kevin C. </w:t>
            </w:r>
            <w:proofErr w:type="spellStart"/>
            <w:r w:rsidRPr="00D71B4F">
              <w:rPr>
                <w:sz w:val="20"/>
                <w:szCs w:val="20"/>
              </w:rPr>
              <w:t>Feth</w:t>
            </w:r>
            <w:proofErr w:type="spellEnd"/>
            <w:r w:rsidRPr="00D71B4F">
              <w:rPr>
                <w:sz w:val="20"/>
                <w:szCs w:val="20"/>
              </w:rPr>
              <w:t>, Q.C. and Jeremy L. Taylor for the respondents.</w:t>
            </w:r>
          </w:p>
          <w:p w:rsidR="00D71B4F" w:rsidRPr="00D71B4F" w:rsidRDefault="00D71B4F" w:rsidP="00D71B4F">
            <w:pPr>
              <w:tabs>
                <w:tab w:val="left" w:pos="-1440"/>
                <w:tab w:val="left" w:pos="-720"/>
              </w:tabs>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Jonathan </w:t>
            </w:r>
            <w:proofErr w:type="spellStart"/>
            <w:r w:rsidRPr="00D71B4F">
              <w:rPr>
                <w:sz w:val="20"/>
                <w:szCs w:val="20"/>
              </w:rPr>
              <w:t>Rudin</w:t>
            </w:r>
            <w:proofErr w:type="spellEnd"/>
            <w:r w:rsidRPr="00D71B4F">
              <w:rPr>
                <w:sz w:val="20"/>
                <w:szCs w:val="20"/>
              </w:rPr>
              <w:t xml:space="preserve"> and Mandy Wesley for the intervener Aboriginal Legal Services of Toronto Inc.</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Dianne </w:t>
            </w:r>
            <w:proofErr w:type="spellStart"/>
            <w:r w:rsidRPr="00D71B4F">
              <w:rPr>
                <w:sz w:val="20"/>
                <w:szCs w:val="20"/>
              </w:rPr>
              <w:t>Pothier</w:t>
            </w:r>
            <w:proofErr w:type="spellEnd"/>
            <w:r w:rsidRPr="00D71B4F">
              <w:rPr>
                <w:sz w:val="20"/>
                <w:szCs w:val="20"/>
              </w:rPr>
              <w:t xml:space="preserve"> and Joanna L. </w:t>
            </w:r>
            <w:proofErr w:type="spellStart"/>
            <w:r w:rsidRPr="00D71B4F">
              <w:rPr>
                <w:sz w:val="20"/>
                <w:szCs w:val="20"/>
              </w:rPr>
              <w:t>Birenbaum</w:t>
            </w:r>
            <w:proofErr w:type="spellEnd"/>
            <w:r w:rsidRPr="00D71B4F">
              <w:rPr>
                <w:sz w:val="20"/>
                <w:szCs w:val="20"/>
              </w:rPr>
              <w:t xml:space="preserve"> for the intervener Women’s Legal Education and Action Fund.</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r w:rsidRPr="00D71B4F">
              <w:rPr>
                <w:sz w:val="20"/>
                <w:szCs w:val="20"/>
              </w:rPr>
              <w:t xml:space="preserve">Laurie </w:t>
            </w:r>
            <w:proofErr w:type="spellStart"/>
            <w:r w:rsidRPr="00D71B4F">
              <w:rPr>
                <w:sz w:val="20"/>
                <w:szCs w:val="20"/>
              </w:rPr>
              <w:t>Letheren</w:t>
            </w:r>
            <w:proofErr w:type="spellEnd"/>
            <w:r w:rsidRPr="00D71B4F">
              <w:rPr>
                <w:sz w:val="20"/>
                <w:szCs w:val="20"/>
              </w:rPr>
              <w:t xml:space="preserve"> and Tess Sheldon for the intervener Canadian Association for Community Living.</w:t>
            </w:r>
          </w:p>
          <w:p w:rsidR="00D71B4F" w:rsidRPr="00D71B4F" w:rsidRDefault="00D71B4F" w:rsidP="00D71B4F">
            <w:pPr>
              <w:spacing w:line="211" w:lineRule="auto"/>
              <w:ind w:left="90"/>
              <w:jc w:val="both"/>
              <w:rPr>
                <w:sz w:val="20"/>
                <w:szCs w:val="20"/>
              </w:rPr>
            </w:pPr>
          </w:p>
          <w:p w:rsidR="00D71B4F" w:rsidRPr="00D71B4F" w:rsidRDefault="00D71B4F" w:rsidP="00D71B4F">
            <w:pPr>
              <w:spacing w:line="211" w:lineRule="auto"/>
              <w:ind w:left="90"/>
              <w:jc w:val="both"/>
              <w:rPr>
                <w:sz w:val="20"/>
                <w:szCs w:val="20"/>
              </w:rPr>
            </w:pPr>
            <w:proofErr w:type="spellStart"/>
            <w:r w:rsidRPr="00D71B4F">
              <w:rPr>
                <w:sz w:val="20"/>
                <w:szCs w:val="20"/>
              </w:rPr>
              <w:t>Sandeep</w:t>
            </w:r>
            <w:proofErr w:type="spellEnd"/>
            <w:r w:rsidRPr="00D71B4F">
              <w:rPr>
                <w:sz w:val="20"/>
                <w:szCs w:val="20"/>
              </w:rPr>
              <w:t xml:space="preserve"> K. </w:t>
            </w:r>
            <w:proofErr w:type="spellStart"/>
            <w:r w:rsidRPr="00D71B4F">
              <w:rPr>
                <w:sz w:val="20"/>
                <w:szCs w:val="20"/>
              </w:rPr>
              <w:t>Dhir</w:t>
            </w:r>
            <w:proofErr w:type="spellEnd"/>
            <w:r w:rsidRPr="00D71B4F">
              <w:rPr>
                <w:sz w:val="20"/>
                <w:szCs w:val="20"/>
              </w:rPr>
              <w:t xml:space="preserve"> and Lindsey E. Miller for the intervener Gift Lake Métis Settlement.</w:t>
            </w:r>
          </w:p>
          <w:p w:rsidR="00D71B4F" w:rsidRPr="00D71B4F" w:rsidRDefault="00D71B4F" w:rsidP="00D71B4F">
            <w:pPr>
              <w:spacing w:line="211" w:lineRule="auto"/>
              <w:ind w:left="90"/>
              <w:jc w:val="both"/>
              <w:rPr>
                <w:sz w:val="20"/>
                <w:szCs w:val="20"/>
              </w:rPr>
            </w:pPr>
          </w:p>
          <w:p w:rsidR="00CD46D1" w:rsidRPr="005738ED" w:rsidRDefault="00D71B4F" w:rsidP="005970F7">
            <w:pPr>
              <w:spacing w:line="211" w:lineRule="auto"/>
              <w:ind w:left="90"/>
              <w:jc w:val="both"/>
              <w:rPr>
                <w:sz w:val="20"/>
                <w:szCs w:val="20"/>
              </w:rPr>
            </w:pPr>
            <w:r w:rsidRPr="00D71B4F">
              <w:rPr>
                <w:sz w:val="20"/>
                <w:szCs w:val="20"/>
              </w:rPr>
              <w:t xml:space="preserve">Mary </w:t>
            </w:r>
            <w:proofErr w:type="spellStart"/>
            <w:r w:rsidRPr="00D71B4F">
              <w:rPr>
                <w:sz w:val="20"/>
                <w:szCs w:val="20"/>
              </w:rPr>
              <w:t>Eberts</w:t>
            </w:r>
            <w:proofErr w:type="spellEnd"/>
            <w:r w:rsidRPr="00D71B4F">
              <w:rPr>
                <w:sz w:val="20"/>
                <w:szCs w:val="20"/>
              </w:rPr>
              <w:t xml:space="preserve"> for the intervener Native Women’s Association of Canada.</w:t>
            </w:r>
          </w:p>
        </w:tc>
      </w:tr>
    </w:tbl>
    <w:p w:rsidR="005970F7" w:rsidRPr="005970F7" w:rsidRDefault="005970F7" w:rsidP="00732DB7">
      <w:pPr>
        <w:widowControl w:val="0"/>
        <w:rPr>
          <w:rFonts w:eastAsia="Calibri" w:cs="Times New Roman"/>
          <w:bCs/>
          <w:sz w:val="20"/>
          <w:szCs w:val="20"/>
        </w:rPr>
      </w:pPr>
    </w:p>
    <w:p w:rsidR="00732DB7" w:rsidRPr="00DF5BA7" w:rsidRDefault="00DF5BA7" w:rsidP="00732DB7">
      <w:pPr>
        <w:widowControl w:val="0"/>
        <w:rPr>
          <w:sz w:val="20"/>
          <w:szCs w:val="20"/>
        </w:rPr>
      </w:pPr>
      <w:r w:rsidRPr="00DF5BA7">
        <w:rPr>
          <w:rFonts w:eastAsia="Calibri" w:cs="Times New Roman"/>
          <w:b/>
          <w:bCs/>
          <w:sz w:val="20"/>
          <w:szCs w:val="20"/>
        </w:rPr>
        <w:t>RESERVED / EN DÉLIBÉRÉ</w:t>
      </w:r>
    </w:p>
    <w:p w:rsidR="00CD46D1" w:rsidRDefault="00CD46D1"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D46D1" w:rsidRPr="00075333" w:rsidTr="00CD46D1">
        <w:tc>
          <w:tcPr>
            <w:tcW w:w="4380" w:type="dxa"/>
            <w:tcMar>
              <w:left w:w="0" w:type="dxa"/>
              <w:right w:w="0" w:type="dxa"/>
            </w:tcMar>
          </w:tcPr>
          <w:p w:rsidR="00CD46D1" w:rsidRPr="00CC4D84" w:rsidRDefault="00CD46D1" w:rsidP="00CD46D1">
            <w:pPr>
              <w:widowControl w:val="0"/>
              <w:jc w:val="both"/>
              <w:rPr>
                <w:b/>
                <w:sz w:val="20"/>
                <w:szCs w:val="20"/>
                <w:u w:val="single"/>
              </w:rPr>
            </w:pPr>
            <w:r w:rsidRPr="00CC4D84">
              <w:rPr>
                <w:b/>
                <w:sz w:val="20"/>
                <w:szCs w:val="20"/>
                <w:u w:val="single"/>
              </w:rPr>
              <w:t>Nature of the case:</w:t>
            </w:r>
          </w:p>
          <w:p w:rsidR="00CD46D1" w:rsidRPr="00C1697B" w:rsidRDefault="00CD46D1" w:rsidP="00CD46D1">
            <w:pPr>
              <w:widowControl w:val="0"/>
              <w:jc w:val="both"/>
              <w:rPr>
                <w:b/>
                <w:sz w:val="20"/>
                <w:szCs w:val="20"/>
              </w:rPr>
            </w:pPr>
          </w:p>
          <w:p w:rsidR="00DE0F38" w:rsidRPr="00DE0F38" w:rsidRDefault="00DE0F38" w:rsidP="00DE0F38">
            <w:pPr>
              <w:widowControl w:val="0"/>
              <w:jc w:val="both"/>
              <w:rPr>
                <w:sz w:val="20"/>
                <w:szCs w:val="20"/>
              </w:rPr>
            </w:pPr>
            <w:r w:rsidRPr="00DE0F38">
              <w:rPr>
                <w:i/>
                <w:sz w:val="20"/>
                <w:szCs w:val="20"/>
              </w:rPr>
              <w:t>Charter of Rights and Freedoms</w:t>
            </w:r>
            <w:r w:rsidRPr="00DE0F38">
              <w:rPr>
                <w:sz w:val="20"/>
                <w:szCs w:val="20"/>
              </w:rPr>
              <w:t xml:space="preserve">, s. 15 - Constitutional law - Right to equality - Aboriginal law - Métis - Respondents’ membership in the </w:t>
            </w:r>
            <w:proofErr w:type="spellStart"/>
            <w:r w:rsidRPr="00DE0F38">
              <w:rPr>
                <w:sz w:val="20"/>
                <w:szCs w:val="20"/>
              </w:rPr>
              <w:t>Peavine</w:t>
            </w:r>
            <w:proofErr w:type="spellEnd"/>
            <w:r w:rsidRPr="00DE0F38">
              <w:rPr>
                <w:sz w:val="20"/>
                <w:szCs w:val="20"/>
              </w:rPr>
              <w:t xml:space="preserve"> Métis Settlement terminated pursuant to s. 90 of the</w:t>
            </w:r>
            <w:r w:rsidRPr="00DE0F38">
              <w:rPr>
                <w:i/>
                <w:sz w:val="20"/>
                <w:szCs w:val="20"/>
              </w:rPr>
              <w:t xml:space="preserve"> Métis Settlements Act</w:t>
            </w:r>
            <w:r w:rsidRPr="00DE0F38">
              <w:rPr>
                <w:sz w:val="20"/>
                <w:szCs w:val="20"/>
              </w:rPr>
              <w:t xml:space="preserve"> after they voluntarily registered as </w:t>
            </w:r>
            <w:r w:rsidRPr="00DE0F38">
              <w:rPr>
                <w:sz w:val="20"/>
                <w:szCs w:val="20"/>
              </w:rPr>
              <w:lastRenderedPageBreak/>
              <w:t xml:space="preserve">Indians under the </w:t>
            </w:r>
            <w:r w:rsidRPr="00DE0F38">
              <w:rPr>
                <w:i/>
                <w:sz w:val="20"/>
                <w:szCs w:val="20"/>
              </w:rPr>
              <w:t>Indian Act</w:t>
            </w:r>
            <w:r w:rsidRPr="00DE0F38">
              <w:rPr>
                <w:sz w:val="20"/>
                <w:szCs w:val="20"/>
              </w:rPr>
              <w:t xml:space="preserve">, R.S.C. 1985, c. I-5 - Section 75 of the MSA prohibits individuals with Indian status from obtaining Métis settlement membership - Do ss. 75 and/or 90 of the </w:t>
            </w:r>
            <w:r w:rsidRPr="00DE0F38">
              <w:rPr>
                <w:i/>
                <w:sz w:val="20"/>
                <w:szCs w:val="20"/>
              </w:rPr>
              <w:t>Métis Settlements Act</w:t>
            </w:r>
            <w:r w:rsidRPr="00DE0F38">
              <w:rPr>
                <w:sz w:val="20"/>
                <w:szCs w:val="20"/>
              </w:rPr>
              <w:t xml:space="preserve">, R.S.A. 2000, c. M-14, infringe s. 2(d) of the </w:t>
            </w:r>
            <w:r w:rsidRPr="00DE0F38">
              <w:rPr>
                <w:i/>
                <w:sz w:val="20"/>
                <w:szCs w:val="20"/>
              </w:rPr>
              <w:t>Canadian Charter of Rights and Freedoms</w:t>
            </w:r>
            <w:r w:rsidRPr="00DE0F38">
              <w:rPr>
                <w:sz w:val="20"/>
                <w:szCs w:val="20"/>
              </w:rPr>
              <w:t xml:space="preserve">? - If so, is the infringement a reasonable limit prescribed by law as can be demonstrably justified in a free and democratic society under s. 1 of the </w:t>
            </w:r>
            <w:r w:rsidRPr="00DE0F38">
              <w:rPr>
                <w:i/>
                <w:sz w:val="20"/>
                <w:szCs w:val="20"/>
              </w:rPr>
              <w:t>Canadian Charter of Rights and Freedoms</w:t>
            </w:r>
            <w:r w:rsidRPr="00DE0F38">
              <w:rPr>
                <w:sz w:val="20"/>
                <w:szCs w:val="20"/>
              </w:rPr>
              <w:t xml:space="preserve">? - Do ss. 75 and/or 90 of the </w:t>
            </w:r>
            <w:r w:rsidRPr="00DE0F38">
              <w:rPr>
                <w:i/>
                <w:sz w:val="20"/>
                <w:szCs w:val="20"/>
              </w:rPr>
              <w:t>Métis Settlements Act</w:t>
            </w:r>
            <w:r w:rsidRPr="00DE0F38">
              <w:rPr>
                <w:sz w:val="20"/>
                <w:szCs w:val="20"/>
              </w:rPr>
              <w:t xml:space="preserve">, R.S.A. 2000, </w:t>
            </w:r>
            <w:proofErr w:type="gramStart"/>
            <w:r w:rsidRPr="00DE0F38">
              <w:rPr>
                <w:sz w:val="20"/>
                <w:szCs w:val="20"/>
              </w:rPr>
              <w:t>c</w:t>
            </w:r>
            <w:proofErr w:type="gramEnd"/>
            <w:r w:rsidRPr="00DE0F38">
              <w:rPr>
                <w:sz w:val="20"/>
                <w:szCs w:val="20"/>
              </w:rPr>
              <w:t xml:space="preserve">. M-14, infringe s. 7 of the Canadian Charter of Rights and Freedoms? - If so, is the infringement a reasonable limit prescribed by law as can be demonstrably justified in a free and democratic society under s. 1 of the </w:t>
            </w:r>
            <w:r w:rsidRPr="00DE0F38">
              <w:rPr>
                <w:i/>
                <w:sz w:val="20"/>
                <w:szCs w:val="20"/>
              </w:rPr>
              <w:t>Canadian Charter of Rights and Freedoms</w:t>
            </w:r>
            <w:r w:rsidRPr="00DE0F38">
              <w:rPr>
                <w:sz w:val="20"/>
                <w:szCs w:val="20"/>
              </w:rPr>
              <w:t xml:space="preserve">? - Do ss. 75 and/or 90 of the </w:t>
            </w:r>
            <w:r w:rsidRPr="00DE0F38">
              <w:rPr>
                <w:i/>
                <w:sz w:val="20"/>
                <w:szCs w:val="20"/>
              </w:rPr>
              <w:t>Métis Settlements Act</w:t>
            </w:r>
            <w:r w:rsidRPr="00DE0F38">
              <w:rPr>
                <w:sz w:val="20"/>
                <w:szCs w:val="20"/>
              </w:rPr>
              <w:t xml:space="preserve">, R.S.A. 2000, </w:t>
            </w:r>
            <w:proofErr w:type="gramStart"/>
            <w:r w:rsidRPr="00DE0F38">
              <w:rPr>
                <w:sz w:val="20"/>
                <w:szCs w:val="20"/>
              </w:rPr>
              <w:t>c</w:t>
            </w:r>
            <w:proofErr w:type="gramEnd"/>
            <w:r w:rsidRPr="00DE0F38">
              <w:rPr>
                <w:sz w:val="20"/>
                <w:szCs w:val="20"/>
              </w:rPr>
              <w:t xml:space="preserve">. M-14, infringe s. 15 of the </w:t>
            </w:r>
            <w:r w:rsidRPr="00DE0F38">
              <w:rPr>
                <w:i/>
                <w:sz w:val="20"/>
                <w:szCs w:val="20"/>
              </w:rPr>
              <w:t>Canadian Charter of Rights and Freedoms</w:t>
            </w:r>
            <w:r w:rsidRPr="00DE0F38">
              <w:rPr>
                <w:sz w:val="20"/>
                <w:szCs w:val="20"/>
              </w:rPr>
              <w:t xml:space="preserve">? - If so, is the infringement a reasonable limit prescribed by law as can be demonstrably justified in a free and democratic society under s. 1 of the </w:t>
            </w:r>
            <w:r w:rsidRPr="00DE0F38">
              <w:rPr>
                <w:i/>
                <w:sz w:val="20"/>
                <w:szCs w:val="20"/>
              </w:rPr>
              <w:t>Canadian Charter of Rights and Freedoms</w:t>
            </w:r>
            <w:r w:rsidRPr="00DE0F38">
              <w:rPr>
                <w:sz w:val="20"/>
                <w:szCs w:val="20"/>
              </w:rPr>
              <w:t>?</w:t>
            </w:r>
          </w:p>
          <w:p w:rsidR="00CD46D1" w:rsidRPr="00C1697B" w:rsidRDefault="006D705A" w:rsidP="00CD46D1">
            <w:pPr>
              <w:jc w:val="both"/>
              <w:rPr>
                <w:b/>
                <w:sz w:val="20"/>
                <w:szCs w:val="20"/>
              </w:rPr>
            </w:pPr>
            <w:r w:rsidRPr="00855A10">
              <w:rPr>
                <w:sz w:val="20"/>
                <w:szCs w:val="20"/>
              </w:rPr>
              <w:fldChar w:fldCharType="begin"/>
            </w:r>
            <w:r w:rsidR="00CD46D1" w:rsidRPr="00855A10">
              <w:rPr>
                <w:sz w:val="20"/>
                <w:szCs w:val="20"/>
              </w:rPr>
              <w:instrText xml:space="preserve"> SEQ CHAPTER \h \r 1</w:instrText>
            </w:r>
            <w:r w:rsidRPr="00855A10">
              <w:rPr>
                <w:sz w:val="20"/>
                <w:szCs w:val="20"/>
              </w:rPr>
              <w:fldChar w:fldCharType="end"/>
            </w:r>
            <w:r w:rsidRPr="005738ED">
              <w:rPr>
                <w:sz w:val="20"/>
                <w:szCs w:val="20"/>
              </w:rPr>
              <w:fldChar w:fldCharType="begin"/>
            </w:r>
            <w:r w:rsidR="00CD46D1" w:rsidRPr="005738ED">
              <w:rPr>
                <w:sz w:val="20"/>
                <w:szCs w:val="20"/>
              </w:rPr>
              <w:instrText xml:space="preserve"> SEQ CHAPTER \h \r 1</w:instrText>
            </w:r>
            <w:r w:rsidRPr="005738ED">
              <w:rPr>
                <w:sz w:val="20"/>
                <w:szCs w:val="20"/>
              </w:rPr>
              <w:fldChar w:fldCharType="end"/>
            </w:r>
          </w:p>
        </w:tc>
        <w:tc>
          <w:tcPr>
            <w:tcW w:w="720" w:type="dxa"/>
            <w:tcMar>
              <w:left w:w="0" w:type="dxa"/>
              <w:right w:w="0" w:type="dxa"/>
            </w:tcMar>
          </w:tcPr>
          <w:p w:rsidR="00CD46D1" w:rsidRPr="00C1697B" w:rsidRDefault="00CD46D1" w:rsidP="00CD46D1">
            <w:pPr>
              <w:widowControl w:val="0"/>
              <w:jc w:val="center"/>
              <w:rPr>
                <w:sz w:val="20"/>
                <w:szCs w:val="20"/>
              </w:rPr>
            </w:pPr>
          </w:p>
        </w:tc>
        <w:tc>
          <w:tcPr>
            <w:tcW w:w="4380" w:type="dxa"/>
            <w:tcMar>
              <w:left w:w="0" w:type="dxa"/>
              <w:right w:w="0" w:type="dxa"/>
            </w:tcMar>
          </w:tcPr>
          <w:p w:rsidR="00CD46D1" w:rsidRPr="00CC4D84" w:rsidRDefault="00CD46D1" w:rsidP="00CD46D1">
            <w:pPr>
              <w:widowControl w:val="0"/>
              <w:jc w:val="both"/>
              <w:rPr>
                <w:b/>
                <w:sz w:val="20"/>
                <w:szCs w:val="20"/>
                <w:u w:val="single"/>
                <w:lang w:val="fr-CA"/>
              </w:rPr>
            </w:pPr>
            <w:r w:rsidRPr="00CC4D84">
              <w:rPr>
                <w:b/>
                <w:sz w:val="20"/>
                <w:szCs w:val="20"/>
                <w:u w:val="single"/>
                <w:lang w:val="fr-CA"/>
              </w:rPr>
              <w:t>Nature de la cause :</w:t>
            </w:r>
          </w:p>
          <w:p w:rsidR="00CD46D1" w:rsidRPr="00C1697B" w:rsidRDefault="00CD46D1" w:rsidP="00CD46D1">
            <w:pPr>
              <w:widowControl w:val="0"/>
              <w:jc w:val="both"/>
              <w:rPr>
                <w:sz w:val="20"/>
                <w:szCs w:val="20"/>
                <w:lang w:val="fr-CA"/>
              </w:rPr>
            </w:pPr>
          </w:p>
          <w:p w:rsidR="00CD46D1" w:rsidRPr="00855A10" w:rsidRDefault="00DE0F38" w:rsidP="00DE0F38">
            <w:pPr>
              <w:widowControl w:val="0"/>
              <w:jc w:val="both"/>
              <w:rPr>
                <w:sz w:val="20"/>
                <w:szCs w:val="20"/>
                <w:lang w:val="fr-CA"/>
              </w:rPr>
            </w:pPr>
            <w:r w:rsidRPr="00DE0F38">
              <w:rPr>
                <w:i/>
                <w:sz w:val="20"/>
                <w:szCs w:val="20"/>
                <w:lang w:val="fr-CA"/>
              </w:rPr>
              <w:t>Charte des droits et libertés</w:t>
            </w:r>
            <w:r w:rsidRPr="00DE0F38">
              <w:rPr>
                <w:sz w:val="20"/>
                <w:szCs w:val="20"/>
                <w:lang w:val="fr-CA"/>
              </w:rPr>
              <w:t xml:space="preserve">, art. 15 - Droit constitutionnel - Droit à l’égalité - Droit des autochtones - Métis - L’affiliation des intimés à l’établissement métis de </w:t>
            </w:r>
            <w:proofErr w:type="spellStart"/>
            <w:r w:rsidRPr="00DE0F38">
              <w:rPr>
                <w:sz w:val="20"/>
                <w:szCs w:val="20"/>
                <w:lang w:val="fr-CA"/>
              </w:rPr>
              <w:t>Peavine</w:t>
            </w:r>
            <w:proofErr w:type="spellEnd"/>
            <w:r w:rsidRPr="00DE0F38">
              <w:rPr>
                <w:sz w:val="20"/>
                <w:szCs w:val="20"/>
                <w:lang w:val="fr-CA"/>
              </w:rPr>
              <w:t xml:space="preserve"> a été résiliée en vertu de l’art. 90 de la</w:t>
            </w:r>
            <w:r w:rsidRPr="00DE0F38">
              <w:rPr>
                <w:i/>
                <w:sz w:val="20"/>
                <w:szCs w:val="20"/>
                <w:lang w:val="fr-CA"/>
              </w:rPr>
              <w:t xml:space="preserve"> Métis </w:t>
            </w:r>
            <w:proofErr w:type="spellStart"/>
            <w:r w:rsidRPr="00DE0F38">
              <w:rPr>
                <w:i/>
                <w:sz w:val="20"/>
                <w:szCs w:val="20"/>
                <w:lang w:val="fr-CA"/>
              </w:rPr>
              <w:t>Settlements</w:t>
            </w:r>
            <w:proofErr w:type="spellEnd"/>
            <w:r w:rsidRPr="00DE0F38">
              <w:rPr>
                <w:i/>
                <w:sz w:val="20"/>
                <w:szCs w:val="20"/>
                <w:lang w:val="fr-CA"/>
              </w:rPr>
              <w:t xml:space="preserve"> </w:t>
            </w:r>
            <w:proofErr w:type="spellStart"/>
            <w:r w:rsidRPr="00DE0F38">
              <w:rPr>
                <w:i/>
                <w:sz w:val="20"/>
                <w:szCs w:val="20"/>
                <w:lang w:val="fr-CA"/>
              </w:rPr>
              <w:t>Act</w:t>
            </w:r>
            <w:proofErr w:type="spellEnd"/>
            <w:r w:rsidRPr="00DE0F38">
              <w:rPr>
                <w:sz w:val="20"/>
                <w:szCs w:val="20"/>
                <w:lang w:val="fr-CA"/>
              </w:rPr>
              <w:t xml:space="preserve"> après qu’ils se </w:t>
            </w:r>
            <w:r w:rsidRPr="00DE0F38">
              <w:rPr>
                <w:sz w:val="20"/>
                <w:szCs w:val="20"/>
                <w:lang w:val="fr-CA"/>
              </w:rPr>
              <w:lastRenderedPageBreak/>
              <w:t xml:space="preserve">sont volontairement inscrits comme Indiens en vertu de la </w:t>
            </w:r>
            <w:r w:rsidRPr="00DE0F38">
              <w:rPr>
                <w:i/>
                <w:sz w:val="20"/>
                <w:szCs w:val="20"/>
                <w:lang w:val="fr-CA"/>
              </w:rPr>
              <w:t>Loi sur les Indiens</w:t>
            </w:r>
            <w:r w:rsidRPr="00DE0F38">
              <w:rPr>
                <w:sz w:val="20"/>
                <w:szCs w:val="20"/>
                <w:lang w:val="fr-CA"/>
              </w:rPr>
              <w:t xml:space="preserve">, L.R.C. 1985, ch. I-5 - L’article 75 de la MSA interdit aux personnes ayant le statut d’Indien de devenir membres d’un établissement métis - Les art. 75 ou 90 de la </w:t>
            </w:r>
            <w:r w:rsidRPr="00DE0F38">
              <w:rPr>
                <w:i/>
                <w:sz w:val="20"/>
                <w:szCs w:val="20"/>
                <w:lang w:val="fr-CA"/>
              </w:rPr>
              <w:t xml:space="preserve">Métis </w:t>
            </w:r>
            <w:proofErr w:type="spellStart"/>
            <w:r w:rsidRPr="00DE0F38">
              <w:rPr>
                <w:i/>
                <w:sz w:val="20"/>
                <w:szCs w:val="20"/>
                <w:lang w:val="fr-CA"/>
              </w:rPr>
              <w:t>Settlements</w:t>
            </w:r>
            <w:proofErr w:type="spellEnd"/>
            <w:r w:rsidRPr="00DE0F38">
              <w:rPr>
                <w:i/>
                <w:sz w:val="20"/>
                <w:szCs w:val="20"/>
                <w:lang w:val="fr-CA"/>
              </w:rPr>
              <w:t xml:space="preserve"> </w:t>
            </w:r>
            <w:proofErr w:type="spellStart"/>
            <w:r w:rsidRPr="00DE0F38">
              <w:rPr>
                <w:i/>
                <w:sz w:val="20"/>
                <w:szCs w:val="20"/>
                <w:lang w:val="fr-CA"/>
              </w:rPr>
              <w:t>Act</w:t>
            </w:r>
            <w:proofErr w:type="spellEnd"/>
            <w:r w:rsidRPr="00DE0F38">
              <w:rPr>
                <w:sz w:val="20"/>
                <w:szCs w:val="20"/>
                <w:lang w:val="fr-CA"/>
              </w:rPr>
              <w:t xml:space="preserve">, R.S.A. 2000, ch. M-14, portent-ils atteinte à l’al. 2d) de la </w:t>
            </w:r>
            <w:r w:rsidRPr="00DE0F38">
              <w:rPr>
                <w:i/>
                <w:sz w:val="20"/>
                <w:szCs w:val="20"/>
                <w:lang w:val="fr-CA"/>
              </w:rPr>
              <w:t>Charte canadienne des droits et libertés</w:t>
            </w:r>
            <w:r w:rsidRPr="00DE0F38">
              <w:rPr>
                <w:sz w:val="20"/>
                <w:szCs w:val="20"/>
                <w:lang w:val="fr-CA"/>
              </w:rPr>
              <w:t xml:space="preserve">? - Dans l’affirmative, cette atteinte constitue-t-elle une limite raisonnable prescrite par une règle de droit, dont la justification peut se démontrer dans le cadre d’une société libre et démocratique, au sens de l’article premier de la </w:t>
            </w:r>
            <w:r w:rsidRPr="00DE0F38">
              <w:rPr>
                <w:i/>
                <w:sz w:val="20"/>
                <w:szCs w:val="20"/>
                <w:lang w:val="fr-CA"/>
              </w:rPr>
              <w:t>Charte canadienne des droits et libertés</w:t>
            </w:r>
            <w:r w:rsidRPr="00DE0F38">
              <w:rPr>
                <w:sz w:val="20"/>
                <w:szCs w:val="20"/>
                <w:lang w:val="fr-CA"/>
              </w:rPr>
              <w:t xml:space="preserve">? - Les </w:t>
            </w:r>
            <w:proofErr w:type="gramStart"/>
            <w:r w:rsidRPr="00DE0F38">
              <w:rPr>
                <w:sz w:val="20"/>
                <w:szCs w:val="20"/>
                <w:lang w:val="fr-CA"/>
              </w:rPr>
              <w:t>art</w:t>
            </w:r>
            <w:proofErr w:type="gramEnd"/>
            <w:r w:rsidRPr="00DE0F38">
              <w:rPr>
                <w:sz w:val="20"/>
                <w:szCs w:val="20"/>
                <w:lang w:val="fr-CA"/>
              </w:rPr>
              <w:t xml:space="preserve">. 75 ou 90 de la </w:t>
            </w:r>
            <w:r w:rsidRPr="00DE0F38">
              <w:rPr>
                <w:i/>
                <w:sz w:val="20"/>
                <w:szCs w:val="20"/>
                <w:lang w:val="fr-CA"/>
              </w:rPr>
              <w:t xml:space="preserve">Métis </w:t>
            </w:r>
            <w:proofErr w:type="spellStart"/>
            <w:r w:rsidRPr="00DE0F38">
              <w:rPr>
                <w:i/>
                <w:sz w:val="20"/>
                <w:szCs w:val="20"/>
                <w:lang w:val="fr-CA"/>
              </w:rPr>
              <w:t>Settlements</w:t>
            </w:r>
            <w:proofErr w:type="spellEnd"/>
            <w:r w:rsidRPr="00DE0F38">
              <w:rPr>
                <w:i/>
                <w:sz w:val="20"/>
                <w:szCs w:val="20"/>
                <w:lang w:val="fr-CA"/>
              </w:rPr>
              <w:t xml:space="preserve"> </w:t>
            </w:r>
            <w:proofErr w:type="spellStart"/>
            <w:r w:rsidRPr="00DE0F38">
              <w:rPr>
                <w:i/>
                <w:sz w:val="20"/>
                <w:szCs w:val="20"/>
                <w:lang w:val="fr-CA"/>
              </w:rPr>
              <w:t>Act</w:t>
            </w:r>
            <w:proofErr w:type="spellEnd"/>
            <w:r w:rsidRPr="00DE0F38">
              <w:rPr>
                <w:sz w:val="20"/>
                <w:szCs w:val="20"/>
                <w:lang w:val="fr-CA"/>
              </w:rPr>
              <w:t xml:space="preserve">, R.S.A. 2000, ch. M-14, portent-ils atteinte à l’art. 7 de la </w:t>
            </w:r>
            <w:r w:rsidRPr="00DE0F38">
              <w:rPr>
                <w:i/>
                <w:sz w:val="20"/>
                <w:szCs w:val="20"/>
                <w:lang w:val="fr-CA"/>
              </w:rPr>
              <w:t>Charte canadienne des droits et libertés</w:t>
            </w:r>
            <w:r w:rsidRPr="00DE0F38">
              <w:rPr>
                <w:sz w:val="20"/>
                <w:szCs w:val="20"/>
                <w:lang w:val="fr-CA"/>
              </w:rPr>
              <w:t xml:space="preserve">? - Dans l’affirmative, cette atteinte constitue-t-elle une limite raisonnable prescrite par une règle de droit, dont la justification peut se démontrer dans le cadre d’une société libre et démocratique, au sens de l’article premier de la </w:t>
            </w:r>
            <w:r w:rsidRPr="00DE0F38">
              <w:rPr>
                <w:i/>
                <w:sz w:val="20"/>
                <w:szCs w:val="20"/>
                <w:lang w:val="fr-CA"/>
              </w:rPr>
              <w:t>Charte canadienne des droits et libertés</w:t>
            </w:r>
            <w:r w:rsidRPr="00DE0F38">
              <w:rPr>
                <w:sz w:val="20"/>
                <w:szCs w:val="20"/>
                <w:lang w:val="fr-CA"/>
              </w:rPr>
              <w:t xml:space="preserve">? - Les </w:t>
            </w:r>
            <w:proofErr w:type="gramStart"/>
            <w:r w:rsidRPr="00DE0F38">
              <w:rPr>
                <w:sz w:val="20"/>
                <w:szCs w:val="20"/>
                <w:lang w:val="fr-CA"/>
              </w:rPr>
              <w:t>art</w:t>
            </w:r>
            <w:proofErr w:type="gramEnd"/>
            <w:r w:rsidRPr="00DE0F38">
              <w:rPr>
                <w:sz w:val="20"/>
                <w:szCs w:val="20"/>
                <w:lang w:val="fr-CA"/>
              </w:rPr>
              <w:t xml:space="preserve">. 75 ou 90 de la </w:t>
            </w:r>
            <w:r w:rsidRPr="00DE0F38">
              <w:rPr>
                <w:i/>
                <w:sz w:val="20"/>
                <w:szCs w:val="20"/>
                <w:lang w:val="fr-CA"/>
              </w:rPr>
              <w:t xml:space="preserve">Métis </w:t>
            </w:r>
            <w:proofErr w:type="spellStart"/>
            <w:r w:rsidRPr="00DE0F38">
              <w:rPr>
                <w:i/>
                <w:sz w:val="20"/>
                <w:szCs w:val="20"/>
                <w:lang w:val="fr-CA"/>
              </w:rPr>
              <w:t>Settlements</w:t>
            </w:r>
            <w:proofErr w:type="spellEnd"/>
            <w:r w:rsidRPr="00DE0F38">
              <w:rPr>
                <w:i/>
                <w:sz w:val="20"/>
                <w:szCs w:val="20"/>
                <w:lang w:val="fr-CA"/>
              </w:rPr>
              <w:t xml:space="preserve"> </w:t>
            </w:r>
            <w:proofErr w:type="spellStart"/>
            <w:r w:rsidRPr="00DE0F38">
              <w:rPr>
                <w:i/>
                <w:sz w:val="20"/>
                <w:szCs w:val="20"/>
                <w:lang w:val="fr-CA"/>
              </w:rPr>
              <w:t>Act</w:t>
            </w:r>
            <w:proofErr w:type="spellEnd"/>
            <w:r w:rsidRPr="00DE0F38">
              <w:rPr>
                <w:sz w:val="20"/>
                <w:szCs w:val="20"/>
                <w:lang w:val="fr-CA"/>
              </w:rPr>
              <w:t xml:space="preserve">, R.S.A. 2000, ch. M-14, portent-ils atteinte à l’art. 15 de la </w:t>
            </w:r>
            <w:r w:rsidRPr="00DE0F38">
              <w:rPr>
                <w:i/>
                <w:sz w:val="20"/>
                <w:szCs w:val="20"/>
                <w:lang w:val="fr-CA"/>
              </w:rPr>
              <w:t>Charte canadienne des droits et libertés</w:t>
            </w:r>
            <w:r w:rsidRPr="00DE0F38">
              <w:rPr>
                <w:sz w:val="20"/>
                <w:szCs w:val="20"/>
                <w:lang w:val="fr-CA"/>
              </w:rPr>
              <w:t xml:space="preserve">? - Dans l’affirmative, cette atteinte constitue-t-elle une limite raisonnable prescrite par une règle de droit, dont la justification peut se démontrer dans le cadre d’une société libre et démocratique, au sens de l’article premier de la </w:t>
            </w:r>
            <w:r w:rsidRPr="00DE0F38">
              <w:rPr>
                <w:i/>
                <w:sz w:val="20"/>
                <w:szCs w:val="20"/>
                <w:lang w:val="fr-CA"/>
              </w:rPr>
              <w:t>Charte canadienne des droits et libertés</w:t>
            </w:r>
            <w:r w:rsidRPr="00DE0F38">
              <w:rPr>
                <w:sz w:val="20"/>
                <w:szCs w:val="20"/>
                <w:lang w:val="fr-CA"/>
              </w:rPr>
              <w:t>?</w:t>
            </w:r>
          </w:p>
        </w:tc>
      </w:tr>
    </w:tbl>
    <w:p w:rsidR="00CD46D1" w:rsidRDefault="00CD46D1" w:rsidP="00732DB7">
      <w:pPr>
        <w:widowControl w:val="0"/>
        <w:rPr>
          <w:sz w:val="20"/>
          <w:szCs w:val="20"/>
          <w:lang w:val="fr-CA"/>
        </w:rPr>
      </w:pPr>
    </w:p>
    <w:p w:rsidR="00D15140" w:rsidRDefault="006D705A" w:rsidP="00732DB7">
      <w:pPr>
        <w:widowControl w:val="0"/>
        <w:rPr>
          <w:sz w:val="20"/>
          <w:szCs w:val="20"/>
          <w:lang w:val="fr-CA"/>
        </w:rPr>
      </w:pPr>
      <w:r w:rsidRPr="006D705A">
        <w:rPr>
          <w:sz w:val="20"/>
          <w:szCs w:val="20"/>
          <w:lang w:val="fr-CA"/>
        </w:rPr>
        <w:pict>
          <v:rect id="_x0000_i1061" style="width:2in;height:1pt" o:hrpct="0" o:hralign="center" o:hrstd="t" o:hrnoshade="t" o:hr="t" fillcolor="black [3213]" stroked="f"/>
        </w:pict>
      </w:r>
    </w:p>
    <w:p w:rsidR="00D15140" w:rsidRPr="00CD46D1" w:rsidRDefault="00D15140" w:rsidP="00732DB7">
      <w:pPr>
        <w:widowControl w:val="0"/>
        <w:rPr>
          <w:sz w:val="20"/>
          <w:szCs w:val="20"/>
          <w:lang w:val="fr-CA"/>
        </w:rPr>
      </w:pPr>
    </w:p>
    <w:p w:rsidR="00CD46D1" w:rsidRPr="00CD46D1" w:rsidRDefault="00CD46D1" w:rsidP="00732DB7">
      <w:pPr>
        <w:widowControl w:val="0"/>
        <w:rPr>
          <w:sz w:val="20"/>
          <w:szCs w:val="20"/>
          <w:lang w:val="fr-CA"/>
        </w:rPr>
      </w:pPr>
    </w:p>
    <w:p w:rsidR="00732DB7" w:rsidRPr="00CD46D1" w:rsidRDefault="00732DB7" w:rsidP="00732DB7">
      <w:pPr>
        <w:widowControl w:val="0"/>
        <w:rPr>
          <w:sz w:val="20"/>
          <w:szCs w:val="20"/>
          <w:lang w:val="fr-CA"/>
        </w:rPr>
        <w:sectPr w:rsidR="00732DB7" w:rsidRPr="00CD46D1"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7533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544A28" w:rsidP="00AF1715">
      <w:pPr>
        <w:rPr>
          <w:b/>
          <w:sz w:val="20"/>
          <w:szCs w:val="20"/>
        </w:rPr>
      </w:pPr>
      <w:r>
        <w:rPr>
          <w:b/>
          <w:sz w:val="20"/>
          <w:szCs w:val="20"/>
        </w:rPr>
        <w:t>DECE</w:t>
      </w:r>
      <w:r w:rsidR="00AF1715" w:rsidRPr="003B3977">
        <w:rPr>
          <w:b/>
          <w:sz w:val="20"/>
          <w:szCs w:val="20"/>
        </w:rPr>
        <w:t xml:space="preserve">MBER </w:t>
      </w:r>
      <w:r>
        <w:rPr>
          <w:b/>
          <w:sz w:val="20"/>
          <w:szCs w:val="20"/>
        </w:rPr>
        <w:t>16</w:t>
      </w:r>
      <w:r w:rsidR="00AF1715" w:rsidRPr="003B3977">
        <w:rPr>
          <w:b/>
          <w:sz w:val="20"/>
          <w:szCs w:val="20"/>
        </w:rPr>
        <w:t xml:space="preserve">, 2010 / LE </w:t>
      </w:r>
      <w:r>
        <w:rPr>
          <w:b/>
          <w:sz w:val="20"/>
          <w:szCs w:val="20"/>
        </w:rPr>
        <w:t>16 DÉC</w:t>
      </w:r>
      <w:r w:rsidR="00AF1715" w:rsidRPr="003B3977">
        <w:rPr>
          <w:b/>
          <w:sz w:val="20"/>
          <w:szCs w:val="20"/>
        </w:rPr>
        <w:t>EMBRE 2010</w:t>
      </w:r>
    </w:p>
    <w:p w:rsidR="00AF1715" w:rsidRDefault="00AF1715" w:rsidP="00AF1715">
      <w:pPr>
        <w:rPr>
          <w:sz w:val="20"/>
          <w:szCs w:val="20"/>
        </w:rPr>
      </w:pPr>
    </w:p>
    <w:p w:rsidR="000F0DAC" w:rsidRPr="00C476D9" w:rsidRDefault="000F0DAC" w:rsidP="000F0DA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lang w:val="en-GB"/>
        </w:rPr>
      </w:pPr>
      <w:r w:rsidRPr="00E43E3E">
        <w:rPr>
          <w:b/>
          <w:sz w:val="20"/>
        </w:rPr>
        <w:t>33239</w:t>
      </w:r>
      <w:r w:rsidRPr="00C476D9">
        <w:rPr>
          <w:b/>
          <w:sz w:val="20"/>
          <w:lang w:val="en-GB"/>
        </w:rPr>
        <w:tab/>
      </w:r>
      <w:r w:rsidRPr="00C476D9">
        <w:rPr>
          <w:b/>
          <w:sz w:val="20"/>
          <w:lang w:val="en-GB"/>
        </w:rPr>
        <w:tab/>
      </w:r>
      <w:r w:rsidRPr="007A0CC8">
        <w:rPr>
          <w:b/>
          <w:iCs/>
          <w:sz w:val="20"/>
          <w:u w:val="single"/>
        </w:rPr>
        <w:t>Century Services Inc. v. Attorney General of Canada on behalf of Her Majesty the Queen in Right of Canada</w:t>
      </w:r>
      <w:r w:rsidRPr="00E43E3E">
        <w:rPr>
          <w:i/>
          <w:iCs/>
          <w:color w:val="3A3A3A"/>
          <w:szCs w:val="24"/>
        </w:rPr>
        <w:t xml:space="preserve"> </w:t>
      </w:r>
      <w:r w:rsidRPr="00C476D9">
        <w:rPr>
          <w:sz w:val="20"/>
          <w:lang w:val="en-GB"/>
        </w:rPr>
        <w:t>(B.C.)</w:t>
      </w:r>
    </w:p>
    <w:p w:rsidR="000F0DAC" w:rsidRPr="00C476D9" w:rsidRDefault="000F0DAC" w:rsidP="000F0DA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476D9">
        <w:rPr>
          <w:b/>
          <w:sz w:val="20"/>
        </w:rPr>
        <w:t xml:space="preserve">2010 SCC </w:t>
      </w:r>
      <w:r>
        <w:rPr>
          <w:b/>
          <w:sz w:val="20"/>
        </w:rPr>
        <w:t>60</w:t>
      </w:r>
      <w:r w:rsidRPr="00C476D9">
        <w:rPr>
          <w:b/>
          <w:sz w:val="20"/>
        </w:rPr>
        <w:t xml:space="preserve"> / 2010 CSC </w:t>
      </w:r>
      <w:r>
        <w:rPr>
          <w:b/>
          <w:sz w:val="20"/>
        </w:rPr>
        <w:t>60</w:t>
      </w:r>
    </w:p>
    <w:p w:rsidR="000F0DAC" w:rsidRPr="00AC4266" w:rsidRDefault="000F0DAC" w:rsidP="000F0DA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rPr>
      </w:pPr>
    </w:p>
    <w:p w:rsidR="000F0DAC" w:rsidRPr="00C476D9" w:rsidRDefault="000F0DAC" w:rsidP="000F0DA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r w:rsidRPr="00C476D9">
        <w:rPr>
          <w:sz w:val="20"/>
        </w:rPr>
        <w:t>Coram:</w:t>
      </w:r>
      <w:r>
        <w:rPr>
          <w:sz w:val="20"/>
        </w:rPr>
        <w:tab/>
      </w:r>
      <w:r>
        <w:rPr>
          <w:sz w:val="20"/>
        </w:rPr>
        <w:tab/>
      </w:r>
      <w:proofErr w:type="spellStart"/>
      <w:r w:rsidRPr="00C476D9">
        <w:rPr>
          <w:sz w:val="20"/>
          <w:u w:val="single"/>
        </w:rPr>
        <w:t>McLachlin</w:t>
      </w:r>
      <w:proofErr w:type="spellEnd"/>
      <w:r w:rsidRPr="00C476D9">
        <w:rPr>
          <w:sz w:val="20"/>
          <w:u w:val="single"/>
        </w:rPr>
        <w:t xml:space="preserve"> C.J. and </w:t>
      </w:r>
      <w:proofErr w:type="spellStart"/>
      <w:r w:rsidRPr="00C476D9">
        <w:rPr>
          <w:sz w:val="20"/>
          <w:u w:val="single"/>
        </w:rPr>
        <w:t>Binnie</w:t>
      </w:r>
      <w:proofErr w:type="spellEnd"/>
      <w:r w:rsidRPr="00C476D9">
        <w:rPr>
          <w:sz w:val="20"/>
          <w:u w:val="single"/>
        </w:rPr>
        <w:t xml:space="preserve">, </w:t>
      </w:r>
      <w:proofErr w:type="spellStart"/>
      <w:r w:rsidRPr="00C476D9">
        <w:rPr>
          <w:sz w:val="20"/>
          <w:u w:val="single"/>
        </w:rPr>
        <w:t>LeBel</w:t>
      </w:r>
      <w:proofErr w:type="spellEnd"/>
      <w:r w:rsidRPr="00C476D9">
        <w:rPr>
          <w:sz w:val="20"/>
          <w:u w:val="single"/>
        </w:rPr>
        <w:t xml:space="preserve">, </w:t>
      </w:r>
      <w:proofErr w:type="spellStart"/>
      <w:proofErr w:type="gramStart"/>
      <w:r w:rsidRPr="00C476D9">
        <w:rPr>
          <w:sz w:val="20"/>
          <w:u w:val="single"/>
        </w:rPr>
        <w:t>Dechamps</w:t>
      </w:r>
      <w:proofErr w:type="spellEnd"/>
      <w:r w:rsidRPr="00C476D9">
        <w:rPr>
          <w:sz w:val="20"/>
          <w:u w:val="single"/>
        </w:rPr>
        <w:t>,</w:t>
      </w:r>
      <w:proofErr w:type="gramEnd"/>
      <w:r w:rsidRPr="00C476D9">
        <w:rPr>
          <w:sz w:val="20"/>
          <w:u w:val="single"/>
        </w:rPr>
        <w:t xml:space="preserve"> Fish, </w:t>
      </w:r>
      <w:proofErr w:type="spellStart"/>
      <w:r w:rsidRPr="00C476D9">
        <w:rPr>
          <w:sz w:val="20"/>
          <w:u w:val="single"/>
        </w:rPr>
        <w:t>Abella</w:t>
      </w:r>
      <w:proofErr w:type="spellEnd"/>
      <w:r w:rsidRPr="00C476D9">
        <w:rPr>
          <w:sz w:val="20"/>
          <w:u w:val="single"/>
        </w:rPr>
        <w:t xml:space="preserve">, </w:t>
      </w:r>
      <w:proofErr w:type="spellStart"/>
      <w:r w:rsidRPr="00C476D9">
        <w:rPr>
          <w:sz w:val="20"/>
          <w:u w:val="single"/>
        </w:rPr>
        <w:t>Charron</w:t>
      </w:r>
      <w:proofErr w:type="spellEnd"/>
      <w:r w:rsidRPr="00C476D9">
        <w:rPr>
          <w:sz w:val="20"/>
          <w:u w:val="single"/>
        </w:rPr>
        <w:t>, Rothstein and Cromwell JJ.</w:t>
      </w:r>
    </w:p>
    <w:p w:rsidR="000F0DAC" w:rsidRDefault="000F0DAC" w:rsidP="000F0DA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F0DAC" w:rsidRPr="00E43E3E" w:rsidRDefault="000F0DAC" w:rsidP="000F0DA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E43E3E">
        <w:rPr>
          <w:sz w:val="20"/>
        </w:rPr>
        <w:t xml:space="preserve">The appeal from the judgment of the Court of Appeal for British Columbia (Vancouver), Number CA036474, 2009 BCCA 205, dated May 7, 2009, heard on May 11, 2010, is allowed, </w:t>
      </w:r>
      <w:proofErr w:type="spellStart"/>
      <w:r w:rsidRPr="00E43E3E">
        <w:rPr>
          <w:sz w:val="20"/>
        </w:rPr>
        <w:t>Abella</w:t>
      </w:r>
      <w:proofErr w:type="spellEnd"/>
      <w:r w:rsidRPr="00E43E3E">
        <w:rPr>
          <w:sz w:val="20"/>
        </w:rPr>
        <w:t xml:space="preserve"> J. dissenting. The decision of the Court of Appeal is set aside and the judgment of the Supreme Court of British Columbia dated September 3, 2008, is restored. Costs are awarded for this appeal and the appeal in the court below.</w:t>
      </w:r>
    </w:p>
    <w:p w:rsidR="000F0DAC" w:rsidRDefault="000F0DAC" w:rsidP="000F0DA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44A28" w:rsidRPr="000F0DAC" w:rsidRDefault="000F0DAC" w:rsidP="000F0DAC">
      <w:pPr>
        <w:jc w:val="both"/>
        <w:rPr>
          <w:sz w:val="20"/>
          <w:szCs w:val="20"/>
          <w:lang w:val="fr-CA"/>
        </w:rPr>
      </w:pPr>
      <w:r w:rsidRPr="00E43E3E">
        <w:rPr>
          <w:sz w:val="20"/>
          <w:lang w:val="fr-CA"/>
        </w:rPr>
        <w:t>L’appel interjeté contre l’arrêt de la Cour d’appel de la Colombie-Britannique (Vancouver), numéro CA036474, 2009 BCCA 205, en date du 7 mai 2009, entendu le 11 mai 2010, est accueilli. La juge Abella est dissidente. L’arrêt de la Cour d’appel est infirmé et le jugement de la Cour suprême de la Colombie-Britannique daté du 3 septembre 2008 est rétabli. Les dépens sont accordés à l’égard du présent pourvoi et de l’appel interjeté devant la juridiction inférieure.</w:t>
      </w:r>
    </w:p>
    <w:p w:rsidR="00544A28" w:rsidRPr="000F0DAC" w:rsidRDefault="00544A28" w:rsidP="00AF1715">
      <w:pPr>
        <w:rPr>
          <w:sz w:val="20"/>
          <w:szCs w:val="20"/>
          <w:lang w:val="fr-CA"/>
        </w:rPr>
      </w:pPr>
    </w:p>
    <w:p w:rsidR="00AF1715" w:rsidRPr="006C5F7A" w:rsidRDefault="006D705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6D705A">
        <w:rPr>
          <w:rFonts w:cs="Times New Roman"/>
          <w:b/>
          <w:sz w:val="20"/>
          <w:szCs w:val="20"/>
        </w:rPr>
        <w:pict>
          <v:rect id="_x0000_i1064"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44A28" w:rsidRDefault="00544A28" w:rsidP="005C6840">
      <w:pPr>
        <w:rPr>
          <w:rFonts w:cs="Times New Roman"/>
          <w:i/>
          <w:sz w:val="20"/>
          <w:szCs w:val="20"/>
        </w:rPr>
      </w:pPr>
      <w:r w:rsidRPr="00544A28">
        <w:rPr>
          <w:rFonts w:eastAsia="Calibri" w:cs="Times New Roman"/>
          <w:i/>
          <w:sz w:val="20"/>
          <w:szCs w:val="20"/>
          <w:lang w:val="en-GB"/>
        </w:rPr>
        <w:t xml:space="preserve">Century Services Inc. v. Attorney General of Canada on behalf of Her Majesty the Queen in Right of Canada et al. </w:t>
      </w:r>
      <w:r w:rsidRPr="00544A28">
        <w:rPr>
          <w:rFonts w:eastAsia="Calibri" w:cs="Times New Roman"/>
          <w:sz w:val="20"/>
          <w:szCs w:val="20"/>
          <w:lang w:val="en-GB"/>
        </w:rPr>
        <w:t>(B.C.) (33239)</w:t>
      </w:r>
    </w:p>
    <w:p w:rsidR="00544A28" w:rsidRDefault="00544A28" w:rsidP="00544A28">
      <w:pPr>
        <w:jc w:val="both"/>
        <w:rPr>
          <w:rStyle w:val="SCCRespondentForIndexChar"/>
          <w:rFonts w:eastAsiaTheme="minorHAnsi"/>
          <w:sz w:val="20"/>
        </w:rPr>
      </w:pPr>
      <w:r w:rsidRPr="00B018F5">
        <w:rPr>
          <w:b/>
          <w:sz w:val="20"/>
          <w:szCs w:val="20"/>
        </w:rPr>
        <w:t>Indexed as:  </w:t>
      </w:r>
      <w:r w:rsidRPr="00544A28">
        <w:rPr>
          <w:rStyle w:val="SCCAppellantForIndexChar"/>
          <w:rFonts w:eastAsia="Calibri"/>
          <w:sz w:val="20"/>
          <w:lang w:val="en-CA"/>
        </w:rPr>
        <w:t>Century Services Inc.</w:t>
      </w:r>
      <w:r w:rsidRPr="00B018F5">
        <w:rPr>
          <w:b/>
          <w:sz w:val="20"/>
          <w:szCs w:val="20"/>
        </w:rPr>
        <w:t xml:space="preserve"> </w:t>
      </w:r>
      <w:r w:rsidRPr="00B018F5">
        <w:rPr>
          <w:b/>
          <w:i/>
          <w:sz w:val="20"/>
          <w:szCs w:val="20"/>
        </w:rPr>
        <w:t>v.</w:t>
      </w:r>
      <w:r w:rsidRPr="00B018F5">
        <w:rPr>
          <w:b/>
          <w:sz w:val="20"/>
          <w:szCs w:val="20"/>
        </w:rPr>
        <w:t xml:space="preserve"> </w:t>
      </w:r>
      <w:r w:rsidRPr="00B018F5">
        <w:rPr>
          <w:rStyle w:val="SCCRespondentForIndexChar"/>
          <w:rFonts w:eastAsiaTheme="minorHAnsi"/>
          <w:sz w:val="20"/>
        </w:rPr>
        <w:t>Canada (Attorney General)</w:t>
      </w:r>
      <w:r>
        <w:rPr>
          <w:rStyle w:val="SCCRespondentForIndexChar"/>
          <w:rFonts w:eastAsiaTheme="minorHAnsi"/>
          <w:sz w:val="20"/>
        </w:rPr>
        <w:t xml:space="preserve"> / </w:t>
      </w:r>
    </w:p>
    <w:p w:rsidR="00544A28" w:rsidRPr="00544A28" w:rsidRDefault="00544A28" w:rsidP="00544A28">
      <w:pPr>
        <w:jc w:val="both"/>
        <w:rPr>
          <w:rFonts w:cs="Times New Roman"/>
          <w:b/>
          <w:sz w:val="20"/>
          <w:szCs w:val="20"/>
          <w:lang w:val="fr-CA"/>
        </w:rPr>
      </w:pPr>
      <w:r w:rsidRPr="00544A28">
        <w:rPr>
          <w:rFonts w:cs="Times New Roman"/>
          <w:b/>
          <w:sz w:val="20"/>
          <w:szCs w:val="20"/>
          <w:lang w:val="fr-CA"/>
        </w:rPr>
        <w:t>Répertorié : </w:t>
      </w:r>
      <w:r w:rsidRPr="00544A28">
        <w:rPr>
          <w:rStyle w:val="SCCAppellantForIndexChar"/>
          <w:rFonts w:eastAsia="Calibri"/>
          <w:sz w:val="20"/>
        </w:rPr>
        <w:t>Century Services Inc.</w:t>
      </w:r>
      <w:r w:rsidRPr="00544A28">
        <w:rPr>
          <w:rFonts w:cs="Times New Roman"/>
          <w:b/>
          <w:sz w:val="20"/>
          <w:szCs w:val="20"/>
          <w:lang w:val="fr-CA"/>
        </w:rPr>
        <w:t xml:space="preserve"> </w:t>
      </w:r>
      <w:r w:rsidRPr="00544A28">
        <w:rPr>
          <w:rFonts w:cs="Times New Roman"/>
          <w:b/>
          <w:i/>
          <w:sz w:val="20"/>
          <w:szCs w:val="20"/>
          <w:lang w:val="fr-CA"/>
        </w:rPr>
        <w:t>c.</w:t>
      </w:r>
      <w:r w:rsidRPr="00544A28">
        <w:rPr>
          <w:rFonts w:cs="Times New Roman"/>
          <w:b/>
          <w:sz w:val="20"/>
          <w:szCs w:val="20"/>
          <w:lang w:val="fr-CA"/>
        </w:rPr>
        <w:t xml:space="preserve"> </w:t>
      </w:r>
      <w:r w:rsidRPr="00544A28">
        <w:rPr>
          <w:rStyle w:val="SCCRespondentForIndexChar"/>
          <w:rFonts w:eastAsiaTheme="minorHAnsi"/>
          <w:sz w:val="20"/>
          <w:lang w:val="fr-CA"/>
        </w:rPr>
        <w:t>Canada (Procureur général)</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2010</w:t>
      </w:r>
      <w:proofErr w:type="gramEnd"/>
      <w:r w:rsidRPr="003B3977">
        <w:rPr>
          <w:sz w:val="20"/>
        </w:rPr>
        <w:t xml:space="preserve"> SCC </w:t>
      </w:r>
      <w:r w:rsidR="00544A28">
        <w:rPr>
          <w:sz w:val="20"/>
        </w:rPr>
        <w:t>60</w:t>
      </w:r>
      <w:r w:rsidRPr="003B3977">
        <w:rPr>
          <w:sz w:val="20"/>
        </w:rPr>
        <w:t xml:space="preserve"> / Référence neutre : 2010 CSC </w:t>
      </w:r>
      <w:r w:rsidR="00544A28">
        <w:rPr>
          <w:sz w:val="20"/>
        </w:rPr>
        <w:t>60</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r w:rsidR="00544A28">
        <w:rPr>
          <w:rFonts w:cs="Times New Roman"/>
          <w:sz w:val="20"/>
          <w:szCs w:val="20"/>
          <w:lang w:val="fr-CA"/>
        </w:rPr>
        <w:t>May</w:t>
      </w:r>
      <w:proofErr w:type="gramEnd"/>
      <w:r w:rsidR="00544A28">
        <w:rPr>
          <w:rFonts w:cs="Times New Roman"/>
          <w:sz w:val="20"/>
          <w:szCs w:val="20"/>
          <w:lang w:val="fr-CA"/>
        </w:rPr>
        <w:t xml:space="preserve"> 11</w:t>
      </w:r>
      <w:r w:rsidRPr="003B3977">
        <w:rPr>
          <w:rFonts w:cs="Times New Roman"/>
          <w:sz w:val="20"/>
          <w:szCs w:val="20"/>
          <w:lang w:val="fr-CA"/>
        </w:rPr>
        <w:t xml:space="preserve">, 2010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544A28">
        <w:rPr>
          <w:rFonts w:cs="Times New Roman"/>
          <w:sz w:val="20"/>
          <w:szCs w:val="20"/>
          <w:lang w:val="fr-CA"/>
        </w:rPr>
        <w:t>December</w:t>
      </w:r>
      <w:proofErr w:type="spellEnd"/>
      <w:r w:rsidRPr="003B3977">
        <w:rPr>
          <w:rFonts w:cs="Times New Roman"/>
          <w:sz w:val="20"/>
          <w:szCs w:val="20"/>
          <w:lang w:val="fr-CA"/>
        </w:rPr>
        <w:t xml:space="preserve"> </w:t>
      </w:r>
      <w:r w:rsidR="00544A28">
        <w:rPr>
          <w:rFonts w:cs="Times New Roman"/>
          <w:sz w:val="20"/>
          <w:szCs w:val="20"/>
          <w:lang w:val="fr-CA"/>
        </w:rPr>
        <w:t>16</w:t>
      </w:r>
      <w:r w:rsidRPr="003B3977">
        <w:rPr>
          <w:rFonts w:cs="Times New Roman"/>
          <w:sz w:val="20"/>
          <w:szCs w:val="20"/>
          <w:lang w:val="fr-CA"/>
        </w:rPr>
        <w:t>, 2010</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544A28">
        <w:rPr>
          <w:rFonts w:cs="Times New Roman"/>
          <w:sz w:val="20"/>
          <w:szCs w:val="20"/>
          <w:lang w:val="fr-CA"/>
        </w:rPr>
        <w:t>11 mai</w:t>
      </w:r>
      <w:r w:rsidRPr="003B3977">
        <w:rPr>
          <w:rFonts w:cs="Times New Roman"/>
          <w:sz w:val="20"/>
          <w:szCs w:val="20"/>
          <w:lang w:val="fr-CA"/>
        </w:rPr>
        <w:t xml:space="preserve"> 2010 / Jugement : Le </w:t>
      </w:r>
      <w:r w:rsidR="00544A28">
        <w:rPr>
          <w:rFonts w:cs="Times New Roman"/>
          <w:sz w:val="20"/>
          <w:szCs w:val="20"/>
          <w:lang w:val="fr-CA"/>
        </w:rPr>
        <w:t>16 décem</w:t>
      </w:r>
      <w:r w:rsidRPr="003B3977">
        <w:rPr>
          <w:rFonts w:cs="Times New Roman"/>
          <w:sz w:val="20"/>
          <w:szCs w:val="20"/>
          <w:lang w:val="fr-CA"/>
        </w:rPr>
        <w:t>bre 2010</w:t>
      </w:r>
    </w:p>
    <w:p w:rsidR="005C6840" w:rsidRPr="003B3977" w:rsidRDefault="006D705A" w:rsidP="005C6840">
      <w:pPr>
        <w:rPr>
          <w:rFonts w:cs="Times New Roman"/>
          <w:sz w:val="20"/>
          <w:szCs w:val="20"/>
          <w:lang w:val="fr-CA"/>
        </w:rPr>
      </w:pPr>
      <w:r w:rsidRPr="006D705A">
        <w:rPr>
          <w:rFonts w:cs="Times New Roman"/>
          <w:i/>
          <w:sz w:val="20"/>
          <w:szCs w:val="20"/>
        </w:rPr>
        <w:pict>
          <v:rect id="_x0000_i1067" style="width:480.95pt;height:1pt" o:hralign="center" o:hrstd="t" o:hrnoshade="t" o:hr="t" fillcolor="black [3213]" stroked="f"/>
        </w:pict>
      </w:r>
    </w:p>
    <w:p w:rsidR="005C6840" w:rsidRDefault="005C6840" w:rsidP="005C6840">
      <w:pPr>
        <w:rPr>
          <w:rFonts w:cs="Times New Roman"/>
          <w:sz w:val="20"/>
          <w:szCs w:val="20"/>
          <w:lang w:val="fr-CA"/>
        </w:rPr>
      </w:pPr>
    </w:p>
    <w:p w:rsidR="00544A28" w:rsidRPr="00B018F5" w:rsidRDefault="00544A28" w:rsidP="00544A28">
      <w:pPr>
        <w:jc w:val="both"/>
        <w:rPr>
          <w:sz w:val="20"/>
          <w:szCs w:val="20"/>
        </w:rPr>
      </w:pPr>
      <w:r w:rsidRPr="00B018F5">
        <w:rPr>
          <w:sz w:val="20"/>
          <w:szCs w:val="20"/>
        </w:rPr>
        <w:t>Present:  </w:t>
      </w:r>
      <w:proofErr w:type="spellStart"/>
      <w:r w:rsidRPr="00B018F5">
        <w:rPr>
          <w:sz w:val="20"/>
          <w:szCs w:val="20"/>
        </w:rPr>
        <w:t>McLachlin</w:t>
      </w:r>
      <w:proofErr w:type="spellEnd"/>
      <w:r w:rsidRPr="00B018F5">
        <w:rPr>
          <w:sz w:val="20"/>
          <w:szCs w:val="20"/>
        </w:rPr>
        <w:t xml:space="preserve"> C.J. and </w:t>
      </w:r>
      <w:proofErr w:type="spellStart"/>
      <w:r w:rsidRPr="00B018F5">
        <w:rPr>
          <w:sz w:val="20"/>
          <w:szCs w:val="20"/>
        </w:rPr>
        <w:t>Binnie</w:t>
      </w:r>
      <w:proofErr w:type="spellEnd"/>
      <w:r w:rsidRPr="00B018F5">
        <w:rPr>
          <w:sz w:val="20"/>
          <w:szCs w:val="20"/>
        </w:rPr>
        <w:t xml:space="preserve">, </w:t>
      </w:r>
      <w:proofErr w:type="spellStart"/>
      <w:r w:rsidRPr="00B018F5">
        <w:rPr>
          <w:sz w:val="20"/>
          <w:szCs w:val="20"/>
        </w:rPr>
        <w:t>LeBel</w:t>
      </w:r>
      <w:proofErr w:type="spellEnd"/>
      <w:r w:rsidRPr="00B018F5">
        <w:rPr>
          <w:sz w:val="20"/>
          <w:szCs w:val="20"/>
        </w:rPr>
        <w:t xml:space="preserve">, </w:t>
      </w:r>
      <w:proofErr w:type="spellStart"/>
      <w:r w:rsidRPr="00B018F5">
        <w:rPr>
          <w:sz w:val="20"/>
          <w:szCs w:val="20"/>
        </w:rPr>
        <w:t>Deschamps</w:t>
      </w:r>
      <w:proofErr w:type="spellEnd"/>
      <w:r w:rsidRPr="00B018F5">
        <w:rPr>
          <w:sz w:val="20"/>
          <w:szCs w:val="20"/>
        </w:rPr>
        <w:t xml:space="preserve">, Fish, </w:t>
      </w:r>
      <w:proofErr w:type="spellStart"/>
      <w:r w:rsidRPr="00B018F5">
        <w:rPr>
          <w:sz w:val="20"/>
          <w:szCs w:val="20"/>
        </w:rPr>
        <w:t>Abella</w:t>
      </w:r>
      <w:proofErr w:type="spellEnd"/>
      <w:r w:rsidRPr="00B018F5">
        <w:rPr>
          <w:sz w:val="20"/>
          <w:szCs w:val="20"/>
        </w:rPr>
        <w:t xml:space="preserve">, </w:t>
      </w:r>
      <w:proofErr w:type="spellStart"/>
      <w:r w:rsidRPr="00B018F5">
        <w:rPr>
          <w:sz w:val="20"/>
          <w:szCs w:val="20"/>
        </w:rPr>
        <w:t>Charron</w:t>
      </w:r>
      <w:proofErr w:type="spellEnd"/>
      <w:r w:rsidRPr="00B018F5">
        <w:rPr>
          <w:sz w:val="20"/>
          <w:szCs w:val="20"/>
        </w:rPr>
        <w:t>, Rothstein and Cromwell JJ.</w:t>
      </w:r>
    </w:p>
    <w:p w:rsidR="00544A28" w:rsidRPr="00544A28" w:rsidRDefault="00544A28" w:rsidP="005C6840">
      <w:pPr>
        <w:rPr>
          <w:rFonts w:cs="Times New Roman"/>
          <w:sz w:val="20"/>
          <w:szCs w:val="20"/>
        </w:rPr>
      </w:pPr>
    </w:p>
    <w:p w:rsidR="00CE4409" w:rsidRPr="00B018F5" w:rsidRDefault="00CE4409" w:rsidP="00CE4409">
      <w:pPr>
        <w:tabs>
          <w:tab w:val="left" w:pos="720"/>
        </w:tabs>
        <w:jc w:val="both"/>
        <w:rPr>
          <w:i/>
          <w:sz w:val="20"/>
          <w:szCs w:val="20"/>
        </w:rPr>
      </w:pPr>
      <w:r w:rsidRPr="00B018F5">
        <w:rPr>
          <w:b/>
          <w:sz w:val="20"/>
          <w:szCs w:val="20"/>
        </w:rPr>
        <w:tab/>
      </w:r>
      <w:r w:rsidRPr="00B018F5">
        <w:rPr>
          <w:i/>
          <w:sz w:val="20"/>
          <w:szCs w:val="20"/>
        </w:rPr>
        <w:t xml:space="preserve">Bankruptcy and Insolvency </w:t>
      </w:r>
      <w:r w:rsidRPr="00B018F5">
        <w:rPr>
          <w:i/>
          <w:iCs/>
          <w:color w:val="000000"/>
          <w:sz w:val="20"/>
          <w:szCs w:val="20"/>
        </w:rPr>
        <w:t xml:space="preserve">— </w:t>
      </w:r>
      <w:r w:rsidRPr="00B018F5">
        <w:rPr>
          <w:i/>
          <w:sz w:val="20"/>
          <w:szCs w:val="20"/>
        </w:rPr>
        <w:t xml:space="preserve">Priorities </w:t>
      </w:r>
      <w:r w:rsidRPr="00B018F5">
        <w:rPr>
          <w:i/>
          <w:iCs/>
          <w:color w:val="000000"/>
          <w:sz w:val="20"/>
          <w:szCs w:val="20"/>
        </w:rPr>
        <w:t xml:space="preserve">— Crown applying on eve of bankruptcy of debtor company to have GST monies held in trust paid to Receiver General of Canada — </w:t>
      </w:r>
      <w:r w:rsidRPr="00B018F5">
        <w:rPr>
          <w:i/>
          <w:sz w:val="20"/>
          <w:szCs w:val="20"/>
        </w:rPr>
        <w:t xml:space="preserve">Whether deemed trust in favour of Crown under Excise Tax Act prevails over provisions of Companies’ Creditors Arrangement Act purporting to nullify deemed trusts in favour of Crown </w:t>
      </w:r>
      <w:r w:rsidRPr="00B018F5">
        <w:rPr>
          <w:i/>
          <w:iCs/>
          <w:color w:val="000000"/>
          <w:sz w:val="20"/>
          <w:szCs w:val="20"/>
        </w:rPr>
        <w:t>—</w:t>
      </w:r>
      <w:r w:rsidRPr="00B018F5">
        <w:rPr>
          <w:i/>
          <w:sz w:val="20"/>
          <w:szCs w:val="20"/>
        </w:rPr>
        <w:t xml:space="preserve"> Companies’ Creditors Arrangement Act, R.S.C. 1985, c. C-36, s. 18.3(1) </w:t>
      </w:r>
      <w:r w:rsidRPr="00B018F5">
        <w:rPr>
          <w:i/>
          <w:iCs/>
          <w:color w:val="000000"/>
          <w:sz w:val="20"/>
          <w:szCs w:val="20"/>
        </w:rPr>
        <w:t>—</w:t>
      </w:r>
      <w:r w:rsidRPr="00B018F5">
        <w:rPr>
          <w:i/>
          <w:sz w:val="20"/>
          <w:szCs w:val="20"/>
        </w:rPr>
        <w:t xml:space="preserve"> Excise Tax Act, R.S.C. 1985, c. E-15, s. 222(3).</w:t>
      </w:r>
    </w:p>
    <w:p w:rsidR="00CE4409" w:rsidRPr="00B018F5" w:rsidRDefault="00CE4409" w:rsidP="00CE4409">
      <w:pPr>
        <w:tabs>
          <w:tab w:val="left" w:pos="990"/>
        </w:tabs>
        <w:jc w:val="both"/>
        <w:rPr>
          <w:i/>
          <w:iCs/>
          <w:color w:val="000000"/>
          <w:sz w:val="20"/>
          <w:szCs w:val="20"/>
        </w:rPr>
      </w:pPr>
    </w:p>
    <w:p w:rsidR="00CE4409" w:rsidRPr="00B018F5" w:rsidRDefault="00CE4409" w:rsidP="00CE4409">
      <w:pPr>
        <w:tabs>
          <w:tab w:val="left" w:pos="720"/>
        </w:tabs>
        <w:jc w:val="both"/>
        <w:rPr>
          <w:i/>
          <w:sz w:val="20"/>
          <w:szCs w:val="20"/>
        </w:rPr>
      </w:pPr>
      <w:r w:rsidRPr="00B018F5">
        <w:rPr>
          <w:i/>
          <w:iCs/>
          <w:color w:val="000000"/>
          <w:sz w:val="20"/>
          <w:szCs w:val="20"/>
        </w:rPr>
        <w:tab/>
        <w:t xml:space="preserve">Bankruptcy and insolvency — Procedure — Whether chambers judge had authority to make order partially lifting stay of proceedings to allow debtor company to make assignment in bankruptcy and to stay Crown’s right to enforce GST deemed trust — </w:t>
      </w:r>
      <w:r w:rsidRPr="00B018F5">
        <w:rPr>
          <w:i/>
          <w:sz w:val="20"/>
          <w:szCs w:val="20"/>
        </w:rPr>
        <w:t>Companies’ Creditors Arrangement Act</w:t>
      </w:r>
      <w:r w:rsidRPr="00B018F5">
        <w:rPr>
          <w:sz w:val="20"/>
          <w:szCs w:val="20"/>
        </w:rPr>
        <w:t xml:space="preserve">, </w:t>
      </w:r>
      <w:r w:rsidRPr="00B018F5">
        <w:rPr>
          <w:i/>
          <w:sz w:val="20"/>
          <w:szCs w:val="20"/>
        </w:rPr>
        <w:t>R.S.C. 1985, c. C-36, s. 11.</w:t>
      </w:r>
    </w:p>
    <w:p w:rsidR="00CE4409" w:rsidRPr="00B018F5" w:rsidRDefault="00CE4409" w:rsidP="00CE4409">
      <w:pPr>
        <w:tabs>
          <w:tab w:val="left" w:pos="990"/>
        </w:tabs>
        <w:rPr>
          <w:sz w:val="20"/>
          <w:szCs w:val="20"/>
        </w:rPr>
      </w:pPr>
    </w:p>
    <w:p w:rsidR="00CE4409" w:rsidRPr="00B018F5" w:rsidRDefault="00CE4409" w:rsidP="00CE4409">
      <w:pPr>
        <w:tabs>
          <w:tab w:val="left" w:pos="720"/>
        </w:tabs>
        <w:jc w:val="both"/>
        <w:rPr>
          <w:i/>
          <w:sz w:val="20"/>
          <w:szCs w:val="20"/>
        </w:rPr>
      </w:pPr>
      <w:r w:rsidRPr="00B018F5">
        <w:rPr>
          <w:i/>
          <w:sz w:val="20"/>
          <w:szCs w:val="20"/>
        </w:rPr>
        <w:tab/>
        <w:t xml:space="preserve">Trusts </w:t>
      </w:r>
      <w:r w:rsidRPr="00B018F5">
        <w:rPr>
          <w:i/>
          <w:iCs/>
          <w:color w:val="000000"/>
          <w:sz w:val="20"/>
          <w:szCs w:val="20"/>
        </w:rPr>
        <w:t xml:space="preserve">— </w:t>
      </w:r>
      <w:r w:rsidRPr="00B018F5">
        <w:rPr>
          <w:i/>
          <w:sz w:val="20"/>
          <w:szCs w:val="20"/>
        </w:rPr>
        <w:t xml:space="preserve">Express trusts </w:t>
      </w:r>
      <w:r w:rsidRPr="00B018F5">
        <w:rPr>
          <w:i/>
          <w:iCs/>
          <w:color w:val="000000"/>
          <w:sz w:val="20"/>
          <w:szCs w:val="20"/>
        </w:rPr>
        <w:t xml:space="preserve">— GST collected but unremitted to Crown — Judge ordering that GST be held by Monitor in trust account — </w:t>
      </w:r>
      <w:r w:rsidRPr="00B018F5">
        <w:rPr>
          <w:i/>
          <w:sz w:val="20"/>
          <w:szCs w:val="20"/>
        </w:rPr>
        <w:t xml:space="preserve">Whether segregation of Crown’s GST claim in Monitor’s account created an express trust in favour of Crown. </w:t>
      </w:r>
    </w:p>
    <w:p w:rsidR="00CE4409" w:rsidRPr="00B018F5" w:rsidRDefault="00CE4409" w:rsidP="00CE4409">
      <w:pPr>
        <w:jc w:val="both"/>
        <w:rPr>
          <w:sz w:val="20"/>
          <w:szCs w:val="20"/>
        </w:rPr>
      </w:pPr>
    </w:p>
    <w:p w:rsidR="00CE4409" w:rsidRPr="00B018F5" w:rsidRDefault="00CE4409" w:rsidP="00CE4409">
      <w:pPr>
        <w:ind w:firstLine="720"/>
        <w:jc w:val="both"/>
        <w:rPr>
          <w:sz w:val="20"/>
          <w:szCs w:val="20"/>
        </w:rPr>
      </w:pPr>
      <w:r w:rsidRPr="00B018F5">
        <w:rPr>
          <w:sz w:val="20"/>
          <w:szCs w:val="20"/>
        </w:rPr>
        <w:t xml:space="preserve">The debtor company commenced proceedings under the </w:t>
      </w:r>
      <w:r w:rsidRPr="00B018F5">
        <w:rPr>
          <w:i/>
          <w:sz w:val="20"/>
          <w:szCs w:val="20"/>
        </w:rPr>
        <w:t>Companies’ Creditors Arrangement Act</w:t>
      </w:r>
      <w:r w:rsidRPr="00B018F5">
        <w:rPr>
          <w:sz w:val="20"/>
          <w:szCs w:val="20"/>
        </w:rPr>
        <w:t xml:space="preserve"> (“</w:t>
      </w:r>
      <w:r w:rsidRPr="00B018F5">
        <w:rPr>
          <w:i/>
          <w:sz w:val="20"/>
          <w:szCs w:val="20"/>
        </w:rPr>
        <w:t>CCAA</w:t>
      </w:r>
      <w:r w:rsidRPr="00B018F5">
        <w:rPr>
          <w:sz w:val="20"/>
          <w:szCs w:val="20"/>
        </w:rPr>
        <w:t xml:space="preserve">”), obtaining a stay of proceedings to allow it time to reorganize its financial affairs.  One of the debtor company’s outstanding debts at the commencement of the reorganization was an amount of unremitted Goods and Services Tax (“GST”) payable to the Crown.  Section 222(3) of the </w:t>
      </w:r>
      <w:r w:rsidRPr="00B018F5">
        <w:rPr>
          <w:i/>
          <w:sz w:val="20"/>
          <w:szCs w:val="20"/>
        </w:rPr>
        <w:t>Excise Tax Act</w:t>
      </w:r>
      <w:r w:rsidRPr="00B018F5">
        <w:rPr>
          <w:sz w:val="20"/>
          <w:szCs w:val="20"/>
        </w:rPr>
        <w:t xml:space="preserve"> (“</w:t>
      </w:r>
      <w:r w:rsidRPr="00B018F5">
        <w:rPr>
          <w:i/>
          <w:sz w:val="20"/>
          <w:szCs w:val="20"/>
        </w:rPr>
        <w:t>ETA</w:t>
      </w:r>
      <w:r w:rsidRPr="00B018F5">
        <w:rPr>
          <w:sz w:val="20"/>
          <w:szCs w:val="20"/>
        </w:rPr>
        <w:t xml:space="preserve">”) created a deemed trust over unremitted GST, which operated despite any other enactment of Canada except the </w:t>
      </w:r>
      <w:r w:rsidRPr="00B018F5">
        <w:rPr>
          <w:i/>
          <w:sz w:val="20"/>
          <w:szCs w:val="20"/>
        </w:rPr>
        <w:t>Bankruptcy and Insolvency Act</w:t>
      </w:r>
      <w:r w:rsidRPr="00B018F5">
        <w:rPr>
          <w:sz w:val="20"/>
          <w:szCs w:val="20"/>
        </w:rPr>
        <w:t xml:space="preserve"> (“</w:t>
      </w:r>
      <w:r w:rsidRPr="00B018F5">
        <w:rPr>
          <w:i/>
          <w:sz w:val="20"/>
          <w:szCs w:val="20"/>
        </w:rPr>
        <w:t>BIA</w:t>
      </w:r>
      <w:r w:rsidRPr="00B018F5">
        <w:rPr>
          <w:sz w:val="20"/>
          <w:szCs w:val="20"/>
        </w:rPr>
        <w:t xml:space="preserve">”).  However, s. 18.3(1) of the </w:t>
      </w:r>
      <w:r w:rsidRPr="00B018F5">
        <w:rPr>
          <w:i/>
          <w:sz w:val="20"/>
          <w:szCs w:val="20"/>
        </w:rPr>
        <w:t>CCAA</w:t>
      </w:r>
      <w:r w:rsidRPr="00B018F5">
        <w:rPr>
          <w:sz w:val="20"/>
          <w:szCs w:val="20"/>
        </w:rPr>
        <w:t xml:space="preserve"> provided that any statutory deemed trusts in favour of the Crown did not operate under the </w:t>
      </w:r>
      <w:r w:rsidRPr="00B018F5">
        <w:rPr>
          <w:i/>
          <w:sz w:val="20"/>
          <w:szCs w:val="20"/>
        </w:rPr>
        <w:t>CCAA</w:t>
      </w:r>
      <w:r w:rsidRPr="00B018F5">
        <w:rPr>
          <w:sz w:val="20"/>
          <w:szCs w:val="20"/>
        </w:rPr>
        <w:t>, subject to certain exceptions, none of which mentioned GST.</w:t>
      </w:r>
    </w:p>
    <w:p w:rsidR="00CE4409" w:rsidRPr="00B018F5" w:rsidRDefault="00CE4409" w:rsidP="00CE4409">
      <w:pPr>
        <w:jc w:val="both"/>
        <w:rPr>
          <w:sz w:val="20"/>
          <w:szCs w:val="20"/>
        </w:rPr>
      </w:pPr>
    </w:p>
    <w:p w:rsidR="00CE4409" w:rsidRPr="00B018F5" w:rsidRDefault="00CE4409" w:rsidP="00CE4409">
      <w:pPr>
        <w:ind w:firstLine="720"/>
        <w:jc w:val="both"/>
        <w:rPr>
          <w:sz w:val="20"/>
          <w:szCs w:val="20"/>
        </w:rPr>
      </w:pPr>
      <w:r w:rsidRPr="00B018F5">
        <w:rPr>
          <w:sz w:val="20"/>
          <w:szCs w:val="20"/>
        </w:rPr>
        <w:t xml:space="preserve">Pursuant to an order of the </w:t>
      </w:r>
      <w:r w:rsidRPr="00B018F5">
        <w:rPr>
          <w:i/>
          <w:sz w:val="20"/>
          <w:szCs w:val="20"/>
        </w:rPr>
        <w:t>CCAA</w:t>
      </w:r>
      <w:r w:rsidRPr="00B018F5">
        <w:rPr>
          <w:sz w:val="20"/>
          <w:szCs w:val="20"/>
        </w:rPr>
        <w:t xml:space="preserve"> chambers judge, a payment not exceeding $5 million was approved to the debtor company’s major secured creditor, Century Services.  However, the chambers judge also ordered the debtor company to hold back and segregate in the Monitor’s trust account an amount equal to the unremitted GST pending the outcome of the reorganization.  On concluding that reorganization was not possible, the debtor company sought leave of the court to partially lift the stay of proceedings so it could make an assignment in bankruptcy under the </w:t>
      </w:r>
      <w:r w:rsidRPr="00B018F5">
        <w:rPr>
          <w:i/>
          <w:sz w:val="20"/>
          <w:szCs w:val="20"/>
        </w:rPr>
        <w:t>BIA</w:t>
      </w:r>
      <w:r w:rsidRPr="00B018F5">
        <w:rPr>
          <w:sz w:val="20"/>
          <w:szCs w:val="20"/>
        </w:rPr>
        <w:t xml:space="preserve">.  The Crown moved for immediate payment of unremitted GST to the Receiver General.  The chambers judge denied the Crown’s motion, and allowed the assignment in bankruptcy.  The Court of Appeal allowed the appeal on two grounds.  First, it reasoned that once reorganization efforts had failed, the chambers judge was bound under the priority scheme provided by the </w:t>
      </w:r>
      <w:r w:rsidRPr="00B018F5">
        <w:rPr>
          <w:i/>
          <w:sz w:val="20"/>
          <w:szCs w:val="20"/>
        </w:rPr>
        <w:t>ETA</w:t>
      </w:r>
      <w:r w:rsidRPr="00B018F5">
        <w:rPr>
          <w:sz w:val="20"/>
          <w:szCs w:val="20"/>
        </w:rPr>
        <w:t xml:space="preserve"> to allow payment of unremitted GST to the Crown and had no discretion under s. 11 of the </w:t>
      </w:r>
      <w:r w:rsidRPr="00B018F5">
        <w:rPr>
          <w:i/>
          <w:sz w:val="20"/>
          <w:szCs w:val="20"/>
        </w:rPr>
        <w:t>CCAA</w:t>
      </w:r>
      <w:r w:rsidRPr="00B018F5">
        <w:rPr>
          <w:sz w:val="20"/>
          <w:szCs w:val="20"/>
        </w:rPr>
        <w:t xml:space="preserve"> to continue the stay against the Crown’s claim.  Second, the Court of Appeal concluded that by ordering the GST funds segregated in the Monitor’s trust account, the chambers judge had created an express trust in favour of the Crown.</w:t>
      </w:r>
    </w:p>
    <w:p w:rsidR="00CE4409" w:rsidRPr="00B018F5" w:rsidRDefault="00CE4409" w:rsidP="00CE4409">
      <w:pPr>
        <w:jc w:val="both"/>
        <w:rPr>
          <w:sz w:val="20"/>
          <w:szCs w:val="20"/>
        </w:rPr>
      </w:pPr>
    </w:p>
    <w:p w:rsidR="00CE4409" w:rsidRPr="00B018F5" w:rsidRDefault="00CE4409" w:rsidP="00CE4409">
      <w:pPr>
        <w:keepNext/>
        <w:jc w:val="both"/>
        <w:rPr>
          <w:sz w:val="20"/>
          <w:szCs w:val="20"/>
        </w:rPr>
      </w:pPr>
      <w:r w:rsidRPr="00B018F5">
        <w:rPr>
          <w:i/>
          <w:sz w:val="20"/>
          <w:szCs w:val="20"/>
        </w:rPr>
        <w:tab/>
      </w:r>
      <w:proofErr w:type="gramStart"/>
      <w:r w:rsidRPr="00B018F5">
        <w:rPr>
          <w:i/>
          <w:sz w:val="20"/>
          <w:szCs w:val="20"/>
        </w:rPr>
        <w:t>Held</w:t>
      </w:r>
      <w:r w:rsidRPr="00B018F5">
        <w:rPr>
          <w:sz w:val="20"/>
          <w:szCs w:val="20"/>
        </w:rPr>
        <w:t xml:space="preserve"> (</w:t>
      </w:r>
      <w:proofErr w:type="spellStart"/>
      <w:r w:rsidRPr="00B018F5">
        <w:rPr>
          <w:sz w:val="20"/>
          <w:szCs w:val="20"/>
        </w:rPr>
        <w:t>Abella</w:t>
      </w:r>
      <w:proofErr w:type="spellEnd"/>
      <w:r w:rsidRPr="00B018F5">
        <w:rPr>
          <w:sz w:val="20"/>
          <w:szCs w:val="20"/>
        </w:rPr>
        <w:t> J. dissenting):  The appeal should be allowed.</w:t>
      </w:r>
      <w:proofErr w:type="gramEnd"/>
    </w:p>
    <w:p w:rsidR="00CE4409" w:rsidRPr="00B018F5" w:rsidRDefault="00CE4409" w:rsidP="00CE4409">
      <w:pPr>
        <w:keepNext/>
        <w:jc w:val="both"/>
        <w:rPr>
          <w:sz w:val="20"/>
          <w:szCs w:val="20"/>
        </w:rPr>
      </w:pPr>
    </w:p>
    <w:p w:rsidR="00CE4409" w:rsidRPr="00B018F5" w:rsidRDefault="00CE4409" w:rsidP="00CE4409">
      <w:pPr>
        <w:ind w:firstLine="720"/>
        <w:jc w:val="both"/>
        <w:rPr>
          <w:sz w:val="20"/>
          <w:szCs w:val="20"/>
        </w:rPr>
      </w:pPr>
      <w:r w:rsidRPr="00B018F5">
        <w:rPr>
          <w:i/>
          <w:sz w:val="20"/>
          <w:szCs w:val="20"/>
        </w:rPr>
        <w:t>Per</w:t>
      </w:r>
      <w:r w:rsidRPr="00B018F5">
        <w:rPr>
          <w:sz w:val="20"/>
          <w:szCs w:val="20"/>
        </w:rPr>
        <w:t xml:space="preserve"> </w:t>
      </w:r>
      <w:proofErr w:type="spellStart"/>
      <w:r w:rsidRPr="00B018F5">
        <w:rPr>
          <w:sz w:val="20"/>
          <w:szCs w:val="20"/>
        </w:rPr>
        <w:t>McLachlin</w:t>
      </w:r>
      <w:proofErr w:type="spellEnd"/>
      <w:r w:rsidRPr="00B018F5">
        <w:rPr>
          <w:sz w:val="20"/>
          <w:szCs w:val="20"/>
        </w:rPr>
        <w:t xml:space="preserve"> C.J., </w:t>
      </w:r>
      <w:proofErr w:type="spellStart"/>
      <w:r w:rsidRPr="00B018F5">
        <w:rPr>
          <w:sz w:val="20"/>
          <w:szCs w:val="20"/>
        </w:rPr>
        <w:t>Binnie</w:t>
      </w:r>
      <w:proofErr w:type="spellEnd"/>
      <w:r w:rsidRPr="00B018F5">
        <w:rPr>
          <w:sz w:val="20"/>
          <w:szCs w:val="20"/>
        </w:rPr>
        <w:t xml:space="preserve">, </w:t>
      </w:r>
      <w:proofErr w:type="spellStart"/>
      <w:r w:rsidRPr="00B018F5">
        <w:rPr>
          <w:sz w:val="20"/>
          <w:szCs w:val="20"/>
        </w:rPr>
        <w:t>LeBel</w:t>
      </w:r>
      <w:proofErr w:type="spellEnd"/>
      <w:r w:rsidRPr="00B018F5">
        <w:rPr>
          <w:sz w:val="20"/>
          <w:szCs w:val="20"/>
        </w:rPr>
        <w:t xml:space="preserve">, </w:t>
      </w:r>
      <w:proofErr w:type="spellStart"/>
      <w:r w:rsidRPr="00B018F5">
        <w:rPr>
          <w:b/>
          <w:sz w:val="20"/>
          <w:szCs w:val="20"/>
        </w:rPr>
        <w:t>Deschamps</w:t>
      </w:r>
      <w:proofErr w:type="spellEnd"/>
      <w:r w:rsidRPr="00B018F5">
        <w:rPr>
          <w:sz w:val="20"/>
          <w:szCs w:val="20"/>
        </w:rPr>
        <w:t xml:space="preserve">, </w:t>
      </w:r>
      <w:proofErr w:type="spellStart"/>
      <w:r w:rsidRPr="00B018F5">
        <w:rPr>
          <w:sz w:val="20"/>
          <w:szCs w:val="20"/>
        </w:rPr>
        <w:t>Charron</w:t>
      </w:r>
      <w:proofErr w:type="spellEnd"/>
      <w:r w:rsidRPr="00B018F5">
        <w:rPr>
          <w:sz w:val="20"/>
          <w:szCs w:val="20"/>
        </w:rPr>
        <w:t xml:space="preserve">, Rothstein and Cromwell JJ.:  The apparent conflict between s. 222(3) of the </w:t>
      </w:r>
      <w:r w:rsidRPr="00B018F5">
        <w:rPr>
          <w:i/>
          <w:sz w:val="20"/>
          <w:szCs w:val="20"/>
        </w:rPr>
        <w:t>ETA</w:t>
      </w:r>
      <w:r w:rsidRPr="00B018F5">
        <w:rPr>
          <w:sz w:val="20"/>
          <w:szCs w:val="20"/>
        </w:rPr>
        <w:t xml:space="preserve"> and s. 18.3(1) of the </w:t>
      </w:r>
      <w:r w:rsidRPr="00B018F5">
        <w:rPr>
          <w:i/>
          <w:sz w:val="20"/>
          <w:szCs w:val="20"/>
        </w:rPr>
        <w:t>CCAA</w:t>
      </w:r>
      <w:r w:rsidRPr="00B018F5">
        <w:rPr>
          <w:sz w:val="20"/>
          <w:szCs w:val="20"/>
        </w:rPr>
        <w:t xml:space="preserve"> can be resolved through an interpretation that properly recognizes the history of the </w:t>
      </w:r>
      <w:r w:rsidRPr="00B018F5">
        <w:rPr>
          <w:i/>
          <w:sz w:val="20"/>
          <w:szCs w:val="20"/>
        </w:rPr>
        <w:t>CCAA</w:t>
      </w:r>
      <w:r w:rsidRPr="00B018F5">
        <w:rPr>
          <w:sz w:val="20"/>
          <w:szCs w:val="20"/>
        </w:rPr>
        <w:t xml:space="preserve">, its function amidst the body of insolvency legislation enacted by Parliament and the principles for interpreting the </w:t>
      </w:r>
      <w:r w:rsidRPr="00B018F5">
        <w:rPr>
          <w:i/>
          <w:sz w:val="20"/>
          <w:szCs w:val="20"/>
        </w:rPr>
        <w:t>CCAA</w:t>
      </w:r>
      <w:r w:rsidRPr="00B018F5">
        <w:rPr>
          <w:sz w:val="20"/>
          <w:szCs w:val="20"/>
        </w:rPr>
        <w:t xml:space="preserve"> that have been recognized in the jurisprudence.  The history of the </w:t>
      </w:r>
      <w:r w:rsidRPr="00B018F5">
        <w:rPr>
          <w:i/>
          <w:sz w:val="20"/>
          <w:szCs w:val="20"/>
        </w:rPr>
        <w:t>CCAA</w:t>
      </w:r>
      <w:r w:rsidRPr="00B018F5">
        <w:rPr>
          <w:sz w:val="20"/>
          <w:szCs w:val="20"/>
        </w:rPr>
        <w:t xml:space="preserve"> distinguishes it from the </w:t>
      </w:r>
      <w:r w:rsidRPr="00B018F5">
        <w:rPr>
          <w:i/>
          <w:sz w:val="20"/>
          <w:szCs w:val="20"/>
        </w:rPr>
        <w:t>BIA</w:t>
      </w:r>
      <w:r w:rsidRPr="00B018F5">
        <w:rPr>
          <w:sz w:val="20"/>
          <w:szCs w:val="20"/>
        </w:rPr>
        <w:t xml:space="preserve"> because although these statutes share the same remedial purpose of avoiding the social and economic costs of liquidating a debtor’s assets, the </w:t>
      </w:r>
      <w:r w:rsidRPr="00B018F5">
        <w:rPr>
          <w:i/>
          <w:sz w:val="20"/>
          <w:szCs w:val="20"/>
        </w:rPr>
        <w:t>CCAA</w:t>
      </w:r>
      <w:r w:rsidRPr="00B018F5">
        <w:rPr>
          <w:sz w:val="20"/>
          <w:szCs w:val="20"/>
        </w:rPr>
        <w:t xml:space="preserve"> offers more flexibility and greater judicial discretion than </w:t>
      </w:r>
      <w:r w:rsidRPr="00B018F5">
        <w:rPr>
          <w:sz w:val="20"/>
          <w:szCs w:val="20"/>
        </w:rPr>
        <w:lastRenderedPageBreak/>
        <w:t xml:space="preserve">the rules-based mechanism under the </w:t>
      </w:r>
      <w:r w:rsidRPr="00B018F5">
        <w:rPr>
          <w:i/>
          <w:sz w:val="20"/>
          <w:szCs w:val="20"/>
        </w:rPr>
        <w:t>BIA</w:t>
      </w:r>
      <w:r w:rsidRPr="00B018F5">
        <w:rPr>
          <w:sz w:val="20"/>
          <w:szCs w:val="20"/>
        </w:rPr>
        <w:t xml:space="preserve">, making the former more responsive to complex reorganizations.  Because the </w:t>
      </w:r>
      <w:r w:rsidRPr="00B018F5">
        <w:rPr>
          <w:i/>
          <w:sz w:val="20"/>
          <w:szCs w:val="20"/>
        </w:rPr>
        <w:t>CCAA</w:t>
      </w:r>
      <w:r w:rsidRPr="00B018F5">
        <w:rPr>
          <w:sz w:val="20"/>
          <w:szCs w:val="20"/>
        </w:rPr>
        <w:t xml:space="preserve"> is silent on what happens if reorganization fails, the </w:t>
      </w:r>
      <w:r w:rsidRPr="00B018F5">
        <w:rPr>
          <w:i/>
          <w:sz w:val="20"/>
          <w:szCs w:val="20"/>
        </w:rPr>
        <w:t>BIA</w:t>
      </w:r>
      <w:r w:rsidRPr="00B018F5">
        <w:rPr>
          <w:sz w:val="20"/>
          <w:szCs w:val="20"/>
        </w:rPr>
        <w:t xml:space="preserve"> scheme of liquidation and distribution necessarily provides the backdrop against which creditors assess their priority in the event of bankruptcy.  The contemporary thrust of legislative reform has been towards harmonizing aspects of insolvency law common to the </w:t>
      </w:r>
      <w:r w:rsidRPr="00B018F5">
        <w:rPr>
          <w:i/>
          <w:sz w:val="20"/>
          <w:szCs w:val="20"/>
        </w:rPr>
        <w:t>CCAA</w:t>
      </w:r>
      <w:r w:rsidRPr="00B018F5">
        <w:rPr>
          <w:sz w:val="20"/>
          <w:szCs w:val="20"/>
        </w:rPr>
        <w:t xml:space="preserve"> and the </w:t>
      </w:r>
      <w:r w:rsidRPr="00B018F5">
        <w:rPr>
          <w:i/>
          <w:sz w:val="20"/>
          <w:szCs w:val="20"/>
        </w:rPr>
        <w:t>BIA</w:t>
      </w:r>
      <w:r w:rsidRPr="00B018F5">
        <w:rPr>
          <w:sz w:val="20"/>
          <w:szCs w:val="20"/>
        </w:rPr>
        <w:t xml:space="preserve">, and one of its important features has been a cutback in Crown priorities.  Accordingly, the </w:t>
      </w:r>
      <w:r w:rsidRPr="00B018F5">
        <w:rPr>
          <w:i/>
          <w:sz w:val="20"/>
          <w:szCs w:val="20"/>
        </w:rPr>
        <w:t>CCAA</w:t>
      </w:r>
      <w:r w:rsidRPr="00B018F5">
        <w:rPr>
          <w:sz w:val="20"/>
          <w:szCs w:val="20"/>
        </w:rPr>
        <w:t xml:space="preserve"> and the </w:t>
      </w:r>
      <w:r w:rsidRPr="00B018F5">
        <w:rPr>
          <w:i/>
          <w:sz w:val="20"/>
          <w:szCs w:val="20"/>
        </w:rPr>
        <w:t>BIA</w:t>
      </w:r>
      <w:r w:rsidRPr="00B018F5">
        <w:rPr>
          <w:sz w:val="20"/>
          <w:szCs w:val="20"/>
        </w:rPr>
        <w:t xml:space="preserve"> both contain provisions nullifying statutory deemed trusts in favour of the Crown, and both contain explicit exceptions exempting source deductions deemed trusts from this general rule.  Meanwhile, both Acts are harmonious in treating other Crown claims as unsecured.  No such clear and express language exists in those Acts carving out an exception for GST claims. </w:t>
      </w:r>
    </w:p>
    <w:p w:rsidR="00CE4409" w:rsidRPr="00B018F5" w:rsidRDefault="00CE4409" w:rsidP="00CE4409">
      <w:pPr>
        <w:jc w:val="both"/>
        <w:rPr>
          <w:sz w:val="20"/>
          <w:szCs w:val="20"/>
        </w:rPr>
      </w:pPr>
    </w:p>
    <w:p w:rsidR="00CE4409" w:rsidRPr="00B018F5" w:rsidRDefault="00CE4409" w:rsidP="00CE4409">
      <w:pPr>
        <w:ind w:firstLine="720"/>
        <w:jc w:val="both"/>
        <w:rPr>
          <w:sz w:val="20"/>
          <w:szCs w:val="20"/>
        </w:rPr>
      </w:pPr>
      <w:r w:rsidRPr="00B018F5">
        <w:rPr>
          <w:sz w:val="20"/>
          <w:szCs w:val="20"/>
        </w:rPr>
        <w:t xml:space="preserve">When faced with the apparent conflict between s. 222(3) of the </w:t>
      </w:r>
      <w:r w:rsidRPr="00B018F5">
        <w:rPr>
          <w:i/>
          <w:sz w:val="20"/>
          <w:szCs w:val="20"/>
        </w:rPr>
        <w:t>ETA</w:t>
      </w:r>
      <w:r w:rsidRPr="00B018F5">
        <w:rPr>
          <w:sz w:val="20"/>
          <w:szCs w:val="20"/>
        </w:rPr>
        <w:t xml:space="preserve"> and s. 18.3(1) of the </w:t>
      </w:r>
      <w:r w:rsidRPr="00B018F5">
        <w:rPr>
          <w:i/>
          <w:sz w:val="20"/>
          <w:szCs w:val="20"/>
        </w:rPr>
        <w:t>CCAA</w:t>
      </w:r>
      <w:r w:rsidRPr="00B018F5">
        <w:rPr>
          <w:sz w:val="20"/>
          <w:szCs w:val="20"/>
        </w:rPr>
        <w:t>, courts have been inclined to follow</w:t>
      </w:r>
      <w:r w:rsidRPr="00B018F5">
        <w:rPr>
          <w:i/>
          <w:sz w:val="20"/>
          <w:szCs w:val="20"/>
        </w:rPr>
        <w:t xml:space="preserve"> Ottawa Senators Hockey Club Corp</w:t>
      </w:r>
      <w:proofErr w:type="gramStart"/>
      <w:r w:rsidRPr="00B018F5">
        <w:rPr>
          <w:i/>
          <w:sz w:val="20"/>
          <w:szCs w:val="20"/>
        </w:rPr>
        <w:t>.(</w:t>
      </w:r>
      <w:proofErr w:type="gramEnd"/>
      <w:r w:rsidRPr="00B018F5">
        <w:rPr>
          <w:i/>
          <w:sz w:val="20"/>
          <w:szCs w:val="20"/>
        </w:rPr>
        <w:t>Re)</w:t>
      </w:r>
      <w:r w:rsidRPr="00B018F5">
        <w:rPr>
          <w:sz w:val="20"/>
          <w:szCs w:val="20"/>
        </w:rPr>
        <w:t xml:space="preserve"> and resolve the conflict in favour of the </w:t>
      </w:r>
      <w:r w:rsidRPr="00B018F5">
        <w:rPr>
          <w:i/>
          <w:sz w:val="20"/>
          <w:szCs w:val="20"/>
        </w:rPr>
        <w:t>ETA</w:t>
      </w:r>
      <w:r w:rsidRPr="00B018F5">
        <w:rPr>
          <w:sz w:val="20"/>
          <w:szCs w:val="20"/>
        </w:rPr>
        <w:t xml:space="preserve">.  </w:t>
      </w:r>
      <w:r w:rsidRPr="00B018F5">
        <w:rPr>
          <w:i/>
          <w:sz w:val="20"/>
          <w:szCs w:val="20"/>
        </w:rPr>
        <w:t xml:space="preserve">Ottawa Senators </w:t>
      </w:r>
      <w:r w:rsidRPr="00B018F5">
        <w:rPr>
          <w:sz w:val="20"/>
          <w:szCs w:val="20"/>
        </w:rPr>
        <w:t xml:space="preserve">should not be followed.  Rather, the </w:t>
      </w:r>
      <w:r w:rsidRPr="00B018F5">
        <w:rPr>
          <w:i/>
          <w:sz w:val="20"/>
          <w:szCs w:val="20"/>
        </w:rPr>
        <w:t>CCAA</w:t>
      </w:r>
      <w:r w:rsidRPr="00B018F5">
        <w:rPr>
          <w:sz w:val="20"/>
          <w:szCs w:val="20"/>
        </w:rPr>
        <w:t xml:space="preserve"> provides the rule.  Section 222(3) of the </w:t>
      </w:r>
      <w:r w:rsidRPr="00B018F5">
        <w:rPr>
          <w:i/>
          <w:sz w:val="20"/>
          <w:szCs w:val="20"/>
        </w:rPr>
        <w:t>ETA</w:t>
      </w:r>
      <w:r w:rsidRPr="00B018F5">
        <w:rPr>
          <w:sz w:val="20"/>
          <w:szCs w:val="20"/>
        </w:rPr>
        <w:t xml:space="preserve"> evinces no explicit intention of Parliament to repeal </w:t>
      </w:r>
      <w:r w:rsidRPr="00B018F5">
        <w:rPr>
          <w:i/>
          <w:sz w:val="20"/>
          <w:szCs w:val="20"/>
        </w:rPr>
        <w:t>CCAA</w:t>
      </w:r>
      <w:r w:rsidRPr="00B018F5">
        <w:rPr>
          <w:sz w:val="20"/>
          <w:szCs w:val="20"/>
        </w:rPr>
        <w:t xml:space="preserve"> s. 18.3.  Where Parliament has sought to protect certain Crown claims through statutory deemed trusts and intended that these deemed trusts continue in insolvency, it has legislated so expressly and elaborately.  Meanwhile, there is no express statutory basis for concluding that GST claims enjoy a preferred treatment under the </w:t>
      </w:r>
      <w:r w:rsidRPr="00B018F5">
        <w:rPr>
          <w:i/>
          <w:sz w:val="20"/>
          <w:szCs w:val="20"/>
        </w:rPr>
        <w:t>CCAA</w:t>
      </w:r>
      <w:r w:rsidRPr="00B018F5">
        <w:rPr>
          <w:sz w:val="20"/>
          <w:szCs w:val="20"/>
        </w:rPr>
        <w:t xml:space="preserve"> or the </w:t>
      </w:r>
      <w:r w:rsidRPr="00B018F5">
        <w:rPr>
          <w:i/>
          <w:sz w:val="20"/>
          <w:szCs w:val="20"/>
        </w:rPr>
        <w:t>BIA</w:t>
      </w:r>
      <w:r w:rsidRPr="00B018F5">
        <w:rPr>
          <w:sz w:val="20"/>
          <w:szCs w:val="20"/>
        </w:rPr>
        <w:t xml:space="preserve">.  The internal logic of the </w:t>
      </w:r>
      <w:r w:rsidRPr="00B018F5">
        <w:rPr>
          <w:i/>
          <w:sz w:val="20"/>
          <w:szCs w:val="20"/>
        </w:rPr>
        <w:t>CCAA</w:t>
      </w:r>
      <w:r w:rsidRPr="00B018F5">
        <w:rPr>
          <w:sz w:val="20"/>
          <w:szCs w:val="20"/>
        </w:rPr>
        <w:t xml:space="preserve"> appears to subject a GST deemed trust to the waiver by Parliament of its priority.  A strange asymmetry would result if differing treatments of GST deemed trusts under the </w:t>
      </w:r>
      <w:r w:rsidRPr="00B018F5">
        <w:rPr>
          <w:i/>
          <w:sz w:val="20"/>
          <w:szCs w:val="20"/>
        </w:rPr>
        <w:t>CCAA</w:t>
      </w:r>
      <w:r w:rsidRPr="00B018F5">
        <w:rPr>
          <w:sz w:val="20"/>
          <w:szCs w:val="20"/>
        </w:rPr>
        <w:t xml:space="preserve"> and the </w:t>
      </w:r>
      <w:r w:rsidRPr="00B018F5">
        <w:rPr>
          <w:i/>
          <w:sz w:val="20"/>
          <w:szCs w:val="20"/>
        </w:rPr>
        <w:t>BIA</w:t>
      </w:r>
      <w:r w:rsidRPr="00B018F5">
        <w:rPr>
          <w:sz w:val="20"/>
          <w:szCs w:val="20"/>
        </w:rPr>
        <w:t xml:space="preserve"> were found to exist, as this would encourage statute shopping, undermine the </w:t>
      </w:r>
      <w:r w:rsidRPr="00B018F5">
        <w:rPr>
          <w:i/>
          <w:sz w:val="20"/>
          <w:szCs w:val="20"/>
        </w:rPr>
        <w:t>CCAA</w:t>
      </w:r>
      <w:r w:rsidRPr="00B018F5">
        <w:rPr>
          <w:sz w:val="20"/>
          <w:szCs w:val="20"/>
        </w:rPr>
        <w:t xml:space="preserve">’s remedial purpose and invite the very social ills that the statute was enacted to avert.  The later in time enactment of the more general s. 222(3) of the </w:t>
      </w:r>
      <w:r w:rsidRPr="00B018F5">
        <w:rPr>
          <w:i/>
          <w:sz w:val="20"/>
          <w:szCs w:val="20"/>
        </w:rPr>
        <w:t>ETA</w:t>
      </w:r>
      <w:r w:rsidRPr="00B018F5">
        <w:rPr>
          <w:sz w:val="20"/>
          <w:szCs w:val="20"/>
        </w:rPr>
        <w:t xml:space="preserve"> does not require application of the doctrine of implied repeal to the earlier and more specific s. 18.3(1) of the </w:t>
      </w:r>
      <w:r w:rsidRPr="00B018F5">
        <w:rPr>
          <w:i/>
          <w:sz w:val="20"/>
          <w:szCs w:val="20"/>
        </w:rPr>
        <w:t>CCAA</w:t>
      </w:r>
      <w:r w:rsidRPr="00B018F5">
        <w:rPr>
          <w:sz w:val="20"/>
          <w:szCs w:val="20"/>
        </w:rPr>
        <w:t xml:space="preserve"> in the circumstances of this case.  In any event, recent amendments to the </w:t>
      </w:r>
      <w:r w:rsidRPr="00B018F5">
        <w:rPr>
          <w:i/>
          <w:sz w:val="20"/>
          <w:szCs w:val="20"/>
        </w:rPr>
        <w:t>CCAA</w:t>
      </w:r>
      <w:r w:rsidRPr="00B018F5">
        <w:rPr>
          <w:sz w:val="20"/>
          <w:szCs w:val="20"/>
        </w:rPr>
        <w:t xml:space="preserve"> in 2005 resulted in s. 18.3 of the Act being renumbered and reformulated, making it the later in time provision.  This confirms that Parliament’s intent with respect to GST deemed trusts is to be found in the </w:t>
      </w:r>
      <w:r w:rsidRPr="00B018F5">
        <w:rPr>
          <w:i/>
          <w:sz w:val="20"/>
          <w:szCs w:val="20"/>
        </w:rPr>
        <w:t>CCAA</w:t>
      </w:r>
      <w:r w:rsidRPr="00B018F5">
        <w:rPr>
          <w:sz w:val="20"/>
          <w:szCs w:val="20"/>
        </w:rPr>
        <w:t xml:space="preserve">.  The conflict between the </w:t>
      </w:r>
      <w:r w:rsidRPr="00B018F5">
        <w:rPr>
          <w:i/>
          <w:sz w:val="20"/>
          <w:szCs w:val="20"/>
        </w:rPr>
        <w:t>ETA</w:t>
      </w:r>
      <w:r w:rsidRPr="00B018F5">
        <w:rPr>
          <w:sz w:val="20"/>
          <w:szCs w:val="20"/>
        </w:rPr>
        <w:t xml:space="preserve"> and the </w:t>
      </w:r>
      <w:r w:rsidRPr="00B018F5">
        <w:rPr>
          <w:i/>
          <w:sz w:val="20"/>
          <w:szCs w:val="20"/>
        </w:rPr>
        <w:t>CCAA</w:t>
      </w:r>
      <w:r w:rsidRPr="00B018F5">
        <w:rPr>
          <w:sz w:val="20"/>
          <w:szCs w:val="20"/>
        </w:rPr>
        <w:t xml:space="preserve"> is more apparent than real.</w:t>
      </w:r>
    </w:p>
    <w:p w:rsidR="00CE4409" w:rsidRPr="00B018F5" w:rsidRDefault="00CE4409" w:rsidP="00CE4409">
      <w:pPr>
        <w:jc w:val="both"/>
        <w:rPr>
          <w:sz w:val="20"/>
          <w:szCs w:val="20"/>
        </w:rPr>
      </w:pPr>
    </w:p>
    <w:p w:rsidR="00CE4409" w:rsidRPr="00B018F5" w:rsidRDefault="00CE4409" w:rsidP="00CE4409">
      <w:pPr>
        <w:ind w:firstLine="720"/>
        <w:jc w:val="both"/>
        <w:rPr>
          <w:sz w:val="20"/>
          <w:szCs w:val="20"/>
        </w:rPr>
      </w:pPr>
      <w:r w:rsidRPr="00B018F5">
        <w:rPr>
          <w:sz w:val="20"/>
          <w:szCs w:val="20"/>
        </w:rPr>
        <w:t xml:space="preserve">The exercise of judicial discretion has allowed the </w:t>
      </w:r>
      <w:r w:rsidRPr="00B018F5">
        <w:rPr>
          <w:i/>
          <w:sz w:val="20"/>
          <w:szCs w:val="20"/>
        </w:rPr>
        <w:t xml:space="preserve">CCAA </w:t>
      </w:r>
      <w:r w:rsidRPr="00B018F5">
        <w:rPr>
          <w:sz w:val="20"/>
          <w:szCs w:val="20"/>
        </w:rPr>
        <w:t xml:space="preserve">to adapt and evolve to meet contemporary business and social needs.  As reorganizations become increasingly complex, </w:t>
      </w:r>
      <w:r w:rsidRPr="00B018F5">
        <w:rPr>
          <w:i/>
          <w:sz w:val="20"/>
          <w:szCs w:val="20"/>
        </w:rPr>
        <w:t>CCAA</w:t>
      </w:r>
      <w:r w:rsidRPr="00B018F5">
        <w:rPr>
          <w:sz w:val="20"/>
          <w:szCs w:val="20"/>
        </w:rPr>
        <w:t xml:space="preserve"> courts have been called upon to innovate.  In determining their jurisdiction to sanction measures in a </w:t>
      </w:r>
      <w:r w:rsidRPr="00B018F5">
        <w:rPr>
          <w:i/>
          <w:sz w:val="20"/>
          <w:szCs w:val="20"/>
        </w:rPr>
        <w:t>CCAA</w:t>
      </w:r>
      <w:r w:rsidRPr="00B018F5">
        <w:rPr>
          <w:sz w:val="20"/>
          <w:szCs w:val="20"/>
        </w:rPr>
        <w:t xml:space="preserve"> proceeding, courts should first interpret the provisions of the </w:t>
      </w:r>
      <w:r w:rsidRPr="00B018F5">
        <w:rPr>
          <w:i/>
          <w:sz w:val="20"/>
          <w:szCs w:val="20"/>
        </w:rPr>
        <w:t>CCAA</w:t>
      </w:r>
      <w:r w:rsidRPr="00B018F5">
        <w:rPr>
          <w:sz w:val="20"/>
          <w:szCs w:val="20"/>
        </w:rPr>
        <w:t xml:space="preserve"> before turning to their inherent or equitable jurisdiction.  Noteworthy in this regard is the expansive interpretation the language of the </w:t>
      </w:r>
      <w:r w:rsidRPr="00B018F5">
        <w:rPr>
          <w:i/>
          <w:sz w:val="20"/>
          <w:szCs w:val="20"/>
        </w:rPr>
        <w:t>CCAA</w:t>
      </w:r>
      <w:r w:rsidRPr="00B018F5">
        <w:rPr>
          <w:sz w:val="20"/>
          <w:szCs w:val="20"/>
        </w:rPr>
        <w:t xml:space="preserve"> is capable of supporting.  The general language of the </w:t>
      </w:r>
      <w:r w:rsidRPr="00B018F5">
        <w:rPr>
          <w:i/>
          <w:sz w:val="20"/>
          <w:szCs w:val="20"/>
        </w:rPr>
        <w:t>CCAA</w:t>
      </w:r>
      <w:r w:rsidRPr="00B018F5">
        <w:rPr>
          <w:sz w:val="20"/>
          <w:szCs w:val="20"/>
        </w:rPr>
        <w:t xml:space="preserve"> should not be read as being restricted by the availability of more specific orders.  The requirements of appropriateness, good faith and due diligence are baseline considerations that a court should always bear in mind when exercising </w:t>
      </w:r>
      <w:r w:rsidRPr="00B018F5">
        <w:rPr>
          <w:i/>
          <w:sz w:val="20"/>
          <w:szCs w:val="20"/>
        </w:rPr>
        <w:t>CCAA</w:t>
      </w:r>
      <w:r w:rsidRPr="00B018F5">
        <w:rPr>
          <w:sz w:val="20"/>
          <w:szCs w:val="20"/>
        </w:rPr>
        <w:t xml:space="preserve"> authority.  The question is whether the order </w:t>
      </w:r>
      <w:proofErr w:type="gramStart"/>
      <w:r w:rsidRPr="00B018F5">
        <w:rPr>
          <w:sz w:val="20"/>
          <w:szCs w:val="20"/>
        </w:rPr>
        <w:t>will</w:t>
      </w:r>
      <w:proofErr w:type="gramEnd"/>
      <w:r w:rsidRPr="00B018F5">
        <w:rPr>
          <w:sz w:val="20"/>
          <w:szCs w:val="20"/>
        </w:rPr>
        <w:t xml:space="preserve"> usefully further efforts to avoid the social and economic losses resulting from liquidation of an insolvent company, which extends to both the purpose of the order and the means it employs.  Here, the chambers judge’s order staying the Crown’s GST claim was in furtherance of the </w:t>
      </w:r>
      <w:r w:rsidRPr="00B018F5">
        <w:rPr>
          <w:i/>
          <w:sz w:val="20"/>
          <w:szCs w:val="20"/>
        </w:rPr>
        <w:t>CCAA</w:t>
      </w:r>
      <w:r w:rsidRPr="00B018F5">
        <w:rPr>
          <w:sz w:val="20"/>
          <w:szCs w:val="20"/>
        </w:rPr>
        <w:t xml:space="preserve">’s objectives because it blunted the impulse of creditors to interfere in an orderly liquidation and fostered a harmonious transition from the </w:t>
      </w:r>
      <w:r w:rsidRPr="00B018F5">
        <w:rPr>
          <w:i/>
          <w:sz w:val="20"/>
          <w:szCs w:val="20"/>
        </w:rPr>
        <w:t>CCAA</w:t>
      </w:r>
      <w:r w:rsidRPr="00B018F5">
        <w:rPr>
          <w:sz w:val="20"/>
          <w:szCs w:val="20"/>
        </w:rPr>
        <w:t xml:space="preserve"> to the </w:t>
      </w:r>
      <w:r w:rsidRPr="00B018F5">
        <w:rPr>
          <w:i/>
          <w:sz w:val="20"/>
          <w:szCs w:val="20"/>
        </w:rPr>
        <w:t>BIA</w:t>
      </w:r>
      <w:r w:rsidRPr="00B018F5">
        <w:rPr>
          <w:sz w:val="20"/>
          <w:szCs w:val="20"/>
        </w:rPr>
        <w:t xml:space="preserve">, meeting the objective of a single proceeding that is common to both statutes.  The transition from the </w:t>
      </w:r>
      <w:r w:rsidRPr="00B018F5">
        <w:rPr>
          <w:i/>
          <w:sz w:val="20"/>
          <w:szCs w:val="20"/>
        </w:rPr>
        <w:t>CCAA</w:t>
      </w:r>
      <w:r w:rsidRPr="00B018F5">
        <w:rPr>
          <w:sz w:val="20"/>
          <w:szCs w:val="20"/>
        </w:rPr>
        <w:t xml:space="preserve"> to the </w:t>
      </w:r>
      <w:r w:rsidRPr="00B018F5">
        <w:rPr>
          <w:i/>
          <w:sz w:val="20"/>
          <w:szCs w:val="20"/>
        </w:rPr>
        <w:t>BIA</w:t>
      </w:r>
      <w:r w:rsidRPr="00B018F5">
        <w:rPr>
          <w:sz w:val="20"/>
          <w:szCs w:val="20"/>
        </w:rPr>
        <w:t xml:space="preserve"> may require the partial lifting of a stay of proceedings under the </w:t>
      </w:r>
      <w:r w:rsidRPr="00B018F5">
        <w:rPr>
          <w:i/>
          <w:sz w:val="20"/>
          <w:szCs w:val="20"/>
        </w:rPr>
        <w:t>CCAA</w:t>
      </w:r>
      <w:r w:rsidRPr="00B018F5">
        <w:rPr>
          <w:sz w:val="20"/>
          <w:szCs w:val="20"/>
        </w:rPr>
        <w:t xml:space="preserve"> to allow commencement of </w:t>
      </w:r>
      <w:r w:rsidRPr="00B018F5">
        <w:rPr>
          <w:i/>
          <w:sz w:val="20"/>
          <w:szCs w:val="20"/>
        </w:rPr>
        <w:t>BIA</w:t>
      </w:r>
      <w:r w:rsidRPr="00B018F5">
        <w:rPr>
          <w:sz w:val="20"/>
          <w:szCs w:val="20"/>
        </w:rPr>
        <w:t xml:space="preserve"> proceedings, but no gap exists between the two statutes because they operate in tandem and creditors in both cases look to the </w:t>
      </w:r>
      <w:r w:rsidRPr="00B018F5">
        <w:rPr>
          <w:i/>
          <w:sz w:val="20"/>
          <w:szCs w:val="20"/>
        </w:rPr>
        <w:t>BIA</w:t>
      </w:r>
      <w:r w:rsidRPr="00B018F5">
        <w:rPr>
          <w:sz w:val="20"/>
          <w:szCs w:val="20"/>
        </w:rPr>
        <w:t xml:space="preserve"> scheme of distribution to foreshadow how they will fare if the reorganization is unsuccessful.  The breadth of the court’s discretion under the </w:t>
      </w:r>
      <w:r w:rsidRPr="00B018F5">
        <w:rPr>
          <w:i/>
          <w:sz w:val="20"/>
          <w:szCs w:val="20"/>
        </w:rPr>
        <w:t>CCAA</w:t>
      </w:r>
      <w:r w:rsidRPr="00B018F5">
        <w:rPr>
          <w:sz w:val="20"/>
          <w:szCs w:val="20"/>
        </w:rPr>
        <w:t xml:space="preserve"> is sufficient to construct a bridge to liquidation under the </w:t>
      </w:r>
      <w:r w:rsidRPr="00B018F5">
        <w:rPr>
          <w:i/>
          <w:sz w:val="20"/>
          <w:szCs w:val="20"/>
        </w:rPr>
        <w:t>BIA</w:t>
      </w:r>
      <w:r w:rsidRPr="00B018F5">
        <w:rPr>
          <w:sz w:val="20"/>
          <w:szCs w:val="20"/>
        </w:rPr>
        <w:t>.  Hence, the chambers judge’s order was authorized.</w:t>
      </w:r>
    </w:p>
    <w:p w:rsidR="00CE4409" w:rsidRPr="00B018F5" w:rsidRDefault="00CE4409" w:rsidP="00CE4409">
      <w:pPr>
        <w:jc w:val="both"/>
        <w:rPr>
          <w:sz w:val="20"/>
          <w:szCs w:val="20"/>
        </w:rPr>
      </w:pPr>
    </w:p>
    <w:p w:rsidR="00CE4409" w:rsidRPr="00B018F5" w:rsidRDefault="00CE4409" w:rsidP="00CE4409">
      <w:pPr>
        <w:ind w:firstLine="720"/>
        <w:jc w:val="both"/>
        <w:rPr>
          <w:sz w:val="20"/>
          <w:szCs w:val="20"/>
        </w:rPr>
      </w:pPr>
      <w:r w:rsidRPr="00B018F5">
        <w:rPr>
          <w:sz w:val="20"/>
          <w:szCs w:val="20"/>
        </w:rPr>
        <w:t xml:space="preserve">No express trust was created by the chambers judge’s order in this case because there is no certainty of object </w:t>
      </w:r>
      <w:proofErr w:type="spellStart"/>
      <w:r w:rsidRPr="00B018F5">
        <w:rPr>
          <w:sz w:val="20"/>
          <w:szCs w:val="20"/>
        </w:rPr>
        <w:t>inferrable</w:t>
      </w:r>
      <w:proofErr w:type="spellEnd"/>
      <w:r w:rsidRPr="00B018F5">
        <w:rPr>
          <w:sz w:val="20"/>
          <w:szCs w:val="20"/>
        </w:rPr>
        <w:t xml:space="preserve"> from his order.  Creation of an express trust requires certainty of intention, subject matter and object.  At the time the chambers judge accepted the proposal to segregate the monies in the Monitor’s trust account there was no certainty that the Crown would be the beneficiary, or object, of the trust because exactly who might take the money in the final result was in doubt.  In any event, no dispute over the money would even arise under the interpretation of s. 18.3(1) of the </w:t>
      </w:r>
      <w:r w:rsidRPr="00B018F5">
        <w:rPr>
          <w:i/>
          <w:sz w:val="20"/>
          <w:szCs w:val="20"/>
        </w:rPr>
        <w:t>CCAA</w:t>
      </w:r>
      <w:r w:rsidRPr="00B018F5">
        <w:rPr>
          <w:sz w:val="20"/>
          <w:szCs w:val="20"/>
        </w:rPr>
        <w:t xml:space="preserve"> established above, because the Crown’s deemed trust priority over GST claims would be lost under the </w:t>
      </w:r>
      <w:r w:rsidRPr="00B018F5">
        <w:rPr>
          <w:i/>
          <w:sz w:val="20"/>
          <w:szCs w:val="20"/>
        </w:rPr>
        <w:t>CCAA</w:t>
      </w:r>
      <w:r w:rsidRPr="00B018F5">
        <w:rPr>
          <w:sz w:val="20"/>
          <w:szCs w:val="20"/>
        </w:rPr>
        <w:t xml:space="preserve"> and the Crown would rank as an unsecured creditor for this amount.</w:t>
      </w:r>
    </w:p>
    <w:p w:rsidR="00CE4409" w:rsidRPr="00B018F5" w:rsidRDefault="00CE4409" w:rsidP="00CE4409">
      <w:pPr>
        <w:tabs>
          <w:tab w:val="left" w:pos="990"/>
        </w:tabs>
        <w:jc w:val="both"/>
        <w:rPr>
          <w:sz w:val="20"/>
          <w:szCs w:val="20"/>
        </w:rPr>
      </w:pPr>
    </w:p>
    <w:p w:rsidR="00CE4409" w:rsidRPr="00B018F5" w:rsidRDefault="00CE4409" w:rsidP="00CE4409">
      <w:pPr>
        <w:pStyle w:val="ListParagraph"/>
        <w:ind w:left="0" w:firstLine="720"/>
        <w:jc w:val="both"/>
        <w:rPr>
          <w:sz w:val="20"/>
          <w:szCs w:val="20"/>
        </w:rPr>
      </w:pPr>
      <w:r w:rsidRPr="00B018F5">
        <w:rPr>
          <w:i/>
          <w:sz w:val="20"/>
          <w:szCs w:val="20"/>
        </w:rPr>
        <w:t>Per</w:t>
      </w:r>
      <w:r w:rsidRPr="00B018F5">
        <w:rPr>
          <w:sz w:val="20"/>
          <w:szCs w:val="20"/>
        </w:rPr>
        <w:t xml:space="preserve"> Fish J.:  The GST monies collected by the debtor are not subject to a deemed trust or priority in favour of the Crown.  In recent years, Parliament has given detailed consideration to the Canadian insolvency scheme but has declined to amend the provisions at issue in this case, a deliberate exercise of legislative discretion.  On the other hand, </w:t>
      </w:r>
      <w:r w:rsidRPr="00B018F5">
        <w:rPr>
          <w:bCs/>
          <w:color w:val="000000" w:themeColor="text1"/>
          <w:sz w:val="20"/>
          <w:szCs w:val="20"/>
        </w:rPr>
        <w:t xml:space="preserve">in upholding deemed trusts created by the </w:t>
      </w:r>
      <w:r w:rsidRPr="00B018F5">
        <w:rPr>
          <w:bCs/>
          <w:i/>
          <w:iCs/>
          <w:color w:val="000000" w:themeColor="text1"/>
          <w:sz w:val="20"/>
          <w:szCs w:val="20"/>
        </w:rPr>
        <w:t>ETA</w:t>
      </w:r>
      <w:r w:rsidRPr="00B018F5">
        <w:rPr>
          <w:bCs/>
          <w:color w:val="000000" w:themeColor="text1"/>
          <w:sz w:val="20"/>
          <w:szCs w:val="20"/>
        </w:rPr>
        <w:t xml:space="preserve"> notwithstanding insolvency proceedings, courts have been unduly </w:t>
      </w:r>
      <w:r w:rsidRPr="00B018F5">
        <w:rPr>
          <w:bCs/>
          <w:color w:val="000000" w:themeColor="text1"/>
          <w:sz w:val="20"/>
          <w:szCs w:val="20"/>
        </w:rPr>
        <w:lastRenderedPageBreak/>
        <w:t>protective of Crown interests which Parliament itself has chosen to subordinate to competing prioritized claims.</w:t>
      </w:r>
      <w:r w:rsidRPr="00B018F5">
        <w:rPr>
          <w:color w:val="000000" w:themeColor="text1"/>
          <w:sz w:val="20"/>
          <w:szCs w:val="20"/>
        </w:rPr>
        <w:t xml:space="preserve"> </w:t>
      </w:r>
      <w:r w:rsidRPr="00B018F5">
        <w:rPr>
          <w:sz w:val="20"/>
          <w:szCs w:val="20"/>
        </w:rPr>
        <w:t xml:space="preserve"> </w:t>
      </w:r>
      <w:r w:rsidRPr="00B018F5">
        <w:rPr>
          <w:bCs/>
          <w:color w:val="000000" w:themeColor="text1"/>
          <w:sz w:val="20"/>
          <w:szCs w:val="20"/>
        </w:rPr>
        <w:t>In the context of the Canadian insolvency regime,</w:t>
      </w:r>
      <w:r w:rsidRPr="00B018F5">
        <w:rPr>
          <w:sz w:val="20"/>
          <w:szCs w:val="20"/>
        </w:rPr>
        <w:t xml:space="preserve"> deemed trusts exist only where there is a statutory provision </w:t>
      </w:r>
      <w:r w:rsidRPr="00B018F5">
        <w:rPr>
          <w:i/>
          <w:sz w:val="20"/>
          <w:szCs w:val="20"/>
        </w:rPr>
        <w:t>creating</w:t>
      </w:r>
      <w:r w:rsidRPr="00B018F5">
        <w:rPr>
          <w:sz w:val="20"/>
          <w:szCs w:val="20"/>
        </w:rPr>
        <w:t xml:space="preserve"> the trust and a </w:t>
      </w:r>
      <w:r w:rsidRPr="00B018F5">
        <w:rPr>
          <w:i/>
          <w:sz w:val="20"/>
          <w:szCs w:val="20"/>
        </w:rPr>
        <w:t xml:space="preserve">CCAA </w:t>
      </w:r>
      <w:r w:rsidRPr="00B018F5">
        <w:rPr>
          <w:sz w:val="20"/>
          <w:szCs w:val="20"/>
        </w:rPr>
        <w:t xml:space="preserve">or </w:t>
      </w:r>
      <w:r w:rsidRPr="00B018F5">
        <w:rPr>
          <w:i/>
          <w:sz w:val="20"/>
          <w:szCs w:val="20"/>
        </w:rPr>
        <w:t>BIA</w:t>
      </w:r>
      <w:r w:rsidRPr="00B018F5">
        <w:rPr>
          <w:sz w:val="20"/>
          <w:szCs w:val="20"/>
        </w:rPr>
        <w:t xml:space="preserve"> provision explicitly </w:t>
      </w:r>
      <w:r w:rsidRPr="00B018F5">
        <w:rPr>
          <w:i/>
          <w:sz w:val="20"/>
          <w:szCs w:val="20"/>
        </w:rPr>
        <w:t xml:space="preserve">confirming </w:t>
      </w:r>
      <w:r w:rsidRPr="00B018F5">
        <w:rPr>
          <w:sz w:val="20"/>
          <w:szCs w:val="20"/>
        </w:rPr>
        <w:t xml:space="preserve">its effective operation.  The </w:t>
      </w:r>
      <w:r w:rsidRPr="00B018F5">
        <w:rPr>
          <w:i/>
          <w:sz w:val="20"/>
          <w:szCs w:val="20"/>
        </w:rPr>
        <w:t>Income Tax Act</w:t>
      </w:r>
      <w:r w:rsidRPr="00B018F5">
        <w:rPr>
          <w:sz w:val="20"/>
          <w:szCs w:val="20"/>
        </w:rPr>
        <w:t xml:space="preserve">, the </w:t>
      </w:r>
      <w:r w:rsidRPr="00B018F5">
        <w:rPr>
          <w:i/>
          <w:sz w:val="20"/>
          <w:szCs w:val="20"/>
        </w:rPr>
        <w:t>Canada Pension Plan Act</w:t>
      </w:r>
      <w:r w:rsidRPr="00B018F5">
        <w:rPr>
          <w:sz w:val="20"/>
          <w:szCs w:val="20"/>
        </w:rPr>
        <w:t xml:space="preserve"> and the </w:t>
      </w:r>
      <w:r w:rsidRPr="00B018F5">
        <w:rPr>
          <w:i/>
          <w:sz w:val="20"/>
          <w:szCs w:val="20"/>
        </w:rPr>
        <w:t>Employment Insurance Act</w:t>
      </w:r>
      <w:r w:rsidRPr="00B018F5">
        <w:rPr>
          <w:sz w:val="20"/>
          <w:szCs w:val="20"/>
        </w:rPr>
        <w:t xml:space="preserve"> all contain deemed trust provisions that are strikingly similar to that in s. 222 of the </w:t>
      </w:r>
      <w:r w:rsidRPr="00B018F5">
        <w:rPr>
          <w:i/>
          <w:sz w:val="20"/>
          <w:szCs w:val="20"/>
        </w:rPr>
        <w:t>ETA</w:t>
      </w:r>
      <w:r w:rsidRPr="00B018F5">
        <w:rPr>
          <w:sz w:val="20"/>
          <w:szCs w:val="20"/>
        </w:rPr>
        <w:t xml:space="preserve"> but they are all also confirmed in s. 37 of the </w:t>
      </w:r>
      <w:r w:rsidRPr="00B018F5">
        <w:rPr>
          <w:i/>
          <w:sz w:val="20"/>
          <w:szCs w:val="20"/>
        </w:rPr>
        <w:t>CCAA</w:t>
      </w:r>
      <w:r w:rsidRPr="00B018F5">
        <w:rPr>
          <w:sz w:val="20"/>
          <w:szCs w:val="20"/>
        </w:rPr>
        <w:t xml:space="preserve"> and in s. 67(3) of the </w:t>
      </w:r>
      <w:r w:rsidRPr="00B018F5">
        <w:rPr>
          <w:i/>
          <w:sz w:val="20"/>
          <w:szCs w:val="20"/>
        </w:rPr>
        <w:t>BIA</w:t>
      </w:r>
      <w:r w:rsidRPr="00B018F5">
        <w:rPr>
          <w:sz w:val="20"/>
          <w:szCs w:val="20"/>
        </w:rPr>
        <w:t xml:space="preserve"> in clear and unmistakeable terms.  The same is not true of the deemed trust created under the </w:t>
      </w:r>
      <w:r w:rsidRPr="00B018F5">
        <w:rPr>
          <w:i/>
          <w:sz w:val="20"/>
          <w:szCs w:val="20"/>
        </w:rPr>
        <w:t>ETA</w:t>
      </w:r>
      <w:r w:rsidRPr="00B018F5">
        <w:rPr>
          <w:sz w:val="20"/>
          <w:szCs w:val="20"/>
        </w:rPr>
        <w:t xml:space="preserve">.  Although Parliament created a deemed trust in favour of the Crown to hold unremitted GST monies, and although it purports to maintain this trust notwithstanding any contrary federal or provincial legislation, it did not </w:t>
      </w:r>
      <w:r w:rsidRPr="00B018F5">
        <w:rPr>
          <w:i/>
          <w:sz w:val="20"/>
          <w:szCs w:val="20"/>
        </w:rPr>
        <w:t>confirm</w:t>
      </w:r>
      <w:r w:rsidRPr="00B018F5">
        <w:rPr>
          <w:sz w:val="20"/>
          <w:szCs w:val="20"/>
        </w:rPr>
        <w:t xml:space="preserve"> the continued operation of the trust in either the </w:t>
      </w:r>
      <w:r w:rsidRPr="00B018F5">
        <w:rPr>
          <w:i/>
          <w:sz w:val="20"/>
          <w:szCs w:val="20"/>
        </w:rPr>
        <w:t xml:space="preserve">BIA </w:t>
      </w:r>
      <w:r w:rsidRPr="00B018F5">
        <w:rPr>
          <w:sz w:val="20"/>
          <w:szCs w:val="20"/>
        </w:rPr>
        <w:t xml:space="preserve">or the </w:t>
      </w:r>
      <w:r w:rsidRPr="00B018F5">
        <w:rPr>
          <w:i/>
          <w:sz w:val="20"/>
          <w:szCs w:val="20"/>
        </w:rPr>
        <w:t>CCAA</w:t>
      </w:r>
      <w:r w:rsidRPr="00B018F5">
        <w:rPr>
          <w:sz w:val="20"/>
          <w:szCs w:val="20"/>
        </w:rPr>
        <w:t>,</w:t>
      </w:r>
      <w:r w:rsidRPr="00B018F5">
        <w:rPr>
          <w:color w:val="000000"/>
          <w:sz w:val="20"/>
          <w:szCs w:val="20"/>
        </w:rPr>
        <w:t xml:space="preserve"> reflecting Parliament’s intention to allow the deemed trust to lapse</w:t>
      </w:r>
      <w:r w:rsidRPr="00B018F5">
        <w:rPr>
          <w:sz w:val="20"/>
          <w:szCs w:val="20"/>
        </w:rPr>
        <w:t xml:space="preserve"> with the commencement of insolvency proceedings.</w:t>
      </w:r>
    </w:p>
    <w:p w:rsidR="00CE4409" w:rsidRPr="00B018F5" w:rsidRDefault="00CE4409" w:rsidP="00CE4409">
      <w:pPr>
        <w:pStyle w:val="ListParagraph"/>
        <w:ind w:left="0"/>
        <w:jc w:val="both"/>
        <w:rPr>
          <w:sz w:val="20"/>
          <w:szCs w:val="20"/>
        </w:rPr>
      </w:pPr>
    </w:p>
    <w:p w:rsidR="00CE4409" w:rsidRPr="00B018F5" w:rsidRDefault="00CE4409" w:rsidP="00CE4409">
      <w:pPr>
        <w:pStyle w:val="ListParagraph"/>
        <w:ind w:left="0" w:firstLine="720"/>
        <w:jc w:val="both"/>
        <w:rPr>
          <w:sz w:val="20"/>
          <w:szCs w:val="20"/>
        </w:rPr>
      </w:pPr>
      <w:r w:rsidRPr="00B018F5">
        <w:rPr>
          <w:i/>
          <w:sz w:val="20"/>
          <w:szCs w:val="20"/>
        </w:rPr>
        <w:t>Per</w:t>
      </w:r>
      <w:r w:rsidRPr="00B018F5">
        <w:rPr>
          <w:sz w:val="20"/>
          <w:szCs w:val="20"/>
        </w:rPr>
        <w:t xml:space="preserve"> </w:t>
      </w:r>
      <w:proofErr w:type="spellStart"/>
      <w:r w:rsidRPr="00B018F5">
        <w:rPr>
          <w:sz w:val="20"/>
          <w:szCs w:val="20"/>
        </w:rPr>
        <w:t>Abella</w:t>
      </w:r>
      <w:proofErr w:type="spellEnd"/>
      <w:r w:rsidRPr="00B018F5">
        <w:rPr>
          <w:sz w:val="20"/>
          <w:szCs w:val="20"/>
        </w:rPr>
        <w:t xml:space="preserve"> J (dissenting):  Section 222(3) of the </w:t>
      </w:r>
      <w:r w:rsidRPr="00B018F5">
        <w:rPr>
          <w:i/>
          <w:sz w:val="20"/>
          <w:szCs w:val="20"/>
        </w:rPr>
        <w:t>ETA</w:t>
      </w:r>
      <w:r w:rsidRPr="00B018F5">
        <w:rPr>
          <w:sz w:val="20"/>
          <w:szCs w:val="20"/>
        </w:rPr>
        <w:t xml:space="preserve"> gives priority during </w:t>
      </w:r>
      <w:r w:rsidRPr="00B018F5">
        <w:rPr>
          <w:i/>
          <w:sz w:val="20"/>
          <w:szCs w:val="20"/>
        </w:rPr>
        <w:t>CCAA</w:t>
      </w:r>
      <w:r w:rsidRPr="00B018F5">
        <w:rPr>
          <w:sz w:val="20"/>
          <w:szCs w:val="20"/>
        </w:rPr>
        <w:t xml:space="preserve"> proceedings to the Crown's deemed trust in unremitted GST.  This provision unequivocally defines its boundaries in the clearest possible terms and excludes only the </w:t>
      </w:r>
      <w:r w:rsidRPr="00B018F5">
        <w:rPr>
          <w:i/>
          <w:sz w:val="20"/>
          <w:szCs w:val="20"/>
        </w:rPr>
        <w:t>BIA</w:t>
      </w:r>
      <w:r w:rsidRPr="00B018F5">
        <w:rPr>
          <w:sz w:val="20"/>
          <w:szCs w:val="20"/>
        </w:rPr>
        <w:t xml:space="preserve"> from its legislative grasp.  The language used reflects a clear legislative intention that s. 222(3) would prevail if in conflict with any other law except the </w:t>
      </w:r>
      <w:r w:rsidRPr="00B018F5">
        <w:rPr>
          <w:i/>
          <w:sz w:val="20"/>
          <w:szCs w:val="20"/>
        </w:rPr>
        <w:t>BIA.</w:t>
      </w:r>
      <w:r w:rsidRPr="00B018F5">
        <w:rPr>
          <w:sz w:val="20"/>
          <w:szCs w:val="20"/>
        </w:rPr>
        <w:t xml:space="preserve">  This is borne out by the fact that following the enactment of s. 222(3), amendments to the </w:t>
      </w:r>
      <w:r w:rsidRPr="00B018F5">
        <w:rPr>
          <w:i/>
          <w:sz w:val="20"/>
          <w:szCs w:val="20"/>
        </w:rPr>
        <w:t>CCAA</w:t>
      </w:r>
      <w:r w:rsidRPr="00B018F5">
        <w:rPr>
          <w:sz w:val="20"/>
          <w:szCs w:val="20"/>
        </w:rPr>
        <w:t xml:space="preserve"> were introduced, and despite requests from various constituencies, s. 18.3(1) was not amended to make the priorities in the </w:t>
      </w:r>
      <w:r w:rsidRPr="00B018F5">
        <w:rPr>
          <w:i/>
          <w:sz w:val="20"/>
          <w:szCs w:val="20"/>
        </w:rPr>
        <w:t>CCAA</w:t>
      </w:r>
      <w:r w:rsidRPr="00B018F5">
        <w:rPr>
          <w:sz w:val="20"/>
          <w:szCs w:val="20"/>
        </w:rPr>
        <w:t xml:space="preserve"> consistent with those in the </w:t>
      </w:r>
      <w:r w:rsidRPr="00B018F5">
        <w:rPr>
          <w:i/>
          <w:sz w:val="20"/>
          <w:szCs w:val="20"/>
        </w:rPr>
        <w:t>BIA</w:t>
      </w:r>
      <w:r w:rsidRPr="00B018F5">
        <w:rPr>
          <w:sz w:val="20"/>
          <w:szCs w:val="20"/>
        </w:rPr>
        <w:t xml:space="preserve">.  This indicates a deliberate legislative choice to protect the deemed trust in s. 222(3) from the reach of s. 18.3(1) of the </w:t>
      </w:r>
      <w:r w:rsidRPr="00B018F5">
        <w:rPr>
          <w:i/>
          <w:sz w:val="20"/>
          <w:szCs w:val="20"/>
        </w:rPr>
        <w:t>CCAA.</w:t>
      </w:r>
    </w:p>
    <w:p w:rsidR="00CE4409" w:rsidRPr="00B018F5" w:rsidRDefault="00CE4409" w:rsidP="00CE4409">
      <w:pPr>
        <w:pStyle w:val="ListParagraph"/>
        <w:tabs>
          <w:tab w:val="left" w:pos="1170"/>
        </w:tabs>
        <w:ind w:left="0"/>
        <w:jc w:val="both"/>
        <w:rPr>
          <w:sz w:val="20"/>
          <w:szCs w:val="20"/>
        </w:rPr>
      </w:pPr>
    </w:p>
    <w:p w:rsidR="00544A28" w:rsidRPr="00544A28" w:rsidRDefault="00CE4409" w:rsidP="00CE4409">
      <w:pPr>
        <w:jc w:val="both"/>
        <w:rPr>
          <w:rFonts w:cs="Times New Roman"/>
          <w:sz w:val="20"/>
          <w:szCs w:val="20"/>
        </w:rPr>
      </w:pPr>
      <w:r w:rsidRPr="00B018F5">
        <w:rPr>
          <w:sz w:val="20"/>
          <w:szCs w:val="20"/>
        </w:rPr>
        <w:tab/>
        <w:t xml:space="preserve">The application of other principles of interpretation reinforces this conclusion.  An earlier, specific provision may be overruled by a subsequent general statute if the legislature indicates, through its language, an intention that the general provision prevails.  Section 222(3) achieves this through the use of language stating that it prevails despite any law of Canada, of a province, or “any other law” </w:t>
      </w:r>
      <w:r w:rsidRPr="00B018F5">
        <w:rPr>
          <w:i/>
          <w:sz w:val="20"/>
          <w:szCs w:val="20"/>
        </w:rPr>
        <w:t>other than the BIA</w:t>
      </w:r>
      <w:r w:rsidRPr="00B018F5">
        <w:rPr>
          <w:sz w:val="20"/>
          <w:szCs w:val="20"/>
        </w:rPr>
        <w:t xml:space="preserve">.  Section 18.3(1) of the </w:t>
      </w:r>
      <w:r w:rsidRPr="00B018F5">
        <w:rPr>
          <w:i/>
          <w:sz w:val="20"/>
          <w:szCs w:val="20"/>
        </w:rPr>
        <w:t>CCAA</w:t>
      </w:r>
      <w:r w:rsidRPr="00B018F5">
        <w:rPr>
          <w:sz w:val="20"/>
          <w:szCs w:val="20"/>
        </w:rPr>
        <w:t xml:space="preserve"> is thereby rendered inoperative for purposes of s. 222(3).  By operation of s. 44(f) of the </w:t>
      </w:r>
      <w:r w:rsidRPr="00B018F5">
        <w:rPr>
          <w:i/>
          <w:sz w:val="20"/>
          <w:szCs w:val="20"/>
        </w:rPr>
        <w:t>Interpretation Act</w:t>
      </w:r>
      <w:r w:rsidRPr="00B018F5">
        <w:rPr>
          <w:sz w:val="20"/>
          <w:szCs w:val="20"/>
        </w:rPr>
        <w:t xml:space="preserve">, the transformation of s. 18(3) into s. 37(1) after the enactment of s. 222(3) of the </w:t>
      </w:r>
      <w:r w:rsidRPr="00B018F5">
        <w:rPr>
          <w:i/>
          <w:sz w:val="20"/>
          <w:szCs w:val="20"/>
        </w:rPr>
        <w:t>ETA</w:t>
      </w:r>
      <w:r w:rsidRPr="00B018F5">
        <w:rPr>
          <w:sz w:val="20"/>
          <w:szCs w:val="20"/>
        </w:rPr>
        <w:t xml:space="preserve"> has no effect on the interpretive queue, and s. 222(3) of the </w:t>
      </w:r>
      <w:r w:rsidRPr="00B018F5">
        <w:rPr>
          <w:i/>
          <w:sz w:val="20"/>
          <w:szCs w:val="20"/>
        </w:rPr>
        <w:t xml:space="preserve">ETA </w:t>
      </w:r>
      <w:r w:rsidRPr="00B018F5">
        <w:rPr>
          <w:sz w:val="20"/>
          <w:szCs w:val="20"/>
        </w:rPr>
        <w:t xml:space="preserve">remains the “later in time” provision. </w:t>
      </w:r>
      <w:r w:rsidRPr="00B018F5">
        <w:rPr>
          <w:color w:val="000000"/>
          <w:sz w:val="20"/>
          <w:szCs w:val="20"/>
        </w:rPr>
        <w:t xml:space="preserve"> </w:t>
      </w:r>
      <w:r w:rsidRPr="00B018F5">
        <w:rPr>
          <w:sz w:val="20"/>
          <w:szCs w:val="20"/>
        </w:rPr>
        <w:t xml:space="preserve">This means that the deemed trust provision in s. 222(3) of the </w:t>
      </w:r>
      <w:r w:rsidRPr="00B018F5">
        <w:rPr>
          <w:i/>
          <w:sz w:val="20"/>
          <w:szCs w:val="20"/>
        </w:rPr>
        <w:t>ETA</w:t>
      </w:r>
      <w:r w:rsidRPr="00B018F5">
        <w:rPr>
          <w:sz w:val="20"/>
          <w:szCs w:val="20"/>
        </w:rPr>
        <w:t xml:space="preserve"> takes precedence over s. 18.3(1) during </w:t>
      </w:r>
      <w:r w:rsidRPr="00B018F5">
        <w:rPr>
          <w:i/>
          <w:sz w:val="20"/>
          <w:szCs w:val="20"/>
        </w:rPr>
        <w:t>CCAA</w:t>
      </w:r>
      <w:r w:rsidRPr="00B018F5">
        <w:rPr>
          <w:sz w:val="20"/>
          <w:szCs w:val="20"/>
        </w:rPr>
        <w:t xml:space="preserve"> proceedings.  While</w:t>
      </w:r>
      <w:r w:rsidRPr="00B018F5">
        <w:rPr>
          <w:i/>
          <w:sz w:val="20"/>
          <w:szCs w:val="20"/>
        </w:rPr>
        <w:t xml:space="preserve"> </w:t>
      </w:r>
      <w:r w:rsidRPr="00B018F5">
        <w:rPr>
          <w:sz w:val="20"/>
          <w:szCs w:val="20"/>
        </w:rPr>
        <w:t xml:space="preserve">s. 11 gives </w:t>
      </w:r>
      <w:proofErr w:type="gramStart"/>
      <w:r w:rsidRPr="00B018F5">
        <w:rPr>
          <w:sz w:val="20"/>
          <w:szCs w:val="20"/>
        </w:rPr>
        <w:t>a court</w:t>
      </w:r>
      <w:proofErr w:type="gramEnd"/>
      <w:r w:rsidRPr="00B018F5">
        <w:rPr>
          <w:sz w:val="20"/>
          <w:szCs w:val="20"/>
        </w:rPr>
        <w:t xml:space="preserve"> discretion to make orders notwithstanding the </w:t>
      </w:r>
      <w:r w:rsidRPr="00B018F5">
        <w:rPr>
          <w:i/>
          <w:sz w:val="20"/>
          <w:szCs w:val="20"/>
        </w:rPr>
        <w:t xml:space="preserve">BIA </w:t>
      </w:r>
      <w:r w:rsidRPr="00B018F5">
        <w:rPr>
          <w:sz w:val="20"/>
          <w:szCs w:val="20"/>
        </w:rPr>
        <w:t xml:space="preserve">and the </w:t>
      </w:r>
      <w:r w:rsidRPr="00B018F5">
        <w:rPr>
          <w:i/>
          <w:sz w:val="20"/>
          <w:szCs w:val="20"/>
        </w:rPr>
        <w:t>Winding-up Act,</w:t>
      </w:r>
      <w:r w:rsidRPr="00B018F5">
        <w:rPr>
          <w:sz w:val="20"/>
          <w:szCs w:val="20"/>
        </w:rPr>
        <w:t xml:space="preserve"> that discretion is not liberated from the operation of any other federal statute.  Any exercise of discretion is therefore circumscribed by whatever limits are imposed by statutes </w:t>
      </w:r>
      <w:r w:rsidRPr="00B018F5">
        <w:rPr>
          <w:i/>
          <w:sz w:val="20"/>
          <w:szCs w:val="20"/>
        </w:rPr>
        <w:t xml:space="preserve">other </w:t>
      </w:r>
      <w:r w:rsidRPr="00B018F5">
        <w:rPr>
          <w:sz w:val="20"/>
          <w:szCs w:val="20"/>
        </w:rPr>
        <w:t>than</w:t>
      </w:r>
      <w:r w:rsidRPr="00B018F5">
        <w:rPr>
          <w:i/>
          <w:sz w:val="20"/>
          <w:szCs w:val="20"/>
        </w:rPr>
        <w:t xml:space="preserve"> </w:t>
      </w:r>
      <w:r w:rsidRPr="00B018F5">
        <w:rPr>
          <w:sz w:val="20"/>
          <w:szCs w:val="20"/>
        </w:rPr>
        <w:t xml:space="preserve">the </w:t>
      </w:r>
      <w:r w:rsidRPr="00B018F5">
        <w:rPr>
          <w:i/>
          <w:sz w:val="20"/>
          <w:szCs w:val="20"/>
        </w:rPr>
        <w:t>BIA</w:t>
      </w:r>
      <w:r w:rsidRPr="00B018F5">
        <w:rPr>
          <w:sz w:val="20"/>
          <w:szCs w:val="20"/>
        </w:rPr>
        <w:t xml:space="preserve"> and</w:t>
      </w:r>
      <w:r w:rsidRPr="00B018F5">
        <w:rPr>
          <w:color w:val="000000"/>
          <w:sz w:val="20"/>
          <w:szCs w:val="20"/>
        </w:rPr>
        <w:t xml:space="preserve"> </w:t>
      </w:r>
      <w:r w:rsidRPr="00B018F5">
        <w:rPr>
          <w:sz w:val="20"/>
          <w:szCs w:val="20"/>
        </w:rPr>
        <w:t xml:space="preserve">the </w:t>
      </w:r>
      <w:r w:rsidRPr="00B018F5">
        <w:rPr>
          <w:i/>
          <w:sz w:val="20"/>
          <w:szCs w:val="20"/>
        </w:rPr>
        <w:t>Winding-up Act</w:t>
      </w:r>
      <w:r w:rsidRPr="00B018F5">
        <w:rPr>
          <w:sz w:val="20"/>
          <w:szCs w:val="20"/>
        </w:rPr>
        <w:t xml:space="preserve">.  That includes the </w:t>
      </w:r>
      <w:r w:rsidRPr="00B018F5">
        <w:rPr>
          <w:i/>
          <w:sz w:val="20"/>
          <w:szCs w:val="20"/>
        </w:rPr>
        <w:t>ETA</w:t>
      </w:r>
      <w:r w:rsidRPr="00B018F5">
        <w:rPr>
          <w:sz w:val="20"/>
          <w:szCs w:val="20"/>
        </w:rPr>
        <w:t xml:space="preserve">.  The chambers judge in this case was, therefore, required to respect the priority regime set out in s. 222(3) of the </w:t>
      </w:r>
      <w:r w:rsidRPr="00B018F5">
        <w:rPr>
          <w:i/>
          <w:sz w:val="20"/>
          <w:szCs w:val="20"/>
        </w:rPr>
        <w:t>ETA</w:t>
      </w:r>
      <w:r w:rsidRPr="00B018F5">
        <w:rPr>
          <w:sz w:val="20"/>
          <w:szCs w:val="20"/>
        </w:rPr>
        <w:t xml:space="preserve">.  Neither s. 18.3(1) nor s. 11 of the </w:t>
      </w:r>
      <w:r w:rsidRPr="00B018F5">
        <w:rPr>
          <w:i/>
          <w:sz w:val="20"/>
          <w:szCs w:val="20"/>
        </w:rPr>
        <w:t>CCAA</w:t>
      </w:r>
      <w:r w:rsidRPr="00B018F5">
        <w:rPr>
          <w:sz w:val="20"/>
          <w:szCs w:val="20"/>
        </w:rPr>
        <w:t xml:space="preserve"> gave him the authority to ignore it.  He could not, as a result, deny the Crown’s request for payment of the GST funds during the </w:t>
      </w:r>
      <w:r w:rsidRPr="00B018F5">
        <w:rPr>
          <w:i/>
          <w:sz w:val="20"/>
          <w:szCs w:val="20"/>
        </w:rPr>
        <w:t>CCAA</w:t>
      </w:r>
      <w:r w:rsidRPr="00B018F5">
        <w:rPr>
          <w:sz w:val="20"/>
          <w:szCs w:val="20"/>
        </w:rPr>
        <w:t xml:space="preserve"> proceedings.</w:t>
      </w:r>
    </w:p>
    <w:p w:rsidR="005C6840" w:rsidRDefault="005C6840" w:rsidP="005C6840">
      <w:pPr>
        <w:rPr>
          <w:rFonts w:cs="Times New Roman"/>
          <w:sz w:val="20"/>
          <w:szCs w:val="20"/>
        </w:rPr>
      </w:pPr>
    </w:p>
    <w:p w:rsidR="00CE4409" w:rsidRPr="00B018F5" w:rsidRDefault="00CE4409" w:rsidP="00CE4409">
      <w:pPr>
        <w:pStyle w:val="SCCNormalDoubleSpacing"/>
        <w:spacing w:line="240" w:lineRule="auto"/>
        <w:rPr>
          <w:sz w:val="20"/>
        </w:rPr>
      </w:pPr>
      <w:r w:rsidRPr="00B018F5">
        <w:rPr>
          <w:sz w:val="20"/>
        </w:rPr>
        <w:tab/>
        <w:t xml:space="preserve">APPEAL from a judgment of the British Columbia Court of Appeal (Newbury, </w:t>
      </w:r>
      <w:proofErr w:type="spellStart"/>
      <w:r w:rsidRPr="00B018F5">
        <w:rPr>
          <w:sz w:val="20"/>
        </w:rPr>
        <w:t>Tysoe</w:t>
      </w:r>
      <w:proofErr w:type="spellEnd"/>
      <w:r w:rsidRPr="00B018F5">
        <w:rPr>
          <w:sz w:val="20"/>
        </w:rPr>
        <w:t xml:space="preserve"> and Smith JJ.A.), 2009 BCCA 205, 98 B.C.L.R. (4th) 242, 270 B.C.A.C. 167, 454 W.A.C. 167, [2009] 12 W.W.R. 684, [2009] G.S.T.C. 79, [2009] B.C.J. No. 918 (QL), 2009 </w:t>
      </w:r>
      <w:proofErr w:type="spellStart"/>
      <w:r w:rsidRPr="00B018F5">
        <w:rPr>
          <w:sz w:val="20"/>
        </w:rPr>
        <w:t>CarswellBC</w:t>
      </w:r>
      <w:proofErr w:type="spellEnd"/>
      <w:r w:rsidRPr="00B018F5">
        <w:rPr>
          <w:sz w:val="20"/>
        </w:rPr>
        <w:t xml:space="preserve"> 1195, reversing a judgment of Brenner C.J.S.C., 2008 BCSC 1805, [2008] G.S.T.C. 221, [2008] B.C.J. No. 2611 (QL), 2008 </w:t>
      </w:r>
      <w:proofErr w:type="spellStart"/>
      <w:r w:rsidRPr="00B018F5">
        <w:rPr>
          <w:sz w:val="20"/>
        </w:rPr>
        <w:t>CarswellBC</w:t>
      </w:r>
      <w:proofErr w:type="spellEnd"/>
      <w:r w:rsidRPr="00B018F5">
        <w:rPr>
          <w:sz w:val="20"/>
        </w:rPr>
        <w:t xml:space="preserve"> 2895, dismissing a Crown application for payment of GST monies.  </w:t>
      </w:r>
      <w:r w:rsidRPr="00B018F5">
        <w:rPr>
          <w:sz w:val="20"/>
          <w:lang w:val="en-US"/>
        </w:rPr>
        <w:t xml:space="preserve">Appeal allowed, </w:t>
      </w:r>
      <w:proofErr w:type="spellStart"/>
      <w:r w:rsidRPr="00B018F5">
        <w:rPr>
          <w:sz w:val="20"/>
          <w:lang w:val="en-US"/>
        </w:rPr>
        <w:t>Abella</w:t>
      </w:r>
      <w:proofErr w:type="spellEnd"/>
      <w:r w:rsidRPr="00B018F5">
        <w:rPr>
          <w:sz w:val="20"/>
          <w:lang w:val="en-US"/>
        </w:rPr>
        <w:t> J. dissenting.</w:t>
      </w:r>
    </w:p>
    <w:p w:rsidR="00CE4409" w:rsidRPr="00B018F5" w:rsidRDefault="00CE4409" w:rsidP="00CE4409">
      <w:pPr>
        <w:pStyle w:val="SCCNormalDoubleSpacing"/>
        <w:spacing w:line="240" w:lineRule="auto"/>
        <w:rPr>
          <w:sz w:val="20"/>
        </w:rPr>
      </w:pPr>
    </w:p>
    <w:p w:rsidR="00CE4409" w:rsidRPr="00B018F5" w:rsidRDefault="00CE4409" w:rsidP="00CE4409">
      <w:pPr>
        <w:pStyle w:val="SCCNormalDoubleSpacing"/>
        <w:spacing w:line="240" w:lineRule="auto"/>
        <w:rPr>
          <w:sz w:val="20"/>
        </w:rPr>
      </w:pPr>
      <w:r w:rsidRPr="00B018F5">
        <w:rPr>
          <w:rStyle w:val="SCCCounselNameChar"/>
          <w:sz w:val="20"/>
        </w:rPr>
        <w:tab/>
      </w:r>
      <w:proofErr w:type="gramStart"/>
      <w:r w:rsidRPr="00B018F5">
        <w:rPr>
          <w:rStyle w:val="SCCCounselNameChar"/>
          <w:sz w:val="20"/>
        </w:rPr>
        <w:t>Mary I. A. Buttery</w:t>
      </w:r>
      <w:r w:rsidRPr="00CE4409">
        <w:rPr>
          <w:rStyle w:val="SCCCounselSeparatorChar"/>
          <w:sz w:val="20"/>
          <w:lang w:val="en-CA"/>
        </w:rPr>
        <w:t xml:space="preserve">, </w:t>
      </w:r>
      <w:r w:rsidRPr="00B018F5">
        <w:rPr>
          <w:rStyle w:val="SCCCounselNameChar"/>
          <w:sz w:val="20"/>
        </w:rPr>
        <w:t>Owen J. James</w:t>
      </w:r>
      <w:r w:rsidRPr="00CE4409">
        <w:rPr>
          <w:rStyle w:val="SCCCounselSeparatorChar"/>
          <w:sz w:val="20"/>
          <w:lang w:val="en-CA"/>
        </w:rPr>
        <w:t xml:space="preserve"> and </w:t>
      </w:r>
      <w:r w:rsidRPr="00B018F5">
        <w:rPr>
          <w:rStyle w:val="SCCCounselNameChar"/>
          <w:sz w:val="20"/>
        </w:rPr>
        <w:t>Matthew J. G. Curtis</w:t>
      </w:r>
      <w:r w:rsidRPr="00B018F5">
        <w:rPr>
          <w:rStyle w:val="SCCCounselPartyRoleChar"/>
          <w:sz w:val="20"/>
        </w:rPr>
        <w:t>, for the appellant.</w:t>
      </w:r>
      <w:proofErr w:type="gramEnd"/>
    </w:p>
    <w:p w:rsidR="00CE4409" w:rsidRPr="00B018F5" w:rsidRDefault="00CE4409" w:rsidP="00CE4409">
      <w:pPr>
        <w:pStyle w:val="SCCNormalDoubleSpacing"/>
        <w:spacing w:line="240" w:lineRule="auto"/>
        <w:rPr>
          <w:sz w:val="20"/>
        </w:rPr>
      </w:pPr>
    </w:p>
    <w:p w:rsidR="00CE4409" w:rsidRPr="00B018F5" w:rsidRDefault="00CE4409" w:rsidP="00CE4409">
      <w:pPr>
        <w:pStyle w:val="SCCNormalDoubleSpacing"/>
        <w:spacing w:line="240" w:lineRule="auto"/>
        <w:rPr>
          <w:sz w:val="20"/>
        </w:rPr>
      </w:pPr>
      <w:r w:rsidRPr="00B018F5">
        <w:rPr>
          <w:rStyle w:val="SCCCounselNameChar"/>
          <w:sz w:val="20"/>
        </w:rPr>
        <w:tab/>
      </w:r>
      <w:proofErr w:type="gramStart"/>
      <w:r w:rsidRPr="00B018F5">
        <w:rPr>
          <w:rStyle w:val="SCCCounselNameChar"/>
          <w:sz w:val="20"/>
        </w:rPr>
        <w:t xml:space="preserve">Gordon </w:t>
      </w:r>
      <w:proofErr w:type="spellStart"/>
      <w:r w:rsidRPr="00B018F5">
        <w:rPr>
          <w:rStyle w:val="SCCCounselNameChar"/>
          <w:sz w:val="20"/>
        </w:rPr>
        <w:t>Bourgard</w:t>
      </w:r>
      <w:proofErr w:type="spellEnd"/>
      <w:r w:rsidRPr="00B018F5">
        <w:rPr>
          <w:rStyle w:val="SCCCounselPartyRoleChar"/>
          <w:sz w:val="20"/>
        </w:rPr>
        <w:t>,</w:t>
      </w:r>
      <w:r w:rsidRPr="00B018F5">
        <w:rPr>
          <w:rStyle w:val="SCCCounselNameChar"/>
          <w:sz w:val="20"/>
        </w:rPr>
        <w:t xml:space="preserve"> David </w:t>
      </w:r>
      <w:proofErr w:type="spellStart"/>
      <w:r w:rsidRPr="00B018F5">
        <w:rPr>
          <w:rStyle w:val="SCCCounselNameChar"/>
          <w:sz w:val="20"/>
        </w:rPr>
        <w:t>Jacyk</w:t>
      </w:r>
      <w:proofErr w:type="spellEnd"/>
      <w:r w:rsidRPr="00CE4409">
        <w:rPr>
          <w:rStyle w:val="SCCCounselSeparatorChar"/>
          <w:sz w:val="20"/>
          <w:lang w:val="en-CA"/>
        </w:rPr>
        <w:t xml:space="preserve"> and </w:t>
      </w:r>
      <w:r w:rsidRPr="00CE4409">
        <w:rPr>
          <w:rStyle w:val="SCCCounselSeparatorChar"/>
          <w:i/>
          <w:sz w:val="20"/>
          <w:lang w:val="en-CA"/>
        </w:rPr>
        <w:t xml:space="preserve">Michael J. </w:t>
      </w:r>
      <w:proofErr w:type="spellStart"/>
      <w:r w:rsidRPr="00CE4409">
        <w:rPr>
          <w:rStyle w:val="SCCCounselSeparatorChar"/>
          <w:i/>
          <w:sz w:val="20"/>
          <w:lang w:val="en-CA"/>
        </w:rPr>
        <w:t>Lema</w:t>
      </w:r>
      <w:proofErr w:type="spellEnd"/>
      <w:r w:rsidRPr="00CE4409">
        <w:rPr>
          <w:rStyle w:val="SCCCounselSeparatorChar"/>
          <w:sz w:val="20"/>
          <w:lang w:val="en-CA"/>
        </w:rPr>
        <w:t xml:space="preserve">, </w:t>
      </w:r>
      <w:r w:rsidRPr="00B018F5">
        <w:rPr>
          <w:rStyle w:val="SCCCounselPartyRoleChar"/>
          <w:sz w:val="20"/>
        </w:rPr>
        <w:t>for the respondent.</w:t>
      </w:r>
      <w:proofErr w:type="gramEnd"/>
    </w:p>
    <w:p w:rsidR="00CE4409" w:rsidRPr="00B018F5" w:rsidRDefault="00CE4409" w:rsidP="00CE4409">
      <w:pPr>
        <w:jc w:val="both"/>
        <w:rPr>
          <w:sz w:val="20"/>
          <w:szCs w:val="20"/>
        </w:rPr>
      </w:pPr>
    </w:p>
    <w:p w:rsidR="00CE4409" w:rsidRPr="00B018F5" w:rsidRDefault="00CE4409" w:rsidP="00CE4409">
      <w:pPr>
        <w:pStyle w:val="SCCLawFirm"/>
        <w:spacing w:line="240" w:lineRule="auto"/>
        <w:rPr>
          <w:sz w:val="20"/>
        </w:rPr>
      </w:pPr>
      <w:r w:rsidRPr="00B018F5">
        <w:rPr>
          <w:sz w:val="20"/>
        </w:rPr>
        <w:tab/>
        <w:t xml:space="preserve">Solicitors for the appellant:  Fraser Milner </w:t>
      </w:r>
      <w:proofErr w:type="spellStart"/>
      <w:r w:rsidRPr="00B018F5">
        <w:rPr>
          <w:sz w:val="20"/>
        </w:rPr>
        <w:t>Casgrain</w:t>
      </w:r>
      <w:proofErr w:type="spellEnd"/>
      <w:r w:rsidRPr="00B018F5">
        <w:rPr>
          <w:sz w:val="20"/>
        </w:rPr>
        <w:t>, Vancouver.</w:t>
      </w:r>
    </w:p>
    <w:p w:rsidR="00CE4409" w:rsidRPr="00B018F5" w:rsidRDefault="00CE4409" w:rsidP="00CE4409">
      <w:pPr>
        <w:pStyle w:val="SCCLawFirm"/>
        <w:spacing w:line="240" w:lineRule="auto"/>
        <w:rPr>
          <w:sz w:val="20"/>
        </w:rPr>
      </w:pPr>
    </w:p>
    <w:p w:rsidR="00CE4409" w:rsidRPr="00267E4B" w:rsidRDefault="00CE4409" w:rsidP="00CE4409">
      <w:pPr>
        <w:rPr>
          <w:rFonts w:cs="Times New Roman"/>
          <w:i/>
          <w:sz w:val="20"/>
          <w:szCs w:val="20"/>
        </w:rPr>
      </w:pPr>
      <w:r w:rsidRPr="00B018F5">
        <w:rPr>
          <w:sz w:val="20"/>
          <w:szCs w:val="20"/>
        </w:rPr>
        <w:tab/>
      </w:r>
      <w:r w:rsidRPr="00267E4B">
        <w:rPr>
          <w:i/>
          <w:sz w:val="20"/>
          <w:szCs w:val="20"/>
        </w:rPr>
        <w:t>Solicitor for the respondent:  Department of Justice,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CE4409" w:rsidRPr="00CE4409" w:rsidRDefault="00CE4409" w:rsidP="00CE4409">
      <w:pPr>
        <w:jc w:val="both"/>
        <w:rPr>
          <w:rFonts w:cs="Times New Roman"/>
          <w:sz w:val="20"/>
          <w:szCs w:val="20"/>
          <w:lang w:val="fr-CA"/>
        </w:rPr>
      </w:pPr>
      <w:r w:rsidRPr="00CE4409">
        <w:rPr>
          <w:rFonts w:cs="Times New Roman"/>
          <w:sz w:val="20"/>
          <w:szCs w:val="20"/>
          <w:lang w:val="fr-CA"/>
        </w:rPr>
        <w:t xml:space="preserve">Présents : La juge en chef </w:t>
      </w:r>
      <w:proofErr w:type="spellStart"/>
      <w:r w:rsidRPr="00CE4409">
        <w:rPr>
          <w:rFonts w:cs="Times New Roman"/>
          <w:sz w:val="20"/>
          <w:szCs w:val="20"/>
          <w:lang w:val="fr-CA"/>
        </w:rPr>
        <w:t>McLachlin</w:t>
      </w:r>
      <w:proofErr w:type="spellEnd"/>
      <w:r w:rsidRPr="00CE4409">
        <w:rPr>
          <w:rFonts w:cs="Times New Roman"/>
          <w:sz w:val="20"/>
          <w:szCs w:val="20"/>
          <w:lang w:val="fr-CA"/>
        </w:rPr>
        <w:t xml:space="preserve"> et les juges </w:t>
      </w:r>
      <w:proofErr w:type="spellStart"/>
      <w:r w:rsidRPr="00CE4409">
        <w:rPr>
          <w:rFonts w:cs="Times New Roman"/>
          <w:sz w:val="20"/>
          <w:szCs w:val="20"/>
          <w:lang w:val="fr-CA"/>
        </w:rPr>
        <w:t>Binnie</w:t>
      </w:r>
      <w:proofErr w:type="spellEnd"/>
      <w:r w:rsidRPr="00CE4409">
        <w:rPr>
          <w:rFonts w:cs="Times New Roman"/>
          <w:sz w:val="20"/>
          <w:szCs w:val="20"/>
          <w:lang w:val="fr-CA"/>
        </w:rPr>
        <w:t xml:space="preserve">, </w:t>
      </w:r>
      <w:proofErr w:type="spellStart"/>
      <w:r w:rsidRPr="00CE4409">
        <w:rPr>
          <w:rFonts w:cs="Times New Roman"/>
          <w:sz w:val="20"/>
          <w:szCs w:val="20"/>
          <w:lang w:val="fr-CA"/>
        </w:rPr>
        <w:t>LeBel</w:t>
      </w:r>
      <w:proofErr w:type="spellEnd"/>
      <w:r w:rsidRPr="00CE4409">
        <w:rPr>
          <w:rFonts w:cs="Times New Roman"/>
          <w:sz w:val="20"/>
          <w:szCs w:val="20"/>
          <w:lang w:val="fr-CA"/>
        </w:rPr>
        <w:t xml:space="preserve">, Deschamps, Fish, Abella, Charron, </w:t>
      </w:r>
      <w:proofErr w:type="spellStart"/>
      <w:r w:rsidRPr="00CE4409">
        <w:rPr>
          <w:rFonts w:cs="Times New Roman"/>
          <w:sz w:val="20"/>
          <w:szCs w:val="20"/>
          <w:lang w:val="fr-CA"/>
        </w:rPr>
        <w:t>Rothstein</w:t>
      </w:r>
      <w:proofErr w:type="spellEnd"/>
      <w:r w:rsidRPr="00CE4409">
        <w:rPr>
          <w:rFonts w:cs="Times New Roman"/>
          <w:sz w:val="20"/>
          <w:szCs w:val="20"/>
          <w:lang w:val="fr-CA"/>
        </w:rPr>
        <w:t xml:space="preserve"> et Cromwell.</w:t>
      </w:r>
    </w:p>
    <w:p w:rsidR="00CE4409" w:rsidRDefault="00CE4409" w:rsidP="005C6840">
      <w:pPr>
        <w:jc w:val="both"/>
        <w:rPr>
          <w:rFonts w:cs="Times New Roman"/>
          <w:sz w:val="20"/>
          <w:szCs w:val="20"/>
          <w:lang w:val="fr-CA"/>
        </w:rPr>
      </w:pPr>
    </w:p>
    <w:p w:rsidR="00CE4409" w:rsidRPr="00CE4409" w:rsidRDefault="00CE4409" w:rsidP="00CE4409">
      <w:pPr>
        <w:pStyle w:val="SCCNormalDoubleSpacing"/>
        <w:spacing w:line="240" w:lineRule="auto"/>
        <w:rPr>
          <w:sz w:val="20"/>
          <w:lang w:val="fr-CA"/>
        </w:rPr>
      </w:pPr>
      <w:r w:rsidRPr="004F6FAD">
        <w:rPr>
          <w:sz w:val="20"/>
          <w:lang w:val="fr-CA"/>
        </w:rPr>
        <w:tab/>
      </w:r>
      <w:r w:rsidRPr="00CE4409">
        <w:rPr>
          <w:i/>
          <w:sz w:val="20"/>
          <w:lang w:val="fr-CA"/>
        </w:rPr>
        <w:t xml:space="preserve">Faillite et insolvabilité </w:t>
      </w:r>
      <w:r w:rsidRPr="00CE4409">
        <w:rPr>
          <w:i/>
          <w:iCs/>
          <w:color w:val="000000"/>
          <w:sz w:val="20"/>
          <w:lang w:val="fr-CA"/>
        </w:rPr>
        <w:t xml:space="preserve">— </w:t>
      </w:r>
      <w:r w:rsidRPr="00CE4409">
        <w:rPr>
          <w:i/>
          <w:sz w:val="20"/>
          <w:lang w:val="fr-CA"/>
        </w:rPr>
        <w:t xml:space="preserve">Priorités </w:t>
      </w:r>
      <w:r w:rsidRPr="00CE4409">
        <w:rPr>
          <w:i/>
          <w:iCs/>
          <w:color w:val="000000"/>
          <w:sz w:val="20"/>
          <w:lang w:val="fr-CA"/>
        </w:rPr>
        <w:t>— Demande de la Couronne à la société débitrice, la veille de la faillite, sollicitant le paiement au receveur général du Canada de la somme détenue en fiducie au titre de la TPS — La fiducie réputée établie par la Loi sur la taxe d’accise en faveur de la Couronne l’emporte</w:t>
      </w:r>
      <w:r w:rsidRPr="00CE4409">
        <w:rPr>
          <w:i/>
          <w:iCs/>
          <w:color w:val="000000"/>
          <w:sz w:val="20"/>
          <w:lang w:val="fr-CA"/>
        </w:rPr>
        <w:noBreakHyphen/>
      </w:r>
      <w:proofErr w:type="spellStart"/>
      <w:r w:rsidRPr="00CE4409">
        <w:rPr>
          <w:i/>
          <w:iCs/>
          <w:color w:val="000000"/>
          <w:sz w:val="20"/>
          <w:lang w:val="fr-CA"/>
        </w:rPr>
        <w:t>t</w:t>
      </w:r>
      <w:r w:rsidRPr="00CE4409">
        <w:rPr>
          <w:i/>
          <w:iCs/>
          <w:color w:val="000000"/>
          <w:sz w:val="20"/>
          <w:lang w:val="fr-CA"/>
        </w:rPr>
        <w:noBreakHyphen/>
        <w:t>elle</w:t>
      </w:r>
      <w:proofErr w:type="spellEnd"/>
      <w:r w:rsidRPr="00CE4409">
        <w:rPr>
          <w:i/>
          <w:iCs/>
          <w:color w:val="000000"/>
          <w:sz w:val="20"/>
          <w:lang w:val="fr-CA"/>
        </w:rPr>
        <w:t xml:space="preserve"> sur les dispositions de la Loi </w:t>
      </w:r>
      <w:r w:rsidRPr="00CE4409">
        <w:rPr>
          <w:i/>
          <w:iCs/>
          <w:color w:val="000000"/>
          <w:sz w:val="20"/>
          <w:lang w:val="fr-CA"/>
        </w:rPr>
        <w:lastRenderedPageBreak/>
        <w:t>sur les arrangements avec les créanciers des compagnies censées neutraliser ces fiducies?</w:t>
      </w:r>
      <w:r w:rsidRPr="00CE4409">
        <w:rPr>
          <w:i/>
          <w:sz w:val="20"/>
          <w:lang w:val="fr-CA"/>
        </w:rPr>
        <w:t xml:space="preserve"> </w:t>
      </w:r>
      <w:r w:rsidRPr="00CE4409">
        <w:rPr>
          <w:i/>
          <w:iCs/>
          <w:color w:val="000000"/>
          <w:sz w:val="20"/>
          <w:lang w:val="fr-CA"/>
        </w:rPr>
        <w:t>—</w:t>
      </w:r>
      <w:r w:rsidRPr="00CE4409">
        <w:rPr>
          <w:i/>
          <w:sz w:val="20"/>
          <w:lang w:val="fr-CA"/>
        </w:rPr>
        <w:t xml:space="preserve"> Loi sur les arrangements avec les créanciers des compagnies, L.R.C. 1985, ch. </w:t>
      </w:r>
      <w:r w:rsidRPr="00E46CAE">
        <w:rPr>
          <w:i/>
          <w:sz w:val="20"/>
          <w:lang w:val="fr-FR"/>
        </w:rPr>
        <w:t>C</w:t>
      </w:r>
      <w:r w:rsidRPr="00E46CAE">
        <w:rPr>
          <w:i/>
          <w:sz w:val="20"/>
          <w:lang w:val="fr-FR"/>
        </w:rPr>
        <w:noBreakHyphen/>
        <w:t xml:space="preserve">36, art. 18.3(1) </w:t>
      </w:r>
      <w:r w:rsidRPr="00E46CAE">
        <w:rPr>
          <w:i/>
          <w:iCs/>
          <w:color w:val="000000"/>
          <w:sz w:val="20"/>
          <w:lang w:val="fr-FR"/>
        </w:rPr>
        <w:t>—</w:t>
      </w:r>
      <w:r w:rsidRPr="00E46CAE">
        <w:rPr>
          <w:i/>
          <w:sz w:val="20"/>
          <w:lang w:val="fr-FR"/>
        </w:rPr>
        <w:t xml:space="preserve"> Loi sur la taxe d’accise, L.R.C. 1985, ch. </w:t>
      </w:r>
      <w:r w:rsidRPr="00CE4409">
        <w:rPr>
          <w:i/>
          <w:sz w:val="20"/>
          <w:lang w:val="fr-CA"/>
        </w:rPr>
        <w:t>E</w:t>
      </w:r>
      <w:r w:rsidRPr="00CE4409">
        <w:rPr>
          <w:i/>
          <w:sz w:val="20"/>
          <w:lang w:val="fr-CA"/>
        </w:rPr>
        <w:noBreakHyphen/>
        <w:t>15, art. 222(3).</w:t>
      </w:r>
      <w:r w:rsidRPr="00CE4409">
        <w:rPr>
          <w:sz w:val="20"/>
          <w:lang w:val="fr-CA"/>
        </w:rPr>
        <w:t xml:space="preserve"> </w:t>
      </w:r>
    </w:p>
    <w:p w:rsidR="00CE4409" w:rsidRPr="00CE4409" w:rsidRDefault="00CE4409" w:rsidP="00CE4409">
      <w:pPr>
        <w:tabs>
          <w:tab w:val="left" w:pos="720"/>
        </w:tabs>
        <w:jc w:val="both"/>
        <w:rPr>
          <w:rFonts w:cs="Times New Roman"/>
          <w:i/>
          <w:iCs/>
          <w:color w:val="000000"/>
          <w:sz w:val="20"/>
          <w:szCs w:val="20"/>
          <w:lang w:val="fr-CA"/>
        </w:rPr>
      </w:pPr>
    </w:p>
    <w:p w:rsidR="00CE4409" w:rsidRPr="00CE4409" w:rsidRDefault="00CE4409" w:rsidP="00CE4409">
      <w:pPr>
        <w:tabs>
          <w:tab w:val="left" w:pos="720"/>
        </w:tabs>
        <w:jc w:val="both"/>
        <w:rPr>
          <w:rFonts w:cs="Times New Roman"/>
          <w:i/>
          <w:sz w:val="20"/>
          <w:szCs w:val="20"/>
          <w:lang w:val="fr-CA"/>
        </w:rPr>
      </w:pPr>
      <w:r w:rsidRPr="00E46CAE">
        <w:rPr>
          <w:rFonts w:cs="Times New Roman"/>
          <w:i/>
          <w:iCs/>
          <w:color w:val="000000"/>
          <w:sz w:val="20"/>
          <w:szCs w:val="20"/>
          <w:lang w:val="fr-FR"/>
        </w:rPr>
        <w:tab/>
        <w:t xml:space="preserve">Faillite et insolvabilité — Procédure — Le juge en cabinet </w:t>
      </w:r>
      <w:proofErr w:type="spellStart"/>
      <w:r w:rsidRPr="00E46CAE">
        <w:rPr>
          <w:rFonts w:cs="Times New Roman"/>
          <w:i/>
          <w:iCs/>
          <w:color w:val="000000"/>
          <w:sz w:val="20"/>
          <w:szCs w:val="20"/>
          <w:lang w:val="fr-FR"/>
        </w:rPr>
        <w:t>avait</w:t>
      </w:r>
      <w:r w:rsidRPr="00E46CAE">
        <w:rPr>
          <w:rFonts w:cs="Times New Roman"/>
          <w:i/>
          <w:iCs/>
          <w:color w:val="000000"/>
          <w:sz w:val="20"/>
          <w:szCs w:val="20"/>
          <w:lang w:val="fr-FR"/>
        </w:rPr>
        <w:noBreakHyphen/>
        <w:t>il</w:t>
      </w:r>
      <w:proofErr w:type="spellEnd"/>
      <w:r w:rsidRPr="00E46CAE">
        <w:rPr>
          <w:rFonts w:cs="Times New Roman"/>
          <w:i/>
          <w:iCs/>
          <w:color w:val="000000"/>
          <w:sz w:val="20"/>
          <w:szCs w:val="20"/>
          <w:lang w:val="fr-FR"/>
        </w:rPr>
        <w:t xml:space="preserve"> le pouvoir, d’une part, de lever partiellement la suspension des procédures pour permettre à la compagnie débitrice de faire cession de ses biens en faillite et, d’autre part, de suspendre les mesures prises par la Couronne pour bénéficier de la fiducie réputée se rapportant à la TPS? — Loi sur les arrangements avec les créanciers des compagnies</w:t>
      </w:r>
      <w:r w:rsidRPr="00E46CAE">
        <w:rPr>
          <w:rFonts w:cs="Times New Roman"/>
          <w:sz w:val="20"/>
          <w:szCs w:val="20"/>
          <w:lang w:val="fr-FR"/>
        </w:rPr>
        <w:t xml:space="preserve">, </w:t>
      </w:r>
      <w:r w:rsidRPr="00E46CAE">
        <w:rPr>
          <w:rFonts w:cs="Times New Roman"/>
          <w:i/>
          <w:sz w:val="20"/>
          <w:szCs w:val="20"/>
          <w:lang w:val="fr-FR"/>
        </w:rPr>
        <w:t>L.R.C. 1985, ch. </w:t>
      </w:r>
      <w:r w:rsidRPr="00CE4409">
        <w:rPr>
          <w:rFonts w:cs="Times New Roman"/>
          <w:i/>
          <w:sz w:val="20"/>
          <w:szCs w:val="20"/>
          <w:lang w:val="fr-CA"/>
        </w:rPr>
        <w:t>C</w:t>
      </w:r>
      <w:r w:rsidRPr="00CE4409">
        <w:rPr>
          <w:rFonts w:cs="Times New Roman"/>
          <w:i/>
          <w:sz w:val="20"/>
          <w:szCs w:val="20"/>
          <w:lang w:val="fr-CA"/>
        </w:rPr>
        <w:noBreakHyphen/>
        <w:t>36, art. 11.</w:t>
      </w:r>
    </w:p>
    <w:p w:rsidR="00CE4409" w:rsidRPr="00CE4409" w:rsidRDefault="00CE4409" w:rsidP="00CE4409">
      <w:pPr>
        <w:tabs>
          <w:tab w:val="left" w:pos="990"/>
        </w:tabs>
        <w:rPr>
          <w:rFonts w:cs="Times New Roman"/>
          <w:sz w:val="20"/>
          <w:szCs w:val="20"/>
          <w:lang w:val="fr-CA"/>
        </w:rPr>
      </w:pPr>
    </w:p>
    <w:p w:rsidR="00CE4409" w:rsidRPr="00CE4409" w:rsidRDefault="00CE4409" w:rsidP="00CE4409">
      <w:pPr>
        <w:pStyle w:val="SCCNormalDoubleSpacing"/>
        <w:spacing w:line="240" w:lineRule="auto"/>
        <w:rPr>
          <w:sz w:val="20"/>
          <w:lang w:val="fr-CA"/>
        </w:rPr>
      </w:pPr>
      <w:r w:rsidRPr="00CE4409">
        <w:rPr>
          <w:i/>
          <w:sz w:val="20"/>
          <w:lang w:val="fr-CA"/>
        </w:rPr>
        <w:tab/>
      </w:r>
      <w:r w:rsidRPr="00E46CAE">
        <w:rPr>
          <w:i/>
          <w:sz w:val="20"/>
          <w:lang w:val="fr-FR"/>
        </w:rPr>
        <w:t xml:space="preserve">Fiducies </w:t>
      </w:r>
      <w:r w:rsidRPr="00E46CAE">
        <w:rPr>
          <w:i/>
          <w:iCs/>
          <w:color w:val="000000"/>
          <w:sz w:val="20"/>
          <w:lang w:val="fr-FR"/>
        </w:rPr>
        <w:t>— Fiducies expresses</w:t>
      </w:r>
      <w:r w:rsidRPr="00E46CAE">
        <w:rPr>
          <w:i/>
          <w:sz w:val="20"/>
          <w:lang w:val="fr-FR"/>
        </w:rPr>
        <w:t xml:space="preserve"> </w:t>
      </w:r>
      <w:r w:rsidRPr="00E46CAE">
        <w:rPr>
          <w:i/>
          <w:iCs/>
          <w:color w:val="000000"/>
          <w:sz w:val="20"/>
          <w:lang w:val="fr-FR"/>
        </w:rPr>
        <w:t xml:space="preserve">— Somme perçue au titre de la TPS mais non versée à la Couronne — Ordonnance du juge exigeant que la TPS soit détenue par le contrôleur dans son compte en fiducie — Le fait que le montant de TPS réclamé par la Couronne soit détenu séparément dans le compte du contrôleur </w:t>
      </w:r>
      <w:proofErr w:type="spellStart"/>
      <w:r w:rsidRPr="00E46CAE">
        <w:rPr>
          <w:i/>
          <w:iCs/>
          <w:color w:val="000000"/>
          <w:sz w:val="20"/>
          <w:lang w:val="fr-FR"/>
        </w:rPr>
        <w:t>a</w:t>
      </w:r>
      <w:r w:rsidRPr="00E46CAE">
        <w:rPr>
          <w:i/>
          <w:iCs/>
          <w:color w:val="000000"/>
          <w:sz w:val="20"/>
          <w:lang w:val="fr-FR"/>
        </w:rPr>
        <w:noBreakHyphen/>
        <w:t>t</w:t>
      </w:r>
      <w:r w:rsidRPr="00E46CAE">
        <w:rPr>
          <w:i/>
          <w:iCs/>
          <w:color w:val="000000"/>
          <w:sz w:val="20"/>
          <w:lang w:val="fr-FR"/>
        </w:rPr>
        <w:noBreakHyphen/>
        <w:t>il</w:t>
      </w:r>
      <w:proofErr w:type="spellEnd"/>
      <w:r w:rsidRPr="00E46CAE">
        <w:rPr>
          <w:i/>
          <w:iCs/>
          <w:color w:val="000000"/>
          <w:sz w:val="20"/>
          <w:lang w:val="fr-FR"/>
        </w:rPr>
        <w:t xml:space="preserve"> créé une fiducie expresse en faveur de la Couronne? </w:t>
      </w:r>
    </w:p>
    <w:p w:rsidR="00CE4409" w:rsidRPr="00CE4409" w:rsidRDefault="00CE4409" w:rsidP="00CE4409">
      <w:pPr>
        <w:pStyle w:val="SCCNormalDoubleSpacing"/>
        <w:spacing w:line="240" w:lineRule="auto"/>
        <w:rPr>
          <w:sz w:val="20"/>
          <w:lang w:val="fr-CA"/>
        </w:rPr>
      </w:pPr>
    </w:p>
    <w:p w:rsidR="00CE4409" w:rsidRPr="00CE4409" w:rsidRDefault="00CE4409" w:rsidP="00CE4409">
      <w:pPr>
        <w:ind w:firstLine="720"/>
        <w:jc w:val="both"/>
        <w:rPr>
          <w:rFonts w:cs="Times New Roman"/>
          <w:sz w:val="20"/>
          <w:szCs w:val="20"/>
          <w:lang w:val="fr-CA"/>
        </w:rPr>
      </w:pPr>
      <w:r w:rsidRPr="00E46CAE">
        <w:rPr>
          <w:rFonts w:cs="Times New Roman"/>
          <w:sz w:val="20"/>
          <w:szCs w:val="20"/>
          <w:lang w:val="fr-FR"/>
        </w:rPr>
        <w:t>L</w:t>
      </w:r>
      <w:r w:rsidRPr="00CE4409">
        <w:rPr>
          <w:rFonts w:cs="Times New Roman"/>
          <w:sz w:val="20"/>
          <w:szCs w:val="20"/>
          <w:lang w:val="fr-CA"/>
        </w:rPr>
        <w:t xml:space="preserve">a compagnie débitrice a déposé une requête sous le régime de la </w:t>
      </w:r>
      <w:r w:rsidRPr="00CE4409">
        <w:rPr>
          <w:rFonts w:cs="Times New Roman"/>
          <w:i/>
          <w:sz w:val="20"/>
          <w:szCs w:val="20"/>
          <w:lang w:val="fr-CA"/>
        </w:rPr>
        <w:t xml:space="preserve">Loi sur les arrangements avec les créanciers des compagnies </w:t>
      </w:r>
      <w:r w:rsidRPr="00CE4409">
        <w:rPr>
          <w:rFonts w:cs="Times New Roman"/>
          <w:sz w:val="20"/>
          <w:szCs w:val="20"/>
          <w:lang w:val="fr-CA"/>
        </w:rPr>
        <w:t>(« </w:t>
      </w:r>
      <w:r w:rsidRPr="00CE4409">
        <w:rPr>
          <w:rFonts w:cs="Times New Roman"/>
          <w:i/>
          <w:sz w:val="20"/>
          <w:szCs w:val="20"/>
          <w:lang w:val="fr-CA"/>
        </w:rPr>
        <w:t>LACC </w:t>
      </w:r>
      <w:r w:rsidRPr="00CE4409">
        <w:rPr>
          <w:rFonts w:cs="Times New Roman"/>
          <w:sz w:val="20"/>
          <w:szCs w:val="20"/>
          <w:lang w:val="fr-CA"/>
        </w:rPr>
        <w:t>») et obtenu la suspension des procédures dans le but de réorganiser ses finances</w:t>
      </w:r>
      <w:r w:rsidRPr="00E46CAE">
        <w:rPr>
          <w:rFonts w:cs="Times New Roman"/>
          <w:sz w:val="20"/>
          <w:szCs w:val="20"/>
          <w:lang w:val="fr-FR"/>
        </w:rPr>
        <w:t xml:space="preserve">.  </w:t>
      </w:r>
      <w:r w:rsidRPr="00CE4409">
        <w:rPr>
          <w:rFonts w:cs="Times New Roman"/>
          <w:sz w:val="20"/>
          <w:szCs w:val="20"/>
          <w:lang w:val="fr-CA"/>
        </w:rPr>
        <w:t>Parmi les dettes de la compagnie débitrice au début de la réorganisation figurait une somme due à la Couronne, mais non versée encore, au titre de la taxe sur les produits et services (« </w:t>
      </w:r>
      <w:r w:rsidRPr="00CE4409">
        <w:rPr>
          <w:rFonts w:cs="Times New Roman"/>
          <w:i/>
          <w:sz w:val="20"/>
          <w:szCs w:val="20"/>
          <w:lang w:val="fr-CA"/>
        </w:rPr>
        <w:t>TPS</w:t>
      </w:r>
      <w:r w:rsidRPr="00CE4409">
        <w:rPr>
          <w:rFonts w:cs="Times New Roman"/>
          <w:sz w:val="20"/>
          <w:szCs w:val="20"/>
          <w:lang w:val="fr-CA"/>
        </w:rPr>
        <w:t xml:space="preserve"> »).  Le paragraphe 222(3) de la </w:t>
      </w:r>
      <w:r w:rsidRPr="00CE4409">
        <w:rPr>
          <w:rFonts w:cs="Times New Roman"/>
          <w:i/>
          <w:sz w:val="20"/>
          <w:szCs w:val="20"/>
          <w:lang w:val="fr-CA"/>
        </w:rPr>
        <w:t>Loi sur la taxe d’accise</w:t>
      </w:r>
      <w:r w:rsidRPr="00CE4409">
        <w:rPr>
          <w:rFonts w:cs="Times New Roman"/>
          <w:sz w:val="20"/>
          <w:szCs w:val="20"/>
          <w:lang w:val="fr-CA"/>
        </w:rPr>
        <w:t xml:space="preserve"> (« </w:t>
      </w:r>
      <w:r w:rsidRPr="00CE4409">
        <w:rPr>
          <w:rFonts w:cs="Times New Roman"/>
          <w:i/>
          <w:sz w:val="20"/>
          <w:szCs w:val="20"/>
          <w:lang w:val="fr-CA"/>
        </w:rPr>
        <w:t>LTA </w:t>
      </w:r>
      <w:r w:rsidRPr="00CE4409">
        <w:rPr>
          <w:rFonts w:cs="Times New Roman"/>
          <w:sz w:val="20"/>
          <w:szCs w:val="20"/>
          <w:lang w:val="fr-CA"/>
        </w:rPr>
        <w:t xml:space="preserve">») crée une fiducie réputée visant les sommes de TPS non versées.  Cette fiducie s’applique malgré tout autre texte législatif du Canada sauf la </w:t>
      </w:r>
      <w:r w:rsidRPr="00CE4409">
        <w:rPr>
          <w:rFonts w:cs="Times New Roman"/>
          <w:i/>
          <w:sz w:val="20"/>
          <w:szCs w:val="20"/>
          <w:lang w:val="fr-CA"/>
        </w:rPr>
        <w:t>Loi sur la faillite et l’insolvabilité</w:t>
      </w:r>
      <w:r w:rsidRPr="00CE4409">
        <w:rPr>
          <w:rFonts w:cs="Times New Roman"/>
          <w:sz w:val="20"/>
          <w:szCs w:val="20"/>
          <w:lang w:val="fr-CA"/>
        </w:rPr>
        <w:t xml:space="preserve"> (« </w:t>
      </w:r>
      <w:r w:rsidRPr="00CE4409">
        <w:rPr>
          <w:rFonts w:cs="Times New Roman"/>
          <w:i/>
          <w:sz w:val="20"/>
          <w:szCs w:val="20"/>
          <w:lang w:val="fr-CA"/>
        </w:rPr>
        <w:t>LFI</w:t>
      </w:r>
      <w:r w:rsidRPr="00CE4409">
        <w:rPr>
          <w:rFonts w:cs="Times New Roman"/>
          <w:sz w:val="20"/>
          <w:szCs w:val="20"/>
          <w:lang w:val="fr-CA"/>
        </w:rPr>
        <w:t xml:space="preserve"> »).  Toutefois, le par. 18.3(1) de la </w:t>
      </w:r>
      <w:r w:rsidRPr="00CE4409">
        <w:rPr>
          <w:rFonts w:cs="Times New Roman"/>
          <w:i/>
          <w:sz w:val="20"/>
          <w:szCs w:val="20"/>
          <w:lang w:val="fr-CA"/>
        </w:rPr>
        <w:t xml:space="preserve">LACC </w:t>
      </w:r>
      <w:r w:rsidRPr="00CE4409">
        <w:rPr>
          <w:rFonts w:cs="Times New Roman"/>
          <w:sz w:val="20"/>
          <w:szCs w:val="20"/>
          <w:lang w:val="fr-CA"/>
        </w:rPr>
        <w:t>prévoyait que, sous réserve de certaines exceptions, dont aucune ne concerne la TPS, les fiducies réputées établies par la loi en faveur de la Couronne ne s’appliquaient pas sous son régime.</w:t>
      </w:r>
    </w:p>
    <w:p w:rsidR="00CE4409" w:rsidRPr="00E46CAE" w:rsidRDefault="00CE4409" w:rsidP="00CE4409">
      <w:pPr>
        <w:jc w:val="both"/>
        <w:rPr>
          <w:rFonts w:cs="Times New Roman"/>
          <w:sz w:val="20"/>
          <w:szCs w:val="20"/>
          <w:lang w:val="fr-FR"/>
        </w:rPr>
      </w:pPr>
    </w:p>
    <w:p w:rsidR="00CE4409" w:rsidRPr="00E46CAE" w:rsidRDefault="00CE4409" w:rsidP="00CE4409">
      <w:pPr>
        <w:ind w:firstLine="720"/>
        <w:jc w:val="both"/>
        <w:rPr>
          <w:rFonts w:cs="Times New Roman"/>
          <w:sz w:val="20"/>
          <w:szCs w:val="20"/>
          <w:lang w:val="fr-FR"/>
        </w:rPr>
      </w:pPr>
      <w:r w:rsidRPr="00E46CAE">
        <w:rPr>
          <w:rFonts w:cs="Times New Roman"/>
          <w:sz w:val="20"/>
          <w:szCs w:val="20"/>
          <w:lang w:val="fr-FR"/>
        </w:rPr>
        <w:t xml:space="preserve">Le juge siégeant en son cabinet chargé d’appliquer la </w:t>
      </w:r>
      <w:r w:rsidRPr="00E46CAE">
        <w:rPr>
          <w:rFonts w:cs="Times New Roman"/>
          <w:i/>
          <w:sz w:val="20"/>
          <w:szCs w:val="20"/>
          <w:lang w:val="fr-FR"/>
        </w:rPr>
        <w:t>LACC</w:t>
      </w:r>
      <w:r w:rsidRPr="00E46CAE">
        <w:rPr>
          <w:rFonts w:cs="Times New Roman"/>
          <w:sz w:val="20"/>
          <w:szCs w:val="20"/>
          <w:lang w:val="fr-FR"/>
        </w:rPr>
        <w:t xml:space="preserve"> a approuvé par ordonnance le paiement à Century Services, le principal créancier garanti du débiteur, d’une somme d’au plus 5 millions de dollars.  Toutefois, il a également ordonné à la compagnie débitrice de retenir un montant égal aux sommes de TPS non versées et de le déposer séparément dans le compte en fiducie du contrôleur jusqu’à l’issue de la réorganisation.  </w:t>
      </w:r>
      <w:r w:rsidRPr="00CE4409">
        <w:rPr>
          <w:rFonts w:cs="Times New Roman"/>
          <w:sz w:val="20"/>
          <w:szCs w:val="20"/>
          <w:lang w:val="fr-CA"/>
        </w:rPr>
        <w:t xml:space="preserve">Ayant conclu que la réorganisation n’était pas possible, la compagnie débitrice a demandé au tribunal de lever partiellement la suspension des procédures pour lui permettre de faire cession de ses biens en vertu de la </w:t>
      </w:r>
      <w:r w:rsidRPr="00CE4409">
        <w:rPr>
          <w:rFonts w:cs="Times New Roman"/>
          <w:i/>
          <w:sz w:val="20"/>
          <w:szCs w:val="20"/>
          <w:lang w:val="fr-CA"/>
        </w:rPr>
        <w:t>LFI</w:t>
      </w:r>
      <w:r w:rsidRPr="00CE4409">
        <w:rPr>
          <w:rFonts w:cs="Times New Roman"/>
          <w:sz w:val="20"/>
          <w:szCs w:val="20"/>
          <w:lang w:val="fr-CA"/>
        </w:rPr>
        <w:t xml:space="preserve">.  La Couronne a demandé par requête le paiement immédiat au receveur général des sommes de TPS non versées.  Le juge </w:t>
      </w:r>
      <w:r w:rsidRPr="00E46CAE">
        <w:rPr>
          <w:rFonts w:cs="Times New Roman"/>
          <w:sz w:val="20"/>
          <w:szCs w:val="20"/>
          <w:lang w:val="fr-FR"/>
        </w:rPr>
        <w:t>siégeant en son cabinet</w:t>
      </w:r>
      <w:r w:rsidRPr="00CE4409">
        <w:rPr>
          <w:rFonts w:cs="Times New Roman"/>
          <w:sz w:val="20"/>
          <w:szCs w:val="20"/>
          <w:lang w:val="fr-CA"/>
        </w:rPr>
        <w:t xml:space="preserve"> a rejeté la requête de la Couronne et autorisé la cession des biens</w:t>
      </w:r>
      <w:r w:rsidRPr="00E46CAE">
        <w:rPr>
          <w:rFonts w:cs="Times New Roman"/>
          <w:sz w:val="20"/>
          <w:szCs w:val="20"/>
          <w:lang w:val="fr-FR"/>
        </w:rPr>
        <w:t xml:space="preserve">.  La Cour d’appel a accueilli l’appel pour deux raisons.  Premièrement, elle a conclu que, après que la tentative de réorganisation eut échoué, le juge siégeant en son cabinet était tenu, en raison de la priorité établie par la </w:t>
      </w:r>
      <w:r w:rsidRPr="00E46CAE">
        <w:rPr>
          <w:rFonts w:cs="Times New Roman"/>
          <w:i/>
          <w:sz w:val="20"/>
          <w:szCs w:val="20"/>
          <w:lang w:val="fr-FR"/>
        </w:rPr>
        <w:t>LTA</w:t>
      </w:r>
      <w:r w:rsidRPr="00E46CAE">
        <w:rPr>
          <w:rFonts w:cs="Times New Roman"/>
          <w:sz w:val="20"/>
          <w:szCs w:val="20"/>
          <w:lang w:val="fr-FR"/>
        </w:rPr>
        <w:t xml:space="preserve">, d’autoriser le paiement à la Couronne des sommes qui lui étaient dues au titre de la TPS, et que l’art. 11 de la </w:t>
      </w:r>
      <w:r w:rsidRPr="00E46CAE">
        <w:rPr>
          <w:rFonts w:cs="Times New Roman"/>
          <w:i/>
          <w:sz w:val="20"/>
          <w:szCs w:val="20"/>
          <w:lang w:val="fr-FR"/>
        </w:rPr>
        <w:t>LACC</w:t>
      </w:r>
      <w:r w:rsidRPr="00E46CAE">
        <w:rPr>
          <w:rFonts w:cs="Times New Roman"/>
          <w:sz w:val="20"/>
          <w:szCs w:val="20"/>
          <w:lang w:val="fr-FR"/>
        </w:rPr>
        <w:t xml:space="preserve"> ne lui conférait pas le pouvoir discrétionnaire de maintenir la suspension de la demande de la Couronne.  Deuxièmement, la Cour d’appel </w:t>
      </w:r>
      <w:r w:rsidRPr="00CE4409">
        <w:rPr>
          <w:rFonts w:cs="Times New Roman"/>
          <w:sz w:val="20"/>
          <w:szCs w:val="20"/>
          <w:lang w:val="fr-CA"/>
        </w:rPr>
        <w:t xml:space="preserve">a conclu que, en ordonnant la ségrégation des sommes de TPS dans le compte en fiducie du contrôleur, le juge </w:t>
      </w:r>
      <w:r w:rsidRPr="00E46CAE">
        <w:rPr>
          <w:rFonts w:cs="Times New Roman"/>
          <w:sz w:val="20"/>
          <w:szCs w:val="20"/>
          <w:lang w:val="fr-FR"/>
        </w:rPr>
        <w:t>siégeant en son cabinet</w:t>
      </w:r>
      <w:r w:rsidRPr="00CE4409">
        <w:rPr>
          <w:rFonts w:cs="Times New Roman"/>
          <w:sz w:val="20"/>
          <w:szCs w:val="20"/>
          <w:lang w:val="fr-CA"/>
        </w:rPr>
        <w:t xml:space="preserve"> avait créé une fiducie expresse en faveur de la Couronne</w:t>
      </w:r>
      <w:r w:rsidRPr="00E46CAE">
        <w:rPr>
          <w:rFonts w:cs="Times New Roman"/>
          <w:sz w:val="20"/>
          <w:szCs w:val="20"/>
          <w:lang w:val="fr-FR"/>
        </w:rPr>
        <w:t>.</w:t>
      </w:r>
    </w:p>
    <w:p w:rsidR="00CE4409" w:rsidRPr="00E46CAE" w:rsidRDefault="00CE4409" w:rsidP="00CE4409">
      <w:pPr>
        <w:jc w:val="both"/>
        <w:rPr>
          <w:rFonts w:cs="Times New Roman"/>
          <w:sz w:val="20"/>
          <w:szCs w:val="20"/>
          <w:lang w:val="fr-FR"/>
        </w:rPr>
      </w:pPr>
    </w:p>
    <w:p w:rsidR="00CE4409" w:rsidRPr="00E46CAE" w:rsidRDefault="00CE4409" w:rsidP="00CE4409">
      <w:pPr>
        <w:jc w:val="both"/>
        <w:rPr>
          <w:rFonts w:cs="Times New Roman"/>
          <w:sz w:val="20"/>
          <w:szCs w:val="20"/>
          <w:lang w:val="fr-FR"/>
        </w:rPr>
      </w:pPr>
      <w:r w:rsidRPr="00E46CAE">
        <w:rPr>
          <w:rFonts w:cs="Times New Roman"/>
          <w:i/>
          <w:sz w:val="20"/>
          <w:szCs w:val="20"/>
          <w:lang w:val="fr-FR"/>
        </w:rPr>
        <w:tab/>
        <w:t xml:space="preserve">Arrêt </w:t>
      </w:r>
      <w:r w:rsidRPr="00E46CAE">
        <w:rPr>
          <w:rFonts w:cs="Times New Roman"/>
          <w:sz w:val="20"/>
          <w:szCs w:val="20"/>
          <w:lang w:val="fr-FR"/>
        </w:rPr>
        <w:t xml:space="preserve">(la juge Abella est dissidente) : Le pourvoi est accueilli. </w:t>
      </w:r>
    </w:p>
    <w:p w:rsidR="00CE4409" w:rsidRPr="00E46CAE" w:rsidRDefault="00CE4409" w:rsidP="00CE4409">
      <w:pPr>
        <w:pStyle w:val="SCCNormalDoubleSpacing"/>
        <w:spacing w:line="240" w:lineRule="auto"/>
        <w:rPr>
          <w:i/>
          <w:sz w:val="20"/>
          <w:lang w:val="fr-FR"/>
        </w:rPr>
      </w:pPr>
    </w:p>
    <w:p w:rsidR="00CE4409" w:rsidRPr="00E46CAE" w:rsidRDefault="00CE4409" w:rsidP="00CE4409">
      <w:pPr>
        <w:pStyle w:val="SCCNormalDoubleSpacing"/>
        <w:spacing w:line="240" w:lineRule="auto"/>
        <w:rPr>
          <w:sz w:val="20"/>
          <w:lang w:val="fr-FR"/>
        </w:rPr>
      </w:pPr>
      <w:r w:rsidRPr="00E46CAE">
        <w:rPr>
          <w:i/>
          <w:sz w:val="20"/>
          <w:lang w:val="fr-FR"/>
        </w:rPr>
        <w:tab/>
        <w:t xml:space="preserve">La </w:t>
      </w:r>
      <w:r w:rsidRPr="00E46CAE">
        <w:rPr>
          <w:sz w:val="20"/>
          <w:lang w:val="fr-FR"/>
        </w:rPr>
        <w:t xml:space="preserve">juge en chef </w:t>
      </w:r>
      <w:proofErr w:type="spellStart"/>
      <w:r w:rsidRPr="00E46CAE">
        <w:rPr>
          <w:sz w:val="20"/>
          <w:lang w:val="fr-FR"/>
        </w:rPr>
        <w:t>McLachlin</w:t>
      </w:r>
      <w:proofErr w:type="spellEnd"/>
      <w:r w:rsidRPr="00E46CAE">
        <w:rPr>
          <w:sz w:val="20"/>
          <w:lang w:val="fr-FR"/>
        </w:rPr>
        <w:t xml:space="preserve"> et les juges </w:t>
      </w:r>
      <w:proofErr w:type="spellStart"/>
      <w:r w:rsidRPr="00E46CAE">
        <w:rPr>
          <w:sz w:val="20"/>
          <w:lang w:val="fr-FR"/>
        </w:rPr>
        <w:t>Binnie</w:t>
      </w:r>
      <w:proofErr w:type="spellEnd"/>
      <w:r w:rsidRPr="00E46CAE">
        <w:rPr>
          <w:sz w:val="20"/>
          <w:lang w:val="fr-FR"/>
        </w:rPr>
        <w:t xml:space="preserve">, </w:t>
      </w:r>
      <w:proofErr w:type="spellStart"/>
      <w:r w:rsidRPr="00E46CAE">
        <w:rPr>
          <w:sz w:val="20"/>
          <w:lang w:val="fr-FR"/>
        </w:rPr>
        <w:t>LeBel</w:t>
      </w:r>
      <w:proofErr w:type="spellEnd"/>
      <w:r w:rsidRPr="00E46CAE">
        <w:rPr>
          <w:sz w:val="20"/>
          <w:lang w:val="fr-FR"/>
        </w:rPr>
        <w:t xml:space="preserve">, </w:t>
      </w:r>
      <w:r w:rsidRPr="00E46CAE">
        <w:rPr>
          <w:b/>
          <w:sz w:val="20"/>
          <w:lang w:val="fr-FR"/>
        </w:rPr>
        <w:t>Deschamps</w:t>
      </w:r>
      <w:r w:rsidRPr="00E46CAE">
        <w:rPr>
          <w:sz w:val="20"/>
          <w:lang w:val="fr-FR"/>
        </w:rPr>
        <w:t xml:space="preserve">, Charron, </w:t>
      </w:r>
      <w:proofErr w:type="spellStart"/>
      <w:r w:rsidRPr="00E46CAE">
        <w:rPr>
          <w:sz w:val="20"/>
          <w:lang w:val="fr-FR"/>
        </w:rPr>
        <w:t>Rothstein</w:t>
      </w:r>
      <w:proofErr w:type="spellEnd"/>
      <w:r w:rsidRPr="00E46CAE">
        <w:rPr>
          <w:sz w:val="20"/>
          <w:lang w:val="fr-FR"/>
        </w:rPr>
        <w:t xml:space="preserve"> et Cromwell : Il est possible de résoudre le conflit apparent entre le par. 222(3) de la </w:t>
      </w:r>
      <w:r w:rsidRPr="00E46CAE">
        <w:rPr>
          <w:i/>
          <w:sz w:val="20"/>
          <w:lang w:val="fr-FR"/>
        </w:rPr>
        <w:t xml:space="preserve">LTA </w:t>
      </w:r>
      <w:r w:rsidRPr="00E46CAE">
        <w:rPr>
          <w:sz w:val="20"/>
          <w:lang w:val="fr-FR"/>
        </w:rPr>
        <w:t xml:space="preserve">et le par. 18.3(1) de la </w:t>
      </w:r>
      <w:r w:rsidRPr="00E46CAE">
        <w:rPr>
          <w:i/>
          <w:sz w:val="20"/>
          <w:lang w:val="fr-FR"/>
        </w:rPr>
        <w:t xml:space="preserve">LACC </w:t>
      </w:r>
      <w:r w:rsidRPr="00E46CAE">
        <w:rPr>
          <w:sz w:val="20"/>
          <w:lang w:val="fr-FR"/>
        </w:rPr>
        <w:t xml:space="preserve">en </w:t>
      </w:r>
      <w:proofErr w:type="gramStart"/>
      <w:r w:rsidRPr="00E46CAE">
        <w:rPr>
          <w:sz w:val="20"/>
          <w:lang w:val="fr-FR"/>
        </w:rPr>
        <w:t>les interprétant</w:t>
      </w:r>
      <w:proofErr w:type="gramEnd"/>
      <w:r w:rsidRPr="00E46CAE">
        <w:rPr>
          <w:sz w:val="20"/>
          <w:lang w:val="fr-FR"/>
        </w:rPr>
        <w:t xml:space="preserve"> d’une manière qui tienne compte adéquatement de </w:t>
      </w:r>
      <w:r w:rsidRPr="00CE4409">
        <w:rPr>
          <w:sz w:val="20"/>
          <w:lang w:val="fr-CA"/>
        </w:rPr>
        <w:t xml:space="preserve">l’historique de la </w:t>
      </w:r>
      <w:r w:rsidRPr="00CE4409">
        <w:rPr>
          <w:i/>
          <w:sz w:val="20"/>
          <w:lang w:val="fr-CA"/>
        </w:rPr>
        <w:t>LACC</w:t>
      </w:r>
      <w:r w:rsidRPr="00CE4409">
        <w:rPr>
          <w:sz w:val="20"/>
          <w:lang w:val="fr-CA"/>
        </w:rPr>
        <w:t xml:space="preserve">, de la fonction de cette loi parmi l’ensemble des textes adoptés par le législateur fédéral en matière d’insolvabilité et des principes d’interprétation de la </w:t>
      </w:r>
      <w:r w:rsidRPr="00CE4409">
        <w:rPr>
          <w:i/>
          <w:sz w:val="20"/>
          <w:lang w:val="fr-CA"/>
        </w:rPr>
        <w:t>LACC</w:t>
      </w:r>
      <w:r w:rsidRPr="00CE4409">
        <w:rPr>
          <w:sz w:val="20"/>
          <w:lang w:val="fr-CA"/>
        </w:rPr>
        <w:t xml:space="preserve"> reconnus dans la jurisprudence</w:t>
      </w:r>
      <w:r w:rsidRPr="00E46CAE">
        <w:rPr>
          <w:sz w:val="20"/>
          <w:lang w:val="fr-FR"/>
        </w:rPr>
        <w:t xml:space="preserve">.  L’historique de la </w:t>
      </w:r>
      <w:r w:rsidRPr="00E46CAE">
        <w:rPr>
          <w:i/>
          <w:sz w:val="20"/>
          <w:lang w:val="fr-FR"/>
        </w:rPr>
        <w:t>LACC</w:t>
      </w:r>
      <w:r w:rsidRPr="00E46CAE">
        <w:rPr>
          <w:sz w:val="20"/>
          <w:lang w:val="fr-FR"/>
        </w:rPr>
        <w:t xml:space="preserve"> permet de distinguer </w:t>
      </w:r>
      <w:proofErr w:type="spellStart"/>
      <w:r w:rsidRPr="00E46CAE">
        <w:rPr>
          <w:sz w:val="20"/>
          <w:lang w:val="fr-FR"/>
        </w:rPr>
        <w:t>celle</w:t>
      </w:r>
      <w:r w:rsidRPr="00E46CAE">
        <w:rPr>
          <w:sz w:val="20"/>
          <w:lang w:val="fr-FR"/>
        </w:rPr>
        <w:noBreakHyphen/>
        <w:t>ci</w:t>
      </w:r>
      <w:proofErr w:type="spellEnd"/>
      <w:r w:rsidRPr="00E46CAE">
        <w:rPr>
          <w:sz w:val="20"/>
          <w:lang w:val="fr-FR"/>
        </w:rPr>
        <w:t xml:space="preserve"> de la </w:t>
      </w:r>
      <w:r w:rsidRPr="00E46CAE">
        <w:rPr>
          <w:i/>
          <w:sz w:val="20"/>
          <w:lang w:val="fr-FR"/>
        </w:rPr>
        <w:t>LFI</w:t>
      </w:r>
      <w:r w:rsidRPr="00E46CAE">
        <w:rPr>
          <w:sz w:val="20"/>
          <w:lang w:val="fr-FR"/>
        </w:rPr>
        <w:t xml:space="preserve"> en ce sens que, bien que ces lois aient pour objet d’éviter les coûts sociaux et économiques liés à la liquidation de l’actif d’un débiteur, la </w:t>
      </w:r>
      <w:r w:rsidRPr="00E46CAE">
        <w:rPr>
          <w:i/>
          <w:sz w:val="20"/>
          <w:lang w:val="fr-FR"/>
        </w:rPr>
        <w:t>LACC</w:t>
      </w:r>
      <w:r w:rsidRPr="00E46CAE">
        <w:rPr>
          <w:sz w:val="20"/>
          <w:lang w:val="fr-FR"/>
        </w:rPr>
        <w:t xml:space="preserve"> offre plus de souplesse et accorde aux tribunaux un plus grand pouvoir discrétionnaire que le mécanisme fondé sur des règles de la </w:t>
      </w:r>
      <w:r w:rsidRPr="00E46CAE">
        <w:rPr>
          <w:i/>
          <w:sz w:val="20"/>
          <w:lang w:val="fr-FR"/>
        </w:rPr>
        <w:t>LFI</w:t>
      </w:r>
      <w:r w:rsidRPr="00E46CAE">
        <w:rPr>
          <w:sz w:val="20"/>
          <w:lang w:val="fr-FR"/>
        </w:rPr>
        <w:t xml:space="preserve">, ce qui rend la première mieux adaptée aux réorganisations complexes.  Comme la </w:t>
      </w:r>
      <w:r w:rsidRPr="00E46CAE">
        <w:rPr>
          <w:i/>
          <w:sz w:val="20"/>
          <w:lang w:val="fr-FR"/>
        </w:rPr>
        <w:t xml:space="preserve">LACC </w:t>
      </w:r>
      <w:r w:rsidRPr="00E46CAE">
        <w:rPr>
          <w:sz w:val="20"/>
          <w:lang w:val="fr-FR"/>
        </w:rPr>
        <w:t xml:space="preserve">ne précise pas ce qui arrive en cas d’échec de la réorganisation, </w:t>
      </w:r>
      <w:r w:rsidRPr="00CE4409">
        <w:rPr>
          <w:sz w:val="20"/>
          <w:lang w:val="fr-CA"/>
        </w:rPr>
        <w:t xml:space="preserve">la </w:t>
      </w:r>
      <w:r w:rsidRPr="00CE4409">
        <w:rPr>
          <w:i/>
          <w:sz w:val="20"/>
          <w:lang w:val="fr-CA"/>
        </w:rPr>
        <w:t>LFI</w:t>
      </w:r>
      <w:r w:rsidRPr="00CE4409">
        <w:rPr>
          <w:sz w:val="20"/>
          <w:lang w:val="fr-CA"/>
        </w:rPr>
        <w:t xml:space="preserve"> fournit la norme de référence permettant aux créanciers de savoir s’ils ont la priorité dans l’éventualité d’une faillite</w:t>
      </w:r>
      <w:r w:rsidRPr="00E46CAE">
        <w:rPr>
          <w:sz w:val="20"/>
          <w:lang w:val="fr-FR"/>
        </w:rPr>
        <w:t xml:space="preserve">.  Le travail de réforme législative contemporain a principalement visé à harmoniser les aspects communs à la </w:t>
      </w:r>
      <w:r w:rsidRPr="00E46CAE">
        <w:rPr>
          <w:i/>
          <w:sz w:val="20"/>
          <w:lang w:val="fr-FR"/>
        </w:rPr>
        <w:t>LACC</w:t>
      </w:r>
      <w:r w:rsidRPr="00E46CAE">
        <w:rPr>
          <w:sz w:val="20"/>
          <w:lang w:val="fr-FR"/>
        </w:rPr>
        <w:t xml:space="preserve"> et à la </w:t>
      </w:r>
      <w:r w:rsidRPr="00E46CAE">
        <w:rPr>
          <w:i/>
          <w:sz w:val="20"/>
          <w:lang w:val="fr-FR"/>
        </w:rPr>
        <w:t>LFI</w:t>
      </w:r>
      <w:r w:rsidRPr="00E46CAE">
        <w:rPr>
          <w:sz w:val="20"/>
          <w:lang w:val="fr-FR"/>
        </w:rPr>
        <w:t xml:space="preserve">, et </w:t>
      </w:r>
      <w:r w:rsidRPr="00CE4409">
        <w:rPr>
          <w:sz w:val="20"/>
          <w:lang w:val="fr-CA"/>
        </w:rPr>
        <w:t xml:space="preserve">l’une des caractéristiques importantes de cette réforme est la réduction des priorités dont jouit la Couronne.  </w:t>
      </w:r>
      <w:r w:rsidRPr="00E46CAE">
        <w:rPr>
          <w:sz w:val="20"/>
          <w:lang w:val="fr-FR"/>
        </w:rPr>
        <w:t xml:space="preserve">Par conséquent, la </w:t>
      </w:r>
      <w:r w:rsidRPr="00E46CAE">
        <w:rPr>
          <w:i/>
          <w:sz w:val="20"/>
          <w:lang w:val="fr-FR"/>
        </w:rPr>
        <w:t>LACC</w:t>
      </w:r>
      <w:r w:rsidRPr="00E46CAE">
        <w:rPr>
          <w:sz w:val="20"/>
          <w:lang w:val="fr-FR"/>
        </w:rPr>
        <w:t xml:space="preserve"> et la </w:t>
      </w:r>
      <w:r w:rsidRPr="00E46CAE">
        <w:rPr>
          <w:i/>
          <w:sz w:val="20"/>
          <w:lang w:val="fr-FR"/>
        </w:rPr>
        <w:t>LFI</w:t>
      </w:r>
      <w:r w:rsidRPr="00E46CAE">
        <w:rPr>
          <w:sz w:val="20"/>
          <w:lang w:val="fr-FR"/>
        </w:rPr>
        <w:t xml:space="preserve"> contiennent toutes deux des dispositions </w:t>
      </w:r>
      <w:r w:rsidRPr="00CE4409">
        <w:rPr>
          <w:sz w:val="20"/>
          <w:lang w:val="fr-CA"/>
        </w:rPr>
        <w:t>neutralisant les fiducies réputées établies en vertu d’un texte législatif en faveur de la Couronne</w:t>
      </w:r>
      <w:r w:rsidRPr="00E46CAE">
        <w:rPr>
          <w:sz w:val="20"/>
          <w:lang w:val="fr-FR"/>
        </w:rPr>
        <w:t xml:space="preserve">, et toutes deux comportent des </w:t>
      </w:r>
      <w:r w:rsidRPr="00CE4409">
        <w:rPr>
          <w:sz w:val="20"/>
          <w:lang w:val="fr-CA"/>
        </w:rPr>
        <w:t xml:space="preserve">exceptions expresses à la règle générale qui concernent les fiducies réputées établies à l’égard des retenues à la source.  Par ailleurs, ces deux lois considèrent les autres créances de la Couronne </w:t>
      </w:r>
      <w:r w:rsidRPr="00CE4409">
        <w:rPr>
          <w:sz w:val="20"/>
          <w:lang w:val="fr-CA"/>
        </w:rPr>
        <w:lastRenderedPageBreak/>
        <w:t>comme des créances non garanties.  Ces lois ne comportent pas de dispositions claires et expresses établissant une exception pour les créances relatives à la TPS</w:t>
      </w:r>
      <w:r w:rsidRPr="00E46CAE">
        <w:rPr>
          <w:sz w:val="20"/>
          <w:lang w:val="fr-FR"/>
        </w:rPr>
        <w:t>.</w:t>
      </w:r>
    </w:p>
    <w:p w:rsidR="00CE4409" w:rsidRPr="00E46CAE" w:rsidRDefault="00CE4409" w:rsidP="00CE4409">
      <w:pPr>
        <w:pStyle w:val="SCCNormalDoubleSpacing"/>
        <w:spacing w:line="240" w:lineRule="auto"/>
        <w:rPr>
          <w:sz w:val="20"/>
          <w:lang w:val="fr-FR"/>
        </w:rPr>
      </w:pPr>
    </w:p>
    <w:p w:rsidR="00CE4409" w:rsidRPr="00E46CAE" w:rsidRDefault="00CE4409" w:rsidP="00CE4409">
      <w:pPr>
        <w:ind w:firstLine="720"/>
        <w:jc w:val="both"/>
        <w:rPr>
          <w:rFonts w:cs="Times New Roman"/>
          <w:sz w:val="20"/>
          <w:szCs w:val="20"/>
          <w:lang w:val="fr-FR"/>
        </w:rPr>
      </w:pPr>
      <w:r w:rsidRPr="00E46CAE">
        <w:rPr>
          <w:rFonts w:cs="Times New Roman"/>
          <w:sz w:val="20"/>
          <w:szCs w:val="20"/>
          <w:lang w:val="fr-FR"/>
        </w:rPr>
        <w:t xml:space="preserve">Les tribunaux appelés à résoudre le conflit apparent entre le par. 222(3) de la </w:t>
      </w:r>
      <w:r w:rsidRPr="00E46CAE">
        <w:rPr>
          <w:rFonts w:cs="Times New Roman"/>
          <w:i/>
          <w:sz w:val="20"/>
          <w:szCs w:val="20"/>
          <w:lang w:val="fr-FR"/>
        </w:rPr>
        <w:t>LTA</w:t>
      </w:r>
      <w:r w:rsidRPr="00E46CAE">
        <w:rPr>
          <w:rFonts w:cs="Times New Roman"/>
          <w:sz w:val="20"/>
          <w:szCs w:val="20"/>
          <w:lang w:val="fr-FR"/>
        </w:rPr>
        <w:t xml:space="preserve"> et le par. 18.3(1) de la </w:t>
      </w:r>
      <w:r w:rsidRPr="00E46CAE">
        <w:rPr>
          <w:rFonts w:cs="Times New Roman"/>
          <w:i/>
          <w:sz w:val="20"/>
          <w:szCs w:val="20"/>
          <w:lang w:val="fr-FR"/>
        </w:rPr>
        <w:t>LACC</w:t>
      </w:r>
      <w:r w:rsidRPr="00E46CAE">
        <w:rPr>
          <w:rFonts w:cs="Times New Roman"/>
          <w:sz w:val="20"/>
          <w:szCs w:val="20"/>
          <w:lang w:val="fr-FR"/>
        </w:rPr>
        <w:t xml:space="preserve"> ont été enclins à appliquer l’arrêt </w:t>
      </w:r>
      <w:r w:rsidRPr="00E46CAE">
        <w:rPr>
          <w:rFonts w:cs="Times New Roman"/>
          <w:i/>
          <w:sz w:val="20"/>
          <w:szCs w:val="20"/>
          <w:lang w:val="fr-FR"/>
        </w:rPr>
        <w:t xml:space="preserve">Ottawa </w:t>
      </w:r>
      <w:proofErr w:type="spellStart"/>
      <w:r w:rsidRPr="00E46CAE">
        <w:rPr>
          <w:rFonts w:cs="Times New Roman"/>
          <w:i/>
          <w:sz w:val="20"/>
          <w:szCs w:val="20"/>
          <w:lang w:val="fr-FR"/>
        </w:rPr>
        <w:t>Senators</w:t>
      </w:r>
      <w:proofErr w:type="spellEnd"/>
      <w:r w:rsidRPr="00E46CAE">
        <w:rPr>
          <w:rFonts w:cs="Times New Roman"/>
          <w:i/>
          <w:sz w:val="20"/>
          <w:szCs w:val="20"/>
          <w:lang w:val="fr-FR"/>
        </w:rPr>
        <w:t xml:space="preserve"> Hockey Club Corp</w:t>
      </w:r>
      <w:proofErr w:type="gramStart"/>
      <w:r w:rsidRPr="00E46CAE">
        <w:rPr>
          <w:rFonts w:cs="Times New Roman"/>
          <w:i/>
          <w:sz w:val="20"/>
          <w:szCs w:val="20"/>
          <w:lang w:val="fr-FR"/>
        </w:rPr>
        <w:t>.(</w:t>
      </w:r>
      <w:proofErr w:type="spellStart"/>
      <w:proofErr w:type="gramEnd"/>
      <w:r w:rsidRPr="00E46CAE">
        <w:rPr>
          <w:rFonts w:cs="Times New Roman"/>
          <w:i/>
          <w:sz w:val="20"/>
          <w:szCs w:val="20"/>
          <w:lang w:val="fr-FR"/>
        </w:rPr>
        <w:t>Re</w:t>
      </w:r>
      <w:proofErr w:type="spellEnd"/>
      <w:r w:rsidRPr="00E46CAE">
        <w:rPr>
          <w:rFonts w:cs="Times New Roman"/>
          <w:i/>
          <w:sz w:val="20"/>
          <w:szCs w:val="20"/>
          <w:lang w:val="fr-FR"/>
        </w:rPr>
        <w:t>)</w:t>
      </w:r>
      <w:r w:rsidRPr="00E46CAE">
        <w:rPr>
          <w:rFonts w:cs="Times New Roman"/>
          <w:sz w:val="20"/>
          <w:szCs w:val="20"/>
          <w:lang w:val="fr-FR"/>
        </w:rPr>
        <w:t xml:space="preserve"> et à trancher en faveur de la </w:t>
      </w:r>
      <w:r w:rsidRPr="00E46CAE">
        <w:rPr>
          <w:rFonts w:cs="Times New Roman"/>
          <w:i/>
          <w:sz w:val="20"/>
          <w:szCs w:val="20"/>
          <w:lang w:val="fr-FR"/>
        </w:rPr>
        <w:t>LTA</w:t>
      </w:r>
      <w:r w:rsidRPr="00E46CAE">
        <w:rPr>
          <w:rFonts w:cs="Times New Roman"/>
          <w:sz w:val="20"/>
          <w:szCs w:val="20"/>
          <w:lang w:val="fr-FR"/>
        </w:rPr>
        <w:t xml:space="preserve">.  Il ne convient pas de suivre cet arrêt.  C’est plutôt la </w:t>
      </w:r>
      <w:r w:rsidRPr="00CE4409">
        <w:rPr>
          <w:rFonts w:cs="Times New Roman"/>
          <w:i/>
          <w:sz w:val="20"/>
          <w:szCs w:val="20"/>
          <w:lang w:val="fr-CA"/>
        </w:rPr>
        <w:t xml:space="preserve">LACC </w:t>
      </w:r>
      <w:r w:rsidRPr="00CE4409">
        <w:rPr>
          <w:rFonts w:cs="Times New Roman"/>
          <w:sz w:val="20"/>
          <w:szCs w:val="20"/>
          <w:lang w:val="fr-CA"/>
        </w:rPr>
        <w:t>qui énonce la règle applicable</w:t>
      </w:r>
      <w:r w:rsidRPr="00E46CAE">
        <w:rPr>
          <w:rFonts w:cs="Times New Roman"/>
          <w:sz w:val="20"/>
          <w:szCs w:val="20"/>
          <w:lang w:val="fr-FR"/>
        </w:rPr>
        <w:t xml:space="preserve">.  </w:t>
      </w:r>
      <w:r w:rsidRPr="00CE4409">
        <w:rPr>
          <w:rFonts w:cs="Times New Roman"/>
          <w:sz w:val="20"/>
          <w:szCs w:val="20"/>
          <w:lang w:val="fr-CA"/>
        </w:rPr>
        <w:t xml:space="preserve">Le paragraphe 222(3) de la </w:t>
      </w:r>
      <w:r w:rsidRPr="00CE4409">
        <w:rPr>
          <w:rFonts w:cs="Times New Roman"/>
          <w:i/>
          <w:sz w:val="20"/>
          <w:szCs w:val="20"/>
          <w:lang w:val="fr-CA"/>
        </w:rPr>
        <w:t>LTA</w:t>
      </w:r>
      <w:r w:rsidRPr="00CE4409">
        <w:rPr>
          <w:rFonts w:cs="Times New Roman"/>
          <w:sz w:val="20"/>
          <w:szCs w:val="20"/>
          <w:lang w:val="fr-CA"/>
        </w:rPr>
        <w:t xml:space="preserve"> ne révèle aucune intention explicite du législateur d’abroger l’art. 18.3 </w:t>
      </w:r>
      <w:proofErr w:type="gramStart"/>
      <w:r w:rsidRPr="00CE4409">
        <w:rPr>
          <w:rFonts w:cs="Times New Roman"/>
          <w:sz w:val="20"/>
          <w:szCs w:val="20"/>
          <w:lang w:val="fr-CA"/>
        </w:rPr>
        <w:t>de</w:t>
      </w:r>
      <w:proofErr w:type="gramEnd"/>
      <w:r w:rsidRPr="00CE4409">
        <w:rPr>
          <w:rFonts w:cs="Times New Roman"/>
          <w:sz w:val="20"/>
          <w:szCs w:val="20"/>
          <w:lang w:val="fr-CA"/>
        </w:rPr>
        <w:t xml:space="preserve"> la </w:t>
      </w:r>
      <w:r w:rsidRPr="00CE4409">
        <w:rPr>
          <w:rFonts w:cs="Times New Roman"/>
          <w:i/>
          <w:sz w:val="20"/>
          <w:szCs w:val="20"/>
          <w:lang w:val="fr-CA"/>
        </w:rPr>
        <w:t>LACC</w:t>
      </w:r>
      <w:r w:rsidRPr="00E46CAE">
        <w:rPr>
          <w:rFonts w:cs="Times New Roman"/>
          <w:sz w:val="20"/>
          <w:szCs w:val="20"/>
          <w:lang w:val="fr-FR"/>
        </w:rPr>
        <w:t xml:space="preserve">.  </w:t>
      </w:r>
      <w:r w:rsidRPr="00CE4409">
        <w:rPr>
          <w:rFonts w:cs="Times New Roman"/>
          <w:sz w:val="20"/>
          <w:szCs w:val="20"/>
          <w:lang w:val="fr-CA"/>
        </w:rPr>
        <w:t xml:space="preserve">Quand le législateur a voulu protéger certaines créances de la Couronne au moyen de fiducies réputées et voulu que </w:t>
      </w:r>
      <w:proofErr w:type="spellStart"/>
      <w:r w:rsidRPr="00CE4409">
        <w:rPr>
          <w:rFonts w:cs="Times New Roman"/>
          <w:sz w:val="20"/>
          <w:szCs w:val="20"/>
          <w:lang w:val="fr-CA"/>
        </w:rPr>
        <w:t>celles</w:t>
      </w:r>
      <w:r w:rsidRPr="00CE4409">
        <w:rPr>
          <w:rFonts w:cs="Times New Roman"/>
          <w:sz w:val="20"/>
          <w:szCs w:val="20"/>
          <w:lang w:val="fr-CA"/>
        </w:rPr>
        <w:noBreakHyphen/>
        <w:t>ci</w:t>
      </w:r>
      <w:proofErr w:type="spellEnd"/>
      <w:r w:rsidRPr="00CE4409">
        <w:rPr>
          <w:rFonts w:cs="Times New Roman"/>
          <w:sz w:val="20"/>
          <w:szCs w:val="20"/>
          <w:lang w:val="fr-CA"/>
        </w:rPr>
        <w:t xml:space="preserve"> continuent de s’appliquer en situation d’insolvabilité, il l’a indiqué de manière explicite et minutieuse.  En revanche, il n’existe aucune disposition législative expresse permettant de conclure que les créances relatives à la TPS bénéficient d’un traitement préférentiel sous le régime de la </w:t>
      </w:r>
      <w:r w:rsidRPr="00CE4409">
        <w:rPr>
          <w:rFonts w:cs="Times New Roman"/>
          <w:i/>
          <w:sz w:val="20"/>
          <w:szCs w:val="20"/>
          <w:lang w:val="fr-CA"/>
        </w:rPr>
        <w:t>LACC</w:t>
      </w:r>
      <w:r w:rsidRPr="00CE4409">
        <w:rPr>
          <w:rFonts w:cs="Times New Roman"/>
          <w:sz w:val="20"/>
          <w:szCs w:val="20"/>
          <w:lang w:val="fr-CA"/>
        </w:rPr>
        <w:t xml:space="preserve"> ou de la </w:t>
      </w:r>
      <w:r w:rsidRPr="00CE4409">
        <w:rPr>
          <w:rFonts w:cs="Times New Roman"/>
          <w:i/>
          <w:sz w:val="20"/>
          <w:szCs w:val="20"/>
          <w:lang w:val="fr-CA"/>
        </w:rPr>
        <w:t>LFI</w:t>
      </w:r>
      <w:r w:rsidRPr="00E46CAE">
        <w:rPr>
          <w:rFonts w:cs="Times New Roman"/>
          <w:sz w:val="20"/>
          <w:szCs w:val="20"/>
          <w:lang w:val="fr-FR"/>
        </w:rPr>
        <w:t>.  I</w:t>
      </w:r>
      <w:r w:rsidRPr="00CE4409">
        <w:rPr>
          <w:rFonts w:cs="Times New Roman"/>
          <w:sz w:val="20"/>
          <w:szCs w:val="20"/>
          <w:lang w:val="fr-CA"/>
        </w:rPr>
        <w:t xml:space="preserve">l semble découler de la logique interne de la </w:t>
      </w:r>
      <w:r w:rsidRPr="00CE4409">
        <w:rPr>
          <w:rFonts w:cs="Times New Roman"/>
          <w:i/>
          <w:sz w:val="20"/>
          <w:szCs w:val="20"/>
          <w:lang w:val="fr-CA"/>
        </w:rPr>
        <w:t>LACC</w:t>
      </w:r>
      <w:r w:rsidRPr="00CE4409">
        <w:rPr>
          <w:rFonts w:cs="Times New Roman"/>
          <w:sz w:val="20"/>
          <w:szCs w:val="20"/>
          <w:lang w:val="fr-CA"/>
        </w:rPr>
        <w:t xml:space="preserve"> que la fiducie réputée établie à l’égard de la TPS est visée par la renonciation du législateur à sa priorité</w:t>
      </w:r>
      <w:r w:rsidRPr="00E46CAE">
        <w:rPr>
          <w:rFonts w:cs="Times New Roman"/>
          <w:sz w:val="20"/>
          <w:szCs w:val="20"/>
          <w:lang w:val="fr-FR"/>
        </w:rPr>
        <w:t xml:space="preserve">.  Il y aurait une étrange asymétrie si l’on concluait que la </w:t>
      </w:r>
      <w:r w:rsidRPr="00E46CAE">
        <w:rPr>
          <w:rFonts w:cs="Times New Roman"/>
          <w:i/>
          <w:sz w:val="20"/>
          <w:szCs w:val="20"/>
          <w:lang w:val="fr-FR"/>
        </w:rPr>
        <w:t>LACC</w:t>
      </w:r>
      <w:r w:rsidRPr="00E46CAE">
        <w:rPr>
          <w:rFonts w:cs="Times New Roman"/>
          <w:sz w:val="20"/>
          <w:szCs w:val="20"/>
          <w:lang w:val="fr-FR"/>
        </w:rPr>
        <w:t xml:space="preserve"> ne traite pas les fiducies réputées à l’égard de la TPS de la même manière que la </w:t>
      </w:r>
      <w:r w:rsidRPr="00E46CAE">
        <w:rPr>
          <w:rFonts w:cs="Times New Roman"/>
          <w:i/>
          <w:sz w:val="20"/>
          <w:szCs w:val="20"/>
          <w:lang w:val="fr-FR"/>
        </w:rPr>
        <w:t>LFI</w:t>
      </w:r>
      <w:r w:rsidRPr="00E46CAE">
        <w:rPr>
          <w:rFonts w:cs="Times New Roman"/>
          <w:sz w:val="20"/>
          <w:szCs w:val="20"/>
          <w:lang w:val="fr-FR"/>
        </w:rPr>
        <w:t xml:space="preserve">, car cela encouragerait les créanciers à recourir à la loi la plus favorable, </w:t>
      </w:r>
      <w:r w:rsidRPr="00CE4409">
        <w:rPr>
          <w:rFonts w:cs="Times New Roman"/>
          <w:sz w:val="20"/>
          <w:szCs w:val="20"/>
          <w:lang w:val="fr-CA"/>
        </w:rPr>
        <w:t xml:space="preserve">minerait les objectifs réparateurs de la </w:t>
      </w:r>
      <w:r w:rsidRPr="00CE4409">
        <w:rPr>
          <w:rFonts w:cs="Times New Roman"/>
          <w:i/>
          <w:sz w:val="20"/>
          <w:szCs w:val="20"/>
          <w:lang w:val="fr-CA"/>
        </w:rPr>
        <w:t>LACC</w:t>
      </w:r>
      <w:r w:rsidRPr="00CE4409">
        <w:rPr>
          <w:rFonts w:cs="Times New Roman"/>
          <w:sz w:val="20"/>
          <w:szCs w:val="20"/>
          <w:lang w:val="fr-CA"/>
        </w:rPr>
        <w:t xml:space="preserve"> et risquerait de favoriser les maux sociaux que l’édiction de ce texte législatif visait justement à prévenir</w:t>
      </w:r>
      <w:r w:rsidRPr="00E46CAE">
        <w:rPr>
          <w:rFonts w:cs="Times New Roman"/>
          <w:sz w:val="20"/>
          <w:szCs w:val="20"/>
          <w:lang w:val="fr-FR"/>
        </w:rPr>
        <w:t xml:space="preserve">.  Le paragraphe 222(3) de la </w:t>
      </w:r>
      <w:r w:rsidRPr="00E46CAE">
        <w:rPr>
          <w:rFonts w:cs="Times New Roman"/>
          <w:i/>
          <w:sz w:val="20"/>
          <w:szCs w:val="20"/>
          <w:lang w:val="fr-FR"/>
        </w:rPr>
        <w:t>LFI</w:t>
      </w:r>
      <w:r w:rsidRPr="00E46CAE">
        <w:rPr>
          <w:rFonts w:cs="Times New Roman"/>
          <w:sz w:val="20"/>
          <w:szCs w:val="20"/>
          <w:lang w:val="fr-FR"/>
        </w:rPr>
        <w:t xml:space="preserve">, une disposition plus récente et générale que le par. 18.3(1) de la </w:t>
      </w:r>
      <w:r w:rsidRPr="00E46CAE">
        <w:rPr>
          <w:rFonts w:cs="Times New Roman"/>
          <w:i/>
          <w:sz w:val="20"/>
          <w:szCs w:val="20"/>
          <w:lang w:val="fr-FR"/>
        </w:rPr>
        <w:t>LACC</w:t>
      </w:r>
      <w:r w:rsidRPr="00E46CAE">
        <w:rPr>
          <w:rFonts w:cs="Times New Roman"/>
          <w:sz w:val="20"/>
          <w:szCs w:val="20"/>
          <w:lang w:val="fr-FR"/>
        </w:rPr>
        <w:t xml:space="preserve">, n’exige pas l’application de la doctrine de l’abrogation implicite dans les circonstances de la présente affaire.  En tout état de cause, </w:t>
      </w:r>
      <w:r w:rsidRPr="00CE4409">
        <w:rPr>
          <w:rFonts w:cs="Times New Roman"/>
          <w:sz w:val="20"/>
          <w:szCs w:val="20"/>
          <w:lang w:val="fr-CA"/>
        </w:rPr>
        <w:t xml:space="preserve">par suite des modifications apportées récemment à la </w:t>
      </w:r>
      <w:r w:rsidRPr="00CE4409">
        <w:rPr>
          <w:rFonts w:cs="Times New Roman"/>
          <w:i/>
          <w:sz w:val="20"/>
          <w:szCs w:val="20"/>
          <w:lang w:val="fr-CA"/>
        </w:rPr>
        <w:t>LACC</w:t>
      </w:r>
      <w:r w:rsidRPr="00CE4409">
        <w:rPr>
          <w:rFonts w:cs="Times New Roman"/>
          <w:sz w:val="20"/>
          <w:szCs w:val="20"/>
          <w:lang w:val="fr-CA"/>
        </w:rPr>
        <w:t xml:space="preserve"> en 2005, l’art. 18.3 a été reformulé et renuméroté, ce qui en fait la disposition postérieure.  Cette constatation confirme que c’est dans la </w:t>
      </w:r>
      <w:r w:rsidRPr="00CE4409">
        <w:rPr>
          <w:rFonts w:cs="Times New Roman"/>
          <w:i/>
          <w:sz w:val="20"/>
          <w:szCs w:val="20"/>
          <w:lang w:val="fr-CA"/>
        </w:rPr>
        <w:t>LACC</w:t>
      </w:r>
      <w:r w:rsidRPr="00CE4409">
        <w:rPr>
          <w:rFonts w:cs="Times New Roman"/>
          <w:sz w:val="20"/>
          <w:szCs w:val="20"/>
          <w:lang w:val="fr-CA"/>
        </w:rPr>
        <w:t xml:space="preserve"> qu’est exprimée l’intention du législateur en ce qui a trait aux fiducies réputées visant la TPS</w:t>
      </w:r>
      <w:r w:rsidRPr="00E46CAE">
        <w:rPr>
          <w:rFonts w:cs="Times New Roman"/>
          <w:sz w:val="20"/>
          <w:szCs w:val="20"/>
          <w:lang w:val="fr-FR"/>
        </w:rPr>
        <w:t>.  L</w:t>
      </w:r>
      <w:r w:rsidRPr="00CE4409">
        <w:rPr>
          <w:rFonts w:cs="Times New Roman"/>
          <w:sz w:val="20"/>
          <w:szCs w:val="20"/>
          <w:lang w:val="fr-CA"/>
        </w:rPr>
        <w:t xml:space="preserve">e conflit entre la </w:t>
      </w:r>
      <w:r w:rsidRPr="00CE4409">
        <w:rPr>
          <w:rFonts w:cs="Times New Roman"/>
          <w:i/>
          <w:sz w:val="20"/>
          <w:szCs w:val="20"/>
          <w:lang w:val="fr-CA"/>
        </w:rPr>
        <w:t>LTA</w:t>
      </w:r>
      <w:r w:rsidRPr="00CE4409">
        <w:rPr>
          <w:rFonts w:cs="Times New Roman"/>
          <w:sz w:val="20"/>
          <w:szCs w:val="20"/>
          <w:lang w:val="fr-CA"/>
        </w:rPr>
        <w:t xml:space="preserve"> et la </w:t>
      </w:r>
      <w:r w:rsidRPr="00CE4409">
        <w:rPr>
          <w:rFonts w:cs="Times New Roman"/>
          <w:i/>
          <w:sz w:val="20"/>
          <w:szCs w:val="20"/>
          <w:lang w:val="fr-CA"/>
        </w:rPr>
        <w:t>LACC</w:t>
      </w:r>
      <w:r w:rsidRPr="00CE4409">
        <w:rPr>
          <w:rFonts w:cs="Times New Roman"/>
          <w:sz w:val="20"/>
          <w:szCs w:val="20"/>
          <w:lang w:val="fr-CA"/>
        </w:rPr>
        <w:t xml:space="preserve"> est plus apparent que réel</w:t>
      </w:r>
      <w:r w:rsidRPr="00E46CAE">
        <w:rPr>
          <w:rFonts w:cs="Times New Roman"/>
          <w:sz w:val="20"/>
          <w:szCs w:val="20"/>
          <w:lang w:val="fr-FR"/>
        </w:rPr>
        <w:t>.</w:t>
      </w:r>
    </w:p>
    <w:p w:rsidR="00CE4409" w:rsidRPr="00E46CAE" w:rsidRDefault="00CE4409" w:rsidP="00CE4409">
      <w:pPr>
        <w:pStyle w:val="SCCNormalDoubleSpacing"/>
        <w:spacing w:line="240" w:lineRule="auto"/>
        <w:rPr>
          <w:sz w:val="20"/>
          <w:lang w:val="fr-FR"/>
        </w:rPr>
      </w:pPr>
    </w:p>
    <w:p w:rsidR="00CE4409" w:rsidRPr="00E46CAE" w:rsidRDefault="00CE4409" w:rsidP="00CE4409">
      <w:pPr>
        <w:pStyle w:val="SCCNormalDoubleSpacing"/>
        <w:spacing w:line="240" w:lineRule="auto"/>
        <w:rPr>
          <w:sz w:val="20"/>
          <w:lang w:val="fr-FR"/>
        </w:rPr>
      </w:pPr>
      <w:r w:rsidRPr="00E46CAE">
        <w:rPr>
          <w:sz w:val="20"/>
          <w:lang w:val="fr-FR"/>
        </w:rPr>
        <w:tab/>
      </w:r>
      <w:r w:rsidRPr="00CE4409">
        <w:rPr>
          <w:sz w:val="20"/>
          <w:lang w:val="fr-CA"/>
        </w:rPr>
        <w:t>L’exercice par les tribunaux de leurs pouvoirs discrétionnaires</w:t>
      </w:r>
      <w:r w:rsidRPr="00E46CAE">
        <w:rPr>
          <w:sz w:val="20"/>
          <w:lang w:val="fr-FR"/>
        </w:rPr>
        <w:t xml:space="preserve"> a fait en sorte que la </w:t>
      </w:r>
      <w:r w:rsidRPr="00E46CAE">
        <w:rPr>
          <w:i/>
          <w:sz w:val="20"/>
          <w:lang w:val="fr-FR"/>
        </w:rPr>
        <w:t>LACC</w:t>
      </w:r>
      <w:r w:rsidRPr="00E46CAE">
        <w:rPr>
          <w:sz w:val="20"/>
          <w:lang w:val="fr-FR"/>
        </w:rPr>
        <w:t xml:space="preserve"> a évolué et s’est adaptée aux besoins commerciaux et sociaux contemporains.  Comme les réorganisations deviennent très complexes, l</w:t>
      </w:r>
      <w:r w:rsidRPr="00CE4409">
        <w:rPr>
          <w:sz w:val="20"/>
          <w:lang w:val="fr-CA"/>
        </w:rPr>
        <w:t xml:space="preserve">es tribunaux chargés d’appliquer la </w:t>
      </w:r>
      <w:r w:rsidRPr="00CE4409">
        <w:rPr>
          <w:i/>
          <w:sz w:val="20"/>
          <w:lang w:val="fr-CA"/>
        </w:rPr>
        <w:t>LACC</w:t>
      </w:r>
      <w:r w:rsidRPr="00CE4409">
        <w:rPr>
          <w:sz w:val="20"/>
          <w:lang w:val="fr-CA"/>
        </w:rPr>
        <w:t xml:space="preserve"> ont été appelés à innover</w:t>
      </w:r>
      <w:r w:rsidRPr="00E46CAE">
        <w:rPr>
          <w:sz w:val="20"/>
          <w:lang w:val="fr-FR"/>
        </w:rPr>
        <w:t>.  L</w:t>
      </w:r>
      <w:r w:rsidRPr="00CE4409">
        <w:rPr>
          <w:sz w:val="20"/>
          <w:lang w:val="fr-CA"/>
        </w:rPr>
        <w:t xml:space="preserve">es tribunaux doivent d’abord interpréter les dispositions de la </w:t>
      </w:r>
      <w:r w:rsidRPr="00CE4409">
        <w:rPr>
          <w:i/>
          <w:sz w:val="20"/>
          <w:lang w:val="fr-CA"/>
        </w:rPr>
        <w:t>LACC</w:t>
      </w:r>
      <w:r w:rsidRPr="00CE4409">
        <w:rPr>
          <w:sz w:val="20"/>
          <w:lang w:val="fr-CA"/>
        </w:rPr>
        <w:t xml:space="preserve"> avant d’invoquer leur compétence inhérente ou leur compétence en </w:t>
      </w:r>
      <w:proofErr w:type="spellStart"/>
      <w:r w:rsidRPr="00CE4409">
        <w:rPr>
          <w:sz w:val="20"/>
          <w:lang w:val="fr-CA"/>
        </w:rPr>
        <w:t>equity</w:t>
      </w:r>
      <w:proofErr w:type="spellEnd"/>
      <w:r w:rsidRPr="00CE4409">
        <w:rPr>
          <w:sz w:val="20"/>
          <w:lang w:val="fr-CA"/>
        </w:rPr>
        <w:t xml:space="preserve"> pour établir leur pouvoir de prendre des mesures dans le cadre d’une procédure fondée sur la </w:t>
      </w:r>
      <w:r w:rsidRPr="00CE4409">
        <w:rPr>
          <w:i/>
          <w:sz w:val="20"/>
          <w:lang w:val="fr-CA"/>
        </w:rPr>
        <w:t>LACC</w:t>
      </w:r>
      <w:r w:rsidRPr="00E46CAE">
        <w:rPr>
          <w:sz w:val="20"/>
          <w:lang w:val="fr-FR"/>
        </w:rPr>
        <w:t xml:space="preserve">.  À cet égard, </w:t>
      </w:r>
      <w:r w:rsidRPr="00CE4409">
        <w:rPr>
          <w:sz w:val="20"/>
          <w:lang w:val="fr-CA"/>
        </w:rPr>
        <w:t xml:space="preserve">il faut souligner que le texte de la </w:t>
      </w:r>
      <w:r w:rsidRPr="00CE4409">
        <w:rPr>
          <w:i/>
          <w:sz w:val="20"/>
          <w:lang w:val="fr-CA"/>
        </w:rPr>
        <w:t>LACC</w:t>
      </w:r>
      <w:r w:rsidRPr="00CE4409">
        <w:rPr>
          <w:sz w:val="20"/>
          <w:lang w:val="fr-CA"/>
        </w:rPr>
        <w:t xml:space="preserve"> peut être interprété très largement</w:t>
      </w:r>
      <w:r w:rsidRPr="00E46CAE">
        <w:rPr>
          <w:sz w:val="20"/>
          <w:lang w:val="fr-FR"/>
        </w:rPr>
        <w:t xml:space="preserve">.  </w:t>
      </w:r>
      <w:r w:rsidRPr="00CE4409">
        <w:rPr>
          <w:sz w:val="20"/>
          <w:lang w:val="fr-CA"/>
        </w:rPr>
        <w:t xml:space="preserve">La possibilité pour le tribunal de rendre des ordonnances plus spécifiques n’a pas pour effet de restreindre la portée des termes généraux utilisés dans la </w:t>
      </w:r>
      <w:r w:rsidRPr="00CE4409">
        <w:rPr>
          <w:i/>
          <w:sz w:val="20"/>
          <w:lang w:val="fr-CA"/>
        </w:rPr>
        <w:t>LACC</w:t>
      </w:r>
      <w:r w:rsidRPr="00E46CAE">
        <w:rPr>
          <w:sz w:val="20"/>
          <w:lang w:val="fr-FR"/>
        </w:rPr>
        <w:t>.  L</w:t>
      </w:r>
      <w:r w:rsidRPr="00CE4409">
        <w:rPr>
          <w:sz w:val="20"/>
          <w:lang w:val="fr-CA"/>
        </w:rPr>
        <w:t xml:space="preserve">’opportunité, la bonne foi et la diligence sont des considérations de base que le tribunal devrait toujours garder à l’esprit lorsqu’il exerce les pouvoirs conférés par la </w:t>
      </w:r>
      <w:r w:rsidRPr="00CE4409">
        <w:rPr>
          <w:i/>
          <w:sz w:val="20"/>
          <w:lang w:val="fr-CA"/>
        </w:rPr>
        <w:t>LACC</w:t>
      </w:r>
      <w:r w:rsidRPr="00CE4409">
        <w:rPr>
          <w:sz w:val="20"/>
          <w:lang w:val="fr-CA"/>
        </w:rPr>
        <w:t>.</w:t>
      </w:r>
      <w:r w:rsidRPr="00E46CAE">
        <w:rPr>
          <w:sz w:val="20"/>
          <w:lang w:val="fr-FR"/>
        </w:rPr>
        <w:t xml:space="preserve">  </w:t>
      </w:r>
      <w:r w:rsidRPr="00CE4409">
        <w:rPr>
          <w:sz w:val="20"/>
          <w:lang w:val="fr-CA"/>
        </w:rPr>
        <w:t xml:space="preserve">Il s’agit de savoir si l’ordonnance contribuera utilement à la réalisation de l’objectif d’éviter les pertes sociales et économiques résultant de la liquidation d’une compagnie insolvable.  Ce critère s’applique non seulement à l’objectif de l’ordonnance, mais aussi aux moyens utilisés.  En l’espèce, l’ordonnance du juge </w:t>
      </w:r>
      <w:r w:rsidRPr="00E46CAE">
        <w:rPr>
          <w:sz w:val="20"/>
          <w:lang w:val="fr-FR"/>
        </w:rPr>
        <w:t>siégeant en son cabinet</w:t>
      </w:r>
      <w:r w:rsidRPr="00CE4409">
        <w:rPr>
          <w:sz w:val="20"/>
          <w:lang w:val="fr-CA"/>
        </w:rPr>
        <w:t xml:space="preserve"> qui a suspendu l’exécution des mesures de recouvrement de la Couronne à l’égard de la TPS contribuait à la réalisation des objectifs de la </w:t>
      </w:r>
      <w:r w:rsidRPr="00CE4409">
        <w:rPr>
          <w:i/>
          <w:sz w:val="20"/>
          <w:lang w:val="fr-CA"/>
        </w:rPr>
        <w:t>LACC</w:t>
      </w:r>
      <w:r w:rsidRPr="00CE4409">
        <w:rPr>
          <w:sz w:val="20"/>
          <w:lang w:val="fr-CA"/>
        </w:rPr>
        <w:t>,</w:t>
      </w:r>
      <w:r w:rsidRPr="00CE4409">
        <w:rPr>
          <w:i/>
          <w:sz w:val="20"/>
          <w:lang w:val="fr-CA"/>
        </w:rPr>
        <w:t xml:space="preserve"> </w:t>
      </w:r>
      <w:r w:rsidRPr="00CE4409">
        <w:rPr>
          <w:sz w:val="20"/>
          <w:lang w:val="fr-CA"/>
        </w:rPr>
        <w:t xml:space="preserve">parce qu’elle avait pour effet de dissuader les créanciers d’entraver une liquidation ordonnée et favorisait une transition harmonieuse entre la </w:t>
      </w:r>
      <w:r w:rsidRPr="00CE4409">
        <w:rPr>
          <w:i/>
          <w:sz w:val="20"/>
          <w:lang w:val="fr-CA"/>
        </w:rPr>
        <w:t>LACC</w:t>
      </w:r>
      <w:r w:rsidRPr="00CE4409">
        <w:rPr>
          <w:sz w:val="20"/>
          <w:lang w:val="fr-CA"/>
        </w:rPr>
        <w:t xml:space="preserve"> et la </w:t>
      </w:r>
      <w:r w:rsidRPr="00CE4409">
        <w:rPr>
          <w:i/>
          <w:sz w:val="20"/>
          <w:lang w:val="fr-CA"/>
        </w:rPr>
        <w:t>LFI</w:t>
      </w:r>
      <w:r w:rsidRPr="00CE4409">
        <w:rPr>
          <w:sz w:val="20"/>
          <w:lang w:val="fr-CA"/>
        </w:rPr>
        <w:t xml:space="preserve">, répondant ainsi à l’objectif — commun aux deux lois — qui consiste à avoir une seule procédure.  Le passage de la </w:t>
      </w:r>
      <w:r w:rsidRPr="00CE4409">
        <w:rPr>
          <w:i/>
          <w:sz w:val="20"/>
          <w:lang w:val="fr-CA"/>
        </w:rPr>
        <w:t>LACC</w:t>
      </w:r>
      <w:r w:rsidRPr="00CE4409">
        <w:rPr>
          <w:sz w:val="20"/>
          <w:lang w:val="fr-CA"/>
        </w:rPr>
        <w:t xml:space="preserve"> à la </w:t>
      </w:r>
      <w:r w:rsidRPr="00CE4409">
        <w:rPr>
          <w:i/>
          <w:sz w:val="20"/>
          <w:lang w:val="fr-CA"/>
        </w:rPr>
        <w:t>LFI</w:t>
      </w:r>
      <w:r w:rsidRPr="00CE4409">
        <w:rPr>
          <w:sz w:val="20"/>
          <w:lang w:val="fr-CA"/>
        </w:rPr>
        <w:t xml:space="preserve"> peut exiger la levée partielle d’une suspension de procédures ordonnée en vertu de la </w:t>
      </w:r>
      <w:r w:rsidRPr="00CE4409">
        <w:rPr>
          <w:i/>
          <w:sz w:val="20"/>
          <w:lang w:val="fr-CA"/>
        </w:rPr>
        <w:t>LACC</w:t>
      </w:r>
      <w:r w:rsidRPr="00CE4409">
        <w:rPr>
          <w:sz w:val="20"/>
          <w:lang w:val="fr-CA"/>
        </w:rPr>
        <w:t xml:space="preserve">, de façon à permettre l’engagement des procédures fondées sur la </w:t>
      </w:r>
      <w:r w:rsidRPr="00CE4409">
        <w:rPr>
          <w:i/>
          <w:sz w:val="20"/>
          <w:lang w:val="fr-CA"/>
        </w:rPr>
        <w:t>LFI</w:t>
      </w:r>
      <w:r w:rsidRPr="00CE4409">
        <w:rPr>
          <w:sz w:val="20"/>
          <w:lang w:val="fr-CA"/>
        </w:rPr>
        <w:t xml:space="preserve">, mais il n’existe aucun hiatus entre ces lois étant donné qu’elles s’appliquent de concert et que, dans les deux cas, les créanciers examinent le régime de distribution prévu par la </w:t>
      </w:r>
      <w:r w:rsidRPr="00CE4409">
        <w:rPr>
          <w:i/>
          <w:sz w:val="20"/>
          <w:lang w:val="fr-CA"/>
        </w:rPr>
        <w:t>LFI</w:t>
      </w:r>
      <w:r w:rsidRPr="00CE4409">
        <w:rPr>
          <w:sz w:val="20"/>
          <w:lang w:val="fr-CA"/>
        </w:rPr>
        <w:t xml:space="preserve"> pour connaître la situation qui serait la leur en cas d’échec de la réorganisation.  L’ampleur du pouvoir discrétionnaire conféré au tribunal par la </w:t>
      </w:r>
      <w:r w:rsidRPr="00CE4409">
        <w:rPr>
          <w:i/>
          <w:sz w:val="20"/>
          <w:lang w:val="fr-CA"/>
        </w:rPr>
        <w:t>LACC</w:t>
      </w:r>
      <w:r w:rsidRPr="00CE4409">
        <w:rPr>
          <w:sz w:val="20"/>
          <w:lang w:val="fr-CA"/>
        </w:rPr>
        <w:t xml:space="preserve"> suffit pour établir une passerelle vers une liquidation opérée sous le régime de la </w:t>
      </w:r>
      <w:r w:rsidRPr="00CE4409">
        <w:rPr>
          <w:i/>
          <w:sz w:val="20"/>
          <w:lang w:val="fr-CA"/>
        </w:rPr>
        <w:t>LFI</w:t>
      </w:r>
      <w:r w:rsidRPr="00E46CAE">
        <w:rPr>
          <w:sz w:val="20"/>
          <w:lang w:val="fr-FR"/>
        </w:rPr>
        <w:t>.  Le juge siégeant en son cabinet pouvait donc rendre l’ordonnance qu’il a prononcée.</w:t>
      </w:r>
    </w:p>
    <w:p w:rsidR="00CE4409" w:rsidRPr="00E46CAE" w:rsidRDefault="00CE4409" w:rsidP="00CE4409">
      <w:pPr>
        <w:pStyle w:val="SCCNormalDoubleSpacing"/>
        <w:spacing w:line="240" w:lineRule="auto"/>
        <w:rPr>
          <w:sz w:val="20"/>
          <w:lang w:val="fr-FR"/>
        </w:rPr>
      </w:pPr>
    </w:p>
    <w:p w:rsidR="00CE4409" w:rsidRPr="00E46CAE" w:rsidRDefault="00CE4409" w:rsidP="00CE4409">
      <w:pPr>
        <w:ind w:firstLine="720"/>
        <w:jc w:val="both"/>
        <w:rPr>
          <w:rFonts w:cs="Times New Roman"/>
          <w:sz w:val="20"/>
          <w:szCs w:val="20"/>
          <w:lang w:val="fr-FR"/>
        </w:rPr>
      </w:pPr>
      <w:r w:rsidRPr="00CE4409">
        <w:rPr>
          <w:rFonts w:cs="Times New Roman"/>
          <w:sz w:val="20"/>
          <w:szCs w:val="20"/>
          <w:lang w:val="fr-CA"/>
        </w:rPr>
        <w:t>L’ordonnance du juge siégeant en son cabinet n’a pas créé de fiducie expresse en l’espèce, car aucune certitude d’objet ne peut être inférée de cette ordonnance</w:t>
      </w:r>
      <w:r w:rsidRPr="00E46CAE">
        <w:rPr>
          <w:rFonts w:cs="Times New Roman"/>
          <w:sz w:val="20"/>
          <w:szCs w:val="20"/>
          <w:lang w:val="fr-FR"/>
        </w:rPr>
        <w:t xml:space="preserve">.  </w:t>
      </w:r>
      <w:r w:rsidRPr="00CE4409">
        <w:rPr>
          <w:rFonts w:cs="Times New Roman"/>
          <w:sz w:val="20"/>
          <w:szCs w:val="20"/>
          <w:lang w:val="fr-CA"/>
        </w:rPr>
        <w:t>La création d’une fiducie expresse exige la présence de certitudes quant à l’intention, à la matière et à l’objet</w:t>
      </w:r>
      <w:r w:rsidRPr="00E46CAE">
        <w:rPr>
          <w:rFonts w:cs="Times New Roman"/>
          <w:sz w:val="20"/>
          <w:szCs w:val="20"/>
          <w:lang w:val="fr-FR"/>
        </w:rPr>
        <w:t xml:space="preserve">.  </w:t>
      </w:r>
      <w:r w:rsidRPr="00CE4409">
        <w:rPr>
          <w:rFonts w:cs="Times New Roman"/>
          <w:sz w:val="20"/>
          <w:szCs w:val="20"/>
          <w:lang w:val="fr-CA"/>
        </w:rPr>
        <w:t xml:space="preserve">Lorsque le juge </w:t>
      </w:r>
      <w:r w:rsidRPr="00E46CAE">
        <w:rPr>
          <w:rFonts w:cs="Times New Roman"/>
          <w:sz w:val="20"/>
          <w:szCs w:val="20"/>
          <w:lang w:val="fr-FR"/>
        </w:rPr>
        <w:t>siégeant en son cabinet</w:t>
      </w:r>
      <w:r w:rsidRPr="00CE4409">
        <w:rPr>
          <w:rFonts w:cs="Times New Roman"/>
          <w:sz w:val="20"/>
          <w:szCs w:val="20"/>
          <w:lang w:val="fr-CA"/>
        </w:rPr>
        <w:t xml:space="preserve"> a accepté la proposition que les sommes soient détenues séparément dans le compte en fiducie du contrôleur, </w:t>
      </w:r>
      <w:r w:rsidRPr="00E46CAE">
        <w:rPr>
          <w:rFonts w:cs="Times New Roman"/>
          <w:sz w:val="20"/>
          <w:szCs w:val="20"/>
          <w:lang w:val="fr-FR"/>
        </w:rPr>
        <w:t>il n’existait aucune certitude que la Couronne serait le bénéficiaire ou l’objet de la fiducie, car i</w:t>
      </w:r>
      <w:r w:rsidRPr="00CE4409">
        <w:rPr>
          <w:rFonts w:cs="Times New Roman"/>
          <w:sz w:val="20"/>
          <w:szCs w:val="20"/>
          <w:lang w:val="fr-CA"/>
        </w:rPr>
        <w:t>l y avait un doute quant à la question de savoir qui au juste pourrait toucher l’argent en fin de compte</w:t>
      </w:r>
      <w:r w:rsidRPr="00E46CAE">
        <w:rPr>
          <w:rFonts w:cs="Times New Roman"/>
          <w:sz w:val="20"/>
          <w:szCs w:val="20"/>
          <w:lang w:val="fr-FR"/>
        </w:rPr>
        <w:t xml:space="preserve">.  </w:t>
      </w:r>
      <w:r w:rsidRPr="00CE4409">
        <w:rPr>
          <w:rFonts w:cs="Times New Roman"/>
          <w:sz w:val="20"/>
          <w:szCs w:val="20"/>
          <w:lang w:val="fr-CA"/>
        </w:rPr>
        <w:t xml:space="preserve">De toute façon, suivant l’interprétation du par. 18.3(1) de la </w:t>
      </w:r>
      <w:r w:rsidRPr="00CE4409">
        <w:rPr>
          <w:rFonts w:cs="Times New Roman"/>
          <w:i/>
          <w:sz w:val="20"/>
          <w:szCs w:val="20"/>
          <w:lang w:val="fr-CA"/>
        </w:rPr>
        <w:t xml:space="preserve">LACC </w:t>
      </w:r>
      <w:r w:rsidRPr="00CE4409">
        <w:rPr>
          <w:rFonts w:cs="Times New Roman"/>
          <w:sz w:val="20"/>
          <w:szCs w:val="20"/>
          <w:lang w:val="fr-CA"/>
        </w:rPr>
        <w:t xml:space="preserve">dégagée précédemment, aucun différend ne saurait même exister quant à l’argent, étant donné que la priorité accordée aux réclamations de la Couronne fondées sur la fiducie réputée visant la TPS ne s’applique pas sous le régime de la </w:t>
      </w:r>
      <w:r w:rsidRPr="00CE4409">
        <w:rPr>
          <w:rFonts w:cs="Times New Roman"/>
          <w:i/>
          <w:sz w:val="20"/>
          <w:szCs w:val="20"/>
          <w:lang w:val="fr-CA"/>
        </w:rPr>
        <w:t>LACC</w:t>
      </w:r>
      <w:r w:rsidRPr="00CE4409">
        <w:rPr>
          <w:rFonts w:cs="Times New Roman"/>
          <w:sz w:val="20"/>
          <w:szCs w:val="20"/>
          <w:lang w:val="fr-CA"/>
        </w:rPr>
        <w:t xml:space="preserve"> et que la Couronne est reléguée au rang de créancier non garanti à l’égard des sommes en question</w:t>
      </w:r>
      <w:r w:rsidRPr="00E46CAE">
        <w:rPr>
          <w:rFonts w:cs="Times New Roman"/>
          <w:sz w:val="20"/>
          <w:szCs w:val="20"/>
          <w:lang w:val="fr-FR"/>
        </w:rPr>
        <w:t>.</w:t>
      </w:r>
    </w:p>
    <w:p w:rsidR="00CE4409" w:rsidRPr="00E46CAE" w:rsidRDefault="00CE4409" w:rsidP="00CE4409">
      <w:pPr>
        <w:tabs>
          <w:tab w:val="left" w:pos="990"/>
        </w:tabs>
        <w:jc w:val="both"/>
        <w:rPr>
          <w:rFonts w:cs="Times New Roman"/>
          <w:sz w:val="20"/>
          <w:szCs w:val="20"/>
          <w:lang w:val="fr-FR"/>
        </w:rPr>
      </w:pPr>
    </w:p>
    <w:p w:rsidR="00CE4409" w:rsidRPr="00E46CAE" w:rsidRDefault="00CE4409" w:rsidP="00CE4409">
      <w:pPr>
        <w:pStyle w:val="SCCNormalDoubleSpacing"/>
        <w:spacing w:line="240" w:lineRule="auto"/>
        <w:ind w:firstLine="720"/>
        <w:rPr>
          <w:sz w:val="20"/>
          <w:lang w:val="fr-FR"/>
        </w:rPr>
      </w:pPr>
      <w:r w:rsidRPr="00E46CAE">
        <w:rPr>
          <w:i/>
          <w:sz w:val="20"/>
          <w:lang w:val="fr-FR"/>
        </w:rPr>
        <w:lastRenderedPageBreak/>
        <w:t xml:space="preserve">Le </w:t>
      </w:r>
      <w:r w:rsidRPr="00E46CAE">
        <w:rPr>
          <w:sz w:val="20"/>
          <w:lang w:val="fr-FR"/>
        </w:rPr>
        <w:t xml:space="preserve">juge Fish : Les sommes perçues par la débitrice </w:t>
      </w:r>
      <w:r w:rsidRPr="00CE4409">
        <w:rPr>
          <w:sz w:val="20"/>
          <w:lang w:val="fr-CA"/>
        </w:rPr>
        <w:t>au titre de la TPS ne font l’objet d’aucune fiducie réputée ou priorité en faveur de la Couronne</w:t>
      </w:r>
      <w:r w:rsidRPr="00E46CAE">
        <w:rPr>
          <w:sz w:val="20"/>
          <w:lang w:val="fr-FR"/>
        </w:rPr>
        <w:t xml:space="preserve">.  </w:t>
      </w:r>
      <w:r w:rsidRPr="00CE4409">
        <w:rPr>
          <w:sz w:val="20"/>
          <w:lang w:val="fr-CA"/>
        </w:rPr>
        <w:t xml:space="preserve">Au cours des dernières années, le législateur fédéral a procédé à un examen approfondi du régime canadien d’insolvabilité, mais il a refusé de modifier les dispositions qui sont en cause dans la présente affaire.  Il s’agit d’un exercice délibéré du pouvoir discrétionnaire de légiférer.  </w:t>
      </w:r>
      <w:r w:rsidRPr="00E46CAE">
        <w:rPr>
          <w:sz w:val="20"/>
          <w:lang w:val="fr-FR"/>
        </w:rPr>
        <w:t>Par contre, e</w:t>
      </w:r>
      <w:r w:rsidRPr="00CE4409">
        <w:rPr>
          <w:sz w:val="20"/>
          <w:lang w:val="fr-CA"/>
        </w:rPr>
        <w:t xml:space="preserve">n maintenant, malgré l’existence des procédures d’insolvabilité, la validité de fiducies réputées créées en vertu de la </w:t>
      </w:r>
      <w:r w:rsidRPr="00CE4409">
        <w:rPr>
          <w:i/>
          <w:sz w:val="20"/>
          <w:lang w:val="fr-CA"/>
        </w:rPr>
        <w:t>LTA</w:t>
      </w:r>
      <w:r w:rsidRPr="00CE4409">
        <w:rPr>
          <w:sz w:val="20"/>
          <w:lang w:val="fr-CA"/>
        </w:rPr>
        <w:t xml:space="preserve">, les tribunaux ont protégé indûment des droits de la Couronne que le Parlement avait </w:t>
      </w:r>
      <w:proofErr w:type="spellStart"/>
      <w:r w:rsidRPr="00CE4409">
        <w:rPr>
          <w:sz w:val="20"/>
          <w:lang w:val="fr-CA"/>
        </w:rPr>
        <w:t>lui</w:t>
      </w:r>
      <w:r w:rsidRPr="00CE4409">
        <w:rPr>
          <w:sz w:val="20"/>
          <w:lang w:val="fr-CA"/>
        </w:rPr>
        <w:noBreakHyphen/>
        <w:t>même</w:t>
      </w:r>
      <w:proofErr w:type="spellEnd"/>
      <w:r w:rsidRPr="00CE4409">
        <w:rPr>
          <w:sz w:val="20"/>
          <w:lang w:val="fr-CA"/>
        </w:rPr>
        <w:t xml:space="preserve"> choisi de subordonner à d’autres créances prioritaires.  Dans le contexte du régime canadien d’insolvabilité, il existe une fiducie réputée uniquement lorsqu’une disposition législative </w:t>
      </w:r>
      <w:r w:rsidRPr="00CE4409">
        <w:rPr>
          <w:i/>
          <w:sz w:val="20"/>
          <w:lang w:val="fr-CA"/>
        </w:rPr>
        <w:t>crée</w:t>
      </w:r>
      <w:r w:rsidRPr="00CE4409">
        <w:rPr>
          <w:sz w:val="20"/>
          <w:lang w:val="fr-CA"/>
        </w:rPr>
        <w:t xml:space="preserve"> la fiducie et qu’une disposition de la </w:t>
      </w:r>
      <w:r w:rsidRPr="00CE4409">
        <w:rPr>
          <w:i/>
          <w:sz w:val="20"/>
          <w:lang w:val="fr-CA"/>
        </w:rPr>
        <w:t xml:space="preserve">LACC </w:t>
      </w:r>
      <w:r w:rsidRPr="00CE4409">
        <w:rPr>
          <w:sz w:val="20"/>
          <w:lang w:val="fr-CA"/>
        </w:rPr>
        <w:t xml:space="preserve">ou de la </w:t>
      </w:r>
      <w:r w:rsidRPr="00CE4409">
        <w:rPr>
          <w:i/>
          <w:sz w:val="20"/>
          <w:lang w:val="fr-CA"/>
        </w:rPr>
        <w:t>LFI confirme</w:t>
      </w:r>
      <w:r w:rsidRPr="00CE4409">
        <w:rPr>
          <w:sz w:val="20"/>
          <w:lang w:val="fr-CA"/>
        </w:rPr>
        <w:t xml:space="preserve"> explicitement l’existence de la fiducie</w:t>
      </w:r>
      <w:r w:rsidRPr="00E46CAE">
        <w:rPr>
          <w:sz w:val="20"/>
          <w:lang w:val="fr-FR"/>
        </w:rPr>
        <w:t xml:space="preserve">.  La </w:t>
      </w:r>
      <w:r w:rsidRPr="00E46CAE">
        <w:rPr>
          <w:i/>
          <w:sz w:val="20"/>
          <w:lang w:val="fr-FR"/>
        </w:rPr>
        <w:t>Loi de l’impôt sur le revenu</w:t>
      </w:r>
      <w:r w:rsidRPr="00E46CAE">
        <w:rPr>
          <w:sz w:val="20"/>
          <w:lang w:val="fr-FR"/>
        </w:rPr>
        <w:t xml:space="preserve">, le </w:t>
      </w:r>
      <w:r w:rsidRPr="00E46CAE">
        <w:rPr>
          <w:i/>
          <w:sz w:val="20"/>
          <w:lang w:val="fr-FR"/>
        </w:rPr>
        <w:t xml:space="preserve">Régime de pensions du Canada </w:t>
      </w:r>
      <w:r w:rsidRPr="00E46CAE">
        <w:rPr>
          <w:sz w:val="20"/>
          <w:lang w:val="fr-FR"/>
        </w:rPr>
        <w:t xml:space="preserve">et la </w:t>
      </w:r>
      <w:r w:rsidRPr="00E46CAE">
        <w:rPr>
          <w:i/>
          <w:sz w:val="20"/>
          <w:lang w:val="fr-FR"/>
        </w:rPr>
        <w:t>Loi sur l’</w:t>
      </w:r>
      <w:proofErr w:type="spellStart"/>
      <w:r w:rsidRPr="00E46CAE">
        <w:rPr>
          <w:i/>
          <w:sz w:val="20"/>
          <w:lang w:val="fr-FR"/>
        </w:rPr>
        <w:t>assurance</w:t>
      </w:r>
      <w:r w:rsidRPr="00E46CAE">
        <w:rPr>
          <w:i/>
          <w:sz w:val="20"/>
          <w:lang w:val="fr-FR"/>
        </w:rPr>
        <w:noBreakHyphen/>
        <w:t>emploi</w:t>
      </w:r>
      <w:proofErr w:type="spellEnd"/>
      <w:r w:rsidRPr="00E46CAE">
        <w:rPr>
          <w:sz w:val="20"/>
          <w:lang w:val="fr-FR"/>
        </w:rPr>
        <w:t xml:space="preserve"> </w:t>
      </w:r>
      <w:r w:rsidRPr="00CE4409">
        <w:rPr>
          <w:sz w:val="20"/>
          <w:lang w:val="fr-CA"/>
        </w:rPr>
        <w:t xml:space="preserve">renferment toutes des dispositions relatives aux fiducies réputées dont le libellé offre une ressemblance frappante avec celui de l’art. 222 de la </w:t>
      </w:r>
      <w:r w:rsidRPr="00CE4409">
        <w:rPr>
          <w:i/>
          <w:sz w:val="20"/>
          <w:lang w:val="fr-CA"/>
        </w:rPr>
        <w:t>LTA</w:t>
      </w:r>
      <w:r w:rsidRPr="00CE4409">
        <w:rPr>
          <w:sz w:val="20"/>
          <w:lang w:val="fr-CA"/>
        </w:rPr>
        <w:t xml:space="preserve">, mais le maintien en vigueur des fiducies réputées créées en vertu de ces dispositions est confirmé à l’art. 37 de la </w:t>
      </w:r>
      <w:r w:rsidRPr="00CE4409">
        <w:rPr>
          <w:i/>
          <w:sz w:val="20"/>
          <w:lang w:val="fr-CA"/>
        </w:rPr>
        <w:t>LACC</w:t>
      </w:r>
      <w:r w:rsidRPr="00CE4409">
        <w:rPr>
          <w:sz w:val="20"/>
          <w:lang w:val="fr-CA"/>
        </w:rPr>
        <w:t xml:space="preserve"> et au par. 67(3) de la </w:t>
      </w:r>
      <w:r w:rsidRPr="00CE4409">
        <w:rPr>
          <w:i/>
          <w:sz w:val="20"/>
          <w:lang w:val="fr-CA"/>
        </w:rPr>
        <w:t>LFI</w:t>
      </w:r>
      <w:r w:rsidRPr="00CE4409">
        <w:rPr>
          <w:sz w:val="20"/>
          <w:lang w:val="fr-CA"/>
        </w:rPr>
        <w:t xml:space="preserve"> </w:t>
      </w:r>
      <w:r w:rsidRPr="00E46CAE">
        <w:rPr>
          <w:sz w:val="20"/>
          <w:lang w:val="fr-FR"/>
        </w:rPr>
        <w:t xml:space="preserve">en termes clairs et explicites.  </w:t>
      </w:r>
      <w:r w:rsidRPr="00CE4409">
        <w:rPr>
          <w:sz w:val="20"/>
          <w:lang w:val="fr-CA"/>
        </w:rPr>
        <w:t xml:space="preserve">La situation est différente dans le cas de la fiducie réputée créée par la </w:t>
      </w:r>
      <w:r w:rsidRPr="00CE4409">
        <w:rPr>
          <w:i/>
          <w:sz w:val="20"/>
          <w:lang w:val="fr-CA"/>
        </w:rPr>
        <w:t>LTA</w:t>
      </w:r>
      <w:r w:rsidRPr="00E46CAE">
        <w:rPr>
          <w:sz w:val="20"/>
          <w:lang w:val="fr-FR"/>
        </w:rPr>
        <w:t xml:space="preserve">.  </w:t>
      </w:r>
      <w:r w:rsidRPr="00CE4409">
        <w:rPr>
          <w:sz w:val="20"/>
          <w:lang w:val="fr-CA"/>
        </w:rPr>
        <w:t xml:space="preserve">Bien que le législateur crée en faveur de la Couronne une fiducie réputée dans laquelle seront conservées les sommes recueillies au titre de la TPS mais non encore versées, et bien qu’il prétende maintenir cette fiducie en vigueur malgré les dispositions à l’effet contraire de toute loi fédérale ou provinciale, il ne </w:t>
      </w:r>
      <w:r w:rsidRPr="00CE4409">
        <w:rPr>
          <w:i/>
          <w:sz w:val="20"/>
          <w:lang w:val="fr-CA"/>
        </w:rPr>
        <w:t>confirme</w:t>
      </w:r>
      <w:r w:rsidRPr="00CE4409">
        <w:rPr>
          <w:sz w:val="20"/>
          <w:lang w:val="fr-CA"/>
        </w:rPr>
        <w:t xml:space="preserve"> pas l’existence de la fiducie dans la </w:t>
      </w:r>
      <w:r w:rsidRPr="00CE4409">
        <w:rPr>
          <w:i/>
          <w:sz w:val="20"/>
          <w:lang w:val="fr-CA"/>
        </w:rPr>
        <w:t>LFI</w:t>
      </w:r>
      <w:r w:rsidRPr="00CE4409">
        <w:rPr>
          <w:sz w:val="20"/>
          <w:lang w:val="fr-CA"/>
        </w:rPr>
        <w:t xml:space="preserve"> ou la </w:t>
      </w:r>
      <w:r w:rsidRPr="00CE4409">
        <w:rPr>
          <w:i/>
          <w:sz w:val="20"/>
          <w:lang w:val="fr-CA"/>
        </w:rPr>
        <w:t>LACC</w:t>
      </w:r>
      <w:r w:rsidRPr="00E46CAE">
        <w:rPr>
          <w:sz w:val="20"/>
          <w:lang w:val="fr-FR"/>
        </w:rPr>
        <w:t>, ce qui témoigne de son intention de laisser la fiducie réputée devenir caduque au moment de l’introduction de la procédure d’insolvabilité.</w:t>
      </w:r>
    </w:p>
    <w:p w:rsidR="00CE4409" w:rsidRPr="00E46CAE" w:rsidRDefault="00CE4409" w:rsidP="00CE4409">
      <w:pPr>
        <w:pStyle w:val="ListParagraph"/>
        <w:ind w:left="0"/>
        <w:jc w:val="both"/>
        <w:rPr>
          <w:rFonts w:cs="Times New Roman"/>
          <w:i/>
          <w:sz w:val="20"/>
          <w:szCs w:val="20"/>
          <w:lang w:val="fr-FR"/>
        </w:rPr>
      </w:pPr>
    </w:p>
    <w:p w:rsidR="00CE4409" w:rsidRPr="00E46CAE" w:rsidRDefault="00CE4409" w:rsidP="00CE4409">
      <w:pPr>
        <w:pStyle w:val="ListParagraph"/>
        <w:ind w:left="0" w:firstLine="720"/>
        <w:jc w:val="both"/>
        <w:rPr>
          <w:rFonts w:cs="Times New Roman"/>
          <w:sz w:val="20"/>
          <w:szCs w:val="20"/>
          <w:lang w:val="fr-FR"/>
        </w:rPr>
      </w:pPr>
      <w:r w:rsidRPr="00E46CAE">
        <w:rPr>
          <w:rFonts w:cs="Times New Roman"/>
          <w:i/>
          <w:sz w:val="20"/>
          <w:szCs w:val="20"/>
          <w:lang w:val="fr-FR"/>
        </w:rPr>
        <w:t>La</w:t>
      </w:r>
      <w:r w:rsidRPr="00E46CAE">
        <w:rPr>
          <w:rFonts w:cs="Times New Roman"/>
          <w:sz w:val="20"/>
          <w:szCs w:val="20"/>
          <w:lang w:val="fr-FR"/>
        </w:rPr>
        <w:t xml:space="preserve"> juge Abella (dissidente) : L</w:t>
      </w:r>
      <w:r w:rsidRPr="00E46CAE">
        <w:rPr>
          <w:rFonts w:cs="Times New Roman"/>
          <w:sz w:val="20"/>
          <w:szCs w:val="20"/>
          <w:lang w:val="fr-CA"/>
        </w:rPr>
        <w:t xml:space="preserve">e par. 222(3) de la </w:t>
      </w:r>
      <w:r w:rsidRPr="00E46CAE">
        <w:rPr>
          <w:rFonts w:cs="Times New Roman"/>
          <w:i/>
          <w:sz w:val="20"/>
          <w:szCs w:val="20"/>
          <w:lang w:val="fr-CA"/>
        </w:rPr>
        <w:t>LTA</w:t>
      </w:r>
      <w:r w:rsidRPr="00E46CAE">
        <w:rPr>
          <w:rFonts w:cs="Times New Roman"/>
          <w:sz w:val="20"/>
          <w:szCs w:val="20"/>
          <w:lang w:val="fr-CA"/>
        </w:rPr>
        <w:t xml:space="preserve"> donne préséance, dans le cadre d’une procédure relevant de la </w:t>
      </w:r>
      <w:r w:rsidRPr="00E46CAE">
        <w:rPr>
          <w:rFonts w:cs="Times New Roman"/>
          <w:i/>
          <w:sz w:val="20"/>
          <w:szCs w:val="20"/>
          <w:lang w:val="fr-CA"/>
        </w:rPr>
        <w:t>LACC</w:t>
      </w:r>
      <w:r w:rsidRPr="00E46CAE">
        <w:rPr>
          <w:rFonts w:cs="Times New Roman"/>
          <w:sz w:val="20"/>
          <w:szCs w:val="20"/>
          <w:lang w:val="fr-CA"/>
        </w:rPr>
        <w:t xml:space="preserve">, à la fiducie réputée qui est établie en faveur de la Couronne à l’égard de la TPS non versée.  Cette disposition définit sans équivoque sa portée dans des termes on ne peut plus clairs et n’exclut que la </w:t>
      </w:r>
      <w:r w:rsidRPr="00E46CAE">
        <w:rPr>
          <w:rFonts w:cs="Times New Roman"/>
          <w:i/>
          <w:sz w:val="20"/>
          <w:szCs w:val="20"/>
          <w:lang w:val="fr-CA"/>
        </w:rPr>
        <w:t>LFI</w:t>
      </w:r>
      <w:r w:rsidRPr="00E46CAE">
        <w:rPr>
          <w:rFonts w:cs="Times New Roman"/>
          <w:sz w:val="20"/>
          <w:szCs w:val="20"/>
          <w:lang w:val="fr-CA"/>
        </w:rPr>
        <w:t xml:space="preserve"> de son champ d’application.  </w:t>
      </w:r>
      <w:r w:rsidRPr="00E46CAE">
        <w:rPr>
          <w:rFonts w:cs="Times New Roman"/>
          <w:sz w:val="20"/>
          <w:szCs w:val="20"/>
          <w:lang w:val="fr-FR"/>
        </w:rPr>
        <w:t>Les termes employés révèlent l’intention claire du législateur que le par. </w:t>
      </w:r>
      <w:r w:rsidRPr="00E46CAE">
        <w:rPr>
          <w:rFonts w:cs="Times New Roman"/>
          <w:sz w:val="20"/>
          <w:szCs w:val="20"/>
          <w:lang w:val="fr-CA"/>
        </w:rPr>
        <w:t xml:space="preserve">222(3) l’emporte en cas de conflit avec toute autre loi sauf la </w:t>
      </w:r>
      <w:r w:rsidRPr="00E46CAE">
        <w:rPr>
          <w:rFonts w:cs="Times New Roman"/>
          <w:i/>
          <w:sz w:val="20"/>
          <w:szCs w:val="20"/>
          <w:lang w:val="fr-CA"/>
        </w:rPr>
        <w:t>LFI</w:t>
      </w:r>
      <w:r w:rsidRPr="00E46CAE">
        <w:rPr>
          <w:rFonts w:cs="Times New Roman"/>
          <w:sz w:val="20"/>
          <w:szCs w:val="20"/>
          <w:lang w:val="fr-CA"/>
        </w:rPr>
        <w:t xml:space="preserve">.  Cette opinion est confortée par le fait que des modifications ont été apportées à la </w:t>
      </w:r>
      <w:r w:rsidRPr="00E46CAE">
        <w:rPr>
          <w:rFonts w:cs="Times New Roman"/>
          <w:i/>
          <w:sz w:val="20"/>
          <w:szCs w:val="20"/>
          <w:lang w:val="fr-CA"/>
        </w:rPr>
        <w:t>LACC</w:t>
      </w:r>
      <w:r w:rsidRPr="00E46CAE">
        <w:rPr>
          <w:rFonts w:cs="Times New Roman"/>
          <w:sz w:val="20"/>
          <w:szCs w:val="20"/>
          <w:lang w:val="fr-CA"/>
        </w:rPr>
        <w:t xml:space="preserve"> après l’édiction du par. 222(3) et que, malgré les demandes répétées de divers groupes, le par. 18.3(1) n’a pas été modifié pour aligner l’ordre de priorité établi par la </w:t>
      </w:r>
      <w:r w:rsidRPr="00E46CAE">
        <w:rPr>
          <w:rFonts w:cs="Times New Roman"/>
          <w:i/>
          <w:sz w:val="20"/>
          <w:szCs w:val="20"/>
          <w:lang w:val="fr-CA"/>
        </w:rPr>
        <w:t>LACC</w:t>
      </w:r>
      <w:r w:rsidRPr="00E46CAE">
        <w:rPr>
          <w:rFonts w:cs="Times New Roman"/>
          <w:sz w:val="20"/>
          <w:szCs w:val="20"/>
          <w:lang w:val="fr-CA"/>
        </w:rPr>
        <w:t xml:space="preserve"> sur celui de la </w:t>
      </w:r>
      <w:r w:rsidRPr="00E46CAE">
        <w:rPr>
          <w:rFonts w:cs="Times New Roman"/>
          <w:i/>
          <w:sz w:val="20"/>
          <w:szCs w:val="20"/>
          <w:lang w:val="fr-CA"/>
        </w:rPr>
        <w:t>LFI</w:t>
      </w:r>
      <w:r w:rsidRPr="00E46CAE">
        <w:rPr>
          <w:rFonts w:cs="Times New Roman"/>
          <w:sz w:val="20"/>
          <w:szCs w:val="20"/>
          <w:lang w:val="fr-CA"/>
        </w:rPr>
        <w:t xml:space="preserve">. </w:t>
      </w:r>
      <w:r w:rsidRPr="00E46CAE">
        <w:rPr>
          <w:rFonts w:cs="Times New Roman"/>
          <w:sz w:val="20"/>
          <w:szCs w:val="20"/>
          <w:lang w:val="fr-FR"/>
        </w:rPr>
        <w:t xml:space="preserve"> Cela indique que </w:t>
      </w:r>
      <w:r w:rsidRPr="00E46CAE">
        <w:rPr>
          <w:rFonts w:cs="Times New Roman"/>
          <w:sz w:val="20"/>
          <w:szCs w:val="20"/>
          <w:lang w:val="fr-CA"/>
        </w:rPr>
        <w:t xml:space="preserve">le législateur a délibérément choisi de soustraire la fiducie réputée établie au par. 222(3) à l’application du par. 18.3(1) de la </w:t>
      </w:r>
      <w:r w:rsidRPr="00E46CAE">
        <w:rPr>
          <w:rFonts w:cs="Times New Roman"/>
          <w:i/>
          <w:sz w:val="20"/>
          <w:szCs w:val="20"/>
          <w:lang w:val="fr-CA"/>
        </w:rPr>
        <w:t>LACC</w:t>
      </w:r>
      <w:r w:rsidRPr="00E46CAE">
        <w:rPr>
          <w:rFonts w:cs="Times New Roman"/>
          <w:sz w:val="20"/>
          <w:szCs w:val="20"/>
          <w:lang w:val="fr-CA"/>
        </w:rPr>
        <w:t xml:space="preserve">. </w:t>
      </w:r>
    </w:p>
    <w:p w:rsidR="00CE4409" w:rsidRPr="00E46CAE" w:rsidRDefault="00CE4409" w:rsidP="00CE4409">
      <w:pPr>
        <w:pStyle w:val="ListParagraph"/>
        <w:tabs>
          <w:tab w:val="left" w:pos="1170"/>
        </w:tabs>
        <w:ind w:left="0"/>
        <w:jc w:val="both"/>
        <w:rPr>
          <w:rFonts w:cs="Times New Roman"/>
          <w:sz w:val="20"/>
          <w:szCs w:val="20"/>
          <w:lang w:val="fr-FR"/>
        </w:rPr>
      </w:pPr>
    </w:p>
    <w:p w:rsidR="00CE4409" w:rsidRPr="00CE4409" w:rsidRDefault="00CE4409" w:rsidP="00CE4409">
      <w:pPr>
        <w:jc w:val="both"/>
        <w:rPr>
          <w:rFonts w:cs="Times New Roman"/>
          <w:sz w:val="20"/>
          <w:szCs w:val="20"/>
          <w:lang w:val="fr-CA"/>
        </w:rPr>
      </w:pPr>
      <w:r w:rsidRPr="00E46CAE">
        <w:rPr>
          <w:rFonts w:cs="Times New Roman"/>
          <w:sz w:val="20"/>
          <w:szCs w:val="20"/>
          <w:lang w:val="fr-FR"/>
        </w:rPr>
        <w:tab/>
        <w:t>Cette conclusion est renforcée par l’application d’autres principes d’interprétation.  U</w:t>
      </w:r>
      <w:r w:rsidRPr="00CE4409">
        <w:rPr>
          <w:rFonts w:cs="Times New Roman"/>
          <w:sz w:val="20"/>
          <w:szCs w:val="20"/>
          <w:lang w:val="fr-CA"/>
        </w:rPr>
        <w:t xml:space="preserve">ne disposition spécifique antérieure peut être supplantée par une loi ultérieure de portée générale si le législateur, par les mots qu’il a employés, a exprimé l’intention de faire prévaloir la loi générale. </w:t>
      </w:r>
      <w:r w:rsidRPr="00E46CAE">
        <w:rPr>
          <w:rFonts w:cs="Times New Roman"/>
          <w:sz w:val="20"/>
          <w:szCs w:val="20"/>
          <w:lang w:val="fr-FR"/>
        </w:rPr>
        <w:t xml:space="preserve"> L</w:t>
      </w:r>
      <w:r w:rsidRPr="00CE4409">
        <w:rPr>
          <w:rFonts w:cs="Times New Roman"/>
          <w:sz w:val="20"/>
          <w:szCs w:val="20"/>
          <w:lang w:val="fr-CA"/>
        </w:rPr>
        <w:t xml:space="preserve">e paragraphe 222(3) accomplit cela de par son libellé, lequel précise que la disposition l’emporte sur </w:t>
      </w:r>
      <w:r w:rsidRPr="00CE4409">
        <w:rPr>
          <w:rFonts w:cs="Times New Roman"/>
          <w:color w:val="000000"/>
          <w:sz w:val="20"/>
          <w:szCs w:val="20"/>
          <w:lang w:val="fr-CA"/>
        </w:rPr>
        <w:t xml:space="preserve">tout autre texte législatif fédéral, tout texte législatif provincial ou « toute autre règle de droit » </w:t>
      </w:r>
      <w:r w:rsidRPr="00CE4409">
        <w:rPr>
          <w:rFonts w:cs="Times New Roman"/>
          <w:i/>
          <w:color w:val="000000"/>
          <w:sz w:val="20"/>
          <w:szCs w:val="20"/>
          <w:lang w:val="fr-CA"/>
        </w:rPr>
        <w:t>sauf la LFI</w:t>
      </w:r>
      <w:r w:rsidRPr="00CE4409">
        <w:rPr>
          <w:rFonts w:cs="Times New Roman"/>
          <w:sz w:val="20"/>
          <w:szCs w:val="20"/>
          <w:lang w:val="fr-CA"/>
        </w:rPr>
        <w:t>.</w:t>
      </w:r>
      <w:r w:rsidRPr="00E46CAE">
        <w:rPr>
          <w:rFonts w:cs="Times New Roman"/>
          <w:sz w:val="20"/>
          <w:szCs w:val="20"/>
          <w:lang w:val="fr-FR"/>
        </w:rPr>
        <w:t xml:space="preserve">  Le paragraphe 18.3(1) de la </w:t>
      </w:r>
      <w:r w:rsidRPr="00E46CAE">
        <w:rPr>
          <w:rFonts w:cs="Times New Roman"/>
          <w:i/>
          <w:sz w:val="20"/>
          <w:szCs w:val="20"/>
          <w:lang w:val="fr-FR"/>
        </w:rPr>
        <w:t>LACC</w:t>
      </w:r>
      <w:r w:rsidRPr="00E46CAE">
        <w:rPr>
          <w:rFonts w:cs="Times New Roman"/>
          <w:sz w:val="20"/>
          <w:szCs w:val="20"/>
          <w:lang w:val="fr-FR"/>
        </w:rPr>
        <w:t xml:space="preserve"> est par conséquent rendu inopérant aux fins d’application du par. 222(3).  Selon l’al. 44</w:t>
      </w:r>
      <w:r w:rsidRPr="00E46CAE">
        <w:rPr>
          <w:rFonts w:cs="Times New Roman"/>
          <w:i/>
          <w:sz w:val="20"/>
          <w:szCs w:val="20"/>
          <w:lang w:val="fr-FR"/>
        </w:rPr>
        <w:t>f</w:t>
      </w:r>
      <w:r w:rsidRPr="00E46CAE">
        <w:rPr>
          <w:rFonts w:cs="Times New Roman"/>
          <w:sz w:val="20"/>
          <w:szCs w:val="20"/>
          <w:lang w:val="fr-FR"/>
        </w:rPr>
        <w:t xml:space="preserve">) de la </w:t>
      </w:r>
      <w:r w:rsidRPr="00E46CAE">
        <w:rPr>
          <w:rFonts w:cs="Times New Roman"/>
          <w:i/>
          <w:sz w:val="20"/>
          <w:szCs w:val="20"/>
          <w:lang w:val="fr-FR"/>
        </w:rPr>
        <w:t>Loi d’interprétation</w:t>
      </w:r>
      <w:r w:rsidRPr="00E46CAE">
        <w:rPr>
          <w:rFonts w:cs="Times New Roman"/>
          <w:sz w:val="20"/>
          <w:szCs w:val="20"/>
          <w:lang w:val="fr-FR"/>
        </w:rPr>
        <w:t xml:space="preserve">, </w:t>
      </w:r>
      <w:r w:rsidRPr="00CE4409">
        <w:rPr>
          <w:rFonts w:cs="Times New Roman"/>
          <w:sz w:val="20"/>
          <w:szCs w:val="20"/>
          <w:lang w:val="fr-CA"/>
        </w:rPr>
        <w:t xml:space="preserve">le fait que le par. 18.3(1) soit devenu le par. 37(1) à la suite de l’édiction du par. 222(3) de la </w:t>
      </w:r>
      <w:r w:rsidRPr="00CE4409">
        <w:rPr>
          <w:rFonts w:cs="Times New Roman"/>
          <w:i/>
          <w:sz w:val="20"/>
          <w:szCs w:val="20"/>
          <w:lang w:val="fr-CA"/>
        </w:rPr>
        <w:t>LTA</w:t>
      </w:r>
      <w:r w:rsidRPr="00CE4409">
        <w:rPr>
          <w:rFonts w:cs="Times New Roman"/>
          <w:sz w:val="20"/>
          <w:szCs w:val="20"/>
          <w:lang w:val="fr-CA"/>
        </w:rPr>
        <w:t xml:space="preserve"> n’a aucune incidence sur l’ordre chronologique du point de vue de l’interprétation, et le par. 222(3) de la </w:t>
      </w:r>
      <w:r w:rsidRPr="00CE4409">
        <w:rPr>
          <w:rFonts w:cs="Times New Roman"/>
          <w:i/>
          <w:sz w:val="20"/>
          <w:szCs w:val="20"/>
          <w:lang w:val="fr-CA"/>
        </w:rPr>
        <w:t xml:space="preserve">LTA </w:t>
      </w:r>
      <w:r w:rsidRPr="00CE4409">
        <w:rPr>
          <w:rFonts w:cs="Times New Roman"/>
          <w:sz w:val="20"/>
          <w:szCs w:val="20"/>
          <w:lang w:val="fr-CA"/>
        </w:rPr>
        <w:t xml:space="preserve">demeure la disposition « postérieure ». </w:t>
      </w:r>
      <w:r w:rsidRPr="00E46CAE">
        <w:rPr>
          <w:rFonts w:cs="Times New Roman"/>
          <w:color w:val="000000"/>
          <w:sz w:val="20"/>
          <w:szCs w:val="20"/>
          <w:lang w:val="fr-FR"/>
        </w:rPr>
        <w:t xml:space="preserve"> </w:t>
      </w:r>
      <w:r w:rsidRPr="00CE4409">
        <w:rPr>
          <w:rFonts w:cs="Times New Roman"/>
          <w:sz w:val="20"/>
          <w:szCs w:val="20"/>
          <w:lang w:val="fr-CA"/>
        </w:rPr>
        <w:t xml:space="preserve">Il s’ensuit que la disposition créant une fiducie réputée que l’on trouve au par. 222(3) de la </w:t>
      </w:r>
      <w:r w:rsidRPr="00CE4409">
        <w:rPr>
          <w:rFonts w:cs="Times New Roman"/>
          <w:i/>
          <w:sz w:val="20"/>
          <w:szCs w:val="20"/>
          <w:lang w:val="fr-CA"/>
        </w:rPr>
        <w:t>LTA</w:t>
      </w:r>
      <w:r w:rsidRPr="00CE4409">
        <w:rPr>
          <w:rFonts w:cs="Times New Roman"/>
          <w:sz w:val="20"/>
          <w:szCs w:val="20"/>
          <w:lang w:val="fr-CA"/>
        </w:rPr>
        <w:t xml:space="preserve"> l’emporte sur le par. 18.3(1) dans le cadre d’une procédure fondée sur la </w:t>
      </w:r>
      <w:r w:rsidRPr="00CE4409">
        <w:rPr>
          <w:rFonts w:cs="Times New Roman"/>
          <w:i/>
          <w:sz w:val="20"/>
          <w:szCs w:val="20"/>
          <w:lang w:val="fr-CA"/>
        </w:rPr>
        <w:t>LACC</w:t>
      </w:r>
      <w:r w:rsidRPr="00CE4409">
        <w:rPr>
          <w:rFonts w:cs="Times New Roman"/>
          <w:sz w:val="20"/>
          <w:szCs w:val="20"/>
          <w:lang w:val="fr-CA"/>
        </w:rPr>
        <w:t xml:space="preserve">. </w:t>
      </w:r>
      <w:r w:rsidRPr="00E46CAE">
        <w:rPr>
          <w:rFonts w:cs="Times New Roman"/>
          <w:sz w:val="20"/>
          <w:szCs w:val="20"/>
          <w:lang w:val="fr-FR"/>
        </w:rPr>
        <w:t xml:space="preserve"> </w:t>
      </w:r>
      <w:r w:rsidRPr="00CE4409">
        <w:rPr>
          <w:rFonts w:cs="Times New Roman"/>
          <w:sz w:val="20"/>
          <w:szCs w:val="20"/>
          <w:lang w:val="fr-CA"/>
        </w:rPr>
        <w:t xml:space="preserve">Bien que l’art. 11 accorde au tribunal le pouvoir discrétionnaire de rendre des ordonnances malgré les dispositions de la </w:t>
      </w:r>
      <w:r w:rsidRPr="00CE4409">
        <w:rPr>
          <w:rFonts w:cs="Times New Roman"/>
          <w:i/>
          <w:sz w:val="20"/>
          <w:szCs w:val="20"/>
          <w:lang w:val="fr-CA"/>
        </w:rPr>
        <w:t xml:space="preserve">LFI </w:t>
      </w:r>
      <w:r w:rsidRPr="00CE4409">
        <w:rPr>
          <w:rFonts w:cs="Times New Roman"/>
          <w:sz w:val="20"/>
          <w:szCs w:val="20"/>
          <w:lang w:val="fr-CA"/>
        </w:rPr>
        <w:t xml:space="preserve">et de la </w:t>
      </w:r>
      <w:r w:rsidRPr="00CE4409">
        <w:rPr>
          <w:rFonts w:cs="Times New Roman"/>
          <w:i/>
          <w:color w:val="000000"/>
          <w:sz w:val="20"/>
          <w:szCs w:val="20"/>
          <w:lang w:val="fr-CA"/>
        </w:rPr>
        <w:t xml:space="preserve">Loi sur les </w:t>
      </w:r>
      <w:r w:rsidRPr="00CE4409">
        <w:rPr>
          <w:rFonts w:cs="Times New Roman"/>
          <w:i/>
          <w:sz w:val="20"/>
          <w:szCs w:val="20"/>
          <w:lang w:val="fr-CA"/>
        </w:rPr>
        <w:t>liquidations</w:t>
      </w:r>
      <w:r w:rsidRPr="00E46CAE">
        <w:rPr>
          <w:rFonts w:cs="Times New Roman"/>
          <w:sz w:val="20"/>
          <w:szCs w:val="20"/>
          <w:lang w:val="fr-FR"/>
        </w:rPr>
        <w:t>,</w:t>
      </w:r>
      <w:r w:rsidRPr="00E46CAE">
        <w:rPr>
          <w:rFonts w:cs="Times New Roman"/>
          <w:color w:val="000000"/>
          <w:sz w:val="20"/>
          <w:szCs w:val="20"/>
          <w:lang w:val="fr-FR"/>
        </w:rPr>
        <w:t xml:space="preserve"> </w:t>
      </w:r>
      <w:r w:rsidRPr="00E46CAE">
        <w:rPr>
          <w:rFonts w:cs="Times New Roman"/>
          <w:sz w:val="20"/>
          <w:szCs w:val="20"/>
          <w:lang w:val="fr-FR"/>
        </w:rPr>
        <w:t xml:space="preserve">ce pouvoir discrétionnaire demeure assujetti à l’application de toute autre loi fédérale.  </w:t>
      </w:r>
      <w:r w:rsidRPr="00CE4409">
        <w:rPr>
          <w:rFonts w:cs="Times New Roman"/>
          <w:sz w:val="20"/>
          <w:szCs w:val="20"/>
          <w:lang w:val="fr-CA"/>
        </w:rPr>
        <w:t xml:space="preserve">L’exercice de ce pouvoir discrétionnaire est donc circonscrit par les limites imposées par toute loi </w:t>
      </w:r>
      <w:r w:rsidRPr="00CE4409">
        <w:rPr>
          <w:rFonts w:cs="Times New Roman"/>
          <w:i/>
          <w:sz w:val="20"/>
          <w:szCs w:val="20"/>
          <w:lang w:val="fr-CA"/>
        </w:rPr>
        <w:t>autre</w:t>
      </w:r>
      <w:r w:rsidRPr="00CE4409">
        <w:rPr>
          <w:rFonts w:cs="Times New Roman"/>
          <w:sz w:val="20"/>
          <w:szCs w:val="20"/>
          <w:lang w:val="fr-CA"/>
        </w:rPr>
        <w:t xml:space="preserve"> que la </w:t>
      </w:r>
      <w:r w:rsidRPr="00CE4409">
        <w:rPr>
          <w:rFonts w:cs="Times New Roman"/>
          <w:i/>
          <w:sz w:val="20"/>
          <w:szCs w:val="20"/>
          <w:lang w:val="fr-CA"/>
        </w:rPr>
        <w:t xml:space="preserve">LFI </w:t>
      </w:r>
      <w:r w:rsidRPr="00CE4409">
        <w:rPr>
          <w:rFonts w:cs="Times New Roman"/>
          <w:sz w:val="20"/>
          <w:szCs w:val="20"/>
          <w:lang w:val="fr-CA"/>
        </w:rPr>
        <w:t xml:space="preserve">et la </w:t>
      </w:r>
      <w:r w:rsidRPr="00CE4409">
        <w:rPr>
          <w:rFonts w:cs="Times New Roman"/>
          <w:i/>
          <w:color w:val="000000"/>
          <w:sz w:val="20"/>
          <w:szCs w:val="20"/>
          <w:lang w:val="fr-CA"/>
        </w:rPr>
        <w:t>Loi sur les liquidations</w:t>
      </w:r>
      <w:r w:rsidRPr="00CE4409">
        <w:rPr>
          <w:rFonts w:cs="Times New Roman"/>
          <w:color w:val="000000"/>
          <w:sz w:val="20"/>
          <w:szCs w:val="20"/>
          <w:lang w:val="fr-CA"/>
        </w:rPr>
        <w:t xml:space="preserve">, et donc par la </w:t>
      </w:r>
      <w:r w:rsidRPr="00CE4409">
        <w:rPr>
          <w:rFonts w:cs="Times New Roman"/>
          <w:i/>
          <w:sz w:val="20"/>
          <w:szCs w:val="20"/>
          <w:lang w:val="fr-CA"/>
        </w:rPr>
        <w:t>LTA</w:t>
      </w:r>
      <w:r w:rsidRPr="00CE4409">
        <w:rPr>
          <w:rFonts w:cs="Times New Roman"/>
          <w:sz w:val="20"/>
          <w:szCs w:val="20"/>
          <w:lang w:val="fr-CA"/>
        </w:rPr>
        <w:t>.</w:t>
      </w:r>
      <w:r w:rsidRPr="00E46CAE">
        <w:rPr>
          <w:rFonts w:cs="Times New Roman"/>
          <w:sz w:val="20"/>
          <w:szCs w:val="20"/>
          <w:lang w:val="fr-FR"/>
        </w:rPr>
        <w:t xml:space="preserve">  </w:t>
      </w:r>
      <w:r w:rsidRPr="00CE4409">
        <w:rPr>
          <w:rFonts w:cs="Times New Roman"/>
          <w:sz w:val="20"/>
          <w:szCs w:val="20"/>
          <w:lang w:val="fr-CA"/>
        </w:rPr>
        <w:t xml:space="preserve">En l’espèce, le juge siégeant en son cabinet était donc tenu de respecter le régime de priorités établi au par. 222(3) de la </w:t>
      </w:r>
      <w:r w:rsidRPr="00CE4409">
        <w:rPr>
          <w:rFonts w:cs="Times New Roman"/>
          <w:i/>
          <w:sz w:val="20"/>
          <w:szCs w:val="20"/>
          <w:lang w:val="fr-CA"/>
        </w:rPr>
        <w:t>LTA</w:t>
      </w:r>
      <w:r w:rsidRPr="00CE4409">
        <w:rPr>
          <w:rFonts w:cs="Times New Roman"/>
          <w:sz w:val="20"/>
          <w:szCs w:val="20"/>
          <w:lang w:val="fr-CA"/>
        </w:rPr>
        <w:t xml:space="preserve">.  Ni le par. 18.3(1), ni l’art. 11 de la </w:t>
      </w:r>
      <w:r w:rsidRPr="00CE4409">
        <w:rPr>
          <w:rFonts w:cs="Times New Roman"/>
          <w:i/>
          <w:sz w:val="20"/>
          <w:szCs w:val="20"/>
          <w:lang w:val="fr-CA"/>
        </w:rPr>
        <w:t>LACC</w:t>
      </w:r>
      <w:r w:rsidRPr="00CE4409">
        <w:rPr>
          <w:rFonts w:cs="Times New Roman"/>
          <w:sz w:val="20"/>
          <w:szCs w:val="20"/>
          <w:lang w:val="fr-CA"/>
        </w:rPr>
        <w:t xml:space="preserve"> ne l’autorisaient à en faire abstraction.  Par conséquent, il ne pouvait pas refuser la demande présentée par la Couronne en vue de se faire payer la TPS dans le cadre de la procédure introduite en vertu de la </w:t>
      </w:r>
      <w:r w:rsidRPr="00CE4409">
        <w:rPr>
          <w:rFonts w:cs="Times New Roman"/>
          <w:i/>
          <w:sz w:val="20"/>
          <w:szCs w:val="20"/>
          <w:lang w:val="fr-CA"/>
        </w:rPr>
        <w:t>LACC</w:t>
      </w:r>
      <w:r w:rsidRPr="00CE4409">
        <w:rPr>
          <w:rFonts w:cs="Times New Roman"/>
          <w:sz w:val="20"/>
          <w:szCs w:val="20"/>
          <w:lang w:val="fr-CA"/>
        </w:rPr>
        <w:t>.</w:t>
      </w:r>
    </w:p>
    <w:p w:rsidR="005C6840" w:rsidRDefault="005C6840" w:rsidP="005C6840">
      <w:pPr>
        <w:rPr>
          <w:rFonts w:cs="Times New Roman"/>
          <w:sz w:val="20"/>
          <w:szCs w:val="20"/>
          <w:lang w:val="fr-CA"/>
        </w:rPr>
      </w:pPr>
    </w:p>
    <w:p w:rsidR="00CE4409" w:rsidRPr="00CE4409" w:rsidRDefault="00CE4409" w:rsidP="00CE4409">
      <w:pPr>
        <w:pStyle w:val="SCCNormalDoubleSpacing"/>
        <w:spacing w:line="240" w:lineRule="auto"/>
        <w:rPr>
          <w:sz w:val="20"/>
          <w:lang w:val="fr-CA"/>
        </w:rPr>
      </w:pPr>
      <w:r w:rsidRPr="004F6FAD">
        <w:rPr>
          <w:sz w:val="20"/>
          <w:lang w:val="fr-CA"/>
        </w:rPr>
        <w:tab/>
      </w:r>
      <w:r w:rsidRPr="00E46CAE">
        <w:rPr>
          <w:sz w:val="20"/>
          <w:lang w:val="fr-FR"/>
        </w:rPr>
        <w:t xml:space="preserve">POURVOI contre un arrêt de la Cour d’appel de la </w:t>
      </w:r>
      <w:proofErr w:type="spellStart"/>
      <w:r w:rsidRPr="00E46CAE">
        <w:rPr>
          <w:sz w:val="20"/>
          <w:lang w:val="fr-FR"/>
        </w:rPr>
        <w:t>Colombie</w:t>
      </w:r>
      <w:r w:rsidRPr="00E46CAE">
        <w:rPr>
          <w:sz w:val="20"/>
          <w:lang w:val="fr-FR"/>
        </w:rPr>
        <w:noBreakHyphen/>
        <w:t>Britannique</w:t>
      </w:r>
      <w:proofErr w:type="spellEnd"/>
      <w:r w:rsidRPr="00E46CAE">
        <w:rPr>
          <w:sz w:val="20"/>
          <w:lang w:val="fr-FR"/>
        </w:rPr>
        <w:t xml:space="preserve"> (les juges Newbury, </w:t>
      </w:r>
      <w:proofErr w:type="spellStart"/>
      <w:r w:rsidRPr="00E46CAE">
        <w:rPr>
          <w:sz w:val="20"/>
          <w:lang w:val="fr-FR"/>
        </w:rPr>
        <w:t>Tysoe</w:t>
      </w:r>
      <w:proofErr w:type="spellEnd"/>
      <w:r w:rsidRPr="00E46CAE">
        <w:rPr>
          <w:sz w:val="20"/>
          <w:lang w:val="fr-FR"/>
        </w:rPr>
        <w:t xml:space="preserve"> et Smith), 2009 BCCA 205, 98 B.C.L.R. (4th) 242, 270 B.C.A.C. 167, 454 W.A.C. 167, [2009] 12 W.W.R. 684, [2009] G.S.T.C. 79, [2009] B.C.J. No. 918 (QL), 2009 </w:t>
      </w:r>
      <w:proofErr w:type="spellStart"/>
      <w:r w:rsidRPr="00E46CAE">
        <w:rPr>
          <w:sz w:val="20"/>
          <w:lang w:val="fr-FR"/>
        </w:rPr>
        <w:t>CarswellBC</w:t>
      </w:r>
      <w:proofErr w:type="spellEnd"/>
      <w:r w:rsidRPr="00E46CAE">
        <w:rPr>
          <w:sz w:val="20"/>
          <w:lang w:val="fr-FR"/>
        </w:rPr>
        <w:t xml:space="preserve"> 1195, infirmant une décision du juge en chef Brenner, 2008 BCSC 1805, [2008] G.S.T.C. 221, [2008] B.C.J. No. 2611 (QL), 2008 </w:t>
      </w:r>
      <w:proofErr w:type="spellStart"/>
      <w:r w:rsidRPr="00E46CAE">
        <w:rPr>
          <w:sz w:val="20"/>
          <w:lang w:val="fr-FR"/>
        </w:rPr>
        <w:t>CarswellBC</w:t>
      </w:r>
      <w:proofErr w:type="spellEnd"/>
      <w:r w:rsidRPr="00E46CAE">
        <w:rPr>
          <w:sz w:val="20"/>
          <w:lang w:val="fr-FR"/>
        </w:rPr>
        <w:t xml:space="preserve"> 2895, qui a rejeté la demande de la Couronne sollicitant le paiement de la TPS.  </w:t>
      </w:r>
      <w:r w:rsidRPr="00CE4409">
        <w:rPr>
          <w:sz w:val="20"/>
          <w:lang w:val="fr-CA"/>
        </w:rPr>
        <w:t>Pourvoi accueilli, la juge Abella est dissidente.</w:t>
      </w:r>
    </w:p>
    <w:p w:rsidR="00CE4409" w:rsidRPr="00CE4409" w:rsidRDefault="00CE4409" w:rsidP="00CE4409">
      <w:pPr>
        <w:pStyle w:val="SCCNormalDoubleSpacing"/>
        <w:spacing w:line="240" w:lineRule="auto"/>
        <w:rPr>
          <w:sz w:val="20"/>
          <w:lang w:val="fr-CA"/>
        </w:rPr>
      </w:pPr>
    </w:p>
    <w:p w:rsidR="00CE4409" w:rsidRPr="00CE4409" w:rsidRDefault="00CE4409" w:rsidP="00CE4409">
      <w:pPr>
        <w:pStyle w:val="SCCNormalDoubleSpacing"/>
        <w:spacing w:line="240" w:lineRule="auto"/>
        <w:rPr>
          <w:sz w:val="20"/>
          <w:lang w:val="fr-CA"/>
        </w:rPr>
      </w:pPr>
      <w:r w:rsidRPr="00CE4409">
        <w:rPr>
          <w:rStyle w:val="SCCCounselNameChar"/>
          <w:sz w:val="20"/>
          <w:lang w:val="fr-CA"/>
        </w:rPr>
        <w:tab/>
        <w:t xml:space="preserve">Mary I. A. </w:t>
      </w:r>
      <w:proofErr w:type="spellStart"/>
      <w:r w:rsidRPr="00CE4409">
        <w:rPr>
          <w:rStyle w:val="SCCCounselNameChar"/>
          <w:sz w:val="20"/>
          <w:lang w:val="fr-CA"/>
        </w:rPr>
        <w:t>Buttery</w:t>
      </w:r>
      <w:proofErr w:type="spellEnd"/>
      <w:r w:rsidRPr="00E46CAE">
        <w:rPr>
          <w:rStyle w:val="SCCCounselSeparatorChar"/>
          <w:sz w:val="20"/>
        </w:rPr>
        <w:t xml:space="preserve">, </w:t>
      </w:r>
      <w:r w:rsidRPr="00CE4409">
        <w:rPr>
          <w:rStyle w:val="SCCCounselNameChar"/>
          <w:sz w:val="20"/>
          <w:lang w:val="fr-CA"/>
        </w:rPr>
        <w:t>Owen J. James</w:t>
      </w:r>
      <w:r w:rsidRPr="00E46CAE">
        <w:rPr>
          <w:rStyle w:val="SCCCounselSeparatorChar"/>
          <w:sz w:val="20"/>
        </w:rPr>
        <w:t xml:space="preserve"> et </w:t>
      </w:r>
      <w:r w:rsidRPr="00CE4409">
        <w:rPr>
          <w:rStyle w:val="SCCCounselNameChar"/>
          <w:sz w:val="20"/>
          <w:lang w:val="fr-CA"/>
        </w:rPr>
        <w:t>Matthew J. G. Curtis</w:t>
      </w:r>
      <w:r w:rsidRPr="00CE4409">
        <w:rPr>
          <w:rStyle w:val="SCCCounselPartyRoleChar"/>
          <w:sz w:val="20"/>
          <w:lang w:val="fr-CA"/>
        </w:rPr>
        <w:t>, pour l’appelante.</w:t>
      </w:r>
    </w:p>
    <w:p w:rsidR="00CE4409" w:rsidRPr="00CE4409" w:rsidRDefault="00CE4409" w:rsidP="00CE4409">
      <w:pPr>
        <w:pStyle w:val="SCCNormalDoubleSpacing"/>
        <w:spacing w:line="240" w:lineRule="auto"/>
        <w:rPr>
          <w:sz w:val="20"/>
          <w:lang w:val="fr-CA"/>
        </w:rPr>
      </w:pPr>
    </w:p>
    <w:p w:rsidR="00CE4409" w:rsidRPr="00CE4409" w:rsidRDefault="00CE4409" w:rsidP="00CE4409">
      <w:pPr>
        <w:pStyle w:val="SCCNormalDoubleSpacing"/>
        <w:spacing w:line="240" w:lineRule="auto"/>
        <w:rPr>
          <w:sz w:val="20"/>
          <w:lang w:val="fr-CA"/>
        </w:rPr>
      </w:pPr>
      <w:r w:rsidRPr="00CE4409">
        <w:rPr>
          <w:rStyle w:val="SCCCounselNameChar"/>
          <w:sz w:val="20"/>
          <w:lang w:val="fr-CA"/>
        </w:rPr>
        <w:tab/>
        <w:t xml:space="preserve">Gordon </w:t>
      </w:r>
      <w:proofErr w:type="spellStart"/>
      <w:r w:rsidRPr="00CE4409">
        <w:rPr>
          <w:rStyle w:val="SCCCounselNameChar"/>
          <w:sz w:val="20"/>
          <w:lang w:val="fr-CA"/>
        </w:rPr>
        <w:t>Bourgard</w:t>
      </w:r>
      <w:proofErr w:type="spellEnd"/>
      <w:r w:rsidRPr="00CE4409">
        <w:rPr>
          <w:rStyle w:val="SCCCounselNameChar"/>
          <w:sz w:val="20"/>
          <w:lang w:val="fr-CA"/>
        </w:rPr>
        <w:t xml:space="preserve">, David </w:t>
      </w:r>
      <w:proofErr w:type="spellStart"/>
      <w:r w:rsidRPr="00CE4409">
        <w:rPr>
          <w:rStyle w:val="SCCCounselNameChar"/>
          <w:sz w:val="20"/>
          <w:lang w:val="fr-CA"/>
        </w:rPr>
        <w:t>Jacyk</w:t>
      </w:r>
      <w:proofErr w:type="spellEnd"/>
      <w:r w:rsidRPr="00E46CAE">
        <w:rPr>
          <w:rStyle w:val="SCCCounselSeparatorChar"/>
          <w:sz w:val="20"/>
        </w:rPr>
        <w:t xml:space="preserve"> et </w:t>
      </w:r>
      <w:r w:rsidRPr="00E46CAE">
        <w:rPr>
          <w:rStyle w:val="SCCCounselSeparatorChar"/>
          <w:i/>
          <w:sz w:val="20"/>
        </w:rPr>
        <w:t xml:space="preserve">Michael J. </w:t>
      </w:r>
      <w:proofErr w:type="spellStart"/>
      <w:r w:rsidRPr="00E46CAE">
        <w:rPr>
          <w:rStyle w:val="SCCCounselSeparatorChar"/>
          <w:i/>
          <w:sz w:val="20"/>
        </w:rPr>
        <w:t>Lema</w:t>
      </w:r>
      <w:proofErr w:type="spellEnd"/>
      <w:r w:rsidRPr="00CE4409">
        <w:rPr>
          <w:rStyle w:val="SCCCounselPartyRoleChar"/>
          <w:sz w:val="20"/>
          <w:lang w:val="fr-CA"/>
        </w:rPr>
        <w:t>, pour l’intimé.</w:t>
      </w:r>
    </w:p>
    <w:p w:rsidR="00CE4409" w:rsidRPr="00CE4409" w:rsidRDefault="00CE4409" w:rsidP="00CE4409">
      <w:pPr>
        <w:rPr>
          <w:rFonts w:cs="Times New Roman"/>
          <w:sz w:val="20"/>
          <w:szCs w:val="20"/>
          <w:lang w:val="fr-CA"/>
        </w:rPr>
      </w:pPr>
    </w:p>
    <w:p w:rsidR="00CE4409" w:rsidRPr="00CE4409" w:rsidRDefault="00CE4409" w:rsidP="00CE4409">
      <w:pPr>
        <w:pStyle w:val="SCCLawFirm"/>
        <w:spacing w:line="240" w:lineRule="auto"/>
        <w:rPr>
          <w:sz w:val="20"/>
          <w:lang w:val="fr-CA"/>
        </w:rPr>
      </w:pPr>
      <w:r w:rsidRPr="00CE4409">
        <w:rPr>
          <w:sz w:val="20"/>
          <w:lang w:val="fr-CA"/>
        </w:rPr>
        <w:lastRenderedPageBreak/>
        <w:tab/>
        <w:t xml:space="preserve">Procureurs de l’appelante : Fraser Milner </w:t>
      </w:r>
      <w:proofErr w:type="spellStart"/>
      <w:r w:rsidRPr="00CE4409">
        <w:rPr>
          <w:sz w:val="20"/>
          <w:lang w:val="fr-CA"/>
        </w:rPr>
        <w:t>Casgrain</w:t>
      </w:r>
      <w:proofErr w:type="spellEnd"/>
      <w:r w:rsidRPr="00CE4409">
        <w:rPr>
          <w:sz w:val="20"/>
          <w:lang w:val="fr-CA"/>
        </w:rPr>
        <w:t>, Vancouver.</w:t>
      </w:r>
    </w:p>
    <w:p w:rsidR="00CE4409" w:rsidRPr="00CE4409" w:rsidRDefault="00CE4409" w:rsidP="00CE4409">
      <w:pPr>
        <w:pStyle w:val="SCCLawFirm"/>
        <w:spacing w:line="240" w:lineRule="auto"/>
        <w:rPr>
          <w:sz w:val="20"/>
          <w:lang w:val="fr-CA"/>
        </w:rPr>
      </w:pPr>
    </w:p>
    <w:p w:rsidR="00CE4409" w:rsidRPr="00CE4409" w:rsidRDefault="00CE4409" w:rsidP="00CE4409">
      <w:pPr>
        <w:rPr>
          <w:rFonts w:cs="Times New Roman"/>
          <w:i/>
          <w:sz w:val="20"/>
          <w:szCs w:val="20"/>
          <w:lang w:val="fr-CA"/>
        </w:rPr>
      </w:pPr>
      <w:r w:rsidRPr="00CE4409">
        <w:rPr>
          <w:rFonts w:cs="Times New Roman"/>
          <w:i/>
          <w:sz w:val="20"/>
          <w:szCs w:val="20"/>
          <w:lang w:val="fr-CA"/>
        </w:rPr>
        <w:tab/>
        <w:t>Procureur de l’intimé : Ministère de la Justice, Ottawa.</w:t>
      </w:r>
    </w:p>
    <w:p w:rsidR="00CE4409" w:rsidRDefault="00CE4409" w:rsidP="00CE4409">
      <w:pPr>
        <w:rPr>
          <w:rFonts w:cs="Times New Roman"/>
          <w:sz w:val="20"/>
          <w:szCs w:val="20"/>
          <w:lang w:val="fr-CA"/>
        </w:rPr>
      </w:pPr>
    </w:p>
    <w:p w:rsidR="003B3977" w:rsidRDefault="006D705A" w:rsidP="00CE4409">
      <w:pPr>
        <w:rPr>
          <w:sz w:val="20"/>
          <w:szCs w:val="20"/>
        </w:rPr>
      </w:pPr>
      <w:r w:rsidRPr="006D705A">
        <w:rPr>
          <w:rFonts w:cs="Times New Roman"/>
          <w:sz w:val="20"/>
          <w:szCs w:val="20"/>
          <w:lang w:val="fr-CA"/>
        </w:rPr>
        <w:pict>
          <v:rect id="_x0000_i1068"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924065" w:rsidRPr="00DE5525" w:rsidRDefault="006D705A"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D9" w:rsidRDefault="009104D9" w:rsidP="00A87207">
      <w:r>
        <w:separator/>
      </w:r>
    </w:p>
  </w:endnote>
  <w:endnote w:type="continuationSeparator" w:id="0">
    <w:p w:rsidR="009104D9" w:rsidRDefault="009104D9"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pPr>
      <w:pStyle w:val="Footer"/>
      <w:rPr>
        <w:lang w:val="fr-CA"/>
      </w:rPr>
    </w:pPr>
    <w:r w:rsidRPr="006D705A">
      <w:rPr>
        <w:lang w:val="fr-CA"/>
      </w:rPr>
      <w:pict>
        <v:rect id="_x0000_i1048" style="width:480.95pt;height:1pt" o:hralign="center" o:hrstd="t" o:hrnoshade="t" o:hr="t" fillcolor="black [3213]" stroked="f"/>
      </w:pict>
    </w:r>
  </w:p>
  <w:p w:rsidR="009104D9" w:rsidRDefault="009104D9" w:rsidP="00245129">
    <w:pPr>
      <w:tabs>
        <w:tab w:val="center" w:pos="4680"/>
      </w:tabs>
    </w:pPr>
    <w:r>
      <w:tab/>
    </w:r>
    <w:r w:rsidRPr="0009648D">
      <w:t xml:space="preserve">- </w:t>
    </w:r>
    <w:fldSimple w:instr=" PAGE   \* MERGEFORMAT ">
      <w:r w:rsidR="00075333">
        <w:rPr>
          <w:noProof/>
        </w:rPr>
        <w:t>1648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04D9" w:rsidRDefault="009104D9">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755F22">
    <w:pPr>
      <w:tabs>
        <w:tab w:val="left" w:pos="-1440"/>
        <w:tab w:val="left" w:pos="-720"/>
      </w:tabs>
    </w:pPr>
    <w:r>
      <w:pict>
        <v:rect id="_x0000_i1052" style="width:480.95pt;height:1pt" o:hralign="center" o:hrstd="t" o:hrnoshade="t" o:hr="t" fillcolor="black [3213]" stroked="f"/>
      </w:pict>
    </w:r>
  </w:p>
  <w:p w:rsidR="009104D9" w:rsidRDefault="009104D9" w:rsidP="00EB2B90">
    <w:pPr>
      <w:tabs>
        <w:tab w:val="center" w:pos="4680"/>
      </w:tabs>
    </w:pPr>
    <w:r>
      <w:tab/>
      <w:t xml:space="preserve">- </w:t>
    </w:r>
    <w:fldSimple w:instr=" PAGE   \* MERGEFORMAT ">
      <w:r>
        <w:rPr>
          <w:noProof/>
        </w:rPr>
        <w:t>1658</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EB2B90">
    <w:pPr>
      <w:tabs>
        <w:tab w:val="center" w:pos="4680"/>
      </w:tabs>
    </w:pPr>
    <w:r>
      <w:pict>
        <v:rect id="_x0000_i1053" style="width:480.95pt;height:1pt" o:hralign="center" o:hrstd="t" o:hrnoshade="t" o:hr="t" fillcolor="black [3213]" stroked="f"/>
      </w:pict>
    </w:r>
  </w:p>
  <w:p w:rsidR="009104D9" w:rsidRPr="0031432F" w:rsidRDefault="009104D9" w:rsidP="00EB2B90">
    <w:pPr>
      <w:tabs>
        <w:tab w:val="center" w:pos="4680"/>
      </w:tabs>
    </w:pPr>
    <w:r>
      <w:tab/>
      <w:t xml:space="preserve">- </w:t>
    </w:r>
    <w:fldSimple w:instr=" PAGE   \* MERGEFORMAT ">
      <w:r w:rsidR="00075333">
        <w:rPr>
          <w:noProof/>
        </w:rPr>
        <w:t>1657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04D9" w:rsidRDefault="00910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04D9" w:rsidRDefault="009104D9">
    <w:pPr>
      <w:widowControl w:val="0"/>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D705A">
      <w:rPr>
        <w:lang w:val="fr-CA"/>
      </w:rPr>
      <w:pict>
        <v:rect id="_x0000_i1055" style="width:480.95pt;height:1pt" o:hralign="center" o:hrstd="t" o:hrnoshade="t" o:hr="t" fillcolor="black [3213]" stroked="f"/>
      </w:pict>
    </w:r>
  </w:p>
  <w:p w:rsidR="009104D9" w:rsidRDefault="009104D9" w:rsidP="00697C62">
    <w:pPr>
      <w:tabs>
        <w:tab w:val="center" w:pos="4680"/>
      </w:tabs>
    </w:pPr>
    <w:r>
      <w:tab/>
      <w:t xml:space="preserve">- </w:t>
    </w:r>
    <w:r w:rsidR="006D705A" w:rsidRPr="00B74FED">
      <w:rPr>
        <w:szCs w:val="24"/>
      </w:rPr>
      <w:fldChar w:fldCharType="begin"/>
    </w:r>
    <w:r w:rsidRPr="00B74FED">
      <w:rPr>
        <w:szCs w:val="24"/>
      </w:rPr>
      <w:instrText xml:space="preserve"> PAGE   \* MERGEFORMAT </w:instrText>
    </w:r>
    <w:r w:rsidR="006D705A" w:rsidRPr="00B74FED">
      <w:rPr>
        <w:szCs w:val="24"/>
      </w:rPr>
      <w:fldChar w:fldCharType="separate"/>
    </w:r>
    <w:r>
      <w:rPr>
        <w:noProof/>
        <w:szCs w:val="24"/>
      </w:rPr>
      <w:t>1670</w:t>
    </w:r>
    <w:r w:rsidR="006D705A" w:rsidRPr="00B74FED">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802863">
    <w:pPr>
      <w:widowControl w:val="0"/>
      <w:tabs>
        <w:tab w:val="left" w:pos="-1440"/>
        <w:tab w:val="left" w:pos="-720"/>
      </w:tabs>
    </w:pPr>
    <w:r w:rsidRPr="006D705A">
      <w:rPr>
        <w:lang w:val="fr-CA"/>
      </w:rPr>
      <w:pict>
        <v:rect id="_x0000_i1056" style="width:480.95pt;height:1pt" o:hralign="center" o:hrstd="t" o:hrnoshade="t" o:hr="t" fillcolor="black [3213]" stroked="f"/>
      </w:pict>
    </w:r>
  </w:p>
  <w:p w:rsidR="009104D9" w:rsidRPr="00180897" w:rsidRDefault="009104D9" w:rsidP="00697C62">
    <w:pPr>
      <w:tabs>
        <w:tab w:val="center" w:pos="4680"/>
      </w:tabs>
    </w:pPr>
    <w:r>
      <w:tab/>
      <w:t xml:space="preserve">- </w:t>
    </w:r>
    <w:r w:rsidR="006D705A" w:rsidRPr="00B74FED">
      <w:rPr>
        <w:szCs w:val="24"/>
      </w:rPr>
      <w:fldChar w:fldCharType="begin"/>
    </w:r>
    <w:r w:rsidRPr="00B74FED">
      <w:rPr>
        <w:szCs w:val="24"/>
      </w:rPr>
      <w:instrText xml:space="preserve"> PAGE   \* MERGEFORMAT </w:instrText>
    </w:r>
    <w:r w:rsidR="006D705A" w:rsidRPr="00B74FED">
      <w:rPr>
        <w:szCs w:val="24"/>
      </w:rPr>
      <w:fldChar w:fldCharType="separate"/>
    </w:r>
    <w:r w:rsidR="00075333">
      <w:rPr>
        <w:noProof/>
        <w:szCs w:val="24"/>
      </w:rPr>
      <w:t>1658</w:t>
    </w:r>
    <w:r w:rsidR="006D705A" w:rsidRPr="00B74FED">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04D9" w:rsidRDefault="009104D9">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732DB7">
    <w:r>
      <w:pict>
        <v:rect id="_x0000_i1062" style="width:480.95pt;height:1pt" o:hralign="center" o:hrstd="t" o:hrnoshade="t" o:hr="t" fillcolor="black" stroked="f"/>
      </w:pict>
    </w:r>
  </w:p>
  <w:p w:rsidR="009104D9" w:rsidRDefault="009104D9">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pPr>
      <w:pStyle w:val="Footer"/>
    </w:pPr>
    <w:r>
      <w:pict>
        <v:rect id="_x0000_i1063" style="width:480.95pt;height:1pt" o:hralign="center" o:hrstd="t" o:hrnoshade="t" o:hr="t" fillcolor="black" stroked="f"/>
      </w:pict>
    </w:r>
  </w:p>
  <w:p w:rsidR="009104D9" w:rsidRPr="00283C52" w:rsidRDefault="009104D9">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04D9" w:rsidRDefault="009104D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732DB7">
    <w:r>
      <w:pict>
        <v:rect id="_x0000_i1065" style="width:480.95pt;height:1pt" o:hralign="center" o:hrstd="t" o:hrnoshade="t" o:hr="t" fillcolor="black" stroked="f"/>
      </w:pict>
    </w:r>
  </w:p>
  <w:p w:rsidR="009104D9" w:rsidRDefault="009104D9">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pPr>
      <w:pStyle w:val="Footer"/>
    </w:pPr>
    <w:r>
      <w:pict>
        <v:rect id="_x0000_i1066" style="width:480.95pt;height:1pt" o:hralign="center" o:hrstd="t" o:hrnoshade="t" o:hr="t" fillcolor="black [3213]" stroked="f"/>
      </w:pict>
    </w:r>
  </w:p>
  <w:p w:rsidR="009104D9" w:rsidRPr="003C2C0F" w:rsidRDefault="009104D9" w:rsidP="00697C62">
    <w:pPr>
      <w:tabs>
        <w:tab w:val="center" w:pos="4680"/>
      </w:tabs>
    </w:pPr>
    <w:r>
      <w:tab/>
      <w:t xml:space="preserve">- </w:t>
    </w:r>
    <w:fldSimple w:instr=" PAGE   \* MERGEFORMAT ">
      <w:r w:rsidR="00075333">
        <w:rPr>
          <w:noProof/>
        </w:rPr>
        <w:t>1664</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04D9" w:rsidRDefault="009104D9">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04D9" w:rsidRDefault="006D70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9104D9" w:rsidRDefault="009104D9" w:rsidP="00782AE4">
    <w:pPr>
      <w:tabs>
        <w:tab w:val="center" w:pos="4680"/>
      </w:tabs>
    </w:pPr>
    <w:r>
      <w:tab/>
      <w:t xml:space="preserve">- </w:t>
    </w:r>
    <w:r w:rsidR="006D705A" w:rsidRPr="001775C1">
      <w:rPr>
        <w:szCs w:val="24"/>
      </w:rPr>
      <w:fldChar w:fldCharType="begin"/>
    </w:r>
    <w:r w:rsidRPr="001775C1">
      <w:rPr>
        <w:szCs w:val="24"/>
      </w:rPr>
      <w:instrText xml:space="preserve"> PAGE   \* MERGEFORMAT </w:instrText>
    </w:r>
    <w:r w:rsidR="006D705A" w:rsidRPr="001775C1">
      <w:rPr>
        <w:szCs w:val="24"/>
      </w:rPr>
      <w:fldChar w:fldCharType="separate"/>
    </w:r>
    <w:r w:rsidR="00075333">
      <w:rPr>
        <w:noProof/>
        <w:szCs w:val="24"/>
      </w:rPr>
      <w:t>1671</w:t>
    </w:r>
    <w:r w:rsidR="006D705A"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782AE4">
    <w:pPr>
      <w:tabs>
        <w:tab w:val="center" w:pos="4680"/>
      </w:tabs>
    </w:pPr>
    <w:r>
      <w:pict>
        <v:rect id="_x0000_i1070" style="width:480.95pt;height:1pt" o:hralign="center" o:hrstd="t" o:hrnoshade="t" o:hr="t" fillcolor="black [3213]" stroked="f"/>
      </w:pict>
    </w:r>
  </w:p>
  <w:p w:rsidR="009104D9" w:rsidRDefault="009104D9" w:rsidP="00782AE4">
    <w:pPr>
      <w:tabs>
        <w:tab w:val="center" w:pos="4680"/>
      </w:tabs>
    </w:pPr>
    <w:r>
      <w:tab/>
      <w:t xml:space="preserve">- </w:t>
    </w:r>
    <w:r w:rsidR="006D705A" w:rsidRPr="001775C1">
      <w:rPr>
        <w:szCs w:val="24"/>
      </w:rPr>
      <w:fldChar w:fldCharType="begin"/>
    </w:r>
    <w:r w:rsidRPr="001775C1">
      <w:rPr>
        <w:szCs w:val="24"/>
      </w:rPr>
      <w:instrText xml:space="preserve"> PAGE   \* MERGEFORMAT </w:instrText>
    </w:r>
    <w:r w:rsidR="006D705A" w:rsidRPr="001775C1">
      <w:rPr>
        <w:szCs w:val="24"/>
      </w:rPr>
      <w:fldChar w:fldCharType="separate"/>
    </w:r>
    <w:r w:rsidR="00075333">
      <w:rPr>
        <w:noProof/>
        <w:szCs w:val="24"/>
      </w:rPr>
      <w:t>1665</w:t>
    </w:r>
    <w:r w:rsidR="006D705A"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Pr="00924065" w:rsidRDefault="009104D9"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A87207">
    <w:pPr>
      <w:pStyle w:val="Footer"/>
    </w:pPr>
    <w:r>
      <w:pict>
        <v:rect id="_x0000_i1032" style="width:480.95pt;height:1pt" o:hralign="center" o:hrstd="t" o:hrnoshade="t" o:hr="t" fillcolor="black [3213]" stroked="f"/>
      </w:pict>
    </w:r>
  </w:p>
  <w:p w:rsidR="009104D9" w:rsidRPr="00B7374B" w:rsidRDefault="009104D9" w:rsidP="00B7374B">
    <w:pPr>
      <w:tabs>
        <w:tab w:val="center" w:pos="4680"/>
      </w:tabs>
      <w:rPr>
        <w:szCs w:val="24"/>
      </w:rPr>
    </w:pPr>
    <w:r w:rsidRPr="00954D22">
      <w:rPr>
        <w:szCs w:val="24"/>
      </w:rPr>
      <w:tab/>
      <w:t xml:space="preserve">- </w:t>
    </w:r>
    <w:r w:rsidR="006D705A" w:rsidRPr="00954D22">
      <w:rPr>
        <w:szCs w:val="24"/>
      </w:rPr>
      <w:fldChar w:fldCharType="begin"/>
    </w:r>
    <w:r w:rsidRPr="00954D22">
      <w:rPr>
        <w:szCs w:val="24"/>
      </w:rPr>
      <w:instrText xml:space="preserve"> PAGE   \* MERGEFORMAT </w:instrText>
    </w:r>
    <w:r w:rsidR="006D705A" w:rsidRPr="00954D22">
      <w:rPr>
        <w:szCs w:val="24"/>
      </w:rPr>
      <w:fldChar w:fldCharType="separate"/>
    </w:r>
    <w:r w:rsidR="00075333">
      <w:rPr>
        <w:noProof/>
        <w:szCs w:val="24"/>
      </w:rPr>
      <w:t>1646</w:t>
    </w:r>
    <w:r w:rsidR="006D705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755F22">
    <w:pPr>
      <w:tabs>
        <w:tab w:val="left" w:pos="-1440"/>
        <w:tab w:val="left" w:pos="-720"/>
      </w:tabs>
    </w:pPr>
    <w:r>
      <w:pict>
        <v:rect id="_x0000_i1033" style="width:480.95pt;height:1pt" o:hralign="center" o:hrstd="t" o:hrnoshade="t" o:hr="t" fillcolor="black [3213]" stroked="f"/>
      </w:pict>
    </w:r>
  </w:p>
  <w:p w:rsidR="009104D9" w:rsidRPr="00954D22" w:rsidRDefault="009104D9" w:rsidP="00B7374B">
    <w:pPr>
      <w:tabs>
        <w:tab w:val="center" w:pos="4680"/>
      </w:tabs>
      <w:rPr>
        <w:szCs w:val="24"/>
      </w:rPr>
    </w:pPr>
    <w:r w:rsidRPr="00954D22">
      <w:rPr>
        <w:szCs w:val="24"/>
      </w:rPr>
      <w:tab/>
      <w:t xml:space="preserve">- </w:t>
    </w:r>
    <w:r w:rsidR="006D705A">
      <w:rPr>
        <w:szCs w:val="24"/>
      </w:rPr>
      <w:fldChar w:fldCharType="begin"/>
    </w:r>
    <w:r>
      <w:rPr>
        <w:szCs w:val="24"/>
      </w:rPr>
      <w:instrText xml:space="preserve"> PAGE   \* MERGEFORMAT </w:instrText>
    </w:r>
    <w:r w:rsidR="006D705A">
      <w:rPr>
        <w:szCs w:val="24"/>
      </w:rPr>
      <w:fldChar w:fldCharType="separate"/>
    </w:r>
    <w:r w:rsidR="00075333">
      <w:rPr>
        <w:noProof/>
        <w:szCs w:val="24"/>
      </w:rPr>
      <w:t>1645</w:t>
    </w:r>
    <w:r w:rsidR="006D705A">
      <w:rPr>
        <w:szCs w:val="24"/>
      </w:rPr>
      <w:fldChar w:fldCharType="end"/>
    </w:r>
    <w:r w:rsidRPr="00954D22">
      <w:rPr>
        <w:szCs w:val="24"/>
      </w:rPr>
      <w:t xml:space="preserve"> -</w:t>
    </w:r>
  </w:p>
  <w:p w:rsidR="009104D9" w:rsidRDefault="009104D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A87207">
    <w:pPr>
      <w:pStyle w:val="Footer"/>
    </w:pPr>
    <w:r>
      <w:pict>
        <v:rect id="_x0000_i1035" style="width:480.95pt;height:1pt" o:hralign="center" o:hrstd="t" o:hrnoshade="t" o:hr="t" fillcolor="black [3213]" stroked="f"/>
      </w:pict>
    </w:r>
  </w:p>
  <w:p w:rsidR="009104D9" w:rsidRPr="00B7374B" w:rsidRDefault="009104D9" w:rsidP="00B7374B">
    <w:pPr>
      <w:tabs>
        <w:tab w:val="center" w:pos="4680"/>
      </w:tabs>
      <w:rPr>
        <w:szCs w:val="24"/>
      </w:rPr>
    </w:pPr>
    <w:r w:rsidRPr="00954D22">
      <w:rPr>
        <w:szCs w:val="24"/>
      </w:rPr>
      <w:tab/>
      <w:t xml:space="preserve">- </w:t>
    </w:r>
    <w:r w:rsidR="006D705A" w:rsidRPr="00954D22">
      <w:rPr>
        <w:szCs w:val="24"/>
      </w:rPr>
      <w:fldChar w:fldCharType="begin"/>
    </w:r>
    <w:r w:rsidRPr="00954D22">
      <w:rPr>
        <w:szCs w:val="24"/>
      </w:rPr>
      <w:instrText xml:space="preserve"> PAGE   \* MERGEFORMAT </w:instrText>
    </w:r>
    <w:r w:rsidR="006D705A" w:rsidRPr="00954D22">
      <w:rPr>
        <w:szCs w:val="24"/>
      </w:rPr>
      <w:fldChar w:fldCharType="separate"/>
    </w:r>
    <w:r>
      <w:rPr>
        <w:noProof/>
        <w:szCs w:val="24"/>
      </w:rPr>
      <w:t>1647</w:t>
    </w:r>
    <w:r w:rsidR="006D705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9104D9" w:rsidRPr="00954D22" w:rsidRDefault="009104D9" w:rsidP="00B7374B">
    <w:pPr>
      <w:tabs>
        <w:tab w:val="center" w:pos="4680"/>
      </w:tabs>
      <w:rPr>
        <w:szCs w:val="24"/>
      </w:rPr>
    </w:pPr>
    <w:r w:rsidRPr="00954D22">
      <w:rPr>
        <w:szCs w:val="24"/>
      </w:rPr>
      <w:tab/>
      <w:t xml:space="preserve">- </w:t>
    </w:r>
    <w:r w:rsidR="006D705A" w:rsidRPr="00954D22">
      <w:rPr>
        <w:szCs w:val="24"/>
      </w:rPr>
      <w:fldChar w:fldCharType="begin"/>
    </w:r>
    <w:r w:rsidRPr="00954D22">
      <w:rPr>
        <w:szCs w:val="24"/>
      </w:rPr>
      <w:instrText xml:space="preserve"> PAGE   \* MERGEFORMAT </w:instrText>
    </w:r>
    <w:r w:rsidR="006D705A" w:rsidRPr="00954D22">
      <w:rPr>
        <w:szCs w:val="24"/>
      </w:rPr>
      <w:fldChar w:fldCharType="separate"/>
    </w:r>
    <w:r w:rsidR="00075333">
      <w:rPr>
        <w:noProof/>
        <w:szCs w:val="24"/>
      </w:rPr>
      <w:t>1647</w:t>
    </w:r>
    <w:r w:rsidR="006D705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04D9" w:rsidRDefault="009104D9">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6D70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D705A">
      <w:rPr>
        <w:lang w:val="fr-CA"/>
      </w:rPr>
      <w:pict>
        <v:rect id="_x0000_i1047" style="width:480.95pt;height:1pt" o:hralign="center" o:hrstd="t" o:hrnoshade="t" o:hr="t" fillcolor="black [3213]" stroked="f"/>
      </w:pict>
    </w:r>
  </w:p>
  <w:p w:rsidR="009104D9" w:rsidRPr="0009648D" w:rsidRDefault="009104D9" w:rsidP="00ED7E83">
    <w:pPr>
      <w:tabs>
        <w:tab w:val="center" w:pos="4680"/>
      </w:tabs>
    </w:pPr>
    <w:r>
      <w:tab/>
    </w:r>
    <w:r w:rsidRPr="0009648D">
      <w:t xml:space="preserve">- </w:t>
    </w:r>
    <w:fldSimple w:instr=" PAGE   \* MERGEFORMAT ">
      <w:r w:rsidR="00075333">
        <w:rPr>
          <w:noProof/>
        </w:rPr>
        <w:t>1656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D9" w:rsidRDefault="009104D9" w:rsidP="00A87207">
      <w:r>
        <w:separator/>
      </w:r>
    </w:p>
  </w:footnote>
  <w:footnote w:type="continuationSeparator" w:id="0">
    <w:p w:rsidR="009104D9" w:rsidRDefault="009104D9"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104D9">
      <w:tc>
        <w:tcPr>
          <w:tcW w:w="423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104D9"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04D9"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104D9">
      <w:trPr>
        <w:gridAfter w:val="2"/>
        <w:wAfter w:w="5250" w:type="dxa"/>
      </w:trPr>
      <w:tc>
        <w:tcPr>
          <w:tcW w:w="4230" w:type="dxa"/>
          <w:tcMar>
            <w:left w:w="0" w:type="dxa"/>
            <w:right w:w="0" w:type="dxa"/>
          </w:tcMar>
        </w:tcPr>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104D9" w:rsidRPr="00755F22" w:rsidTr="00245129">
      <w:tc>
        <w:tcPr>
          <w:tcW w:w="4230" w:type="dxa"/>
          <w:tcMar>
            <w:left w:w="0" w:type="dxa"/>
            <w:right w:w="0" w:type="dxa"/>
          </w:tcMar>
        </w:tcPr>
        <w:p w:rsidR="009104D9" w:rsidRPr="00755F22" w:rsidRDefault="009104D9" w:rsidP="00831CA9">
          <w:pPr>
            <w:keepNext/>
            <w:keepLines/>
            <w:rPr>
              <w:sz w:val="20"/>
              <w:szCs w:val="20"/>
            </w:rPr>
          </w:pPr>
          <w:r w:rsidRPr="00755F22">
            <w:rPr>
              <w:sz w:val="20"/>
              <w:szCs w:val="20"/>
            </w:rPr>
            <w:t>MOTIONS</w:t>
          </w:r>
        </w:p>
      </w:tc>
      <w:tc>
        <w:tcPr>
          <w:tcW w:w="1170" w:type="dxa"/>
          <w:tcMar>
            <w:left w:w="0" w:type="dxa"/>
            <w:right w:w="0" w:type="dxa"/>
          </w:tcMar>
        </w:tcPr>
        <w:p w:rsidR="009104D9" w:rsidRPr="00755F22" w:rsidRDefault="009104D9" w:rsidP="00831CA9">
          <w:pPr>
            <w:keepLines/>
            <w:jc w:val="center"/>
            <w:rPr>
              <w:sz w:val="20"/>
              <w:szCs w:val="20"/>
            </w:rPr>
          </w:pPr>
        </w:p>
        <w:p w:rsidR="009104D9" w:rsidRPr="00755F22" w:rsidRDefault="009104D9" w:rsidP="00831CA9">
          <w:pPr>
            <w:keepLines/>
            <w:tabs>
              <w:tab w:val="left" w:pos="-1440"/>
              <w:tab w:val="left" w:pos="-720"/>
            </w:tabs>
            <w:jc w:val="center"/>
            <w:rPr>
              <w:sz w:val="20"/>
              <w:szCs w:val="20"/>
            </w:rPr>
          </w:pPr>
        </w:p>
      </w:tc>
      <w:tc>
        <w:tcPr>
          <w:tcW w:w="4080" w:type="dxa"/>
          <w:tcMar>
            <w:left w:w="0" w:type="dxa"/>
            <w:right w:w="0" w:type="dxa"/>
          </w:tcMar>
        </w:tcPr>
        <w:p w:rsidR="009104D9" w:rsidRPr="00BA6468" w:rsidRDefault="009104D9" w:rsidP="00BA6468">
          <w:pPr>
            <w:keepLines/>
            <w:rPr>
              <w:sz w:val="20"/>
              <w:szCs w:val="20"/>
              <w:lang w:val="fr-CA"/>
            </w:rPr>
          </w:pPr>
          <w:r w:rsidRPr="00BA6468">
            <w:rPr>
              <w:sz w:val="20"/>
              <w:szCs w:val="20"/>
              <w:lang w:val="fr-CA"/>
            </w:rPr>
            <w:t>REQUÊTES</w:t>
          </w:r>
        </w:p>
      </w:tc>
    </w:tr>
  </w:tbl>
  <w:p w:rsidR="009104D9" w:rsidRDefault="009104D9"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04D9" w:rsidRPr="00075333">
      <w:tc>
        <w:tcPr>
          <w:tcW w:w="4200" w:type="dxa"/>
          <w:tcMar>
            <w:left w:w="0" w:type="dxa"/>
            <w:right w:w="0" w:type="dxa"/>
          </w:tcMar>
        </w:tcPr>
        <w:p w:rsidR="009104D9" w:rsidRDefault="009104D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104D9" w:rsidRDefault="009104D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104D9" w:rsidRDefault="009104D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04D9" w:rsidRPr="009256DC" w:rsidRDefault="009104D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104D9" w:rsidRPr="009256DC" w:rsidRDefault="00910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104D9" w:rsidRPr="009256DC" w:rsidRDefault="00910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04D9" w:rsidRPr="00075333" w:rsidTr="00245129">
      <w:tc>
        <w:tcPr>
          <w:tcW w:w="4200" w:type="dxa"/>
          <w:tcMar>
            <w:left w:w="0" w:type="dxa"/>
            <w:right w:w="0" w:type="dxa"/>
          </w:tcMar>
        </w:tcPr>
        <w:p w:rsidR="009104D9" w:rsidRPr="00802863" w:rsidRDefault="009104D9"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104D9" w:rsidRPr="00802863" w:rsidRDefault="009104D9" w:rsidP="00802863">
          <w:pPr>
            <w:keepNext/>
            <w:keepLines/>
            <w:widowControl w:val="0"/>
            <w:tabs>
              <w:tab w:val="left" w:pos="-1440"/>
              <w:tab w:val="left" w:pos="-720"/>
            </w:tabs>
            <w:jc w:val="center"/>
            <w:rPr>
              <w:sz w:val="20"/>
              <w:szCs w:val="20"/>
            </w:rPr>
          </w:pPr>
        </w:p>
        <w:p w:rsidR="009104D9" w:rsidRPr="00802863" w:rsidRDefault="009104D9" w:rsidP="00802863">
          <w:pPr>
            <w:keepNext/>
            <w:keepLines/>
            <w:widowControl w:val="0"/>
            <w:tabs>
              <w:tab w:val="left" w:pos="-1440"/>
              <w:tab w:val="left" w:pos="-720"/>
            </w:tabs>
            <w:jc w:val="center"/>
            <w:rPr>
              <w:sz w:val="20"/>
              <w:szCs w:val="20"/>
            </w:rPr>
          </w:pPr>
        </w:p>
        <w:p w:rsidR="009104D9" w:rsidRPr="00802863" w:rsidRDefault="009104D9"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104D9" w:rsidRPr="00802863" w:rsidRDefault="009104D9"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104D9" w:rsidRPr="009256DC" w:rsidRDefault="009104D9"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04D9" w:rsidRPr="00075333">
      <w:tc>
        <w:tcPr>
          <w:tcW w:w="420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04D9" w:rsidRPr="00283C52"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104D9" w:rsidRPr="00283C52"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104D9" w:rsidRPr="00283C52"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04D9" w:rsidRPr="00075333" w:rsidTr="00245129">
      <w:tc>
        <w:tcPr>
          <w:tcW w:w="4200" w:type="dxa"/>
          <w:tcMar>
            <w:left w:w="0" w:type="dxa"/>
            <w:right w:w="0" w:type="dxa"/>
          </w:tcMar>
        </w:tcPr>
        <w:p w:rsidR="009104D9" w:rsidRPr="00732DB7" w:rsidRDefault="009104D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104D9" w:rsidRPr="00732DB7" w:rsidRDefault="009104D9" w:rsidP="00732DB7">
          <w:pPr>
            <w:keepNext/>
            <w:keepLines/>
            <w:tabs>
              <w:tab w:val="left" w:pos="-1440"/>
              <w:tab w:val="left" w:pos="-720"/>
            </w:tabs>
            <w:jc w:val="center"/>
            <w:rPr>
              <w:sz w:val="20"/>
              <w:szCs w:val="20"/>
            </w:rPr>
          </w:pPr>
        </w:p>
        <w:p w:rsidR="009104D9" w:rsidRPr="00732DB7" w:rsidRDefault="009104D9" w:rsidP="00732DB7">
          <w:pPr>
            <w:keepNext/>
            <w:keepLines/>
            <w:tabs>
              <w:tab w:val="left" w:pos="-1440"/>
              <w:tab w:val="left" w:pos="-720"/>
            </w:tabs>
            <w:jc w:val="center"/>
            <w:rPr>
              <w:sz w:val="20"/>
              <w:szCs w:val="20"/>
            </w:rPr>
          </w:pPr>
        </w:p>
        <w:p w:rsidR="009104D9" w:rsidRPr="00732DB7" w:rsidRDefault="009104D9" w:rsidP="00732DB7">
          <w:pPr>
            <w:keepNext/>
            <w:keepLines/>
            <w:tabs>
              <w:tab w:val="left" w:pos="-1440"/>
              <w:tab w:val="left" w:pos="-720"/>
            </w:tabs>
            <w:jc w:val="center"/>
            <w:rPr>
              <w:sz w:val="20"/>
              <w:szCs w:val="20"/>
            </w:rPr>
          </w:pPr>
        </w:p>
      </w:tc>
      <w:tc>
        <w:tcPr>
          <w:tcW w:w="4080" w:type="dxa"/>
          <w:tcMar>
            <w:left w:w="0" w:type="dxa"/>
            <w:right w:w="0" w:type="dxa"/>
          </w:tcMar>
        </w:tcPr>
        <w:p w:rsidR="009104D9" w:rsidRPr="00732DB7" w:rsidRDefault="009104D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104D9" w:rsidRPr="00283C52" w:rsidRDefault="009104D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04D9" w:rsidRPr="00075333">
      <w:tc>
        <w:tcPr>
          <w:tcW w:w="420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104D9" w:rsidRPr="003C2C0F"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104D9" w:rsidRPr="003C2C0F"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104D9" w:rsidRPr="003C2C0F"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04D9" w:rsidRPr="00075333" w:rsidTr="00245129">
      <w:tc>
        <w:tcPr>
          <w:tcW w:w="4200" w:type="dxa"/>
          <w:tcMar>
            <w:left w:w="0" w:type="dxa"/>
            <w:right w:w="0" w:type="dxa"/>
          </w:tcMar>
        </w:tcPr>
        <w:p w:rsidR="009104D9" w:rsidRPr="00FF6EEC" w:rsidRDefault="009104D9" w:rsidP="00FF6EEC">
          <w:pPr>
            <w:rPr>
              <w:sz w:val="20"/>
              <w:szCs w:val="20"/>
            </w:rPr>
          </w:pPr>
          <w:r w:rsidRPr="00FF6EEC">
            <w:rPr>
              <w:sz w:val="20"/>
              <w:szCs w:val="20"/>
            </w:rPr>
            <w:t>PRONOUNCEMENTS OF APPEALS RESERVED</w:t>
          </w:r>
        </w:p>
      </w:tc>
      <w:tc>
        <w:tcPr>
          <w:tcW w:w="1200" w:type="dxa"/>
          <w:tcMar>
            <w:left w:w="0" w:type="dxa"/>
            <w:right w:w="0" w:type="dxa"/>
          </w:tcMar>
        </w:tcPr>
        <w:p w:rsidR="009104D9" w:rsidRPr="00FF6EEC" w:rsidRDefault="009104D9" w:rsidP="00FF6EEC">
          <w:pPr>
            <w:jc w:val="center"/>
            <w:rPr>
              <w:sz w:val="20"/>
              <w:szCs w:val="20"/>
            </w:rPr>
          </w:pPr>
        </w:p>
        <w:p w:rsidR="009104D9" w:rsidRPr="00FF6EEC" w:rsidRDefault="009104D9" w:rsidP="00FF6EEC">
          <w:pPr>
            <w:jc w:val="center"/>
            <w:rPr>
              <w:sz w:val="20"/>
              <w:szCs w:val="20"/>
            </w:rPr>
          </w:pPr>
        </w:p>
        <w:p w:rsidR="009104D9" w:rsidRPr="00FF6EEC" w:rsidRDefault="009104D9" w:rsidP="00FF6EEC">
          <w:pPr>
            <w:jc w:val="center"/>
            <w:rPr>
              <w:sz w:val="20"/>
              <w:szCs w:val="20"/>
            </w:rPr>
          </w:pPr>
        </w:p>
      </w:tc>
      <w:tc>
        <w:tcPr>
          <w:tcW w:w="4080" w:type="dxa"/>
          <w:tcMar>
            <w:left w:w="0" w:type="dxa"/>
            <w:right w:w="0" w:type="dxa"/>
          </w:tcMar>
        </w:tcPr>
        <w:p w:rsidR="009104D9" w:rsidRPr="00FF6EEC" w:rsidRDefault="009104D9" w:rsidP="00FF6EEC">
          <w:pPr>
            <w:rPr>
              <w:sz w:val="20"/>
              <w:szCs w:val="20"/>
              <w:lang w:val="fr-CA"/>
            </w:rPr>
          </w:pPr>
          <w:r w:rsidRPr="00FF6EEC">
            <w:rPr>
              <w:sz w:val="20"/>
              <w:szCs w:val="20"/>
              <w:lang w:val="fr-CA"/>
            </w:rPr>
            <w:t>JUGEMENTS RENDUS SUR LES APPELS EN DÉLIBÉRÉ</w:t>
          </w:r>
        </w:p>
      </w:tc>
    </w:tr>
  </w:tbl>
  <w:p w:rsidR="009104D9" w:rsidRPr="003C2C0F" w:rsidRDefault="009104D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104D9">
      <w:tc>
        <w:tcPr>
          <w:tcW w:w="423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104D9"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04D9"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104D9" w:rsidRPr="00782AE4" w:rsidTr="00245129">
      <w:tc>
        <w:tcPr>
          <w:tcW w:w="4230" w:type="dxa"/>
          <w:tcMar>
            <w:left w:w="0" w:type="dxa"/>
            <w:right w:w="0" w:type="dxa"/>
          </w:tcMar>
        </w:tcPr>
        <w:p w:rsidR="009104D9" w:rsidRPr="00782AE4" w:rsidRDefault="009104D9" w:rsidP="00102926">
          <w:pPr>
            <w:keepNext/>
            <w:keepLines/>
            <w:tabs>
              <w:tab w:val="left" w:pos="-1440"/>
              <w:tab w:val="left" w:pos="-720"/>
            </w:tabs>
            <w:rPr>
              <w:sz w:val="20"/>
              <w:szCs w:val="20"/>
            </w:rPr>
          </w:pPr>
          <w:r w:rsidRPr="00782AE4">
            <w:rPr>
              <w:sz w:val="20"/>
              <w:szCs w:val="20"/>
            </w:rPr>
            <w:t xml:space="preserve">HEADNOTES OF RECENT </w:t>
          </w:r>
        </w:p>
        <w:p w:rsidR="009104D9" w:rsidRPr="00782AE4"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104D9" w:rsidRDefault="009104D9" w:rsidP="00102926">
          <w:pPr>
            <w:keepNext/>
            <w:keepLines/>
            <w:tabs>
              <w:tab w:val="left" w:pos="-1440"/>
              <w:tab w:val="left" w:pos="-720"/>
            </w:tabs>
            <w:jc w:val="center"/>
            <w:rPr>
              <w:sz w:val="20"/>
              <w:szCs w:val="20"/>
            </w:rPr>
          </w:pPr>
        </w:p>
        <w:p w:rsidR="009104D9" w:rsidRDefault="009104D9" w:rsidP="00102926">
          <w:pPr>
            <w:keepNext/>
            <w:keepLines/>
            <w:tabs>
              <w:tab w:val="left" w:pos="-1440"/>
              <w:tab w:val="left" w:pos="-720"/>
            </w:tabs>
            <w:jc w:val="center"/>
            <w:rPr>
              <w:sz w:val="20"/>
              <w:szCs w:val="20"/>
            </w:rPr>
          </w:pPr>
        </w:p>
        <w:p w:rsidR="009104D9" w:rsidRPr="00782AE4" w:rsidRDefault="009104D9" w:rsidP="00102926">
          <w:pPr>
            <w:keepNext/>
            <w:keepLines/>
            <w:tabs>
              <w:tab w:val="left" w:pos="-1440"/>
              <w:tab w:val="left" w:pos="-720"/>
            </w:tabs>
            <w:jc w:val="center"/>
            <w:rPr>
              <w:sz w:val="20"/>
              <w:szCs w:val="20"/>
            </w:rPr>
          </w:pPr>
        </w:p>
      </w:tc>
      <w:tc>
        <w:tcPr>
          <w:tcW w:w="4080" w:type="dxa"/>
          <w:tcMar>
            <w:left w:w="0" w:type="dxa"/>
            <w:right w:w="0" w:type="dxa"/>
          </w:tcMar>
        </w:tcPr>
        <w:p w:rsidR="009104D9" w:rsidRPr="00102926"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104D9" w:rsidRPr="00782AE4" w:rsidRDefault="009104D9" w:rsidP="00102926">
          <w:pPr>
            <w:keepLines/>
            <w:tabs>
              <w:tab w:val="left" w:pos="-1440"/>
              <w:tab w:val="left" w:pos="-720"/>
            </w:tabs>
            <w:rPr>
              <w:sz w:val="20"/>
              <w:szCs w:val="20"/>
            </w:rPr>
          </w:pPr>
          <w:r w:rsidRPr="00102926">
            <w:rPr>
              <w:sz w:val="20"/>
              <w:szCs w:val="20"/>
              <w:lang w:val="fr-CA"/>
            </w:rPr>
            <w:t>RÉCENTS</w:t>
          </w:r>
        </w:p>
      </w:tc>
    </w:tr>
  </w:tbl>
  <w:p w:rsidR="009104D9" w:rsidRDefault="009104D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104D9" w:rsidRPr="0044776A" w:rsidTr="00245129">
      <w:tc>
        <w:tcPr>
          <w:tcW w:w="4290" w:type="dxa"/>
          <w:tcMar>
            <w:left w:w="0" w:type="dxa"/>
            <w:right w:w="0" w:type="dxa"/>
          </w:tcMar>
        </w:tcPr>
        <w:p w:rsidR="009104D9" w:rsidRPr="0044776A" w:rsidRDefault="009104D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104D9" w:rsidRPr="0044776A" w:rsidRDefault="009104D9" w:rsidP="002E2327">
          <w:pPr>
            <w:keepNext/>
            <w:keepLines/>
            <w:tabs>
              <w:tab w:val="left" w:pos="-1440"/>
              <w:tab w:val="left" w:pos="-720"/>
            </w:tabs>
            <w:jc w:val="center"/>
            <w:rPr>
              <w:sz w:val="20"/>
              <w:szCs w:val="20"/>
            </w:rPr>
          </w:pPr>
        </w:p>
        <w:p w:rsidR="009104D9" w:rsidRPr="0044776A" w:rsidRDefault="009104D9" w:rsidP="002E2327">
          <w:pPr>
            <w:keepNext/>
            <w:keepLines/>
            <w:tabs>
              <w:tab w:val="left" w:pos="-1440"/>
              <w:tab w:val="left" w:pos="-720"/>
            </w:tabs>
            <w:jc w:val="center"/>
            <w:rPr>
              <w:sz w:val="20"/>
              <w:szCs w:val="20"/>
            </w:rPr>
          </w:pPr>
        </w:p>
        <w:p w:rsidR="009104D9" w:rsidRPr="0044776A" w:rsidRDefault="009104D9" w:rsidP="002E2327">
          <w:pPr>
            <w:keepNext/>
            <w:keepLines/>
            <w:tabs>
              <w:tab w:val="left" w:pos="-1440"/>
              <w:tab w:val="left" w:pos="-720"/>
            </w:tabs>
            <w:jc w:val="center"/>
            <w:rPr>
              <w:sz w:val="20"/>
              <w:szCs w:val="20"/>
            </w:rPr>
          </w:pPr>
        </w:p>
      </w:tc>
      <w:tc>
        <w:tcPr>
          <w:tcW w:w="4320" w:type="dxa"/>
          <w:tcMar>
            <w:left w:w="0" w:type="dxa"/>
            <w:right w:w="0" w:type="dxa"/>
          </w:tcMar>
        </w:tcPr>
        <w:p w:rsidR="009104D9" w:rsidRPr="0044776A" w:rsidRDefault="009104D9" w:rsidP="002E2327">
          <w:pPr>
            <w:keepLines/>
            <w:rPr>
              <w:sz w:val="20"/>
              <w:szCs w:val="20"/>
              <w:lang w:val="fr-CA"/>
            </w:rPr>
          </w:pPr>
          <w:r w:rsidRPr="0044776A">
            <w:rPr>
              <w:sz w:val="20"/>
              <w:szCs w:val="20"/>
              <w:lang w:val="fr-CA"/>
            </w:rPr>
            <w:t>DEMANDES D'AUTORISATION D'APPEL DÉPOSÉES</w:t>
          </w:r>
        </w:p>
      </w:tc>
    </w:tr>
  </w:tbl>
  <w:p w:rsidR="009104D9" w:rsidRDefault="009104D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04D9" w:rsidRPr="00075333" w:rsidTr="00245129">
      <w:tc>
        <w:tcPr>
          <w:tcW w:w="4200" w:type="dxa"/>
          <w:tcMar>
            <w:left w:w="0" w:type="dxa"/>
            <w:right w:w="0" w:type="dxa"/>
          </w:tcMar>
        </w:tcPr>
        <w:p w:rsidR="009104D9" w:rsidRPr="0044776A" w:rsidRDefault="009104D9" w:rsidP="0044776A">
          <w:pPr>
            <w:keepNext/>
            <w:keepLines/>
            <w:widowControl w:val="0"/>
            <w:rPr>
              <w:sz w:val="20"/>
              <w:szCs w:val="20"/>
            </w:rPr>
          </w:pPr>
          <w:r>
            <w:rPr>
              <w:sz w:val="20"/>
              <w:szCs w:val="20"/>
            </w:rPr>
            <w:t>APPLICATIONS FOR LEAVE</w:t>
          </w:r>
        </w:p>
        <w:p w:rsidR="009104D9" w:rsidRPr="0044776A" w:rsidRDefault="009104D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104D9" w:rsidRPr="0044776A" w:rsidRDefault="009104D9" w:rsidP="0044776A">
          <w:pPr>
            <w:keepNext/>
            <w:keepLines/>
            <w:widowControl w:val="0"/>
            <w:jc w:val="center"/>
            <w:rPr>
              <w:sz w:val="20"/>
              <w:szCs w:val="20"/>
            </w:rPr>
          </w:pPr>
        </w:p>
        <w:p w:rsidR="009104D9" w:rsidRPr="0044776A" w:rsidRDefault="009104D9" w:rsidP="0044776A">
          <w:pPr>
            <w:keepNext/>
            <w:keepLines/>
            <w:widowControl w:val="0"/>
            <w:jc w:val="center"/>
            <w:rPr>
              <w:sz w:val="20"/>
              <w:szCs w:val="20"/>
            </w:rPr>
          </w:pPr>
        </w:p>
        <w:p w:rsidR="009104D9" w:rsidRPr="0044776A" w:rsidRDefault="009104D9" w:rsidP="0044776A">
          <w:pPr>
            <w:keepNext/>
            <w:keepLines/>
            <w:widowControl w:val="0"/>
            <w:jc w:val="center"/>
            <w:rPr>
              <w:sz w:val="20"/>
              <w:szCs w:val="20"/>
            </w:rPr>
          </w:pPr>
        </w:p>
      </w:tc>
      <w:tc>
        <w:tcPr>
          <w:tcW w:w="4080" w:type="dxa"/>
          <w:tcMar>
            <w:left w:w="0" w:type="dxa"/>
            <w:right w:w="0" w:type="dxa"/>
          </w:tcMar>
        </w:tcPr>
        <w:p w:rsidR="009104D9" w:rsidRPr="0044776A" w:rsidRDefault="009104D9" w:rsidP="0044776A">
          <w:pPr>
            <w:keepLines/>
            <w:widowControl w:val="0"/>
            <w:rPr>
              <w:sz w:val="20"/>
              <w:szCs w:val="20"/>
              <w:lang w:val="fr-CA"/>
            </w:rPr>
          </w:pPr>
          <w:r w:rsidRPr="0044776A">
            <w:rPr>
              <w:sz w:val="20"/>
              <w:szCs w:val="20"/>
              <w:lang w:val="fr-CA"/>
            </w:rPr>
            <w:t>DEMANDES SOUMISES À LA COUR DEPUIS LA DERNIÈRE PARUTION</w:t>
          </w:r>
        </w:p>
        <w:p w:rsidR="009104D9" w:rsidRPr="0044776A" w:rsidRDefault="009104D9" w:rsidP="0044776A">
          <w:pPr>
            <w:widowControl w:val="0"/>
            <w:rPr>
              <w:sz w:val="20"/>
              <w:szCs w:val="20"/>
              <w:lang w:val="fr-CA"/>
            </w:rPr>
          </w:pPr>
        </w:p>
      </w:tc>
    </w:tr>
  </w:tbl>
  <w:p w:rsidR="009104D9" w:rsidRPr="002E2327" w:rsidRDefault="009104D9">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9" w:rsidRDefault="009104D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04D9" w:rsidRPr="00075333">
      <w:tc>
        <w:tcPr>
          <w:tcW w:w="4200" w:type="dxa"/>
          <w:tcMar>
            <w:left w:w="0" w:type="dxa"/>
            <w:right w:w="0" w:type="dxa"/>
          </w:tcMar>
        </w:tcPr>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104D9"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104D9"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04D9" w:rsidRPr="00FF6BA5"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104D9" w:rsidRPr="00FF6BA5"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104D9" w:rsidRPr="00FF6BA5"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104D9" w:rsidRPr="00FF6BA5" w:rsidRDefault="00910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04D9" w:rsidRPr="00075333" w:rsidTr="00245129">
      <w:tc>
        <w:tcPr>
          <w:tcW w:w="4200" w:type="dxa"/>
          <w:tcMar>
            <w:left w:w="0" w:type="dxa"/>
            <w:right w:w="0" w:type="dxa"/>
          </w:tcMar>
        </w:tcPr>
        <w:p w:rsidR="009104D9" w:rsidRPr="00755F22"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104D9" w:rsidRPr="00755F22" w:rsidRDefault="009104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104D9" w:rsidRPr="00755F22" w:rsidRDefault="009104D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04D9" w:rsidRPr="00755F22" w:rsidRDefault="009104D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04D9" w:rsidRPr="00755F22" w:rsidRDefault="009104D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104D9" w:rsidRPr="00755F22" w:rsidRDefault="009104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104D9" w:rsidRPr="00FF6BA5" w:rsidRDefault="009104D9"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761"/>
  </w:hdrShapeDefaults>
  <w:footnotePr>
    <w:footnote w:id="-1"/>
    <w:footnote w:id="0"/>
  </w:footnotePr>
  <w:endnotePr>
    <w:endnote w:id="-1"/>
    <w:endnote w:id="0"/>
  </w:endnotePr>
  <w:compat/>
  <w:rsids>
    <w:rsidRoot w:val="001C64FB"/>
    <w:rsid w:val="00020793"/>
    <w:rsid w:val="000327B2"/>
    <w:rsid w:val="00075333"/>
    <w:rsid w:val="00096BD9"/>
    <w:rsid w:val="000B3C9A"/>
    <w:rsid w:val="000C0ACD"/>
    <w:rsid w:val="000F0DAC"/>
    <w:rsid w:val="00102926"/>
    <w:rsid w:val="0010587F"/>
    <w:rsid w:val="00111C6B"/>
    <w:rsid w:val="00164E6D"/>
    <w:rsid w:val="00171A0C"/>
    <w:rsid w:val="00185C90"/>
    <w:rsid w:val="00194535"/>
    <w:rsid w:val="001952F8"/>
    <w:rsid w:val="001B5C23"/>
    <w:rsid w:val="001C6372"/>
    <w:rsid w:val="001C64FB"/>
    <w:rsid w:val="001D0D5F"/>
    <w:rsid w:val="001D6B8C"/>
    <w:rsid w:val="001F1F83"/>
    <w:rsid w:val="00206498"/>
    <w:rsid w:val="002139A7"/>
    <w:rsid w:val="00215F7C"/>
    <w:rsid w:val="0022323B"/>
    <w:rsid w:val="002410B8"/>
    <w:rsid w:val="00242AEE"/>
    <w:rsid w:val="00245129"/>
    <w:rsid w:val="00245879"/>
    <w:rsid w:val="00265EB7"/>
    <w:rsid w:val="00267E4B"/>
    <w:rsid w:val="00267FD5"/>
    <w:rsid w:val="00275580"/>
    <w:rsid w:val="00294EF2"/>
    <w:rsid w:val="002B516C"/>
    <w:rsid w:val="002D72EB"/>
    <w:rsid w:val="002E2327"/>
    <w:rsid w:val="002E3583"/>
    <w:rsid w:val="002E5576"/>
    <w:rsid w:val="00331B52"/>
    <w:rsid w:val="00333844"/>
    <w:rsid w:val="00355967"/>
    <w:rsid w:val="00382C47"/>
    <w:rsid w:val="00384384"/>
    <w:rsid w:val="003B3977"/>
    <w:rsid w:val="003C4903"/>
    <w:rsid w:val="003E22D7"/>
    <w:rsid w:val="004115E3"/>
    <w:rsid w:val="00432989"/>
    <w:rsid w:val="00433B12"/>
    <w:rsid w:val="00440E24"/>
    <w:rsid w:val="0044776A"/>
    <w:rsid w:val="00460AFC"/>
    <w:rsid w:val="0047471F"/>
    <w:rsid w:val="004B66B4"/>
    <w:rsid w:val="004C1AAC"/>
    <w:rsid w:val="004C6CE6"/>
    <w:rsid w:val="004D1074"/>
    <w:rsid w:val="004D5B46"/>
    <w:rsid w:val="004F090E"/>
    <w:rsid w:val="004F6FAD"/>
    <w:rsid w:val="00506C47"/>
    <w:rsid w:val="00512719"/>
    <w:rsid w:val="00514C2C"/>
    <w:rsid w:val="00527CC7"/>
    <w:rsid w:val="00542FD3"/>
    <w:rsid w:val="00544A28"/>
    <w:rsid w:val="00571CA4"/>
    <w:rsid w:val="005738ED"/>
    <w:rsid w:val="00582136"/>
    <w:rsid w:val="005970F7"/>
    <w:rsid w:val="005C6840"/>
    <w:rsid w:val="005E4F87"/>
    <w:rsid w:val="005F263E"/>
    <w:rsid w:val="00600252"/>
    <w:rsid w:val="00605599"/>
    <w:rsid w:val="00610EC4"/>
    <w:rsid w:val="00612A40"/>
    <w:rsid w:val="00614AAA"/>
    <w:rsid w:val="00624422"/>
    <w:rsid w:val="006426FB"/>
    <w:rsid w:val="00675479"/>
    <w:rsid w:val="00697C62"/>
    <w:rsid w:val="006A329B"/>
    <w:rsid w:val="006A6A9C"/>
    <w:rsid w:val="006A7EB8"/>
    <w:rsid w:val="006B303B"/>
    <w:rsid w:val="006B6926"/>
    <w:rsid w:val="006C3F47"/>
    <w:rsid w:val="006C5F7A"/>
    <w:rsid w:val="006D705A"/>
    <w:rsid w:val="006F2CAE"/>
    <w:rsid w:val="006F350F"/>
    <w:rsid w:val="00706435"/>
    <w:rsid w:val="00732DB7"/>
    <w:rsid w:val="007337E3"/>
    <w:rsid w:val="00755DAC"/>
    <w:rsid w:val="00755F22"/>
    <w:rsid w:val="00766E4A"/>
    <w:rsid w:val="007820CE"/>
    <w:rsid w:val="00782AE4"/>
    <w:rsid w:val="00797064"/>
    <w:rsid w:val="0079724F"/>
    <w:rsid w:val="007A3EAE"/>
    <w:rsid w:val="007C04FC"/>
    <w:rsid w:val="007D3E0F"/>
    <w:rsid w:val="007E7CD8"/>
    <w:rsid w:val="00802863"/>
    <w:rsid w:val="00815B3C"/>
    <w:rsid w:val="0082783A"/>
    <w:rsid w:val="00831CA9"/>
    <w:rsid w:val="008354EB"/>
    <w:rsid w:val="008478A5"/>
    <w:rsid w:val="00850E1F"/>
    <w:rsid w:val="0085476B"/>
    <w:rsid w:val="00855A10"/>
    <w:rsid w:val="00857374"/>
    <w:rsid w:val="00870F7F"/>
    <w:rsid w:val="00890FEB"/>
    <w:rsid w:val="00894102"/>
    <w:rsid w:val="00897990"/>
    <w:rsid w:val="008C4D49"/>
    <w:rsid w:val="008D292F"/>
    <w:rsid w:val="008D7323"/>
    <w:rsid w:val="008E03DC"/>
    <w:rsid w:val="008F5C79"/>
    <w:rsid w:val="009104D9"/>
    <w:rsid w:val="00924065"/>
    <w:rsid w:val="00930D68"/>
    <w:rsid w:val="00932DB4"/>
    <w:rsid w:val="00941C90"/>
    <w:rsid w:val="00946242"/>
    <w:rsid w:val="0095096B"/>
    <w:rsid w:val="009723FA"/>
    <w:rsid w:val="00972622"/>
    <w:rsid w:val="009833FD"/>
    <w:rsid w:val="00984546"/>
    <w:rsid w:val="00996510"/>
    <w:rsid w:val="009B0A0D"/>
    <w:rsid w:val="009D1F15"/>
    <w:rsid w:val="009D32BB"/>
    <w:rsid w:val="009D555E"/>
    <w:rsid w:val="009F7885"/>
    <w:rsid w:val="00A0355E"/>
    <w:rsid w:val="00A375D1"/>
    <w:rsid w:val="00A51D10"/>
    <w:rsid w:val="00A52A83"/>
    <w:rsid w:val="00A56A3E"/>
    <w:rsid w:val="00A57C2C"/>
    <w:rsid w:val="00A87207"/>
    <w:rsid w:val="00A90641"/>
    <w:rsid w:val="00A935AA"/>
    <w:rsid w:val="00AA0126"/>
    <w:rsid w:val="00AB2201"/>
    <w:rsid w:val="00AF1715"/>
    <w:rsid w:val="00AF3904"/>
    <w:rsid w:val="00B010C0"/>
    <w:rsid w:val="00B14DC1"/>
    <w:rsid w:val="00B4740D"/>
    <w:rsid w:val="00B61629"/>
    <w:rsid w:val="00B7374B"/>
    <w:rsid w:val="00B7712E"/>
    <w:rsid w:val="00BA116A"/>
    <w:rsid w:val="00BA6468"/>
    <w:rsid w:val="00BD06DA"/>
    <w:rsid w:val="00BD4217"/>
    <w:rsid w:val="00BD69BA"/>
    <w:rsid w:val="00BE174C"/>
    <w:rsid w:val="00BF25F3"/>
    <w:rsid w:val="00C1697B"/>
    <w:rsid w:val="00C42D69"/>
    <w:rsid w:val="00C47832"/>
    <w:rsid w:val="00C50A5C"/>
    <w:rsid w:val="00C50FDF"/>
    <w:rsid w:val="00C5267B"/>
    <w:rsid w:val="00C663EF"/>
    <w:rsid w:val="00C73E1B"/>
    <w:rsid w:val="00CC4D84"/>
    <w:rsid w:val="00CD4050"/>
    <w:rsid w:val="00CD46D1"/>
    <w:rsid w:val="00CE4409"/>
    <w:rsid w:val="00D15140"/>
    <w:rsid w:val="00D1703B"/>
    <w:rsid w:val="00D64901"/>
    <w:rsid w:val="00D71B4F"/>
    <w:rsid w:val="00D76BDF"/>
    <w:rsid w:val="00D815F7"/>
    <w:rsid w:val="00D862C1"/>
    <w:rsid w:val="00DA121C"/>
    <w:rsid w:val="00DC0C57"/>
    <w:rsid w:val="00DD0B49"/>
    <w:rsid w:val="00DE0F38"/>
    <w:rsid w:val="00DF5BA7"/>
    <w:rsid w:val="00E06DFA"/>
    <w:rsid w:val="00E17BAB"/>
    <w:rsid w:val="00E356C7"/>
    <w:rsid w:val="00E64FA7"/>
    <w:rsid w:val="00E770CB"/>
    <w:rsid w:val="00E940EB"/>
    <w:rsid w:val="00EB2B90"/>
    <w:rsid w:val="00ED7E83"/>
    <w:rsid w:val="00EF4B63"/>
    <w:rsid w:val="00F0068D"/>
    <w:rsid w:val="00F15EA8"/>
    <w:rsid w:val="00F16C8D"/>
    <w:rsid w:val="00F33CCE"/>
    <w:rsid w:val="00F40249"/>
    <w:rsid w:val="00F526C8"/>
    <w:rsid w:val="00F768E2"/>
    <w:rsid w:val="00F9518C"/>
    <w:rsid w:val="00FA59EF"/>
    <w:rsid w:val="00FB19A2"/>
    <w:rsid w:val="00FB1FBD"/>
    <w:rsid w:val="00FD50B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A56A3E"/>
    <w:rPr>
      <w:rFonts w:eastAsia="Calibri" w:cs="Times New Roman"/>
      <w:i/>
      <w:sz w:val="20"/>
      <w:szCs w:val="20"/>
    </w:rPr>
  </w:style>
  <w:style w:type="character" w:customStyle="1" w:styleId="SCCSsocChar">
    <w:name w:val="SCC.Ssoc Char"/>
    <w:basedOn w:val="DefaultParagraphFont"/>
    <w:link w:val="SCCSsoc"/>
    <w:rsid w:val="00A56A3E"/>
    <w:rPr>
      <w:rFonts w:eastAsia="Calibri" w:cs="Times New Roman"/>
      <w:i/>
      <w:sz w:val="20"/>
      <w:szCs w:val="20"/>
      <w:lang w:val="en-CA"/>
    </w:rPr>
  </w:style>
  <w:style w:type="paragraph" w:customStyle="1" w:styleId="SCCFileNumber">
    <w:name w:val="SCC.FileNumber"/>
    <w:basedOn w:val="Normal"/>
    <w:next w:val="Normal"/>
    <w:link w:val="SCCFileNumberChar"/>
    <w:rsid w:val="00A90641"/>
    <w:pPr>
      <w:jc w:val="center"/>
    </w:pPr>
    <w:rPr>
      <w:b/>
      <w:szCs w:val="24"/>
      <w:lang w:val="fr-CA"/>
    </w:rPr>
  </w:style>
  <w:style w:type="character" w:customStyle="1" w:styleId="SCCFileNumberChar">
    <w:name w:val="SCC.FileNumber Char"/>
    <w:basedOn w:val="DefaultParagraphFont"/>
    <w:link w:val="SCCFileNumber"/>
    <w:rsid w:val="00A90641"/>
    <w:rPr>
      <w:b/>
      <w:szCs w:val="24"/>
      <w:lang w:val="fr-CA"/>
    </w:rPr>
  </w:style>
  <w:style w:type="paragraph" w:customStyle="1" w:styleId="SCCLsoc">
    <w:name w:val="SCC.Lsoc"/>
    <w:basedOn w:val="Normal"/>
    <w:next w:val="Normal"/>
    <w:link w:val="SCCLsocChar"/>
    <w:rsid w:val="00A90641"/>
    <w:pPr>
      <w:jc w:val="center"/>
    </w:pPr>
    <w:rPr>
      <w:b/>
      <w:szCs w:val="24"/>
      <w:u w:val="single"/>
      <w:lang w:val="fr-CA"/>
    </w:rPr>
  </w:style>
  <w:style w:type="character" w:customStyle="1" w:styleId="SCCLsocChar">
    <w:name w:val="SCC.Lsoc Char"/>
    <w:basedOn w:val="DefaultParagraphFont"/>
    <w:link w:val="SCCLsoc"/>
    <w:rsid w:val="00A90641"/>
    <w:rPr>
      <w:b/>
      <w:szCs w:val="24"/>
      <w:u w:val="single"/>
      <w:lang w:val="fr-CA"/>
    </w:rPr>
  </w:style>
  <w:style w:type="paragraph" w:customStyle="1" w:styleId="SCCCoram">
    <w:name w:val="SCC.Coram"/>
    <w:basedOn w:val="Normal"/>
    <w:next w:val="Normal"/>
    <w:link w:val="SCCCoramChar"/>
    <w:rsid w:val="00A90641"/>
    <w:pPr>
      <w:jc w:val="center"/>
    </w:pPr>
    <w:rPr>
      <w:szCs w:val="24"/>
      <w:u w:val="single"/>
      <w:lang w:val="fr-CA"/>
    </w:rPr>
  </w:style>
  <w:style w:type="character" w:customStyle="1" w:styleId="SCCCoramChar">
    <w:name w:val="SCC.Coram Char"/>
    <w:basedOn w:val="DefaultParagraphFont"/>
    <w:link w:val="SCCCoram"/>
    <w:rsid w:val="00A90641"/>
    <w:rPr>
      <w:szCs w:val="24"/>
      <w:u w:val="single"/>
      <w:lang w:val="fr-CA"/>
    </w:rPr>
  </w:style>
  <w:style w:type="paragraph" w:customStyle="1" w:styleId="SCCShortJudgment">
    <w:name w:val="SCC.ShortJudgment"/>
    <w:basedOn w:val="Normal"/>
    <w:qFormat/>
    <w:rsid w:val="00A90641"/>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B91-AF0F-4B78-BC1C-557AD67C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12513</Words>
  <Characters>71330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2010-12-17T19:23:00Z</dcterms:created>
  <dcterms:modified xsi:type="dcterms:W3CDTF">2010-12-17T19:24:00Z</dcterms:modified>
</cp:coreProperties>
</file>