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06D3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06D3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06D3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406D3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06D3C" w:rsidTr="002E5576">
        <w:tc>
          <w:tcPr>
            <w:tcW w:w="4518" w:type="dxa"/>
          </w:tcPr>
          <w:p w:rsidR="00BF25F3" w:rsidRPr="002E2327" w:rsidRDefault="00C478F8"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C478F8"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192850" w:rsidP="00F0068D">
      <w:pPr>
        <w:pBdr>
          <w:bottom w:val="single" w:sz="6" w:space="1" w:color="auto"/>
        </w:pBdr>
        <w:tabs>
          <w:tab w:val="center" w:pos="4680"/>
          <w:tab w:val="right" w:pos="9360"/>
        </w:tabs>
        <w:rPr>
          <w:lang w:val="fr-CA"/>
        </w:rPr>
      </w:pPr>
      <w:r>
        <w:rPr>
          <w:lang w:val="fr-CA"/>
        </w:rPr>
        <w:t>March 18</w:t>
      </w:r>
      <w:r w:rsidR="00440E24" w:rsidRPr="00675479">
        <w:rPr>
          <w:lang w:val="fr-CA"/>
        </w:rPr>
        <w:t>, 201</w:t>
      </w:r>
      <w:r>
        <w:rPr>
          <w:lang w:val="fr-CA"/>
        </w:rPr>
        <w:t>1</w:t>
      </w:r>
      <w:r w:rsidR="00F0068D" w:rsidRPr="00675479">
        <w:rPr>
          <w:lang w:val="fr-CA"/>
        </w:rPr>
        <w:tab/>
      </w:r>
      <w:r>
        <w:rPr>
          <w:lang w:val="fr-CA"/>
        </w:rPr>
        <w:t>375</w:t>
      </w:r>
      <w:r w:rsidR="00F0068D" w:rsidRPr="00675479">
        <w:rPr>
          <w:lang w:val="fr-CA"/>
        </w:rPr>
        <w:t xml:space="preserve"> - </w:t>
      </w:r>
      <w:r w:rsidR="00130D3F">
        <w:rPr>
          <w:lang w:val="fr-CA"/>
        </w:rPr>
        <w:t>413</w:t>
      </w:r>
      <w:r w:rsidR="00440E24" w:rsidRPr="00675479">
        <w:rPr>
          <w:lang w:val="fr-CA"/>
        </w:rPr>
        <w:tab/>
      </w:r>
      <w:r w:rsidR="00440E24" w:rsidRPr="002E2327">
        <w:rPr>
          <w:lang w:val="fr-CA"/>
        </w:rPr>
        <w:t xml:space="preserve">Le </w:t>
      </w:r>
      <w:r>
        <w:rPr>
          <w:lang w:val="fr-CA"/>
        </w:rPr>
        <w:t>18 m</w:t>
      </w:r>
      <w:r w:rsidR="00440E24" w:rsidRPr="002E2327">
        <w:rPr>
          <w:lang w:val="fr-CA"/>
        </w:rPr>
        <w:t>ar</w:t>
      </w:r>
      <w:r>
        <w:rPr>
          <w:lang w:val="fr-CA"/>
        </w:rPr>
        <w:t>s</w:t>
      </w:r>
      <w:r w:rsidR="00440E24" w:rsidRPr="002E2327">
        <w:rPr>
          <w:lang w:val="fr-CA"/>
        </w:rPr>
        <w:t xml:space="preserve"> 201</w:t>
      </w:r>
      <w:r>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EB384B">
            <w:pPr>
              <w:tabs>
                <w:tab w:val="right" w:pos="9360"/>
              </w:tabs>
              <w:rPr>
                <w:rFonts w:cs="Times New Roman"/>
                <w:sz w:val="20"/>
                <w:szCs w:val="20"/>
              </w:rPr>
            </w:pPr>
          </w:p>
        </w:tc>
        <w:tc>
          <w:tcPr>
            <w:tcW w:w="1980" w:type="dxa"/>
          </w:tcPr>
          <w:p w:rsidR="0095096B" w:rsidRPr="002E2327" w:rsidRDefault="00610966" w:rsidP="0095096B">
            <w:pPr>
              <w:jc w:val="center"/>
              <w:rPr>
                <w:rFonts w:cs="Times New Roman"/>
                <w:sz w:val="20"/>
                <w:szCs w:val="20"/>
              </w:rPr>
            </w:pPr>
            <w:r>
              <w:rPr>
                <w:rFonts w:cs="Times New Roman"/>
                <w:sz w:val="20"/>
                <w:szCs w:val="20"/>
              </w:rPr>
              <w:t>375</w:t>
            </w:r>
            <w:r w:rsidR="00C478F8" w:rsidRPr="002E2327">
              <w:rPr>
                <w:rFonts w:cs="Times New Roman"/>
                <w:sz w:val="20"/>
                <w:szCs w:val="20"/>
              </w:rPr>
              <w:fldChar w:fldCharType="begin"/>
            </w:r>
            <w:r w:rsidR="0095096B" w:rsidRPr="002E2327">
              <w:rPr>
                <w:rFonts w:cs="Times New Roman"/>
                <w:sz w:val="20"/>
                <w:szCs w:val="20"/>
              </w:rPr>
              <w:instrText xml:space="preserve"> SEQ CHAPTER \h \r 1</w:instrText>
            </w:r>
            <w:r w:rsidR="00C478F8"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30D3F" w:rsidP="0095096B">
            <w:pPr>
              <w:jc w:val="center"/>
              <w:rPr>
                <w:rFonts w:cs="Times New Roman"/>
                <w:sz w:val="20"/>
                <w:szCs w:val="20"/>
              </w:rPr>
            </w:pPr>
            <w:r>
              <w:rPr>
                <w:rFonts w:cs="Times New Roman"/>
                <w:sz w:val="20"/>
                <w:szCs w:val="20"/>
              </w:rPr>
              <w:t>376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30D3F" w:rsidP="0095096B">
            <w:pPr>
              <w:jc w:val="center"/>
              <w:rPr>
                <w:rFonts w:cs="Times New Roman"/>
                <w:sz w:val="20"/>
                <w:szCs w:val="20"/>
              </w:rPr>
            </w:pPr>
            <w:r>
              <w:rPr>
                <w:rFonts w:cs="Times New Roman"/>
                <w:sz w:val="20"/>
                <w:szCs w:val="20"/>
              </w:rPr>
              <w:t xml:space="preserve">377 </w:t>
            </w:r>
            <w:r w:rsidR="0095096B" w:rsidRPr="002E2327">
              <w:rPr>
                <w:rFonts w:cs="Times New Roman"/>
                <w:sz w:val="20"/>
                <w:szCs w:val="20"/>
              </w:rPr>
              <w:t>-</w:t>
            </w:r>
            <w:r>
              <w:rPr>
                <w:rFonts w:cs="Times New Roman"/>
                <w:sz w:val="20"/>
                <w:szCs w:val="20"/>
              </w:rPr>
              <w:t xml:space="preserve"> 393</w:t>
            </w:r>
          </w:p>
          <w:p w:rsidR="0095096B" w:rsidRDefault="0095096B" w:rsidP="0095096B">
            <w:pPr>
              <w:jc w:val="center"/>
              <w:rPr>
                <w:rFonts w:cs="Times New Roman"/>
                <w:sz w:val="20"/>
                <w:szCs w:val="20"/>
              </w:rPr>
            </w:pPr>
          </w:p>
          <w:p w:rsidR="00EB384B" w:rsidRPr="002E2327" w:rsidRDefault="00EB384B" w:rsidP="0095096B">
            <w:pPr>
              <w:jc w:val="center"/>
              <w:rPr>
                <w:rFonts w:cs="Times New Roman"/>
                <w:sz w:val="20"/>
                <w:szCs w:val="20"/>
              </w:rPr>
            </w:pPr>
          </w:p>
          <w:p w:rsidR="0095096B" w:rsidRPr="002E2327" w:rsidRDefault="00130D3F" w:rsidP="0095096B">
            <w:pPr>
              <w:jc w:val="center"/>
              <w:rPr>
                <w:rFonts w:cs="Times New Roman"/>
                <w:sz w:val="20"/>
                <w:szCs w:val="20"/>
              </w:rPr>
            </w:pPr>
            <w:r>
              <w:rPr>
                <w:rFonts w:cs="Times New Roman"/>
                <w:sz w:val="20"/>
                <w:szCs w:val="20"/>
              </w:rPr>
              <w:t xml:space="preserve">394 </w:t>
            </w:r>
            <w:r w:rsidR="0095096B" w:rsidRPr="002E2327">
              <w:rPr>
                <w:rFonts w:cs="Times New Roman"/>
                <w:sz w:val="20"/>
                <w:szCs w:val="20"/>
              </w:rPr>
              <w:t>-</w:t>
            </w:r>
            <w:r>
              <w:rPr>
                <w:rFonts w:cs="Times New Roman"/>
                <w:sz w:val="20"/>
                <w:szCs w:val="20"/>
              </w:rPr>
              <w:t xml:space="preserve"> 400</w:t>
            </w:r>
          </w:p>
          <w:p w:rsidR="0095096B" w:rsidRPr="002E2327" w:rsidRDefault="0095096B" w:rsidP="0095096B">
            <w:pPr>
              <w:jc w:val="center"/>
              <w:rPr>
                <w:rFonts w:cs="Times New Roman"/>
                <w:sz w:val="20"/>
                <w:szCs w:val="20"/>
              </w:rPr>
            </w:pPr>
          </w:p>
          <w:p w:rsidR="0095096B" w:rsidRPr="002E2327" w:rsidRDefault="00130D3F" w:rsidP="0095096B">
            <w:pPr>
              <w:jc w:val="center"/>
              <w:rPr>
                <w:rFonts w:cs="Times New Roman"/>
                <w:sz w:val="20"/>
                <w:szCs w:val="20"/>
              </w:rPr>
            </w:pPr>
            <w:r>
              <w:rPr>
                <w:rFonts w:cs="Times New Roman"/>
                <w:sz w:val="20"/>
                <w:szCs w:val="20"/>
              </w:rPr>
              <w:t>401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30D3F" w:rsidP="0095096B">
            <w:pPr>
              <w:jc w:val="center"/>
              <w:rPr>
                <w:rFonts w:cs="Times New Roman"/>
                <w:sz w:val="20"/>
                <w:szCs w:val="20"/>
              </w:rPr>
            </w:pPr>
            <w:r>
              <w:rPr>
                <w:rFonts w:cs="Times New Roman"/>
                <w:sz w:val="20"/>
                <w:szCs w:val="20"/>
              </w:rPr>
              <w:t xml:space="preserve">402 </w:t>
            </w:r>
            <w:r w:rsidR="0095096B" w:rsidRPr="002E2327">
              <w:rPr>
                <w:rFonts w:cs="Times New Roman"/>
                <w:sz w:val="20"/>
                <w:szCs w:val="20"/>
              </w:rPr>
              <w:t>-</w:t>
            </w:r>
            <w:r>
              <w:rPr>
                <w:rFonts w:cs="Times New Roman"/>
                <w:sz w:val="20"/>
                <w:szCs w:val="20"/>
              </w:rPr>
              <w:t xml:space="preserve"> 404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30D3F" w:rsidP="0095096B">
            <w:pPr>
              <w:jc w:val="center"/>
              <w:rPr>
                <w:rFonts w:cs="Times New Roman"/>
                <w:sz w:val="20"/>
                <w:szCs w:val="20"/>
              </w:rPr>
            </w:pPr>
            <w:r>
              <w:rPr>
                <w:rFonts w:cs="Times New Roman"/>
                <w:sz w:val="20"/>
                <w:szCs w:val="20"/>
              </w:rPr>
              <w:t>405</w:t>
            </w:r>
          </w:p>
          <w:p w:rsidR="0095096B" w:rsidRDefault="0095096B" w:rsidP="0095096B">
            <w:pPr>
              <w:jc w:val="center"/>
              <w:rPr>
                <w:rFonts w:cs="Times New Roman"/>
                <w:sz w:val="20"/>
                <w:szCs w:val="20"/>
              </w:rPr>
            </w:pPr>
          </w:p>
          <w:p w:rsidR="00EB384B" w:rsidRPr="002E2327" w:rsidRDefault="00EB384B" w:rsidP="0095096B">
            <w:pPr>
              <w:jc w:val="center"/>
              <w:rPr>
                <w:rFonts w:cs="Times New Roman"/>
                <w:sz w:val="20"/>
                <w:szCs w:val="20"/>
              </w:rPr>
            </w:pPr>
          </w:p>
          <w:p w:rsidR="0095096B" w:rsidRPr="002E2327" w:rsidRDefault="00130D3F" w:rsidP="0095096B">
            <w:pPr>
              <w:jc w:val="center"/>
              <w:rPr>
                <w:rFonts w:cs="Times New Roman"/>
                <w:sz w:val="20"/>
                <w:szCs w:val="20"/>
              </w:rPr>
            </w:pPr>
            <w:r>
              <w:rPr>
                <w:rFonts w:cs="Times New Roman"/>
                <w:sz w:val="20"/>
                <w:szCs w:val="20"/>
              </w:rPr>
              <w:t xml:space="preserve">406 </w:t>
            </w:r>
            <w:r w:rsidR="0095096B" w:rsidRPr="002E2327">
              <w:rPr>
                <w:rFonts w:cs="Times New Roman"/>
                <w:sz w:val="20"/>
                <w:szCs w:val="20"/>
              </w:rPr>
              <w:t>-</w:t>
            </w:r>
            <w:r>
              <w:rPr>
                <w:rFonts w:cs="Times New Roman"/>
                <w:sz w:val="20"/>
                <w:szCs w:val="20"/>
              </w:rPr>
              <w:t xml:space="preserve"> 413</w:t>
            </w:r>
          </w:p>
          <w:p w:rsidR="00A87207" w:rsidRPr="002E2327" w:rsidRDefault="00A87207" w:rsidP="00EB384B">
            <w:pPr>
              <w:tabs>
                <w:tab w:val="right" w:pos="9360"/>
              </w:tabs>
              <w:jc w:val="center"/>
              <w:rPr>
                <w:rFonts w:cs="Times New Roman"/>
                <w:sz w:val="20"/>
                <w:szCs w:val="20"/>
              </w:rPr>
            </w:pPr>
          </w:p>
        </w:tc>
        <w:tc>
          <w:tcPr>
            <w:tcW w:w="3888" w:type="dxa"/>
          </w:tcPr>
          <w:p w:rsidR="0095096B" w:rsidRPr="002E2327" w:rsidRDefault="00C478F8"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EB384B" w:rsidRDefault="00EB384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EB384B">
            <w:pPr>
              <w:tabs>
                <w:tab w:val="right" w:pos="9360"/>
              </w:tabs>
              <w:rPr>
                <w:rFonts w:cs="Times New Roman"/>
                <w:sz w:val="20"/>
                <w:szCs w:val="20"/>
                <w:lang w:val="fr-CA"/>
              </w:rPr>
            </w:pPr>
          </w:p>
        </w:tc>
      </w:tr>
    </w:tbl>
    <w:p w:rsidR="0095096B" w:rsidRDefault="0095096B" w:rsidP="0095096B">
      <w:pPr>
        <w:tabs>
          <w:tab w:val="right" w:pos="9360"/>
        </w:tabs>
      </w:pPr>
    </w:p>
    <w:p w:rsidR="00EB384B" w:rsidRDefault="00EB384B" w:rsidP="0095096B">
      <w:pPr>
        <w:tabs>
          <w:tab w:val="right" w:pos="9360"/>
        </w:tabs>
      </w:pPr>
    </w:p>
    <w:p w:rsidR="00EB384B" w:rsidRDefault="00EB384B" w:rsidP="0095096B">
      <w:pPr>
        <w:tabs>
          <w:tab w:val="right" w:pos="9360"/>
        </w:tabs>
      </w:pPr>
    </w:p>
    <w:p w:rsidR="00EB384B" w:rsidRDefault="00EB384B" w:rsidP="0095096B">
      <w:pPr>
        <w:tabs>
          <w:tab w:val="right" w:pos="9360"/>
        </w:tabs>
      </w:pPr>
    </w:p>
    <w:p w:rsidR="00EB384B" w:rsidRPr="002E2327" w:rsidRDefault="00EB384B" w:rsidP="0095096B">
      <w:pPr>
        <w:tabs>
          <w:tab w:val="right" w:pos="9360"/>
        </w:tabs>
      </w:pPr>
    </w:p>
    <w:tbl>
      <w:tblPr>
        <w:tblStyle w:val="TableGrid"/>
        <w:tblW w:w="0" w:type="auto"/>
        <w:tblLook w:val="04A0"/>
      </w:tblPr>
      <w:tblGrid>
        <w:gridCol w:w="9576"/>
      </w:tblGrid>
      <w:tr w:rsidR="0079724F" w:rsidRPr="00406D3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4F651C" w:rsidRDefault="00FA075D" w:rsidP="003B3977">
            <w:pPr>
              <w:rPr>
                <w:b/>
                <w:sz w:val="20"/>
                <w:szCs w:val="20"/>
                <w:lang w:val="fr-CA"/>
              </w:rPr>
            </w:pPr>
            <w:r w:rsidRPr="004F651C">
              <w:rPr>
                <w:b/>
                <w:sz w:val="20"/>
                <w:szCs w:val="20"/>
                <w:lang w:val="fr-CA"/>
              </w:rPr>
              <w:t xml:space="preserve">Stéphane </w:t>
            </w:r>
            <w:proofErr w:type="spellStart"/>
            <w:r w:rsidRPr="004F651C">
              <w:rPr>
                <w:b/>
                <w:sz w:val="20"/>
                <w:szCs w:val="20"/>
                <w:lang w:val="fr-CA"/>
              </w:rPr>
              <w:t>Rozier</w:t>
            </w:r>
            <w:proofErr w:type="spellEnd"/>
          </w:p>
          <w:p w:rsidR="00242AEE" w:rsidRPr="004F651C" w:rsidRDefault="00242AEE" w:rsidP="003B3977">
            <w:pPr>
              <w:tabs>
                <w:tab w:val="left" w:pos="-1440"/>
                <w:tab w:val="left" w:pos="-720"/>
              </w:tabs>
              <w:rPr>
                <w:sz w:val="20"/>
                <w:szCs w:val="20"/>
                <w:lang w:val="fr-CA"/>
              </w:rPr>
            </w:pPr>
            <w:r w:rsidRPr="004F651C">
              <w:rPr>
                <w:sz w:val="20"/>
                <w:szCs w:val="20"/>
                <w:lang w:val="fr-CA"/>
              </w:rPr>
              <w:tab/>
            </w:r>
            <w:r w:rsidR="00FA075D" w:rsidRPr="004F651C">
              <w:rPr>
                <w:sz w:val="20"/>
                <w:szCs w:val="20"/>
                <w:lang w:val="fr-CA"/>
              </w:rPr>
              <w:t xml:space="preserve">Stéphane </w:t>
            </w:r>
            <w:proofErr w:type="spellStart"/>
            <w:r w:rsidR="00FA075D" w:rsidRPr="004F651C">
              <w:rPr>
                <w:sz w:val="20"/>
                <w:szCs w:val="20"/>
                <w:lang w:val="fr-CA"/>
              </w:rPr>
              <w:t>Rozier</w:t>
            </w:r>
            <w:proofErr w:type="spellEnd"/>
          </w:p>
          <w:p w:rsidR="00242AEE" w:rsidRPr="004F651C" w:rsidRDefault="00242AEE" w:rsidP="003B3977">
            <w:pPr>
              <w:tabs>
                <w:tab w:val="left" w:pos="-1440"/>
                <w:tab w:val="left" w:pos="-720"/>
              </w:tabs>
              <w:rPr>
                <w:sz w:val="20"/>
                <w:szCs w:val="20"/>
                <w:lang w:val="fr-CA"/>
              </w:rPr>
            </w:pPr>
          </w:p>
          <w:p w:rsidR="00242AEE" w:rsidRPr="004F651C" w:rsidRDefault="00242AEE" w:rsidP="003B3977">
            <w:pPr>
              <w:tabs>
                <w:tab w:val="left" w:pos="-1440"/>
                <w:tab w:val="left" w:pos="-720"/>
              </w:tabs>
              <w:rPr>
                <w:sz w:val="20"/>
                <w:szCs w:val="20"/>
                <w:lang w:val="fr-CA"/>
              </w:rPr>
            </w:pPr>
            <w:r w:rsidRPr="004F651C">
              <w:rPr>
                <w:sz w:val="20"/>
                <w:szCs w:val="20"/>
                <w:lang w:val="fr-CA"/>
              </w:rPr>
              <w:tab/>
            </w:r>
            <w:r w:rsidR="00FA075D" w:rsidRPr="004F651C">
              <w:rPr>
                <w:sz w:val="20"/>
                <w:szCs w:val="20"/>
                <w:lang w:val="fr-CA"/>
              </w:rPr>
              <w:t>c</w:t>
            </w:r>
            <w:r w:rsidRPr="004F651C">
              <w:rPr>
                <w:sz w:val="20"/>
                <w:szCs w:val="20"/>
                <w:lang w:val="fr-CA"/>
              </w:rPr>
              <w:t>. (3</w:t>
            </w:r>
            <w:r w:rsidR="00192850" w:rsidRPr="004F651C">
              <w:rPr>
                <w:sz w:val="20"/>
                <w:szCs w:val="20"/>
                <w:lang w:val="fr-CA"/>
              </w:rPr>
              <w:t>4</w:t>
            </w:r>
            <w:r w:rsidR="00FA075D" w:rsidRPr="004F651C">
              <w:rPr>
                <w:sz w:val="20"/>
                <w:szCs w:val="20"/>
                <w:lang w:val="fr-CA"/>
              </w:rPr>
              <w:t>126</w:t>
            </w:r>
            <w:r w:rsidRPr="004F651C">
              <w:rPr>
                <w:sz w:val="20"/>
                <w:szCs w:val="20"/>
                <w:lang w:val="fr-CA"/>
              </w:rPr>
              <w:t>)</w:t>
            </w:r>
          </w:p>
          <w:p w:rsidR="00242AEE" w:rsidRPr="004F651C" w:rsidRDefault="00242AEE" w:rsidP="003B3977">
            <w:pPr>
              <w:tabs>
                <w:tab w:val="left" w:pos="-1440"/>
                <w:tab w:val="left" w:pos="-720"/>
              </w:tabs>
              <w:rPr>
                <w:sz w:val="20"/>
                <w:szCs w:val="20"/>
                <w:lang w:val="fr-CA"/>
              </w:rPr>
            </w:pPr>
          </w:p>
          <w:p w:rsidR="00242AEE" w:rsidRPr="00FA075D" w:rsidRDefault="00FA075D" w:rsidP="003B3977">
            <w:pPr>
              <w:tabs>
                <w:tab w:val="left" w:pos="-1440"/>
                <w:tab w:val="left" w:pos="-720"/>
              </w:tabs>
              <w:rPr>
                <w:b/>
                <w:sz w:val="20"/>
                <w:szCs w:val="20"/>
                <w:lang w:val="fr-CA"/>
              </w:rPr>
            </w:pPr>
            <w:r w:rsidRPr="00FA075D">
              <w:rPr>
                <w:b/>
                <w:sz w:val="20"/>
                <w:szCs w:val="20"/>
                <w:lang w:val="fr-CA"/>
              </w:rPr>
              <w:t xml:space="preserve">Commission des lésions professionnelles </w:t>
            </w:r>
            <w:r w:rsidR="00192850" w:rsidRPr="00FA075D">
              <w:rPr>
                <w:b/>
                <w:sz w:val="20"/>
                <w:szCs w:val="20"/>
                <w:lang w:val="fr-CA"/>
              </w:rPr>
              <w:t>(</w:t>
            </w:r>
            <w:proofErr w:type="spellStart"/>
            <w:r w:rsidRPr="00FA075D">
              <w:rPr>
                <w:b/>
                <w:sz w:val="20"/>
                <w:szCs w:val="20"/>
                <w:lang w:val="fr-CA"/>
              </w:rPr>
              <w:t>Qc</w:t>
            </w:r>
            <w:proofErr w:type="spellEnd"/>
            <w:r w:rsidR="00242AEE" w:rsidRPr="00FA075D">
              <w:rPr>
                <w:b/>
                <w:sz w:val="20"/>
                <w:szCs w:val="20"/>
                <w:lang w:val="fr-CA"/>
              </w:rPr>
              <w:t>)</w:t>
            </w:r>
          </w:p>
          <w:p w:rsidR="00242AEE" w:rsidRPr="00FA075D" w:rsidRDefault="00242AEE" w:rsidP="003B3977">
            <w:pPr>
              <w:tabs>
                <w:tab w:val="left" w:pos="-1440"/>
                <w:tab w:val="left" w:pos="-720"/>
              </w:tabs>
              <w:rPr>
                <w:sz w:val="20"/>
                <w:szCs w:val="20"/>
                <w:lang w:val="fr-CA"/>
              </w:rPr>
            </w:pPr>
            <w:r w:rsidRPr="00FA075D">
              <w:rPr>
                <w:sz w:val="20"/>
                <w:szCs w:val="20"/>
                <w:lang w:val="fr-CA"/>
              </w:rPr>
              <w:tab/>
            </w:r>
            <w:r w:rsidR="00FA075D">
              <w:rPr>
                <w:sz w:val="20"/>
                <w:szCs w:val="20"/>
                <w:lang w:val="fr-CA"/>
              </w:rPr>
              <w:t>Julie Ladouceur</w:t>
            </w:r>
          </w:p>
          <w:p w:rsidR="00242AEE" w:rsidRPr="00FA075D" w:rsidRDefault="00242AEE" w:rsidP="003B3977">
            <w:pPr>
              <w:tabs>
                <w:tab w:val="left" w:pos="-1440"/>
                <w:tab w:val="left" w:pos="-720"/>
              </w:tabs>
              <w:rPr>
                <w:sz w:val="20"/>
                <w:szCs w:val="20"/>
                <w:lang w:val="fr-CA"/>
              </w:rPr>
            </w:pPr>
            <w:r w:rsidRPr="00FA075D">
              <w:rPr>
                <w:sz w:val="20"/>
                <w:szCs w:val="20"/>
                <w:lang w:val="fr-CA"/>
              </w:rPr>
              <w:tab/>
            </w:r>
            <w:r w:rsidR="00FA075D">
              <w:rPr>
                <w:sz w:val="20"/>
                <w:szCs w:val="20"/>
                <w:lang w:val="fr-CA"/>
              </w:rPr>
              <w:t>Commission des lésions professionnelles</w:t>
            </w:r>
          </w:p>
          <w:p w:rsidR="00242AEE" w:rsidRPr="00FA075D" w:rsidRDefault="00242AEE" w:rsidP="003B3977">
            <w:pPr>
              <w:tabs>
                <w:tab w:val="left" w:pos="-1440"/>
                <w:tab w:val="left" w:pos="-720"/>
              </w:tabs>
              <w:rPr>
                <w:sz w:val="20"/>
                <w:szCs w:val="20"/>
                <w:lang w:val="fr-CA"/>
              </w:rPr>
            </w:pPr>
          </w:p>
          <w:p w:rsidR="00242AEE" w:rsidRPr="00A935AA" w:rsidRDefault="00242AEE" w:rsidP="003B3977">
            <w:pPr>
              <w:rPr>
                <w:sz w:val="20"/>
                <w:szCs w:val="20"/>
              </w:rPr>
            </w:pPr>
            <w:r w:rsidRPr="00A935AA">
              <w:rPr>
                <w:sz w:val="20"/>
                <w:szCs w:val="20"/>
              </w:rPr>
              <w:t>DATE</w:t>
            </w:r>
            <w:r w:rsidR="00FA075D">
              <w:rPr>
                <w:sz w:val="20"/>
                <w:szCs w:val="20"/>
              </w:rPr>
              <w:t xml:space="preserve"> DE PRODUCTION </w:t>
            </w:r>
            <w:r w:rsidRPr="00A935AA">
              <w:rPr>
                <w:sz w:val="20"/>
                <w:szCs w:val="20"/>
              </w:rPr>
              <w:t xml:space="preserve">: </w:t>
            </w:r>
            <w:r w:rsidR="00FA075D">
              <w:rPr>
                <w:sz w:val="20"/>
                <w:szCs w:val="20"/>
              </w:rPr>
              <w:t>07.01.2011</w:t>
            </w:r>
          </w:p>
          <w:p w:rsidR="00242AEE" w:rsidRPr="00A935AA" w:rsidRDefault="00C478F8" w:rsidP="003B3977">
            <w:pPr>
              <w:rPr>
                <w:sz w:val="20"/>
                <w:szCs w:val="20"/>
              </w:rPr>
            </w:pPr>
            <w:r w:rsidRPr="00C478F8">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856A0C" w:rsidRDefault="00F121C7" w:rsidP="003B3977">
            <w:pPr>
              <w:keepNext/>
              <w:keepLines/>
              <w:tabs>
                <w:tab w:val="left" w:pos="-1440"/>
                <w:tab w:val="left" w:pos="-720"/>
              </w:tabs>
              <w:rPr>
                <w:b/>
                <w:sz w:val="20"/>
                <w:szCs w:val="20"/>
                <w:lang w:val="fr-CA"/>
              </w:rPr>
            </w:pPr>
            <w:r w:rsidRPr="00856A0C">
              <w:rPr>
                <w:b/>
                <w:sz w:val="20"/>
                <w:szCs w:val="20"/>
                <w:lang w:val="fr-CA"/>
              </w:rPr>
              <w:t xml:space="preserve">Roberta Lu et al. </w:t>
            </w:r>
          </w:p>
          <w:p w:rsidR="00242AEE" w:rsidRPr="00856A0C" w:rsidRDefault="00242AEE" w:rsidP="003B3977">
            <w:pPr>
              <w:keepNext/>
              <w:keepLines/>
              <w:tabs>
                <w:tab w:val="left" w:pos="-1440"/>
                <w:tab w:val="left" w:pos="-720"/>
              </w:tabs>
              <w:rPr>
                <w:sz w:val="20"/>
                <w:szCs w:val="20"/>
                <w:lang w:val="fr-CA"/>
              </w:rPr>
            </w:pPr>
            <w:r w:rsidRPr="00856A0C">
              <w:rPr>
                <w:sz w:val="20"/>
                <w:szCs w:val="20"/>
                <w:lang w:val="fr-CA"/>
              </w:rPr>
              <w:tab/>
            </w:r>
            <w:r w:rsidR="00F121C7" w:rsidRPr="00856A0C">
              <w:rPr>
                <w:sz w:val="20"/>
                <w:szCs w:val="20"/>
                <w:lang w:val="fr-CA"/>
              </w:rPr>
              <w:t>Roberta Lu</w:t>
            </w:r>
          </w:p>
          <w:p w:rsidR="00242AEE" w:rsidRPr="00856A0C" w:rsidRDefault="00242AEE" w:rsidP="003B3977">
            <w:pPr>
              <w:keepNext/>
              <w:keepLines/>
              <w:tabs>
                <w:tab w:val="left" w:pos="-1440"/>
                <w:tab w:val="left" w:pos="-720"/>
              </w:tabs>
              <w:rPr>
                <w:sz w:val="20"/>
                <w:szCs w:val="20"/>
                <w:lang w:val="fr-CA"/>
              </w:rPr>
            </w:pPr>
          </w:p>
          <w:p w:rsidR="00242AEE" w:rsidRPr="00856A0C" w:rsidRDefault="00242AEE" w:rsidP="003B3977">
            <w:pPr>
              <w:keepNext/>
              <w:keepLines/>
              <w:tabs>
                <w:tab w:val="left" w:pos="-1440"/>
                <w:tab w:val="left" w:pos="-720"/>
              </w:tabs>
              <w:rPr>
                <w:sz w:val="20"/>
                <w:szCs w:val="20"/>
              </w:rPr>
            </w:pPr>
            <w:r w:rsidRPr="00856A0C">
              <w:rPr>
                <w:sz w:val="20"/>
                <w:szCs w:val="20"/>
                <w:lang w:val="fr-CA"/>
              </w:rPr>
              <w:tab/>
            </w:r>
            <w:r w:rsidRPr="00856A0C">
              <w:rPr>
                <w:sz w:val="20"/>
                <w:szCs w:val="20"/>
              </w:rPr>
              <w:t>v. (3</w:t>
            </w:r>
            <w:r w:rsidR="00F121C7" w:rsidRPr="00856A0C">
              <w:rPr>
                <w:sz w:val="20"/>
                <w:szCs w:val="20"/>
              </w:rPr>
              <w:t>362</w:t>
            </w:r>
            <w:r w:rsidR="00192850" w:rsidRPr="00856A0C">
              <w:rPr>
                <w:sz w:val="20"/>
                <w:szCs w:val="20"/>
              </w:rPr>
              <w:t>4</w:t>
            </w:r>
            <w:r w:rsidRPr="00856A0C">
              <w:rPr>
                <w:sz w:val="20"/>
                <w:szCs w:val="20"/>
              </w:rPr>
              <w:t>)</w:t>
            </w:r>
          </w:p>
          <w:p w:rsidR="00242AEE" w:rsidRPr="00856A0C" w:rsidRDefault="00242AEE" w:rsidP="003B3977">
            <w:pPr>
              <w:keepNext/>
              <w:keepLines/>
              <w:tabs>
                <w:tab w:val="left" w:pos="-1440"/>
                <w:tab w:val="left" w:pos="-720"/>
              </w:tabs>
              <w:rPr>
                <w:sz w:val="20"/>
                <w:szCs w:val="20"/>
              </w:rPr>
            </w:pPr>
          </w:p>
          <w:p w:rsidR="00242AEE" w:rsidRPr="00856A0C" w:rsidRDefault="00F121C7" w:rsidP="003B3977">
            <w:pPr>
              <w:keepNext/>
              <w:keepLines/>
              <w:tabs>
                <w:tab w:val="left" w:pos="-1440"/>
                <w:tab w:val="left" w:pos="-720"/>
              </w:tabs>
              <w:rPr>
                <w:b/>
                <w:sz w:val="20"/>
                <w:szCs w:val="20"/>
              </w:rPr>
            </w:pPr>
            <w:r w:rsidRPr="00856A0C">
              <w:rPr>
                <w:b/>
                <w:sz w:val="20"/>
                <w:szCs w:val="20"/>
              </w:rPr>
              <w:t>John</w:t>
            </w:r>
            <w:r w:rsidR="00856A0C" w:rsidRPr="00856A0C">
              <w:rPr>
                <w:b/>
                <w:sz w:val="20"/>
                <w:szCs w:val="20"/>
              </w:rPr>
              <w:t xml:space="preserve"> Joseph </w:t>
            </w:r>
            <w:proofErr w:type="spellStart"/>
            <w:r w:rsidR="00856A0C" w:rsidRPr="00856A0C">
              <w:rPr>
                <w:b/>
                <w:sz w:val="20"/>
                <w:szCs w:val="20"/>
              </w:rPr>
              <w:t>Padelt</w:t>
            </w:r>
            <w:proofErr w:type="spellEnd"/>
            <w:r w:rsidR="00856A0C" w:rsidRPr="00856A0C">
              <w:rPr>
                <w:b/>
                <w:sz w:val="20"/>
                <w:szCs w:val="20"/>
              </w:rPr>
              <w:t xml:space="preserve"> </w:t>
            </w:r>
            <w:r w:rsidR="00242AEE" w:rsidRPr="00856A0C">
              <w:rPr>
                <w:b/>
                <w:sz w:val="20"/>
                <w:szCs w:val="20"/>
              </w:rPr>
              <w:t>(Ont.)</w:t>
            </w:r>
          </w:p>
          <w:p w:rsidR="00242AEE" w:rsidRPr="00856A0C" w:rsidRDefault="00242AEE" w:rsidP="003B3977">
            <w:pPr>
              <w:keepNext/>
              <w:keepLines/>
              <w:tabs>
                <w:tab w:val="left" w:pos="-1440"/>
                <w:tab w:val="left" w:pos="-720"/>
              </w:tabs>
              <w:rPr>
                <w:sz w:val="20"/>
                <w:szCs w:val="20"/>
              </w:rPr>
            </w:pPr>
            <w:r w:rsidRPr="00856A0C">
              <w:rPr>
                <w:sz w:val="20"/>
                <w:szCs w:val="20"/>
              </w:rPr>
              <w:tab/>
            </w:r>
            <w:r w:rsidR="00856A0C">
              <w:rPr>
                <w:sz w:val="20"/>
                <w:szCs w:val="20"/>
              </w:rPr>
              <w:t xml:space="preserve">Frank </w:t>
            </w:r>
            <w:proofErr w:type="spellStart"/>
            <w:r w:rsidR="00856A0C">
              <w:rPr>
                <w:sz w:val="20"/>
                <w:szCs w:val="20"/>
              </w:rPr>
              <w:t>Highley</w:t>
            </w:r>
            <w:proofErr w:type="spellEnd"/>
          </w:p>
          <w:p w:rsidR="00242AEE" w:rsidRPr="00856A0C" w:rsidRDefault="00242AEE" w:rsidP="003B3977">
            <w:pPr>
              <w:keepNext/>
              <w:keepLines/>
              <w:tabs>
                <w:tab w:val="left" w:pos="-1440"/>
                <w:tab w:val="left" w:pos="-720"/>
              </w:tabs>
              <w:rPr>
                <w:sz w:val="20"/>
                <w:szCs w:val="20"/>
              </w:rPr>
            </w:pPr>
            <w:r w:rsidRPr="00856A0C">
              <w:rPr>
                <w:sz w:val="20"/>
                <w:szCs w:val="20"/>
              </w:rPr>
              <w:tab/>
            </w:r>
            <w:r w:rsidR="00B51AA1">
              <w:rPr>
                <w:sz w:val="20"/>
                <w:szCs w:val="20"/>
              </w:rPr>
              <w:t xml:space="preserve">Cohen </w:t>
            </w:r>
            <w:proofErr w:type="spellStart"/>
            <w:r w:rsidR="00B51AA1">
              <w:rPr>
                <w:sz w:val="20"/>
                <w:szCs w:val="20"/>
              </w:rPr>
              <w:t>Highley</w:t>
            </w:r>
            <w:proofErr w:type="spellEnd"/>
            <w:r w:rsidR="00B51AA1">
              <w:rPr>
                <w:sz w:val="20"/>
                <w:szCs w:val="20"/>
              </w:rPr>
              <w:t xml:space="preserve"> LLP</w:t>
            </w:r>
          </w:p>
          <w:p w:rsidR="00242AEE" w:rsidRPr="00856A0C" w:rsidRDefault="00242AEE" w:rsidP="003B3977">
            <w:pPr>
              <w:keepNext/>
              <w:keepLines/>
              <w:tabs>
                <w:tab w:val="left" w:pos="-1440"/>
                <w:tab w:val="left" w:pos="-720"/>
              </w:tabs>
              <w:rPr>
                <w:sz w:val="20"/>
                <w:szCs w:val="20"/>
              </w:rPr>
            </w:pPr>
          </w:p>
          <w:p w:rsidR="00242AEE" w:rsidRPr="00A935AA" w:rsidRDefault="00242AEE" w:rsidP="00192850">
            <w:pPr>
              <w:rPr>
                <w:sz w:val="20"/>
                <w:szCs w:val="20"/>
              </w:rPr>
            </w:pPr>
            <w:r w:rsidRPr="00A935AA">
              <w:rPr>
                <w:sz w:val="20"/>
                <w:szCs w:val="20"/>
              </w:rPr>
              <w:t xml:space="preserve">FILING DATE: </w:t>
            </w:r>
            <w:r w:rsidR="00B51AA1">
              <w:rPr>
                <w:sz w:val="20"/>
                <w:szCs w:val="20"/>
              </w:rPr>
              <w:t>04.02.2011</w:t>
            </w:r>
            <w:r w:rsidR="00C478F8" w:rsidRPr="00C478F8">
              <w:rPr>
                <w:sz w:val="20"/>
                <w:szCs w:val="20"/>
                <w:lang w:val="fr-CA"/>
              </w:rPr>
              <w:pict>
                <v:rect id="_x0000_i1026" style="width:108pt;height:1pt" o:hrpct="0" o:hralign="center" o:hrstd="t" o:hrnoshade="t" o:hr="t" fillcolor="black [3213]" stroked="f"/>
              </w:pict>
            </w:r>
          </w:p>
        </w:tc>
      </w:tr>
      <w:tr w:rsidR="00FA075D" w:rsidRPr="003A40EC" w:rsidTr="003B3977">
        <w:tc>
          <w:tcPr>
            <w:tcW w:w="4320" w:type="dxa"/>
            <w:shd w:val="clear" w:color="auto" w:fill="auto"/>
          </w:tcPr>
          <w:p w:rsidR="00FA075D" w:rsidRPr="00A935AA" w:rsidRDefault="003A40EC" w:rsidP="00856A0C">
            <w:pPr>
              <w:rPr>
                <w:b/>
                <w:sz w:val="20"/>
                <w:szCs w:val="20"/>
              </w:rPr>
            </w:pPr>
            <w:proofErr w:type="spellStart"/>
            <w:r>
              <w:rPr>
                <w:b/>
                <w:sz w:val="20"/>
                <w:szCs w:val="20"/>
              </w:rPr>
              <w:t>Alfreda</w:t>
            </w:r>
            <w:proofErr w:type="spellEnd"/>
            <w:r>
              <w:rPr>
                <w:b/>
                <w:sz w:val="20"/>
                <w:szCs w:val="20"/>
              </w:rPr>
              <w:t xml:space="preserve"> </w:t>
            </w:r>
            <w:proofErr w:type="spellStart"/>
            <w:r>
              <w:rPr>
                <w:b/>
                <w:sz w:val="20"/>
                <w:szCs w:val="20"/>
              </w:rPr>
              <w:t>Melkowska</w:t>
            </w:r>
            <w:proofErr w:type="spellEnd"/>
          </w:p>
          <w:p w:rsidR="00FA075D" w:rsidRPr="00A935AA" w:rsidRDefault="00FA075D" w:rsidP="00856A0C">
            <w:pPr>
              <w:tabs>
                <w:tab w:val="left" w:pos="-1440"/>
                <w:tab w:val="left" w:pos="-720"/>
              </w:tabs>
              <w:rPr>
                <w:sz w:val="20"/>
                <w:szCs w:val="20"/>
              </w:rPr>
            </w:pPr>
            <w:r w:rsidRPr="00A935AA">
              <w:rPr>
                <w:sz w:val="20"/>
                <w:szCs w:val="20"/>
              </w:rPr>
              <w:tab/>
            </w:r>
            <w:proofErr w:type="spellStart"/>
            <w:r w:rsidR="003A40EC">
              <w:rPr>
                <w:sz w:val="20"/>
                <w:szCs w:val="20"/>
              </w:rPr>
              <w:t>Alfreda</w:t>
            </w:r>
            <w:proofErr w:type="spellEnd"/>
            <w:r w:rsidR="003A40EC">
              <w:rPr>
                <w:sz w:val="20"/>
                <w:szCs w:val="20"/>
              </w:rPr>
              <w:t xml:space="preserve"> </w:t>
            </w:r>
            <w:proofErr w:type="spellStart"/>
            <w:r w:rsidR="003A40EC">
              <w:rPr>
                <w:sz w:val="20"/>
                <w:szCs w:val="20"/>
              </w:rPr>
              <w:t>Melkowska</w:t>
            </w:r>
            <w:proofErr w:type="spellEnd"/>
          </w:p>
          <w:p w:rsidR="00FA075D" w:rsidRPr="00A935AA" w:rsidRDefault="00FA075D" w:rsidP="00856A0C">
            <w:pPr>
              <w:tabs>
                <w:tab w:val="left" w:pos="-1440"/>
                <w:tab w:val="left" w:pos="-720"/>
              </w:tabs>
              <w:rPr>
                <w:sz w:val="20"/>
                <w:szCs w:val="20"/>
              </w:rPr>
            </w:pPr>
          </w:p>
          <w:p w:rsidR="00FA075D" w:rsidRPr="0076568E" w:rsidRDefault="00FA075D" w:rsidP="00856A0C">
            <w:pPr>
              <w:tabs>
                <w:tab w:val="left" w:pos="-1440"/>
                <w:tab w:val="left" w:pos="-720"/>
              </w:tabs>
              <w:rPr>
                <w:sz w:val="20"/>
                <w:szCs w:val="20"/>
              </w:rPr>
            </w:pPr>
            <w:r w:rsidRPr="00A935AA">
              <w:rPr>
                <w:sz w:val="20"/>
                <w:szCs w:val="20"/>
              </w:rPr>
              <w:tab/>
            </w:r>
            <w:r w:rsidR="003A40EC">
              <w:rPr>
                <w:sz w:val="20"/>
                <w:szCs w:val="20"/>
              </w:rPr>
              <w:t>c</w:t>
            </w:r>
            <w:r w:rsidRPr="0076568E">
              <w:rPr>
                <w:sz w:val="20"/>
                <w:szCs w:val="20"/>
              </w:rPr>
              <w:t>. (34</w:t>
            </w:r>
            <w:r w:rsidR="003A40EC" w:rsidRPr="0076568E">
              <w:rPr>
                <w:sz w:val="20"/>
                <w:szCs w:val="20"/>
              </w:rPr>
              <w:t>123</w:t>
            </w:r>
            <w:r w:rsidRPr="0076568E">
              <w:rPr>
                <w:sz w:val="20"/>
                <w:szCs w:val="20"/>
              </w:rPr>
              <w:t>)</w:t>
            </w:r>
          </w:p>
          <w:p w:rsidR="00FA075D" w:rsidRPr="0076568E" w:rsidRDefault="00FA075D" w:rsidP="00856A0C">
            <w:pPr>
              <w:tabs>
                <w:tab w:val="left" w:pos="-1440"/>
                <w:tab w:val="left" w:pos="-720"/>
              </w:tabs>
              <w:rPr>
                <w:sz w:val="20"/>
                <w:szCs w:val="20"/>
              </w:rPr>
            </w:pPr>
          </w:p>
          <w:p w:rsidR="00FA075D" w:rsidRPr="003A40EC" w:rsidRDefault="003A40EC" w:rsidP="00856A0C">
            <w:pPr>
              <w:tabs>
                <w:tab w:val="left" w:pos="-1440"/>
                <w:tab w:val="left" w:pos="-720"/>
              </w:tabs>
              <w:rPr>
                <w:b/>
                <w:sz w:val="20"/>
                <w:szCs w:val="20"/>
                <w:lang w:val="fr-CA"/>
              </w:rPr>
            </w:pPr>
            <w:r w:rsidRPr="003A40EC">
              <w:rPr>
                <w:b/>
                <w:sz w:val="20"/>
                <w:szCs w:val="20"/>
                <w:lang w:val="fr-CA"/>
              </w:rPr>
              <w:t xml:space="preserve">Office municipal d’habitation de Gatineau </w:t>
            </w:r>
            <w:r w:rsidR="00FA075D" w:rsidRPr="003A40EC">
              <w:rPr>
                <w:b/>
                <w:sz w:val="20"/>
                <w:szCs w:val="20"/>
                <w:lang w:val="fr-CA"/>
              </w:rPr>
              <w:t>(</w:t>
            </w:r>
            <w:proofErr w:type="spellStart"/>
            <w:r w:rsidRPr="003A40EC">
              <w:rPr>
                <w:b/>
                <w:sz w:val="20"/>
                <w:szCs w:val="20"/>
                <w:lang w:val="fr-CA"/>
              </w:rPr>
              <w:t>Qc</w:t>
            </w:r>
            <w:proofErr w:type="spellEnd"/>
            <w:r w:rsidR="00FA075D" w:rsidRPr="003A40EC">
              <w:rPr>
                <w:b/>
                <w:sz w:val="20"/>
                <w:szCs w:val="20"/>
                <w:lang w:val="fr-CA"/>
              </w:rPr>
              <w:t>)</w:t>
            </w:r>
          </w:p>
          <w:p w:rsidR="00FA075D" w:rsidRPr="003A40EC" w:rsidRDefault="00FA075D" w:rsidP="00856A0C">
            <w:pPr>
              <w:tabs>
                <w:tab w:val="left" w:pos="-1440"/>
                <w:tab w:val="left" w:pos="-720"/>
              </w:tabs>
              <w:rPr>
                <w:sz w:val="20"/>
                <w:szCs w:val="20"/>
                <w:lang w:val="fr-CA"/>
              </w:rPr>
            </w:pPr>
            <w:r w:rsidRPr="003A40EC">
              <w:rPr>
                <w:sz w:val="20"/>
                <w:szCs w:val="20"/>
                <w:lang w:val="fr-CA"/>
              </w:rPr>
              <w:tab/>
            </w:r>
            <w:r w:rsidR="003A40EC">
              <w:rPr>
                <w:sz w:val="20"/>
                <w:szCs w:val="20"/>
                <w:lang w:val="fr-CA"/>
              </w:rPr>
              <w:t xml:space="preserve">Monique </w:t>
            </w:r>
            <w:proofErr w:type="spellStart"/>
            <w:r w:rsidR="003A40EC">
              <w:rPr>
                <w:sz w:val="20"/>
                <w:szCs w:val="20"/>
                <w:lang w:val="fr-CA"/>
              </w:rPr>
              <w:t>Bourgon</w:t>
            </w:r>
            <w:proofErr w:type="spellEnd"/>
          </w:p>
          <w:p w:rsidR="00FA075D" w:rsidRPr="003A40EC" w:rsidRDefault="00FA075D" w:rsidP="00856A0C">
            <w:pPr>
              <w:tabs>
                <w:tab w:val="left" w:pos="-1440"/>
                <w:tab w:val="left" w:pos="-720"/>
              </w:tabs>
              <w:rPr>
                <w:sz w:val="20"/>
                <w:szCs w:val="20"/>
                <w:lang w:val="fr-CA"/>
              </w:rPr>
            </w:pPr>
          </w:p>
          <w:p w:rsidR="00FA075D" w:rsidRPr="0076568E" w:rsidRDefault="00FA075D" w:rsidP="00856A0C">
            <w:pPr>
              <w:rPr>
                <w:sz w:val="20"/>
                <w:szCs w:val="20"/>
                <w:lang w:val="fr-CA"/>
              </w:rPr>
            </w:pPr>
            <w:r w:rsidRPr="0076568E">
              <w:rPr>
                <w:sz w:val="20"/>
                <w:szCs w:val="20"/>
                <w:lang w:val="fr-CA"/>
              </w:rPr>
              <w:t>DATE</w:t>
            </w:r>
            <w:r w:rsidR="003A40EC" w:rsidRPr="0076568E">
              <w:rPr>
                <w:sz w:val="20"/>
                <w:szCs w:val="20"/>
                <w:lang w:val="fr-CA"/>
              </w:rPr>
              <w:t xml:space="preserve"> DE PRODUCTION </w:t>
            </w:r>
            <w:r w:rsidRPr="0076568E">
              <w:rPr>
                <w:sz w:val="20"/>
                <w:szCs w:val="20"/>
                <w:lang w:val="fr-CA"/>
              </w:rPr>
              <w:t xml:space="preserve">: </w:t>
            </w:r>
            <w:r w:rsidR="003A40EC" w:rsidRPr="0076568E">
              <w:rPr>
                <w:sz w:val="20"/>
                <w:szCs w:val="20"/>
                <w:lang w:val="fr-CA"/>
              </w:rPr>
              <w:t>21.02.2011</w:t>
            </w:r>
          </w:p>
          <w:p w:rsidR="00FA075D" w:rsidRDefault="00C478F8" w:rsidP="00856A0C">
            <w:pPr>
              <w:rPr>
                <w:sz w:val="20"/>
                <w:szCs w:val="20"/>
                <w:lang w:val="fr-CA"/>
              </w:rPr>
            </w:pPr>
            <w:r w:rsidRPr="00C478F8">
              <w:rPr>
                <w:sz w:val="20"/>
                <w:szCs w:val="20"/>
                <w:lang w:val="fr-CA"/>
              </w:rPr>
              <w:pict>
                <v:rect id="_x0000_i1027" style="width:108pt;height:1pt" o:hrpct="0" o:hralign="center" o:hrstd="t" o:hrnoshade="t" o:hr="t" fillcolor="black [3213]" stroked="f"/>
              </w:pict>
            </w:r>
          </w:p>
          <w:p w:rsidR="003A40EC" w:rsidRDefault="003A40EC" w:rsidP="00856A0C">
            <w:pPr>
              <w:rPr>
                <w:sz w:val="20"/>
                <w:szCs w:val="20"/>
                <w:lang w:val="fr-CA"/>
              </w:rPr>
            </w:pPr>
          </w:p>
          <w:p w:rsidR="003A40EC" w:rsidRPr="003A40EC" w:rsidRDefault="003A40EC" w:rsidP="00856A0C">
            <w:pPr>
              <w:rPr>
                <w:b/>
                <w:sz w:val="20"/>
                <w:szCs w:val="20"/>
                <w:lang w:val="fr-CA"/>
              </w:rPr>
            </w:pPr>
            <w:r>
              <w:rPr>
                <w:b/>
                <w:sz w:val="20"/>
                <w:szCs w:val="20"/>
                <w:lang w:val="fr-CA"/>
              </w:rPr>
              <w:t>Compagnie de chemin de fer du littoral nord de Québec et du Labrador Inc.</w:t>
            </w:r>
          </w:p>
        </w:tc>
        <w:tc>
          <w:tcPr>
            <w:tcW w:w="1181" w:type="dxa"/>
            <w:shd w:val="clear" w:color="auto" w:fill="auto"/>
          </w:tcPr>
          <w:p w:rsidR="00FA075D" w:rsidRPr="003A40EC" w:rsidRDefault="00FA075D" w:rsidP="00856A0C">
            <w:pPr>
              <w:jc w:val="center"/>
              <w:rPr>
                <w:sz w:val="20"/>
                <w:szCs w:val="20"/>
                <w:lang w:val="fr-CA"/>
              </w:rPr>
            </w:pPr>
          </w:p>
          <w:p w:rsidR="00FA075D" w:rsidRPr="003A40EC" w:rsidRDefault="00FA075D" w:rsidP="00856A0C">
            <w:pPr>
              <w:jc w:val="center"/>
              <w:rPr>
                <w:sz w:val="20"/>
                <w:szCs w:val="20"/>
                <w:lang w:val="fr-CA"/>
              </w:rPr>
            </w:pPr>
          </w:p>
          <w:p w:rsidR="00FA075D" w:rsidRPr="003A40EC" w:rsidRDefault="00FA075D" w:rsidP="00856A0C">
            <w:pPr>
              <w:jc w:val="center"/>
              <w:rPr>
                <w:sz w:val="20"/>
                <w:szCs w:val="20"/>
                <w:lang w:val="fr-CA"/>
              </w:rPr>
            </w:pPr>
          </w:p>
          <w:p w:rsidR="00FA075D" w:rsidRPr="003A40EC" w:rsidRDefault="00FA075D" w:rsidP="00856A0C">
            <w:pPr>
              <w:jc w:val="center"/>
              <w:rPr>
                <w:sz w:val="20"/>
                <w:szCs w:val="20"/>
                <w:lang w:val="fr-CA"/>
              </w:rPr>
            </w:pPr>
          </w:p>
          <w:p w:rsidR="00FA075D" w:rsidRPr="003A40EC" w:rsidRDefault="00FA075D" w:rsidP="00856A0C">
            <w:pPr>
              <w:jc w:val="center"/>
              <w:rPr>
                <w:sz w:val="20"/>
                <w:szCs w:val="20"/>
                <w:lang w:val="fr-CA"/>
              </w:rPr>
            </w:pPr>
          </w:p>
          <w:p w:rsidR="00FA075D" w:rsidRPr="003A40EC" w:rsidRDefault="00FA075D" w:rsidP="00856A0C">
            <w:pPr>
              <w:jc w:val="center"/>
              <w:rPr>
                <w:sz w:val="20"/>
                <w:szCs w:val="20"/>
                <w:lang w:val="fr-CA"/>
              </w:rPr>
            </w:pPr>
          </w:p>
          <w:p w:rsidR="00FA075D" w:rsidRPr="003A40EC" w:rsidRDefault="00FA075D" w:rsidP="00856A0C">
            <w:pPr>
              <w:jc w:val="center"/>
              <w:rPr>
                <w:sz w:val="20"/>
                <w:szCs w:val="20"/>
                <w:lang w:val="fr-CA"/>
              </w:rPr>
            </w:pPr>
          </w:p>
          <w:p w:rsidR="00FA075D" w:rsidRPr="003A40EC" w:rsidRDefault="00FA075D" w:rsidP="00856A0C">
            <w:pPr>
              <w:jc w:val="center"/>
              <w:rPr>
                <w:sz w:val="20"/>
                <w:szCs w:val="20"/>
                <w:lang w:val="fr-CA"/>
              </w:rPr>
            </w:pPr>
          </w:p>
          <w:p w:rsidR="00FA075D" w:rsidRPr="003A40EC" w:rsidRDefault="00FA075D" w:rsidP="00856A0C">
            <w:pPr>
              <w:jc w:val="center"/>
              <w:rPr>
                <w:sz w:val="20"/>
                <w:szCs w:val="20"/>
                <w:lang w:val="fr-CA"/>
              </w:rPr>
            </w:pPr>
          </w:p>
          <w:p w:rsidR="00FA075D" w:rsidRPr="003A40EC" w:rsidRDefault="00FA075D" w:rsidP="00856A0C">
            <w:pPr>
              <w:jc w:val="center"/>
              <w:rPr>
                <w:sz w:val="20"/>
                <w:szCs w:val="20"/>
                <w:lang w:val="fr-CA"/>
              </w:rPr>
            </w:pPr>
          </w:p>
          <w:p w:rsidR="00FA075D" w:rsidRPr="003A40EC" w:rsidRDefault="00FA075D" w:rsidP="00856A0C">
            <w:pPr>
              <w:jc w:val="center"/>
              <w:rPr>
                <w:sz w:val="20"/>
                <w:szCs w:val="20"/>
                <w:lang w:val="fr-CA"/>
              </w:rPr>
            </w:pPr>
          </w:p>
          <w:p w:rsidR="00FA075D" w:rsidRPr="003A40EC" w:rsidRDefault="00FA075D" w:rsidP="00856A0C">
            <w:pPr>
              <w:jc w:val="center"/>
              <w:rPr>
                <w:sz w:val="20"/>
                <w:szCs w:val="20"/>
                <w:lang w:val="fr-CA"/>
              </w:rPr>
            </w:pPr>
          </w:p>
        </w:tc>
        <w:tc>
          <w:tcPr>
            <w:tcW w:w="4320" w:type="dxa"/>
            <w:shd w:val="clear" w:color="auto" w:fill="auto"/>
          </w:tcPr>
          <w:p w:rsidR="00FA075D" w:rsidRPr="003A40EC" w:rsidRDefault="003A40EC" w:rsidP="00856A0C">
            <w:pPr>
              <w:keepNext/>
              <w:keepLines/>
              <w:tabs>
                <w:tab w:val="left" w:pos="-1440"/>
                <w:tab w:val="left" w:pos="-720"/>
              </w:tabs>
              <w:rPr>
                <w:b/>
                <w:sz w:val="20"/>
                <w:szCs w:val="20"/>
                <w:lang w:val="fr-CA"/>
              </w:rPr>
            </w:pPr>
            <w:r w:rsidRPr="003A40EC">
              <w:rPr>
                <w:b/>
                <w:sz w:val="20"/>
                <w:szCs w:val="20"/>
                <w:lang w:val="fr-CA"/>
              </w:rPr>
              <w:t xml:space="preserve">Suzanne Clermont </w:t>
            </w:r>
            <w:proofErr w:type="spellStart"/>
            <w:r w:rsidRPr="003A40EC">
              <w:rPr>
                <w:b/>
                <w:sz w:val="20"/>
                <w:szCs w:val="20"/>
                <w:lang w:val="fr-CA"/>
              </w:rPr>
              <w:t>Bizzaro</w:t>
            </w:r>
            <w:proofErr w:type="spellEnd"/>
          </w:p>
          <w:p w:rsidR="00FA075D" w:rsidRPr="003A40EC" w:rsidRDefault="00FA075D" w:rsidP="00856A0C">
            <w:pPr>
              <w:keepNext/>
              <w:keepLines/>
              <w:tabs>
                <w:tab w:val="left" w:pos="-1440"/>
                <w:tab w:val="left" w:pos="-720"/>
              </w:tabs>
              <w:rPr>
                <w:sz w:val="20"/>
                <w:szCs w:val="20"/>
                <w:lang w:val="fr-CA"/>
              </w:rPr>
            </w:pPr>
            <w:r w:rsidRPr="003A40EC">
              <w:rPr>
                <w:sz w:val="20"/>
                <w:szCs w:val="20"/>
                <w:lang w:val="fr-CA"/>
              </w:rPr>
              <w:tab/>
            </w:r>
            <w:r w:rsidR="003A40EC" w:rsidRPr="003A40EC">
              <w:rPr>
                <w:sz w:val="20"/>
                <w:szCs w:val="20"/>
                <w:lang w:val="fr-CA"/>
              </w:rPr>
              <w:t>Paul-Yvan Martin</w:t>
            </w:r>
          </w:p>
          <w:p w:rsidR="00FA075D" w:rsidRPr="003A40EC" w:rsidRDefault="00FA075D" w:rsidP="00856A0C">
            <w:pPr>
              <w:keepNext/>
              <w:keepLines/>
              <w:tabs>
                <w:tab w:val="left" w:pos="-1440"/>
                <w:tab w:val="left" w:pos="-720"/>
              </w:tabs>
              <w:rPr>
                <w:sz w:val="20"/>
                <w:szCs w:val="20"/>
                <w:lang w:val="fr-CA"/>
              </w:rPr>
            </w:pPr>
            <w:r w:rsidRPr="003A40EC">
              <w:rPr>
                <w:sz w:val="20"/>
                <w:szCs w:val="20"/>
                <w:lang w:val="fr-CA"/>
              </w:rPr>
              <w:tab/>
            </w:r>
            <w:r w:rsidR="003A40EC" w:rsidRPr="003A40EC">
              <w:rPr>
                <w:sz w:val="20"/>
                <w:szCs w:val="20"/>
                <w:lang w:val="fr-CA"/>
              </w:rPr>
              <w:t xml:space="preserve">Martin, </w:t>
            </w:r>
            <w:proofErr w:type="spellStart"/>
            <w:r w:rsidR="003A40EC" w:rsidRPr="003A40EC">
              <w:rPr>
                <w:sz w:val="20"/>
                <w:szCs w:val="20"/>
                <w:lang w:val="fr-CA"/>
              </w:rPr>
              <w:t>Camirand</w:t>
            </w:r>
            <w:proofErr w:type="spellEnd"/>
            <w:r w:rsidR="003A40EC" w:rsidRPr="003A40EC">
              <w:rPr>
                <w:sz w:val="20"/>
                <w:szCs w:val="20"/>
                <w:lang w:val="fr-CA"/>
              </w:rPr>
              <w:t>, Pelletier</w:t>
            </w:r>
          </w:p>
          <w:p w:rsidR="00FA075D" w:rsidRPr="003A40EC" w:rsidRDefault="00FA075D" w:rsidP="00856A0C">
            <w:pPr>
              <w:keepNext/>
              <w:keepLines/>
              <w:tabs>
                <w:tab w:val="left" w:pos="-1440"/>
                <w:tab w:val="left" w:pos="-720"/>
              </w:tabs>
              <w:rPr>
                <w:sz w:val="20"/>
                <w:szCs w:val="20"/>
                <w:lang w:val="fr-CA"/>
              </w:rPr>
            </w:pPr>
          </w:p>
          <w:p w:rsidR="00FA075D" w:rsidRPr="00A935AA" w:rsidRDefault="00FA075D" w:rsidP="00856A0C">
            <w:pPr>
              <w:keepNext/>
              <w:keepLines/>
              <w:tabs>
                <w:tab w:val="left" w:pos="-1440"/>
                <w:tab w:val="left" w:pos="-720"/>
              </w:tabs>
              <w:rPr>
                <w:sz w:val="20"/>
                <w:szCs w:val="20"/>
                <w:lang w:val="fr-CA"/>
              </w:rPr>
            </w:pPr>
            <w:r w:rsidRPr="003A40EC">
              <w:rPr>
                <w:sz w:val="20"/>
                <w:szCs w:val="20"/>
                <w:lang w:val="fr-CA"/>
              </w:rPr>
              <w:tab/>
            </w:r>
            <w:r w:rsidR="003A40EC">
              <w:rPr>
                <w:sz w:val="20"/>
                <w:szCs w:val="20"/>
                <w:lang w:val="fr-CA"/>
              </w:rPr>
              <w:t>c</w:t>
            </w:r>
            <w:r w:rsidRPr="00A935AA">
              <w:rPr>
                <w:sz w:val="20"/>
                <w:szCs w:val="20"/>
                <w:lang w:val="fr-CA"/>
              </w:rPr>
              <w:t>. (3</w:t>
            </w:r>
            <w:r>
              <w:rPr>
                <w:sz w:val="20"/>
                <w:szCs w:val="20"/>
                <w:lang w:val="fr-CA"/>
              </w:rPr>
              <w:t>4</w:t>
            </w:r>
            <w:r w:rsidR="003A40EC">
              <w:rPr>
                <w:sz w:val="20"/>
                <w:szCs w:val="20"/>
                <w:lang w:val="fr-CA"/>
              </w:rPr>
              <w:t>121</w:t>
            </w:r>
            <w:r w:rsidRPr="00A935AA">
              <w:rPr>
                <w:sz w:val="20"/>
                <w:szCs w:val="20"/>
                <w:lang w:val="fr-CA"/>
              </w:rPr>
              <w:t>)</w:t>
            </w:r>
          </w:p>
          <w:p w:rsidR="00FA075D" w:rsidRPr="00A935AA" w:rsidRDefault="00FA075D" w:rsidP="00856A0C">
            <w:pPr>
              <w:keepNext/>
              <w:keepLines/>
              <w:tabs>
                <w:tab w:val="left" w:pos="-1440"/>
                <w:tab w:val="left" w:pos="-720"/>
              </w:tabs>
              <w:rPr>
                <w:sz w:val="20"/>
                <w:szCs w:val="20"/>
                <w:lang w:val="fr-CA"/>
              </w:rPr>
            </w:pPr>
          </w:p>
          <w:p w:rsidR="00FA075D" w:rsidRPr="00A935AA" w:rsidRDefault="003A40EC" w:rsidP="00856A0C">
            <w:pPr>
              <w:keepNext/>
              <w:keepLines/>
              <w:tabs>
                <w:tab w:val="left" w:pos="-1440"/>
                <w:tab w:val="left" w:pos="-720"/>
              </w:tabs>
              <w:rPr>
                <w:b/>
                <w:sz w:val="20"/>
                <w:szCs w:val="20"/>
                <w:lang w:val="fr-CA"/>
              </w:rPr>
            </w:pPr>
            <w:proofErr w:type="spellStart"/>
            <w:r>
              <w:rPr>
                <w:b/>
                <w:sz w:val="20"/>
                <w:szCs w:val="20"/>
                <w:lang w:val="fr-CA"/>
              </w:rPr>
              <w:t>Pasquale</w:t>
            </w:r>
            <w:proofErr w:type="spellEnd"/>
            <w:r>
              <w:rPr>
                <w:b/>
                <w:sz w:val="20"/>
                <w:szCs w:val="20"/>
                <w:lang w:val="fr-CA"/>
              </w:rPr>
              <w:t xml:space="preserve"> </w:t>
            </w:r>
            <w:proofErr w:type="spellStart"/>
            <w:r>
              <w:rPr>
                <w:b/>
                <w:sz w:val="20"/>
                <w:szCs w:val="20"/>
                <w:lang w:val="fr-CA"/>
              </w:rPr>
              <w:t>Artuso</w:t>
            </w:r>
            <w:proofErr w:type="spellEnd"/>
            <w:r>
              <w:rPr>
                <w:b/>
                <w:sz w:val="20"/>
                <w:szCs w:val="20"/>
                <w:lang w:val="fr-CA"/>
              </w:rPr>
              <w:t xml:space="preserve"> et autres </w:t>
            </w:r>
            <w:r w:rsidR="00FA075D" w:rsidRPr="00A935AA">
              <w:rPr>
                <w:b/>
                <w:sz w:val="20"/>
                <w:szCs w:val="20"/>
                <w:lang w:val="fr-CA"/>
              </w:rPr>
              <w:t>(</w:t>
            </w:r>
            <w:proofErr w:type="spellStart"/>
            <w:r>
              <w:rPr>
                <w:b/>
                <w:sz w:val="20"/>
                <w:szCs w:val="20"/>
                <w:lang w:val="fr-CA"/>
              </w:rPr>
              <w:t>Qc</w:t>
            </w:r>
            <w:proofErr w:type="spellEnd"/>
            <w:r w:rsidR="00FA075D" w:rsidRPr="00A935AA">
              <w:rPr>
                <w:b/>
                <w:sz w:val="20"/>
                <w:szCs w:val="20"/>
                <w:lang w:val="fr-CA"/>
              </w:rPr>
              <w:t>)</w:t>
            </w:r>
          </w:p>
          <w:p w:rsidR="00FA075D" w:rsidRPr="00A935AA" w:rsidRDefault="00FA075D" w:rsidP="00856A0C">
            <w:pPr>
              <w:keepNext/>
              <w:keepLines/>
              <w:tabs>
                <w:tab w:val="left" w:pos="-1440"/>
                <w:tab w:val="left" w:pos="-720"/>
              </w:tabs>
              <w:rPr>
                <w:sz w:val="20"/>
                <w:szCs w:val="20"/>
                <w:lang w:val="fr-CA"/>
              </w:rPr>
            </w:pPr>
            <w:r w:rsidRPr="00A935AA">
              <w:rPr>
                <w:sz w:val="20"/>
                <w:szCs w:val="20"/>
                <w:lang w:val="fr-CA"/>
              </w:rPr>
              <w:tab/>
            </w:r>
            <w:r w:rsidR="003A40EC">
              <w:rPr>
                <w:sz w:val="20"/>
                <w:szCs w:val="20"/>
                <w:lang w:val="fr-CA"/>
              </w:rPr>
              <w:t xml:space="preserve">Alexandre </w:t>
            </w:r>
            <w:proofErr w:type="spellStart"/>
            <w:r w:rsidR="003A40EC">
              <w:rPr>
                <w:sz w:val="20"/>
                <w:szCs w:val="20"/>
                <w:lang w:val="fr-CA"/>
              </w:rPr>
              <w:t>Brosseau</w:t>
            </w:r>
            <w:proofErr w:type="spellEnd"/>
            <w:r w:rsidR="003A40EC">
              <w:rPr>
                <w:sz w:val="20"/>
                <w:szCs w:val="20"/>
                <w:lang w:val="fr-CA"/>
              </w:rPr>
              <w:t>-</w:t>
            </w:r>
            <w:proofErr w:type="spellStart"/>
            <w:r w:rsidR="003A40EC">
              <w:rPr>
                <w:sz w:val="20"/>
                <w:szCs w:val="20"/>
                <w:lang w:val="fr-CA"/>
              </w:rPr>
              <w:t>Wery</w:t>
            </w:r>
            <w:proofErr w:type="spellEnd"/>
          </w:p>
          <w:p w:rsidR="00FA075D" w:rsidRPr="00A935AA" w:rsidRDefault="00FA075D" w:rsidP="00856A0C">
            <w:pPr>
              <w:keepNext/>
              <w:keepLines/>
              <w:tabs>
                <w:tab w:val="left" w:pos="-1440"/>
                <w:tab w:val="left" w:pos="-720"/>
              </w:tabs>
              <w:rPr>
                <w:sz w:val="20"/>
                <w:szCs w:val="20"/>
                <w:lang w:val="fr-CA"/>
              </w:rPr>
            </w:pPr>
            <w:r w:rsidRPr="00A935AA">
              <w:rPr>
                <w:sz w:val="20"/>
                <w:szCs w:val="20"/>
                <w:lang w:val="fr-CA"/>
              </w:rPr>
              <w:tab/>
            </w:r>
            <w:r w:rsidR="003A40EC">
              <w:rPr>
                <w:sz w:val="20"/>
                <w:szCs w:val="20"/>
                <w:lang w:val="fr-CA"/>
              </w:rPr>
              <w:t xml:space="preserve">Kugler, </w:t>
            </w:r>
            <w:proofErr w:type="spellStart"/>
            <w:r w:rsidR="003A40EC">
              <w:rPr>
                <w:sz w:val="20"/>
                <w:szCs w:val="20"/>
                <w:lang w:val="fr-CA"/>
              </w:rPr>
              <w:t>Kandestin</w:t>
            </w:r>
            <w:proofErr w:type="spellEnd"/>
            <w:r w:rsidR="003A40EC">
              <w:rPr>
                <w:sz w:val="20"/>
                <w:szCs w:val="20"/>
                <w:lang w:val="fr-CA"/>
              </w:rPr>
              <w:t>, s.e.n.c.r.l.</w:t>
            </w:r>
          </w:p>
          <w:p w:rsidR="00FA075D" w:rsidRPr="00A935AA" w:rsidRDefault="00FA075D" w:rsidP="00856A0C">
            <w:pPr>
              <w:keepNext/>
              <w:keepLines/>
              <w:tabs>
                <w:tab w:val="left" w:pos="-1440"/>
                <w:tab w:val="left" w:pos="-720"/>
              </w:tabs>
              <w:rPr>
                <w:sz w:val="20"/>
                <w:szCs w:val="20"/>
                <w:lang w:val="fr-CA"/>
              </w:rPr>
            </w:pPr>
          </w:p>
          <w:p w:rsidR="00FA075D" w:rsidRPr="003A40EC" w:rsidRDefault="003A40EC" w:rsidP="00856A0C">
            <w:pPr>
              <w:rPr>
                <w:sz w:val="20"/>
                <w:szCs w:val="20"/>
                <w:lang w:val="fr-CA"/>
              </w:rPr>
            </w:pPr>
            <w:r>
              <w:rPr>
                <w:sz w:val="20"/>
                <w:szCs w:val="20"/>
                <w:lang w:val="fr-CA"/>
              </w:rPr>
              <w:t>D</w:t>
            </w:r>
            <w:r w:rsidR="00FA075D" w:rsidRPr="003A40EC">
              <w:rPr>
                <w:sz w:val="20"/>
                <w:szCs w:val="20"/>
                <w:lang w:val="fr-CA"/>
              </w:rPr>
              <w:t>ATE</w:t>
            </w:r>
            <w:r>
              <w:rPr>
                <w:sz w:val="20"/>
                <w:szCs w:val="20"/>
                <w:lang w:val="fr-CA"/>
              </w:rPr>
              <w:t xml:space="preserve"> DE PRODUCTION </w:t>
            </w:r>
            <w:r w:rsidR="00FA075D" w:rsidRPr="003A40EC">
              <w:rPr>
                <w:sz w:val="20"/>
                <w:szCs w:val="20"/>
                <w:lang w:val="fr-CA"/>
              </w:rPr>
              <w:t xml:space="preserve">: </w:t>
            </w:r>
            <w:r>
              <w:rPr>
                <w:sz w:val="20"/>
                <w:szCs w:val="20"/>
                <w:lang w:val="fr-CA"/>
              </w:rPr>
              <w:t>28.02.2011</w:t>
            </w:r>
            <w:r w:rsidR="00C478F8" w:rsidRPr="00C478F8">
              <w:rPr>
                <w:sz w:val="20"/>
                <w:szCs w:val="20"/>
                <w:lang w:val="fr-CA"/>
              </w:rPr>
              <w:pict>
                <v:rect id="_x0000_i1028" style="width:108pt;height:1pt" o:hrpct="0" o:hralign="center" o:hrstd="t" o:hrnoshade="t" o:hr="t" fillcolor="black [3213]" stroked="f"/>
              </w:pict>
            </w:r>
          </w:p>
        </w:tc>
      </w:tr>
      <w:tr w:rsidR="00FA075D" w:rsidRPr="00DD478F" w:rsidTr="003B3977">
        <w:tc>
          <w:tcPr>
            <w:tcW w:w="4320" w:type="dxa"/>
            <w:shd w:val="clear" w:color="auto" w:fill="auto"/>
          </w:tcPr>
          <w:p w:rsidR="00FA075D" w:rsidRPr="003A40EC" w:rsidRDefault="00FA075D" w:rsidP="00856A0C">
            <w:pPr>
              <w:tabs>
                <w:tab w:val="left" w:pos="-1440"/>
                <w:tab w:val="left" w:pos="-720"/>
              </w:tabs>
              <w:rPr>
                <w:sz w:val="20"/>
                <w:szCs w:val="20"/>
                <w:lang w:val="fr-CA"/>
              </w:rPr>
            </w:pPr>
            <w:r w:rsidRPr="003A40EC">
              <w:rPr>
                <w:sz w:val="20"/>
                <w:szCs w:val="20"/>
                <w:lang w:val="fr-CA"/>
              </w:rPr>
              <w:tab/>
            </w:r>
            <w:r w:rsidR="003A40EC">
              <w:rPr>
                <w:sz w:val="20"/>
                <w:szCs w:val="20"/>
                <w:lang w:val="fr-CA"/>
              </w:rPr>
              <w:t>François Fontaine</w:t>
            </w:r>
          </w:p>
          <w:p w:rsidR="00FA075D" w:rsidRPr="003A40EC" w:rsidRDefault="00FA075D" w:rsidP="00856A0C">
            <w:pPr>
              <w:tabs>
                <w:tab w:val="left" w:pos="-1440"/>
                <w:tab w:val="left" w:pos="-720"/>
              </w:tabs>
              <w:rPr>
                <w:sz w:val="20"/>
                <w:szCs w:val="20"/>
                <w:lang w:val="fr-CA"/>
              </w:rPr>
            </w:pPr>
            <w:r w:rsidRPr="003A40EC">
              <w:rPr>
                <w:sz w:val="20"/>
                <w:szCs w:val="20"/>
                <w:lang w:val="fr-CA"/>
              </w:rPr>
              <w:tab/>
            </w:r>
            <w:r w:rsidR="003A40EC">
              <w:rPr>
                <w:sz w:val="20"/>
                <w:szCs w:val="20"/>
                <w:lang w:val="fr-CA"/>
              </w:rPr>
              <w:t>Ogilvy Renault LLP</w:t>
            </w:r>
          </w:p>
          <w:p w:rsidR="00FA075D" w:rsidRPr="003A40EC" w:rsidRDefault="00FA075D" w:rsidP="00856A0C">
            <w:pPr>
              <w:tabs>
                <w:tab w:val="left" w:pos="-1440"/>
                <w:tab w:val="left" w:pos="-720"/>
              </w:tabs>
              <w:rPr>
                <w:sz w:val="20"/>
                <w:szCs w:val="20"/>
                <w:lang w:val="fr-CA"/>
              </w:rPr>
            </w:pPr>
          </w:p>
          <w:p w:rsidR="00FA075D" w:rsidRPr="003A40EC" w:rsidRDefault="00FA075D" w:rsidP="00856A0C">
            <w:pPr>
              <w:tabs>
                <w:tab w:val="left" w:pos="-1440"/>
                <w:tab w:val="left" w:pos="-720"/>
              </w:tabs>
              <w:rPr>
                <w:sz w:val="20"/>
                <w:szCs w:val="20"/>
                <w:lang w:val="fr-CA"/>
              </w:rPr>
            </w:pPr>
            <w:r w:rsidRPr="003A40EC">
              <w:rPr>
                <w:sz w:val="20"/>
                <w:szCs w:val="20"/>
                <w:lang w:val="fr-CA"/>
              </w:rPr>
              <w:tab/>
            </w:r>
            <w:r w:rsidR="003A40EC">
              <w:rPr>
                <w:sz w:val="20"/>
                <w:szCs w:val="20"/>
                <w:lang w:val="fr-CA"/>
              </w:rPr>
              <w:t>c</w:t>
            </w:r>
            <w:r w:rsidRPr="003A40EC">
              <w:rPr>
                <w:sz w:val="20"/>
                <w:szCs w:val="20"/>
                <w:lang w:val="fr-CA"/>
              </w:rPr>
              <w:t>. (34</w:t>
            </w:r>
            <w:r w:rsidR="003A40EC">
              <w:rPr>
                <w:sz w:val="20"/>
                <w:szCs w:val="20"/>
                <w:lang w:val="fr-CA"/>
              </w:rPr>
              <w:t>129</w:t>
            </w:r>
            <w:r w:rsidRPr="003A40EC">
              <w:rPr>
                <w:sz w:val="20"/>
                <w:szCs w:val="20"/>
                <w:lang w:val="fr-CA"/>
              </w:rPr>
              <w:t>)</w:t>
            </w:r>
          </w:p>
          <w:p w:rsidR="00FA075D" w:rsidRPr="003A40EC" w:rsidRDefault="00FA075D" w:rsidP="00856A0C">
            <w:pPr>
              <w:tabs>
                <w:tab w:val="left" w:pos="-1440"/>
                <w:tab w:val="left" w:pos="-720"/>
              </w:tabs>
              <w:rPr>
                <w:sz w:val="20"/>
                <w:szCs w:val="20"/>
                <w:lang w:val="fr-CA"/>
              </w:rPr>
            </w:pPr>
          </w:p>
          <w:p w:rsidR="00FA075D" w:rsidRPr="00DD478F" w:rsidRDefault="00DD478F" w:rsidP="00856A0C">
            <w:pPr>
              <w:tabs>
                <w:tab w:val="left" w:pos="-1440"/>
                <w:tab w:val="left" w:pos="-720"/>
              </w:tabs>
              <w:rPr>
                <w:b/>
                <w:sz w:val="20"/>
                <w:szCs w:val="20"/>
                <w:lang w:val="fr-CA"/>
              </w:rPr>
            </w:pPr>
            <w:r w:rsidRPr="00DD478F">
              <w:rPr>
                <w:b/>
                <w:sz w:val="20"/>
                <w:szCs w:val="20"/>
                <w:lang w:val="fr-CA"/>
              </w:rPr>
              <w:t xml:space="preserve">Sodexho Québec </w:t>
            </w:r>
            <w:proofErr w:type="spellStart"/>
            <w:r w:rsidRPr="00DD478F">
              <w:rPr>
                <w:b/>
                <w:sz w:val="20"/>
                <w:szCs w:val="20"/>
                <w:lang w:val="fr-CA"/>
              </w:rPr>
              <w:t>Ltée</w:t>
            </w:r>
            <w:proofErr w:type="spellEnd"/>
            <w:r w:rsidRPr="00DD478F">
              <w:rPr>
                <w:b/>
                <w:sz w:val="20"/>
                <w:szCs w:val="20"/>
                <w:lang w:val="fr-CA"/>
              </w:rPr>
              <w:t xml:space="preserve"> </w:t>
            </w:r>
            <w:r w:rsidR="00FA075D" w:rsidRPr="00DD478F">
              <w:rPr>
                <w:b/>
                <w:sz w:val="20"/>
                <w:szCs w:val="20"/>
                <w:lang w:val="fr-CA"/>
              </w:rPr>
              <w:t>(</w:t>
            </w:r>
            <w:proofErr w:type="spellStart"/>
            <w:r w:rsidRPr="00DD478F">
              <w:rPr>
                <w:b/>
                <w:sz w:val="20"/>
                <w:szCs w:val="20"/>
                <w:lang w:val="fr-CA"/>
              </w:rPr>
              <w:t>Qc</w:t>
            </w:r>
            <w:proofErr w:type="spellEnd"/>
            <w:r w:rsidR="00FA075D" w:rsidRPr="00DD478F">
              <w:rPr>
                <w:b/>
                <w:sz w:val="20"/>
                <w:szCs w:val="20"/>
                <w:lang w:val="fr-CA"/>
              </w:rPr>
              <w:t>)</w:t>
            </w:r>
          </w:p>
          <w:p w:rsidR="00FA075D" w:rsidRPr="00DD478F" w:rsidRDefault="00FA075D" w:rsidP="00856A0C">
            <w:pPr>
              <w:tabs>
                <w:tab w:val="left" w:pos="-1440"/>
                <w:tab w:val="left" w:pos="-720"/>
              </w:tabs>
              <w:rPr>
                <w:sz w:val="20"/>
                <w:szCs w:val="20"/>
                <w:lang w:val="fr-CA"/>
              </w:rPr>
            </w:pPr>
            <w:r w:rsidRPr="00DD478F">
              <w:rPr>
                <w:sz w:val="20"/>
                <w:szCs w:val="20"/>
                <w:lang w:val="fr-CA"/>
              </w:rPr>
              <w:tab/>
            </w:r>
            <w:r w:rsidR="00DD478F">
              <w:rPr>
                <w:sz w:val="20"/>
                <w:szCs w:val="20"/>
                <w:lang w:val="fr-CA"/>
              </w:rPr>
              <w:t xml:space="preserve">Jean-Pierre </w:t>
            </w:r>
            <w:proofErr w:type="spellStart"/>
            <w:r w:rsidR="00DD478F">
              <w:rPr>
                <w:sz w:val="20"/>
                <w:szCs w:val="20"/>
                <w:lang w:val="fr-CA"/>
              </w:rPr>
              <w:t>Rémillard</w:t>
            </w:r>
            <w:proofErr w:type="spellEnd"/>
          </w:p>
          <w:p w:rsidR="00FA075D" w:rsidRPr="00DD478F" w:rsidRDefault="00FA075D" w:rsidP="00856A0C">
            <w:pPr>
              <w:tabs>
                <w:tab w:val="left" w:pos="-1440"/>
                <w:tab w:val="left" w:pos="-720"/>
              </w:tabs>
              <w:rPr>
                <w:sz w:val="20"/>
                <w:szCs w:val="20"/>
                <w:lang w:val="fr-CA"/>
              </w:rPr>
            </w:pPr>
            <w:r w:rsidRPr="00DD478F">
              <w:rPr>
                <w:sz w:val="20"/>
                <w:szCs w:val="20"/>
                <w:lang w:val="fr-CA"/>
              </w:rPr>
              <w:tab/>
            </w:r>
            <w:proofErr w:type="spellStart"/>
            <w:r w:rsidR="00DD478F">
              <w:rPr>
                <w:sz w:val="20"/>
                <w:szCs w:val="20"/>
                <w:lang w:val="fr-CA"/>
              </w:rPr>
              <w:t>Dunton</w:t>
            </w:r>
            <w:proofErr w:type="spellEnd"/>
            <w:r w:rsidR="00DD478F">
              <w:rPr>
                <w:sz w:val="20"/>
                <w:szCs w:val="20"/>
                <w:lang w:val="fr-CA"/>
              </w:rPr>
              <w:t xml:space="preserve"> </w:t>
            </w:r>
            <w:proofErr w:type="spellStart"/>
            <w:r w:rsidR="00DD478F">
              <w:rPr>
                <w:sz w:val="20"/>
                <w:szCs w:val="20"/>
                <w:lang w:val="fr-CA"/>
              </w:rPr>
              <w:t>Rainville</w:t>
            </w:r>
            <w:proofErr w:type="spellEnd"/>
          </w:p>
          <w:p w:rsidR="00FA075D" w:rsidRPr="00DD478F" w:rsidRDefault="00FA075D" w:rsidP="00856A0C">
            <w:pPr>
              <w:tabs>
                <w:tab w:val="left" w:pos="-1440"/>
                <w:tab w:val="left" w:pos="-720"/>
              </w:tabs>
              <w:rPr>
                <w:sz w:val="20"/>
                <w:szCs w:val="20"/>
                <w:lang w:val="fr-CA"/>
              </w:rPr>
            </w:pPr>
          </w:p>
          <w:p w:rsidR="00FA075D" w:rsidRPr="00DD478F" w:rsidRDefault="00FA075D" w:rsidP="00856A0C">
            <w:pPr>
              <w:rPr>
                <w:sz w:val="20"/>
                <w:szCs w:val="20"/>
                <w:lang w:val="fr-CA"/>
              </w:rPr>
            </w:pPr>
            <w:r w:rsidRPr="00DD478F">
              <w:rPr>
                <w:sz w:val="20"/>
                <w:szCs w:val="20"/>
                <w:lang w:val="fr-CA"/>
              </w:rPr>
              <w:t>DATE</w:t>
            </w:r>
            <w:r w:rsidR="00DD478F" w:rsidRPr="00DD478F">
              <w:rPr>
                <w:sz w:val="20"/>
                <w:szCs w:val="20"/>
                <w:lang w:val="fr-CA"/>
              </w:rPr>
              <w:t xml:space="preserve"> DE PRODUCTION </w:t>
            </w:r>
            <w:r w:rsidRPr="00DD478F">
              <w:rPr>
                <w:sz w:val="20"/>
                <w:szCs w:val="20"/>
                <w:lang w:val="fr-CA"/>
              </w:rPr>
              <w:t>:</w:t>
            </w:r>
            <w:r w:rsidR="00DD478F" w:rsidRPr="00DD478F">
              <w:rPr>
                <w:sz w:val="20"/>
                <w:szCs w:val="20"/>
                <w:lang w:val="fr-CA"/>
              </w:rPr>
              <w:t xml:space="preserve"> 28.</w:t>
            </w:r>
            <w:r w:rsidR="00DD478F">
              <w:rPr>
                <w:sz w:val="20"/>
                <w:szCs w:val="20"/>
                <w:lang w:val="fr-CA"/>
              </w:rPr>
              <w:t>02.2011</w:t>
            </w:r>
            <w:r w:rsidRPr="00DD478F">
              <w:rPr>
                <w:sz w:val="20"/>
                <w:szCs w:val="20"/>
                <w:lang w:val="fr-CA"/>
              </w:rPr>
              <w:t xml:space="preserve"> </w:t>
            </w:r>
          </w:p>
          <w:p w:rsidR="00FA075D" w:rsidRPr="00DD478F" w:rsidRDefault="00C478F8" w:rsidP="00856A0C">
            <w:pPr>
              <w:rPr>
                <w:sz w:val="20"/>
                <w:szCs w:val="20"/>
                <w:lang w:val="fr-CA"/>
              </w:rPr>
            </w:pPr>
            <w:r w:rsidRPr="00C478F8">
              <w:rPr>
                <w:sz w:val="20"/>
                <w:szCs w:val="20"/>
                <w:lang w:val="fr-CA"/>
              </w:rPr>
              <w:pict>
                <v:rect id="_x0000_i1029" style="width:108pt;height:1pt" o:hrpct="0" o:hralign="center" o:hrstd="t" o:hrnoshade="t" o:hr="t" fillcolor="black [3213]" stroked="f"/>
              </w:pict>
            </w:r>
          </w:p>
        </w:tc>
        <w:tc>
          <w:tcPr>
            <w:tcW w:w="1181" w:type="dxa"/>
            <w:shd w:val="clear" w:color="auto" w:fill="auto"/>
          </w:tcPr>
          <w:p w:rsidR="00FA075D" w:rsidRPr="00DD478F" w:rsidRDefault="00FA075D" w:rsidP="00856A0C">
            <w:pPr>
              <w:jc w:val="center"/>
              <w:rPr>
                <w:sz w:val="20"/>
                <w:szCs w:val="20"/>
                <w:lang w:val="fr-CA"/>
              </w:rPr>
            </w:pPr>
          </w:p>
          <w:p w:rsidR="00FA075D" w:rsidRPr="00DD478F" w:rsidRDefault="00FA075D" w:rsidP="00856A0C">
            <w:pPr>
              <w:jc w:val="center"/>
              <w:rPr>
                <w:sz w:val="20"/>
                <w:szCs w:val="20"/>
                <w:lang w:val="fr-CA"/>
              </w:rPr>
            </w:pPr>
          </w:p>
          <w:p w:rsidR="00FA075D" w:rsidRPr="00DD478F" w:rsidRDefault="00FA075D" w:rsidP="00856A0C">
            <w:pPr>
              <w:jc w:val="center"/>
              <w:rPr>
                <w:sz w:val="20"/>
                <w:szCs w:val="20"/>
                <w:lang w:val="fr-CA"/>
              </w:rPr>
            </w:pPr>
          </w:p>
          <w:p w:rsidR="00FA075D" w:rsidRPr="00DD478F" w:rsidRDefault="00FA075D" w:rsidP="00856A0C">
            <w:pPr>
              <w:jc w:val="center"/>
              <w:rPr>
                <w:sz w:val="20"/>
                <w:szCs w:val="20"/>
                <w:lang w:val="fr-CA"/>
              </w:rPr>
            </w:pPr>
          </w:p>
          <w:p w:rsidR="00FA075D" w:rsidRPr="00DD478F" w:rsidRDefault="00FA075D" w:rsidP="00856A0C">
            <w:pPr>
              <w:jc w:val="center"/>
              <w:rPr>
                <w:sz w:val="20"/>
                <w:szCs w:val="20"/>
                <w:lang w:val="fr-CA"/>
              </w:rPr>
            </w:pPr>
          </w:p>
          <w:p w:rsidR="00FA075D" w:rsidRPr="00DD478F" w:rsidRDefault="00FA075D" w:rsidP="00856A0C">
            <w:pPr>
              <w:jc w:val="center"/>
              <w:rPr>
                <w:sz w:val="20"/>
                <w:szCs w:val="20"/>
                <w:lang w:val="fr-CA"/>
              </w:rPr>
            </w:pPr>
          </w:p>
          <w:p w:rsidR="00FA075D" w:rsidRPr="00DD478F" w:rsidRDefault="00FA075D" w:rsidP="00856A0C">
            <w:pPr>
              <w:jc w:val="center"/>
              <w:rPr>
                <w:sz w:val="20"/>
                <w:szCs w:val="20"/>
                <w:lang w:val="fr-CA"/>
              </w:rPr>
            </w:pPr>
          </w:p>
          <w:p w:rsidR="00FA075D" w:rsidRPr="00DD478F" w:rsidRDefault="00FA075D" w:rsidP="00856A0C">
            <w:pPr>
              <w:jc w:val="center"/>
              <w:rPr>
                <w:sz w:val="20"/>
                <w:szCs w:val="20"/>
                <w:lang w:val="fr-CA"/>
              </w:rPr>
            </w:pPr>
          </w:p>
          <w:p w:rsidR="00FA075D" w:rsidRPr="00DD478F" w:rsidRDefault="00FA075D" w:rsidP="00856A0C">
            <w:pPr>
              <w:jc w:val="center"/>
              <w:rPr>
                <w:sz w:val="20"/>
                <w:szCs w:val="20"/>
                <w:lang w:val="fr-CA"/>
              </w:rPr>
            </w:pPr>
          </w:p>
          <w:p w:rsidR="00FA075D" w:rsidRPr="00DD478F" w:rsidRDefault="00FA075D" w:rsidP="00856A0C">
            <w:pPr>
              <w:jc w:val="center"/>
              <w:rPr>
                <w:sz w:val="20"/>
                <w:szCs w:val="20"/>
                <w:lang w:val="fr-CA"/>
              </w:rPr>
            </w:pPr>
          </w:p>
          <w:p w:rsidR="00FA075D" w:rsidRPr="00DD478F" w:rsidRDefault="00FA075D" w:rsidP="00856A0C">
            <w:pPr>
              <w:jc w:val="center"/>
              <w:rPr>
                <w:sz w:val="20"/>
                <w:szCs w:val="20"/>
                <w:lang w:val="fr-CA"/>
              </w:rPr>
            </w:pPr>
          </w:p>
          <w:p w:rsidR="00FA075D" w:rsidRPr="00DD478F" w:rsidRDefault="00FA075D" w:rsidP="00856A0C">
            <w:pPr>
              <w:jc w:val="center"/>
              <w:rPr>
                <w:sz w:val="20"/>
                <w:szCs w:val="20"/>
                <w:lang w:val="fr-CA"/>
              </w:rPr>
            </w:pPr>
          </w:p>
        </w:tc>
        <w:tc>
          <w:tcPr>
            <w:tcW w:w="4320" w:type="dxa"/>
            <w:shd w:val="clear" w:color="auto" w:fill="auto"/>
          </w:tcPr>
          <w:p w:rsidR="00FA075D" w:rsidRPr="00DD478F" w:rsidRDefault="00FA075D" w:rsidP="00856A0C">
            <w:pPr>
              <w:rPr>
                <w:sz w:val="20"/>
                <w:szCs w:val="20"/>
                <w:lang w:val="fr-CA"/>
              </w:rPr>
            </w:pPr>
          </w:p>
        </w:tc>
      </w:tr>
    </w:tbl>
    <w:p w:rsidR="006C3F47" w:rsidRDefault="006C3F47" w:rsidP="0095096B">
      <w:pPr>
        <w:tabs>
          <w:tab w:val="right" w:pos="9360"/>
        </w:tabs>
        <w:rPr>
          <w:sz w:val="20"/>
          <w:szCs w:val="20"/>
        </w:rPr>
      </w:pPr>
    </w:p>
    <w:p w:rsidR="009A1FCC" w:rsidRDefault="009A1FCC"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192850">
          <w:headerReference w:type="default" r:id="rId15"/>
          <w:footerReference w:type="default" r:id="rId16"/>
          <w:headerReference w:type="first" r:id="rId17"/>
          <w:footerReference w:type="first" r:id="rId18"/>
          <w:pgSz w:w="12240" w:h="15840"/>
          <w:pgMar w:top="720" w:right="965" w:bottom="1080" w:left="1656" w:header="706" w:footer="706" w:gutter="0"/>
          <w:pgNumType w:start="375"/>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406D3C"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2E2327" w:rsidP="002E2327">
      <w:pPr>
        <w:widowControl w:val="0"/>
        <w:rPr>
          <w:b/>
          <w:sz w:val="20"/>
          <w:szCs w:val="20"/>
        </w:rPr>
      </w:pPr>
      <w:r w:rsidRPr="00C50A5C">
        <w:rPr>
          <w:b/>
          <w:sz w:val="20"/>
          <w:szCs w:val="20"/>
        </w:rPr>
        <w:t>MA</w:t>
      </w:r>
      <w:r w:rsidR="0076568E">
        <w:rPr>
          <w:b/>
          <w:sz w:val="20"/>
          <w:szCs w:val="20"/>
        </w:rPr>
        <w:t>RCH</w:t>
      </w:r>
      <w:r w:rsidRPr="00C50A5C">
        <w:rPr>
          <w:b/>
          <w:sz w:val="20"/>
          <w:szCs w:val="20"/>
        </w:rPr>
        <w:t xml:space="preserve"> </w:t>
      </w:r>
      <w:r w:rsidR="0076568E">
        <w:rPr>
          <w:b/>
          <w:sz w:val="20"/>
          <w:szCs w:val="20"/>
        </w:rPr>
        <w:t>1</w:t>
      </w:r>
      <w:r w:rsidR="00281813">
        <w:rPr>
          <w:b/>
          <w:sz w:val="20"/>
          <w:szCs w:val="20"/>
        </w:rPr>
        <w:t>4</w:t>
      </w:r>
      <w:r w:rsidRPr="00C50A5C">
        <w:rPr>
          <w:b/>
          <w:sz w:val="20"/>
          <w:szCs w:val="20"/>
        </w:rPr>
        <w:t>, 201</w:t>
      </w:r>
      <w:r w:rsidR="0076568E">
        <w:rPr>
          <w:b/>
          <w:sz w:val="20"/>
          <w:szCs w:val="20"/>
        </w:rPr>
        <w:t>1</w:t>
      </w:r>
      <w:r w:rsidRPr="00C50A5C">
        <w:rPr>
          <w:b/>
          <w:sz w:val="20"/>
          <w:szCs w:val="20"/>
        </w:rPr>
        <w:t xml:space="preserve"> / LE </w:t>
      </w:r>
      <w:r w:rsidR="0076568E">
        <w:rPr>
          <w:b/>
          <w:sz w:val="20"/>
          <w:szCs w:val="20"/>
        </w:rPr>
        <w:t>1</w:t>
      </w:r>
      <w:r w:rsidR="00281813">
        <w:rPr>
          <w:b/>
          <w:sz w:val="20"/>
          <w:szCs w:val="20"/>
        </w:rPr>
        <w:t>4</w:t>
      </w:r>
      <w:r w:rsidRPr="00C50A5C">
        <w:rPr>
          <w:b/>
          <w:sz w:val="20"/>
          <w:szCs w:val="20"/>
        </w:rPr>
        <w:t xml:space="preserve"> MA</w:t>
      </w:r>
      <w:r w:rsidR="0076568E">
        <w:rPr>
          <w:b/>
          <w:sz w:val="20"/>
          <w:szCs w:val="20"/>
        </w:rPr>
        <w:t>RS</w:t>
      </w:r>
      <w:r w:rsidRPr="00C50A5C">
        <w:rPr>
          <w:b/>
          <w:sz w:val="20"/>
          <w:szCs w:val="20"/>
        </w:rPr>
        <w:t xml:space="preserve"> 201</w:t>
      </w:r>
      <w:r w:rsidR="0076568E">
        <w:rPr>
          <w:b/>
          <w:sz w:val="20"/>
          <w:szCs w:val="20"/>
        </w:rPr>
        <w:t>1</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CORAM:  Chief Justice McLachlin and Abella and Cromwell JJ.</w:t>
      </w:r>
    </w:p>
    <w:p w:rsidR="002E2327" w:rsidRPr="00C50A5C" w:rsidRDefault="002E2327" w:rsidP="002E2327">
      <w:pPr>
        <w:widowControl w:val="0"/>
        <w:jc w:val="center"/>
        <w:rPr>
          <w:sz w:val="20"/>
          <w:szCs w:val="20"/>
          <w:lang w:val="fr-CA"/>
        </w:rPr>
      </w:pPr>
      <w:r w:rsidRPr="00C50A5C">
        <w:rPr>
          <w:b/>
          <w:sz w:val="20"/>
          <w:szCs w:val="20"/>
          <w:lang w:val="fr-CA"/>
        </w:rPr>
        <w:t>La juge en chef McLachlin et les juges Abella et Cromwell</w:t>
      </w:r>
    </w:p>
    <w:p w:rsidR="002E2327" w:rsidRPr="00C50A5C" w:rsidRDefault="002E2327" w:rsidP="002E2327">
      <w:pPr>
        <w:widowControl w:val="0"/>
        <w:rPr>
          <w:sz w:val="20"/>
          <w:szCs w:val="20"/>
          <w:lang w:val="fr-CA"/>
        </w:rPr>
      </w:pPr>
    </w:p>
    <w:p w:rsidR="002E2327" w:rsidRPr="00C50A5C" w:rsidRDefault="00441E63" w:rsidP="00C50A5C">
      <w:pPr>
        <w:pStyle w:val="ListParagraph"/>
        <w:widowControl w:val="0"/>
        <w:numPr>
          <w:ilvl w:val="0"/>
          <w:numId w:val="1"/>
        </w:numPr>
        <w:ind w:hanging="720"/>
        <w:jc w:val="both"/>
        <w:rPr>
          <w:sz w:val="20"/>
          <w:szCs w:val="20"/>
        </w:rPr>
      </w:pPr>
      <w:r w:rsidRPr="00441E63">
        <w:rPr>
          <w:i/>
          <w:sz w:val="20"/>
          <w:szCs w:val="20"/>
        </w:rPr>
        <w:t xml:space="preserve">Karl </w:t>
      </w:r>
      <w:proofErr w:type="spellStart"/>
      <w:r w:rsidRPr="00441E63">
        <w:rPr>
          <w:i/>
          <w:sz w:val="20"/>
          <w:szCs w:val="20"/>
        </w:rPr>
        <w:t>Largie</w:t>
      </w:r>
      <w:proofErr w:type="spellEnd"/>
      <w:r w:rsidRPr="00441E63">
        <w:rPr>
          <w:i/>
          <w:sz w:val="20"/>
          <w:szCs w:val="20"/>
        </w:rPr>
        <w:t xml:space="preserve"> v. Her Majesty the Queen</w:t>
      </w:r>
      <w:r w:rsidRPr="0076568E">
        <w:rPr>
          <w:sz w:val="20"/>
          <w:szCs w:val="20"/>
        </w:rPr>
        <w:t xml:space="preserve"> (Ont.) (Crim</w:t>
      </w:r>
      <w:r>
        <w:rPr>
          <w:sz w:val="20"/>
          <w:szCs w:val="20"/>
        </w:rPr>
        <w:t>.</w:t>
      </w:r>
      <w:r w:rsidRPr="0076568E">
        <w:rPr>
          <w:sz w:val="20"/>
          <w:szCs w:val="20"/>
        </w:rPr>
        <w:t>) (By Leave)</w:t>
      </w:r>
      <w:r w:rsidR="002E2327" w:rsidRPr="00C50A5C">
        <w:rPr>
          <w:sz w:val="20"/>
          <w:szCs w:val="20"/>
        </w:rPr>
        <w:t xml:space="preserve"> (33</w:t>
      </w:r>
      <w:r>
        <w:rPr>
          <w:sz w:val="20"/>
          <w:szCs w:val="20"/>
        </w:rPr>
        <w:t>982</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441E63" w:rsidP="00C50A5C">
      <w:pPr>
        <w:pStyle w:val="ListParagraph"/>
        <w:widowControl w:val="0"/>
        <w:numPr>
          <w:ilvl w:val="0"/>
          <w:numId w:val="1"/>
        </w:numPr>
        <w:ind w:hanging="720"/>
        <w:jc w:val="both"/>
        <w:rPr>
          <w:sz w:val="20"/>
          <w:szCs w:val="20"/>
        </w:rPr>
      </w:pPr>
      <w:r w:rsidRPr="00441E63">
        <w:rPr>
          <w:i/>
          <w:sz w:val="20"/>
          <w:szCs w:val="20"/>
        </w:rPr>
        <w:t>John Murphy et al. v. John Wynne et al.</w:t>
      </w:r>
      <w:r w:rsidRPr="0076568E">
        <w:rPr>
          <w:sz w:val="20"/>
          <w:szCs w:val="20"/>
        </w:rPr>
        <w:t xml:space="preserve"> (B.C.) (Civil) (By Leave)</w:t>
      </w:r>
      <w:r w:rsidRPr="00C50A5C">
        <w:rPr>
          <w:sz w:val="20"/>
          <w:szCs w:val="20"/>
        </w:rPr>
        <w:t xml:space="preserve"> </w:t>
      </w:r>
      <w:r w:rsidR="002E2327" w:rsidRPr="00C50A5C">
        <w:rPr>
          <w:sz w:val="20"/>
          <w:szCs w:val="20"/>
        </w:rPr>
        <w:t>(33</w:t>
      </w:r>
      <w:r>
        <w:rPr>
          <w:sz w:val="20"/>
          <w:szCs w:val="20"/>
        </w:rPr>
        <w:t>977</w:t>
      </w:r>
      <w:r w:rsidR="002E2327" w:rsidRPr="00C50A5C">
        <w:rPr>
          <w:sz w:val="20"/>
          <w:szCs w:val="20"/>
        </w:rPr>
        <w:t>)</w:t>
      </w:r>
    </w:p>
    <w:p w:rsidR="002E2327" w:rsidRDefault="002E2327" w:rsidP="00C50A5C">
      <w:pPr>
        <w:widowControl w:val="0"/>
        <w:jc w:val="both"/>
        <w:rPr>
          <w:sz w:val="20"/>
          <w:szCs w:val="20"/>
        </w:rPr>
      </w:pPr>
    </w:p>
    <w:p w:rsidR="0076568E" w:rsidRDefault="0076568E" w:rsidP="00C50A5C">
      <w:pPr>
        <w:widowControl w:val="0"/>
        <w:jc w:val="both"/>
        <w:rPr>
          <w:sz w:val="20"/>
          <w:szCs w:val="20"/>
        </w:rPr>
      </w:pPr>
    </w:p>
    <w:p w:rsidR="0076568E" w:rsidRPr="00C50A5C" w:rsidRDefault="0076568E" w:rsidP="0076568E">
      <w:pPr>
        <w:widowControl w:val="0"/>
        <w:jc w:val="center"/>
        <w:rPr>
          <w:b/>
          <w:sz w:val="20"/>
          <w:szCs w:val="20"/>
        </w:rPr>
      </w:pPr>
      <w:r w:rsidRPr="00C50A5C">
        <w:rPr>
          <w:b/>
          <w:sz w:val="20"/>
          <w:szCs w:val="20"/>
        </w:rPr>
        <w:t xml:space="preserve">CORAM: </w:t>
      </w:r>
      <w:proofErr w:type="spellStart"/>
      <w:r w:rsidRPr="00C50A5C">
        <w:rPr>
          <w:b/>
          <w:sz w:val="20"/>
          <w:szCs w:val="20"/>
        </w:rPr>
        <w:t>Binnie</w:t>
      </w:r>
      <w:proofErr w:type="spellEnd"/>
      <w:r w:rsidRPr="00C50A5C">
        <w:rPr>
          <w:b/>
          <w:sz w:val="20"/>
          <w:szCs w:val="20"/>
        </w:rPr>
        <w:t>, Fish and Rothstein JJ.</w:t>
      </w:r>
    </w:p>
    <w:p w:rsidR="0076568E" w:rsidRPr="00C50A5C" w:rsidRDefault="0076568E" w:rsidP="0076568E">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Binnie</w:t>
      </w:r>
      <w:proofErr w:type="spellEnd"/>
      <w:r w:rsidRPr="00C50A5C">
        <w:rPr>
          <w:b/>
          <w:sz w:val="20"/>
          <w:szCs w:val="20"/>
          <w:lang w:val="fr-CA"/>
        </w:rPr>
        <w:t xml:space="preserve">, Fish et </w:t>
      </w:r>
      <w:proofErr w:type="spellStart"/>
      <w:r w:rsidRPr="00C50A5C">
        <w:rPr>
          <w:b/>
          <w:sz w:val="20"/>
          <w:szCs w:val="20"/>
          <w:lang w:val="fr-CA"/>
        </w:rPr>
        <w:t>Rothstein</w:t>
      </w:r>
      <w:proofErr w:type="spellEnd"/>
    </w:p>
    <w:p w:rsidR="0076568E" w:rsidRPr="0076568E" w:rsidRDefault="0076568E" w:rsidP="00C50A5C">
      <w:pPr>
        <w:widowControl w:val="0"/>
        <w:jc w:val="both"/>
        <w:rPr>
          <w:sz w:val="20"/>
          <w:szCs w:val="20"/>
          <w:lang w:val="fr-CA"/>
        </w:rPr>
      </w:pPr>
    </w:p>
    <w:p w:rsidR="002E2327" w:rsidRPr="00135C24" w:rsidRDefault="00135C24" w:rsidP="00C50A5C">
      <w:pPr>
        <w:pStyle w:val="ListParagraph"/>
        <w:widowControl w:val="0"/>
        <w:numPr>
          <w:ilvl w:val="0"/>
          <w:numId w:val="1"/>
        </w:numPr>
        <w:ind w:hanging="720"/>
        <w:jc w:val="both"/>
        <w:rPr>
          <w:sz w:val="20"/>
          <w:szCs w:val="20"/>
        </w:rPr>
      </w:pPr>
      <w:r w:rsidRPr="00135C24">
        <w:rPr>
          <w:i/>
          <w:sz w:val="20"/>
          <w:szCs w:val="20"/>
        </w:rPr>
        <w:t>Debra-Ann Katherine Young v. James William Thomas Young</w:t>
      </w:r>
      <w:r w:rsidRPr="0076568E">
        <w:rPr>
          <w:sz w:val="20"/>
          <w:szCs w:val="20"/>
        </w:rPr>
        <w:t xml:space="preserve"> (Ont.) (Civil) (By Leave)</w:t>
      </w:r>
      <w:r w:rsidRPr="00135C24">
        <w:rPr>
          <w:sz w:val="20"/>
          <w:szCs w:val="20"/>
        </w:rPr>
        <w:t xml:space="preserve"> </w:t>
      </w:r>
      <w:r w:rsidR="002E2327" w:rsidRPr="00135C24">
        <w:rPr>
          <w:sz w:val="20"/>
          <w:szCs w:val="20"/>
        </w:rPr>
        <w:t>(33</w:t>
      </w:r>
      <w:r w:rsidR="00441E63" w:rsidRPr="00135C24">
        <w:rPr>
          <w:sz w:val="20"/>
          <w:szCs w:val="20"/>
        </w:rPr>
        <w:t>939</w:t>
      </w:r>
      <w:r w:rsidR="002E2327" w:rsidRPr="00135C24">
        <w:rPr>
          <w:sz w:val="20"/>
          <w:szCs w:val="20"/>
        </w:rPr>
        <w:t>)</w:t>
      </w:r>
    </w:p>
    <w:p w:rsidR="002E2327" w:rsidRPr="00135C24" w:rsidRDefault="002E2327" w:rsidP="002E2327">
      <w:pPr>
        <w:widowControl w:val="0"/>
        <w:rPr>
          <w:sz w:val="20"/>
          <w:szCs w:val="20"/>
        </w:rPr>
      </w:pPr>
    </w:p>
    <w:p w:rsidR="002E2327" w:rsidRPr="00C50A5C" w:rsidRDefault="00135C24" w:rsidP="00C50A5C">
      <w:pPr>
        <w:pStyle w:val="ListParagraph"/>
        <w:widowControl w:val="0"/>
        <w:numPr>
          <w:ilvl w:val="0"/>
          <w:numId w:val="1"/>
        </w:numPr>
        <w:ind w:hanging="720"/>
        <w:jc w:val="both"/>
        <w:rPr>
          <w:sz w:val="20"/>
          <w:szCs w:val="20"/>
        </w:rPr>
      </w:pPr>
      <w:r w:rsidRPr="00135C24">
        <w:rPr>
          <w:i/>
          <w:sz w:val="20"/>
          <w:szCs w:val="20"/>
        </w:rPr>
        <w:t>Nova Scotia Government and General Employees Union v. Her Majesty the Queen in the Right of the Province of Nova Scotia, representing the Department of Transportation and Infrastructure Renewal</w:t>
      </w:r>
      <w:r w:rsidRPr="0076568E">
        <w:rPr>
          <w:sz w:val="20"/>
          <w:szCs w:val="20"/>
        </w:rPr>
        <w:t xml:space="preserve"> (N.S.) (Civil) (By Leave)</w:t>
      </w:r>
      <w:r>
        <w:rPr>
          <w:sz w:val="20"/>
          <w:szCs w:val="20"/>
        </w:rPr>
        <w:t xml:space="preserve"> </w:t>
      </w:r>
      <w:r w:rsidR="002E2327" w:rsidRPr="00C50A5C">
        <w:rPr>
          <w:sz w:val="20"/>
          <w:szCs w:val="20"/>
        </w:rPr>
        <w:t>(3</w:t>
      </w:r>
      <w:r w:rsidR="00441E63">
        <w:rPr>
          <w:sz w:val="20"/>
          <w:szCs w:val="20"/>
        </w:rPr>
        <w:t>4001</w:t>
      </w:r>
      <w:r w:rsidR="002E2327" w:rsidRPr="00C50A5C">
        <w:rPr>
          <w:sz w:val="20"/>
          <w:szCs w:val="20"/>
        </w:rPr>
        <w:t>)</w:t>
      </w:r>
    </w:p>
    <w:p w:rsidR="002E2327" w:rsidRDefault="002E2327" w:rsidP="00C50A5C">
      <w:pPr>
        <w:widowControl w:val="0"/>
        <w:jc w:val="both"/>
        <w:rPr>
          <w:sz w:val="20"/>
          <w:szCs w:val="20"/>
        </w:rPr>
      </w:pPr>
    </w:p>
    <w:p w:rsidR="0076568E" w:rsidRDefault="0076568E" w:rsidP="00C50A5C">
      <w:pPr>
        <w:widowControl w:val="0"/>
        <w:jc w:val="both"/>
        <w:rPr>
          <w:sz w:val="20"/>
          <w:szCs w:val="20"/>
        </w:rPr>
      </w:pPr>
    </w:p>
    <w:p w:rsidR="0076568E" w:rsidRPr="00C50A5C" w:rsidRDefault="0076568E" w:rsidP="0076568E">
      <w:pPr>
        <w:widowControl w:val="0"/>
        <w:jc w:val="center"/>
        <w:rPr>
          <w:b/>
          <w:sz w:val="20"/>
          <w:szCs w:val="20"/>
        </w:rPr>
      </w:pPr>
      <w:r w:rsidRPr="00C50A5C">
        <w:rPr>
          <w:b/>
          <w:sz w:val="20"/>
          <w:szCs w:val="20"/>
        </w:rPr>
        <w:t xml:space="preserve">CORAM: </w:t>
      </w:r>
      <w:proofErr w:type="spellStart"/>
      <w:r w:rsidRPr="00C50A5C">
        <w:rPr>
          <w:b/>
          <w:sz w:val="20"/>
          <w:szCs w:val="20"/>
        </w:rPr>
        <w:t>LeBel</w:t>
      </w:r>
      <w:proofErr w:type="spellEnd"/>
      <w:r w:rsidRPr="00C50A5C">
        <w:rPr>
          <w:b/>
          <w:sz w:val="20"/>
          <w:szCs w:val="20"/>
        </w:rPr>
        <w:t xml:space="preserve">, </w:t>
      </w:r>
      <w:proofErr w:type="spellStart"/>
      <w:r w:rsidRPr="00C50A5C">
        <w:rPr>
          <w:b/>
          <w:sz w:val="20"/>
          <w:szCs w:val="20"/>
        </w:rPr>
        <w:t>Deschamps</w:t>
      </w:r>
      <w:proofErr w:type="spellEnd"/>
      <w:r w:rsidRPr="00C50A5C">
        <w:rPr>
          <w:b/>
          <w:sz w:val="20"/>
          <w:szCs w:val="20"/>
        </w:rPr>
        <w:t xml:space="preserve"> and </w:t>
      </w:r>
      <w:proofErr w:type="spellStart"/>
      <w:r w:rsidRPr="00C50A5C">
        <w:rPr>
          <w:b/>
          <w:sz w:val="20"/>
          <w:szCs w:val="20"/>
        </w:rPr>
        <w:t>Charron</w:t>
      </w:r>
      <w:proofErr w:type="spellEnd"/>
      <w:r w:rsidRPr="00C50A5C">
        <w:rPr>
          <w:b/>
          <w:sz w:val="20"/>
          <w:szCs w:val="20"/>
        </w:rPr>
        <w:t xml:space="preserve"> JJ.</w:t>
      </w:r>
    </w:p>
    <w:p w:rsidR="0076568E" w:rsidRPr="00C50A5C" w:rsidRDefault="0076568E" w:rsidP="0076568E">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LeBel</w:t>
      </w:r>
      <w:proofErr w:type="spellEnd"/>
      <w:r w:rsidRPr="00C50A5C">
        <w:rPr>
          <w:b/>
          <w:sz w:val="20"/>
          <w:szCs w:val="20"/>
          <w:lang w:val="fr-CA"/>
        </w:rPr>
        <w:t>, Deschamps et Charron</w:t>
      </w:r>
    </w:p>
    <w:p w:rsidR="0076568E" w:rsidRPr="0076568E" w:rsidRDefault="0076568E" w:rsidP="00C50A5C">
      <w:pPr>
        <w:widowControl w:val="0"/>
        <w:jc w:val="both"/>
        <w:rPr>
          <w:sz w:val="20"/>
          <w:szCs w:val="20"/>
          <w:lang w:val="fr-CA"/>
        </w:rPr>
      </w:pPr>
    </w:p>
    <w:p w:rsidR="002E2327" w:rsidRPr="00C50A5C" w:rsidRDefault="00135C24" w:rsidP="00C50A5C">
      <w:pPr>
        <w:pStyle w:val="ListParagraph"/>
        <w:widowControl w:val="0"/>
        <w:numPr>
          <w:ilvl w:val="0"/>
          <w:numId w:val="1"/>
        </w:numPr>
        <w:ind w:hanging="720"/>
        <w:jc w:val="both"/>
        <w:rPr>
          <w:sz w:val="20"/>
          <w:szCs w:val="20"/>
        </w:rPr>
      </w:pPr>
      <w:proofErr w:type="spellStart"/>
      <w:r w:rsidRPr="00135C24">
        <w:rPr>
          <w:i/>
          <w:sz w:val="20"/>
          <w:szCs w:val="20"/>
        </w:rPr>
        <w:t>Syed</w:t>
      </w:r>
      <w:proofErr w:type="spellEnd"/>
      <w:r w:rsidRPr="00135C24">
        <w:rPr>
          <w:i/>
          <w:sz w:val="20"/>
          <w:szCs w:val="20"/>
        </w:rPr>
        <w:t xml:space="preserve"> Joe Ahmad v. Athabasca Tribal Council Ltd. et al.</w:t>
      </w:r>
      <w:r w:rsidRPr="0076568E">
        <w:rPr>
          <w:sz w:val="20"/>
          <w:szCs w:val="20"/>
        </w:rPr>
        <w:t xml:space="preserve"> (Alta.) (Civil) (By Leave)</w:t>
      </w:r>
      <w:r w:rsidRPr="00C50A5C">
        <w:rPr>
          <w:sz w:val="20"/>
          <w:szCs w:val="20"/>
        </w:rPr>
        <w:t xml:space="preserve"> </w:t>
      </w:r>
      <w:r w:rsidR="002E2327" w:rsidRPr="00C50A5C">
        <w:rPr>
          <w:sz w:val="20"/>
          <w:szCs w:val="20"/>
        </w:rPr>
        <w:t>(34</w:t>
      </w:r>
      <w:r w:rsidR="00441E63">
        <w:rPr>
          <w:sz w:val="20"/>
          <w:szCs w:val="20"/>
        </w:rPr>
        <w:t>052</w:t>
      </w:r>
      <w:r w:rsidR="002E2327" w:rsidRPr="00C50A5C">
        <w:rPr>
          <w:sz w:val="20"/>
          <w:szCs w:val="20"/>
        </w:rPr>
        <w:t>)</w:t>
      </w:r>
    </w:p>
    <w:p w:rsidR="002E2327" w:rsidRPr="00135C24" w:rsidRDefault="002E2327" w:rsidP="002E2327">
      <w:pPr>
        <w:widowControl w:val="0"/>
        <w:rPr>
          <w:sz w:val="20"/>
          <w:szCs w:val="20"/>
        </w:rPr>
      </w:pPr>
    </w:p>
    <w:p w:rsidR="002E2327" w:rsidRPr="00135C24" w:rsidRDefault="00135C24" w:rsidP="00C50A5C">
      <w:pPr>
        <w:pStyle w:val="ListParagraph"/>
        <w:widowControl w:val="0"/>
        <w:numPr>
          <w:ilvl w:val="0"/>
          <w:numId w:val="1"/>
        </w:numPr>
        <w:ind w:hanging="720"/>
        <w:jc w:val="both"/>
        <w:rPr>
          <w:sz w:val="20"/>
          <w:szCs w:val="20"/>
        </w:rPr>
      </w:pPr>
      <w:r w:rsidRPr="00135C24">
        <w:rPr>
          <w:i/>
          <w:sz w:val="20"/>
          <w:szCs w:val="20"/>
        </w:rPr>
        <w:t>Momentous.ca Corporation et al. v. Canadian American Association of Professional Baseball Ltd. et al.</w:t>
      </w:r>
      <w:r w:rsidRPr="0076568E">
        <w:rPr>
          <w:sz w:val="20"/>
          <w:szCs w:val="20"/>
        </w:rPr>
        <w:t xml:space="preserve"> (Ont.) (Civil) (By Leave)</w:t>
      </w:r>
      <w:r>
        <w:rPr>
          <w:sz w:val="20"/>
          <w:szCs w:val="20"/>
        </w:rPr>
        <w:t xml:space="preserve"> </w:t>
      </w:r>
      <w:r w:rsidR="002E2327" w:rsidRPr="00135C24">
        <w:rPr>
          <w:sz w:val="20"/>
          <w:szCs w:val="20"/>
        </w:rPr>
        <w:t>(33</w:t>
      </w:r>
      <w:r w:rsidR="00441E63" w:rsidRPr="00135C24">
        <w:rPr>
          <w:sz w:val="20"/>
          <w:szCs w:val="20"/>
        </w:rPr>
        <w:t>999</w:t>
      </w:r>
      <w:r w:rsidR="002E2327" w:rsidRPr="00135C24">
        <w:rPr>
          <w:sz w:val="20"/>
          <w:szCs w:val="20"/>
        </w:rPr>
        <w:t>)</w:t>
      </w:r>
    </w:p>
    <w:p w:rsidR="002E2327" w:rsidRPr="00135C24" w:rsidRDefault="002E2327" w:rsidP="002E2327">
      <w:pPr>
        <w:widowControl w:val="0"/>
        <w:rPr>
          <w:sz w:val="20"/>
          <w:szCs w:val="20"/>
        </w:rPr>
      </w:pPr>
    </w:p>
    <w:p w:rsidR="002E2327" w:rsidRDefault="00C478F8" w:rsidP="002E2327">
      <w:pPr>
        <w:widowControl w:val="0"/>
        <w:rPr>
          <w:sz w:val="20"/>
          <w:szCs w:val="20"/>
        </w:rPr>
      </w:pPr>
      <w:r w:rsidRPr="00C478F8">
        <w:rPr>
          <w:sz w:val="20"/>
          <w:szCs w:val="20"/>
        </w:rPr>
        <w:pict>
          <v:rect id="_x0000_i1032" style="width:2in;height:1pt" o:hrpct="0" o:hralign="center" o:hrstd="t" o:hrnoshade="t" o:hr="t" fillcolor="black [3213]" stroked="f"/>
        </w:pict>
      </w:r>
    </w:p>
    <w:p w:rsidR="0076568E" w:rsidRDefault="0076568E" w:rsidP="002E2327">
      <w:pPr>
        <w:widowControl w:val="0"/>
        <w:rPr>
          <w:sz w:val="20"/>
          <w:szCs w:val="20"/>
        </w:rPr>
      </w:pPr>
    </w:p>
    <w:p w:rsidR="0076568E" w:rsidRPr="0076568E" w:rsidRDefault="0076568E" w:rsidP="0076568E">
      <w:pPr>
        <w:widowControl w:val="0"/>
        <w:rPr>
          <w:sz w:val="20"/>
          <w:szCs w:val="20"/>
        </w:rPr>
      </w:pPr>
    </w:p>
    <w:p w:rsidR="0076568E" w:rsidRPr="00C50A5C" w:rsidRDefault="0076568E"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406D3C"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610966" w:rsidP="008D292F">
      <w:pPr>
        <w:rPr>
          <w:b/>
          <w:sz w:val="20"/>
          <w:szCs w:val="20"/>
        </w:rPr>
      </w:pPr>
      <w:r>
        <w:rPr>
          <w:b/>
          <w:sz w:val="20"/>
          <w:szCs w:val="20"/>
        </w:rPr>
        <w:t>M</w:t>
      </w:r>
      <w:r w:rsidR="008D292F" w:rsidRPr="00C50A5C">
        <w:rPr>
          <w:b/>
          <w:sz w:val="20"/>
          <w:szCs w:val="20"/>
        </w:rPr>
        <w:t>AR</w:t>
      </w:r>
      <w:r>
        <w:rPr>
          <w:b/>
          <w:sz w:val="20"/>
          <w:szCs w:val="20"/>
        </w:rPr>
        <w:t>CH</w:t>
      </w:r>
      <w:r w:rsidR="008D292F" w:rsidRPr="00C50A5C">
        <w:rPr>
          <w:b/>
          <w:sz w:val="20"/>
          <w:szCs w:val="20"/>
        </w:rPr>
        <w:t xml:space="preserve"> </w:t>
      </w:r>
      <w:r>
        <w:rPr>
          <w:b/>
          <w:sz w:val="20"/>
          <w:szCs w:val="20"/>
        </w:rPr>
        <w:t>17</w:t>
      </w:r>
      <w:r w:rsidR="008D292F" w:rsidRPr="00C50A5C">
        <w:rPr>
          <w:b/>
          <w:sz w:val="20"/>
          <w:szCs w:val="20"/>
        </w:rPr>
        <w:t>, 201</w:t>
      </w:r>
      <w:r>
        <w:rPr>
          <w:b/>
          <w:sz w:val="20"/>
          <w:szCs w:val="20"/>
        </w:rPr>
        <w:t>1</w:t>
      </w:r>
      <w:r w:rsidR="008D292F" w:rsidRPr="00C50A5C">
        <w:rPr>
          <w:b/>
          <w:sz w:val="20"/>
          <w:szCs w:val="20"/>
        </w:rPr>
        <w:t xml:space="preserve"> / LE </w:t>
      </w:r>
      <w:r>
        <w:rPr>
          <w:b/>
          <w:sz w:val="20"/>
          <w:szCs w:val="20"/>
        </w:rPr>
        <w:t>17</w:t>
      </w:r>
      <w:r w:rsidR="008D292F" w:rsidRPr="00C50A5C">
        <w:rPr>
          <w:b/>
          <w:sz w:val="20"/>
          <w:szCs w:val="20"/>
        </w:rPr>
        <w:t xml:space="preserve"> </w:t>
      </w:r>
      <w:r>
        <w:rPr>
          <w:b/>
          <w:sz w:val="20"/>
          <w:szCs w:val="20"/>
        </w:rPr>
        <w:t>M</w:t>
      </w:r>
      <w:r w:rsidR="008D292F" w:rsidRPr="00C50A5C">
        <w:rPr>
          <w:b/>
          <w:sz w:val="20"/>
          <w:szCs w:val="20"/>
        </w:rPr>
        <w:t>AR</w:t>
      </w:r>
      <w:r>
        <w:rPr>
          <w:b/>
          <w:sz w:val="20"/>
          <w:szCs w:val="20"/>
        </w:rPr>
        <w:t>S</w:t>
      </w:r>
      <w:r w:rsidR="008D292F" w:rsidRPr="00C50A5C">
        <w:rPr>
          <w:b/>
          <w:sz w:val="20"/>
          <w:szCs w:val="20"/>
        </w:rPr>
        <w:t xml:space="preserve"> 201</w:t>
      </w:r>
      <w:r>
        <w:rPr>
          <w:b/>
          <w:sz w:val="20"/>
          <w:szCs w:val="20"/>
        </w:rPr>
        <w:t>1</w:t>
      </w:r>
    </w:p>
    <w:p w:rsidR="008D292F" w:rsidRDefault="008D292F" w:rsidP="008D292F">
      <w:pPr>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66016" w:rsidRPr="00266016" w:rsidTr="0027596E">
        <w:trPr>
          <w:cantSplit/>
        </w:trPr>
        <w:tc>
          <w:tcPr>
            <w:tcW w:w="1458" w:type="dxa"/>
          </w:tcPr>
          <w:p w:rsidR="00266016" w:rsidRPr="00266016" w:rsidRDefault="00266016" w:rsidP="0027596E">
            <w:pPr>
              <w:rPr>
                <w:sz w:val="20"/>
                <w:szCs w:val="20"/>
              </w:rPr>
            </w:pPr>
            <w:r w:rsidRPr="00266016">
              <w:rPr>
                <w:rStyle w:val="SCCFileNumberChar"/>
                <w:sz w:val="20"/>
                <w:szCs w:val="20"/>
              </w:rPr>
              <w:t>33868</w:t>
            </w:r>
          </w:p>
          <w:p w:rsidR="00266016" w:rsidRPr="00266016" w:rsidRDefault="00266016" w:rsidP="0027596E">
            <w:pPr>
              <w:rPr>
                <w:b/>
                <w:sz w:val="20"/>
                <w:szCs w:val="20"/>
                <w:lang w:val="fr-CA"/>
              </w:rPr>
            </w:pPr>
          </w:p>
        </w:tc>
        <w:tc>
          <w:tcPr>
            <w:tcW w:w="8118" w:type="dxa"/>
          </w:tcPr>
          <w:p w:rsidR="00266016" w:rsidRPr="00266016" w:rsidRDefault="00266016" w:rsidP="00266016">
            <w:pPr>
              <w:jc w:val="both"/>
              <w:rPr>
                <w:sz w:val="20"/>
                <w:szCs w:val="20"/>
              </w:rPr>
            </w:pPr>
            <w:r w:rsidRPr="00266016">
              <w:rPr>
                <w:rStyle w:val="SCCLsocChar"/>
                <w:sz w:val="20"/>
                <w:szCs w:val="20"/>
                <w:lang w:val="en-CA"/>
              </w:rPr>
              <w:t xml:space="preserve">Kevin R. Aalto, </w:t>
            </w:r>
            <w:proofErr w:type="spellStart"/>
            <w:r w:rsidRPr="00266016">
              <w:rPr>
                <w:rStyle w:val="SCCLsocChar"/>
                <w:sz w:val="20"/>
                <w:szCs w:val="20"/>
                <w:lang w:val="en-CA"/>
              </w:rPr>
              <w:t>Roza</w:t>
            </w:r>
            <w:proofErr w:type="spellEnd"/>
            <w:r w:rsidRPr="00266016">
              <w:rPr>
                <w:rStyle w:val="SCCLsocChar"/>
                <w:sz w:val="20"/>
                <w:szCs w:val="20"/>
                <w:lang w:val="en-CA"/>
              </w:rPr>
              <w:t xml:space="preserve"> </w:t>
            </w:r>
            <w:proofErr w:type="spellStart"/>
            <w:r w:rsidRPr="00266016">
              <w:rPr>
                <w:rStyle w:val="SCCLsocChar"/>
                <w:sz w:val="20"/>
                <w:szCs w:val="20"/>
                <w:lang w:val="en-CA"/>
              </w:rPr>
              <w:t>Aronovitch</w:t>
            </w:r>
            <w:proofErr w:type="spellEnd"/>
            <w:r w:rsidRPr="00266016">
              <w:rPr>
                <w:rStyle w:val="SCCLsocChar"/>
                <w:sz w:val="20"/>
                <w:szCs w:val="20"/>
                <w:lang w:val="en-CA"/>
              </w:rPr>
              <w:t xml:space="preserve">, Roger R. </w:t>
            </w:r>
            <w:proofErr w:type="spellStart"/>
            <w:r w:rsidRPr="00266016">
              <w:rPr>
                <w:rStyle w:val="SCCLsocChar"/>
                <w:sz w:val="20"/>
                <w:szCs w:val="20"/>
                <w:lang w:val="en-CA"/>
              </w:rPr>
              <w:t>Lafrenière</w:t>
            </w:r>
            <w:proofErr w:type="spellEnd"/>
            <w:r w:rsidRPr="00266016">
              <w:rPr>
                <w:rStyle w:val="SCCLsocChar"/>
                <w:sz w:val="20"/>
                <w:szCs w:val="20"/>
                <w:lang w:val="en-CA"/>
              </w:rPr>
              <w:t xml:space="preserve">, Martha </w:t>
            </w:r>
            <w:proofErr w:type="spellStart"/>
            <w:r w:rsidRPr="00266016">
              <w:rPr>
                <w:rStyle w:val="SCCLsocChar"/>
                <w:sz w:val="20"/>
                <w:szCs w:val="20"/>
                <w:lang w:val="en-CA"/>
              </w:rPr>
              <w:t>Milcynski</w:t>
            </w:r>
            <w:proofErr w:type="spellEnd"/>
            <w:r w:rsidRPr="00266016">
              <w:rPr>
                <w:rStyle w:val="SCCLsocChar"/>
                <w:sz w:val="20"/>
                <w:szCs w:val="20"/>
                <w:lang w:val="en-CA"/>
              </w:rPr>
              <w:t xml:space="preserve">, Richard </w:t>
            </w:r>
            <w:proofErr w:type="spellStart"/>
            <w:r w:rsidRPr="00266016">
              <w:rPr>
                <w:rStyle w:val="SCCLsocChar"/>
                <w:sz w:val="20"/>
                <w:szCs w:val="20"/>
                <w:lang w:val="en-CA"/>
              </w:rPr>
              <w:t>Morneau</w:t>
            </w:r>
            <w:proofErr w:type="spellEnd"/>
            <w:r w:rsidRPr="00266016">
              <w:rPr>
                <w:rStyle w:val="SCCLsocChar"/>
                <w:sz w:val="20"/>
                <w:szCs w:val="20"/>
                <w:lang w:val="en-CA"/>
              </w:rPr>
              <w:t xml:space="preserve"> and </w:t>
            </w:r>
            <w:proofErr w:type="spellStart"/>
            <w:r w:rsidRPr="00266016">
              <w:rPr>
                <w:rStyle w:val="SCCLsocChar"/>
                <w:sz w:val="20"/>
                <w:szCs w:val="20"/>
                <w:lang w:val="en-CA"/>
              </w:rPr>
              <w:t>Mireille</w:t>
            </w:r>
            <w:proofErr w:type="spellEnd"/>
            <w:r w:rsidRPr="00266016">
              <w:rPr>
                <w:rStyle w:val="SCCLsocChar"/>
                <w:sz w:val="20"/>
                <w:szCs w:val="20"/>
                <w:lang w:val="en-CA"/>
              </w:rPr>
              <w:t xml:space="preserve"> </w:t>
            </w:r>
            <w:proofErr w:type="spellStart"/>
            <w:r w:rsidRPr="00266016">
              <w:rPr>
                <w:rStyle w:val="SCCLsocChar"/>
                <w:sz w:val="20"/>
                <w:szCs w:val="20"/>
                <w:lang w:val="en-CA"/>
              </w:rPr>
              <w:t>Tabib</w:t>
            </w:r>
            <w:proofErr w:type="spellEnd"/>
            <w:r w:rsidRPr="00266016">
              <w:rPr>
                <w:rStyle w:val="SCCLsocChar"/>
                <w:sz w:val="20"/>
                <w:szCs w:val="20"/>
                <w:lang w:val="en-CA"/>
              </w:rPr>
              <w:t xml:space="preserve"> v. Attorney General of Canada</w:t>
            </w:r>
            <w:r w:rsidRPr="00266016">
              <w:rPr>
                <w:sz w:val="20"/>
                <w:szCs w:val="20"/>
              </w:rPr>
              <w:t xml:space="preserve"> (F</w:t>
            </w:r>
            <w:r>
              <w:rPr>
                <w:sz w:val="20"/>
                <w:szCs w:val="20"/>
              </w:rPr>
              <w:t>.</w:t>
            </w:r>
            <w:r w:rsidRPr="00266016">
              <w:rPr>
                <w:sz w:val="20"/>
                <w:szCs w:val="20"/>
              </w:rPr>
              <w:t>C</w:t>
            </w:r>
            <w:r>
              <w:rPr>
                <w:sz w:val="20"/>
                <w:szCs w:val="20"/>
              </w:rPr>
              <w:t>.</w:t>
            </w:r>
            <w:r w:rsidRPr="00266016">
              <w:rPr>
                <w:sz w:val="20"/>
                <w:szCs w:val="20"/>
              </w:rPr>
              <w:t>) (Civil) (By Leave)</w:t>
            </w:r>
          </w:p>
          <w:p w:rsidR="00266016" w:rsidRPr="00266016" w:rsidRDefault="00266016" w:rsidP="0027596E">
            <w:pPr>
              <w:rPr>
                <w:sz w:val="20"/>
                <w:szCs w:val="20"/>
              </w:rPr>
            </w:pPr>
          </w:p>
        </w:tc>
      </w:tr>
      <w:tr w:rsidR="00266016" w:rsidRPr="00266016" w:rsidTr="0027596E">
        <w:trPr>
          <w:cantSplit/>
        </w:trPr>
        <w:tc>
          <w:tcPr>
            <w:tcW w:w="1458" w:type="dxa"/>
          </w:tcPr>
          <w:p w:rsidR="00266016" w:rsidRPr="00266016" w:rsidRDefault="00266016" w:rsidP="0027596E">
            <w:pPr>
              <w:rPr>
                <w:sz w:val="20"/>
                <w:szCs w:val="20"/>
              </w:rPr>
            </w:pPr>
            <w:r w:rsidRPr="00266016">
              <w:rPr>
                <w:sz w:val="20"/>
                <w:szCs w:val="20"/>
              </w:rPr>
              <w:t>Coram :</w:t>
            </w:r>
          </w:p>
        </w:tc>
        <w:tc>
          <w:tcPr>
            <w:tcW w:w="8118" w:type="dxa"/>
          </w:tcPr>
          <w:p w:rsidR="00266016" w:rsidRPr="00266016" w:rsidRDefault="00266016" w:rsidP="0027596E">
            <w:pPr>
              <w:rPr>
                <w:sz w:val="20"/>
                <w:szCs w:val="20"/>
              </w:rPr>
            </w:pPr>
            <w:proofErr w:type="spellStart"/>
            <w:r w:rsidRPr="00266016">
              <w:rPr>
                <w:rStyle w:val="SCCCoramChar"/>
                <w:sz w:val="20"/>
                <w:szCs w:val="20"/>
                <w:lang w:val="en-CA"/>
              </w:rPr>
              <w:t>Binnie</w:t>
            </w:r>
            <w:proofErr w:type="spellEnd"/>
            <w:r w:rsidRPr="00266016">
              <w:rPr>
                <w:rStyle w:val="SCCCoramChar"/>
                <w:sz w:val="20"/>
                <w:szCs w:val="20"/>
                <w:lang w:val="en-CA"/>
              </w:rPr>
              <w:t xml:space="preserve">, Fish and </w:t>
            </w:r>
            <w:proofErr w:type="spellStart"/>
            <w:r w:rsidRPr="00266016">
              <w:rPr>
                <w:rStyle w:val="SCCCoramChar"/>
                <w:sz w:val="20"/>
                <w:szCs w:val="20"/>
                <w:lang w:val="en-CA"/>
              </w:rPr>
              <w:t>Abella</w:t>
            </w:r>
            <w:proofErr w:type="spellEnd"/>
            <w:r w:rsidRPr="00266016">
              <w:rPr>
                <w:rStyle w:val="SCCCoramChar"/>
                <w:sz w:val="20"/>
                <w:szCs w:val="20"/>
                <w:lang w:val="en-CA"/>
              </w:rPr>
              <w:t> JJ.</w:t>
            </w:r>
          </w:p>
          <w:p w:rsidR="00266016" w:rsidRPr="00266016" w:rsidRDefault="00266016" w:rsidP="0027596E">
            <w:pPr>
              <w:rPr>
                <w:sz w:val="20"/>
                <w:szCs w:val="20"/>
                <w:u w:val="single"/>
              </w:rPr>
            </w:pPr>
          </w:p>
        </w:tc>
      </w:tr>
      <w:tr w:rsidR="00266016" w:rsidRPr="00406D3C" w:rsidTr="0027596E">
        <w:trPr>
          <w:cantSplit/>
        </w:trPr>
        <w:tc>
          <w:tcPr>
            <w:tcW w:w="9576" w:type="dxa"/>
            <w:gridSpan w:val="2"/>
          </w:tcPr>
          <w:p w:rsidR="00266016" w:rsidRPr="00266016" w:rsidRDefault="00266016" w:rsidP="0027596E">
            <w:pPr>
              <w:pStyle w:val="SCCShortJudgment"/>
              <w:rPr>
                <w:szCs w:val="20"/>
              </w:rPr>
            </w:pPr>
            <w:r w:rsidRPr="00266016">
              <w:rPr>
                <w:szCs w:val="20"/>
              </w:rPr>
              <w:t>The application for leave to appeal from the judgment of the Federal Court of Appeal, Number A-388-09, 2010 FCA 195, dated July 21, 2010, is dismissed without costs.</w:t>
            </w:r>
          </w:p>
          <w:p w:rsidR="00266016" w:rsidRPr="00266016" w:rsidRDefault="00266016" w:rsidP="0027596E">
            <w:pPr>
              <w:pStyle w:val="SCCShortJudgment"/>
              <w:ind w:firstLine="0"/>
              <w:rPr>
                <w:szCs w:val="20"/>
              </w:rPr>
            </w:pPr>
          </w:p>
          <w:p w:rsidR="00266016" w:rsidRPr="00266016" w:rsidRDefault="00266016" w:rsidP="00266016">
            <w:pPr>
              <w:pStyle w:val="SCCShortJudgment"/>
              <w:rPr>
                <w:szCs w:val="20"/>
                <w:lang w:val="fr-CA"/>
              </w:rPr>
            </w:pPr>
            <w:r w:rsidRPr="00266016">
              <w:rPr>
                <w:szCs w:val="20"/>
                <w:lang w:val="fr-CA"/>
              </w:rPr>
              <w:t>La demande d’autorisation d’appel de l’arrêt de la Cour d’appel fédérale, numéro A-388-09, 2010 CAF 195, daté du 21 juillet 2010, est rejetée sans dépens.</w:t>
            </w:r>
          </w:p>
        </w:tc>
      </w:tr>
    </w:tbl>
    <w:p w:rsidR="00AA3631" w:rsidRPr="00266016" w:rsidRDefault="00AA3631" w:rsidP="008D292F">
      <w:pPr>
        <w:rPr>
          <w:b/>
          <w:sz w:val="20"/>
          <w:szCs w:val="20"/>
          <w:lang w:val="fr-CA"/>
        </w:rPr>
      </w:pPr>
    </w:p>
    <w:p w:rsidR="00610966" w:rsidRDefault="00610966" w:rsidP="008D292F">
      <w:pPr>
        <w:rPr>
          <w:sz w:val="20"/>
          <w:szCs w:val="20"/>
        </w:rPr>
      </w:pPr>
      <w:r>
        <w:rPr>
          <w:sz w:val="20"/>
          <w:szCs w:val="20"/>
          <w:u w:val="single"/>
        </w:rPr>
        <w:t>CASE SUMMARY</w:t>
      </w:r>
    </w:p>
    <w:p w:rsidR="00610966" w:rsidRDefault="00610966"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A3631" w:rsidRPr="00DF0A0A" w:rsidTr="009E6B0E">
        <w:tc>
          <w:tcPr>
            <w:tcW w:w="5000" w:type="pct"/>
            <w:gridSpan w:val="3"/>
          </w:tcPr>
          <w:p w:rsidR="00AA3631" w:rsidRPr="00DF0A0A" w:rsidRDefault="00AA3631" w:rsidP="009E6B0E">
            <w:pPr>
              <w:jc w:val="both"/>
              <w:rPr>
                <w:rFonts w:eastAsia="Calibri"/>
                <w:sz w:val="20"/>
                <w:szCs w:val="20"/>
              </w:rPr>
            </w:pPr>
            <w:r w:rsidRPr="00DF0A0A">
              <w:rPr>
                <w:rFonts w:eastAsia="Calibri"/>
                <w:iCs/>
                <w:sz w:val="20"/>
                <w:szCs w:val="20"/>
              </w:rPr>
              <w:t xml:space="preserve">Constitutional law </w:t>
            </w:r>
            <w:r w:rsidRPr="00DF0A0A">
              <w:rPr>
                <w:rFonts w:eastAsia="Calibri"/>
                <w:sz w:val="20"/>
                <w:szCs w:val="20"/>
              </w:rPr>
              <w:t>–</w:t>
            </w:r>
            <w:r w:rsidRPr="00DF0A0A">
              <w:rPr>
                <w:rFonts w:eastAsia="Calibri"/>
                <w:iCs/>
                <w:sz w:val="20"/>
                <w:szCs w:val="20"/>
              </w:rPr>
              <w:t xml:space="preserve"> Judicial independence </w:t>
            </w:r>
            <w:r w:rsidRPr="00DF0A0A">
              <w:rPr>
                <w:rFonts w:eastAsia="Calibri"/>
                <w:sz w:val="20"/>
                <w:szCs w:val="20"/>
              </w:rPr>
              <w:t>–</w:t>
            </w:r>
            <w:r w:rsidRPr="00DF0A0A">
              <w:rPr>
                <w:rFonts w:eastAsia="Calibri"/>
                <w:iCs/>
                <w:sz w:val="20"/>
                <w:szCs w:val="20"/>
              </w:rPr>
              <w:t xml:space="preserve"> Courts </w:t>
            </w:r>
            <w:r w:rsidRPr="00DF0A0A">
              <w:rPr>
                <w:rFonts w:eastAsia="Calibri"/>
                <w:sz w:val="20"/>
                <w:szCs w:val="20"/>
              </w:rPr>
              <w:t xml:space="preserve">– </w:t>
            </w:r>
            <w:r w:rsidRPr="00DF0A0A">
              <w:rPr>
                <w:rFonts w:eastAsia="Calibri"/>
                <w:iCs/>
                <w:sz w:val="20"/>
                <w:szCs w:val="20"/>
              </w:rPr>
              <w:t xml:space="preserve">Judges </w:t>
            </w:r>
            <w:r w:rsidRPr="00DF0A0A">
              <w:rPr>
                <w:rFonts w:eastAsia="Calibri"/>
                <w:sz w:val="20"/>
                <w:szCs w:val="20"/>
              </w:rPr>
              <w:t xml:space="preserve">– </w:t>
            </w:r>
            <w:r w:rsidRPr="00DF0A0A">
              <w:rPr>
                <w:rFonts w:eastAsia="Calibri"/>
                <w:iCs/>
                <w:sz w:val="20"/>
                <w:szCs w:val="20"/>
              </w:rPr>
              <w:t xml:space="preserve">Remuneration </w:t>
            </w:r>
            <w:r w:rsidRPr="00DF0A0A">
              <w:rPr>
                <w:rFonts w:eastAsia="Calibri"/>
                <w:sz w:val="20"/>
                <w:szCs w:val="20"/>
              </w:rPr>
              <w:t xml:space="preserve">– </w:t>
            </w:r>
            <w:r w:rsidRPr="00DF0A0A">
              <w:rPr>
                <w:rFonts w:eastAsia="Calibri"/>
                <w:iCs/>
                <w:sz w:val="20"/>
                <w:szCs w:val="20"/>
              </w:rPr>
              <w:t xml:space="preserve">Compensation committee </w:t>
            </w:r>
            <w:r w:rsidRPr="00DF0A0A">
              <w:rPr>
                <w:rFonts w:eastAsia="Calibri"/>
                <w:sz w:val="20"/>
                <w:szCs w:val="20"/>
              </w:rPr>
              <w:t xml:space="preserve">– </w:t>
            </w:r>
            <w:r w:rsidRPr="00DF0A0A">
              <w:rPr>
                <w:rFonts w:eastAsia="Calibri"/>
                <w:iCs/>
                <w:sz w:val="20"/>
                <w:szCs w:val="20"/>
              </w:rPr>
              <w:t xml:space="preserve">Obligation of government to respond to recommendations </w:t>
            </w:r>
            <w:r w:rsidRPr="00DF0A0A">
              <w:rPr>
                <w:rFonts w:eastAsia="Calibri"/>
                <w:sz w:val="20"/>
                <w:szCs w:val="20"/>
              </w:rPr>
              <w:t xml:space="preserve">– </w:t>
            </w:r>
            <w:r w:rsidRPr="00DF0A0A">
              <w:rPr>
                <w:rFonts w:eastAsia="Calibri"/>
                <w:iCs/>
                <w:sz w:val="20"/>
                <w:szCs w:val="20"/>
              </w:rPr>
              <w:t xml:space="preserve">Government departing from compensation commission’s recommendations on salary and benefits </w:t>
            </w:r>
            <w:r w:rsidRPr="00DF0A0A">
              <w:rPr>
                <w:rFonts w:eastAsia="Calibri"/>
                <w:sz w:val="20"/>
                <w:szCs w:val="20"/>
              </w:rPr>
              <w:t xml:space="preserve">– </w:t>
            </w:r>
            <w:r w:rsidRPr="00DF0A0A">
              <w:rPr>
                <w:rFonts w:eastAsia="Calibri"/>
                <w:iCs/>
                <w:sz w:val="20"/>
                <w:szCs w:val="20"/>
              </w:rPr>
              <w:t xml:space="preserve">Whether government’s reasons for departing from recommendations satisfy rationality test </w:t>
            </w:r>
            <w:r w:rsidRPr="00DF0A0A">
              <w:rPr>
                <w:rFonts w:eastAsia="Calibri"/>
                <w:sz w:val="20"/>
                <w:szCs w:val="20"/>
              </w:rPr>
              <w:t xml:space="preserve">– </w:t>
            </w:r>
            <w:r w:rsidRPr="00DF0A0A">
              <w:rPr>
                <w:rFonts w:eastAsia="Calibri"/>
                <w:iCs/>
                <w:sz w:val="20"/>
                <w:szCs w:val="20"/>
              </w:rPr>
              <w:t xml:space="preserve">Judicial review of government’s response </w:t>
            </w:r>
            <w:r w:rsidRPr="00DF0A0A">
              <w:rPr>
                <w:rFonts w:eastAsia="Calibri"/>
                <w:sz w:val="20"/>
                <w:szCs w:val="20"/>
              </w:rPr>
              <w:t xml:space="preserve">– </w:t>
            </w:r>
            <w:r w:rsidRPr="00DF0A0A">
              <w:rPr>
                <w:rFonts w:eastAsia="Calibri"/>
                <w:iCs/>
                <w:sz w:val="20"/>
                <w:szCs w:val="20"/>
              </w:rPr>
              <w:t xml:space="preserve">Remedies </w:t>
            </w:r>
            <w:r w:rsidRPr="00DF0A0A">
              <w:rPr>
                <w:rFonts w:eastAsia="Calibri"/>
                <w:sz w:val="20"/>
                <w:szCs w:val="20"/>
              </w:rPr>
              <w:t xml:space="preserve">– What standard must a Response process meet in an economic downturn, and in particular to a first commission process – Can the government ignore an express finding that a disability and pension regime is inadequate, without providing reasons – What constitutes equivalent treatment of all or substantially all employees for the purpose of applying </w:t>
            </w:r>
            <w:r w:rsidRPr="00DF0A0A">
              <w:rPr>
                <w:rFonts w:eastAsia="Calibri"/>
                <w:i/>
                <w:sz w:val="20"/>
                <w:szCs w:val="20"/>
              </w:rPr>
              <w:t>Reference re Remuneration of Judges of the Provincial Court of Prince Edward Island</w:t>
            </w:r>
            <w:r w:rsidRPr="00DF0A0A">
              <w:rPr>
                <w:rFonts w:eastAsia="Calibri"/>
                <w:sz w:val="20"/>
                <w:szCs w:val="20"/>
              </w:rPr>
              <w:t xml:space="preserve">, [1997] 3 S.C.R. 3 - </w:t>
            </w:r>
            <w:proofErr w:type="spellStart"/>
            <w:r w:rsidRPr="00DF0A0A">
              <w:rPr>
                <w:rFonts w:eastAsia="Calibri"/>
                <w:i/>
                <w:sz w:val="20"/>
                <w:szCs w:val="20"/>
              </w:rPr>
              <w:t>Bodner</w:t>
            </w:r>
            <w:proofErr w:type="spellEnd"/>
            <w:r w:rsidRPr="00DF0A0A">
              <w:rPr>
                <w:rFonts w:eastAsia="Calibri"/>
                <w:i/>
                <w:sz w:val="20"/>
                <w:szCs w:val="20"/>
              </w:rPr>
              <w:t xml:space="preserve"> v. Alberta</w:t>
            </w:r>
            <w:r w:rsidRPr="00DF0A0A">
              <w:rPr>
                <w:rFonts w:eastAsia="Calibri"/>
                <w:sz w:val="20"/>
                <w:szCs w:val="20"/>
              </w:rPr>
              <w:t>, 2005 SCC 44, [2005] 2 S.C.R. 286.</w:t>
            </w:r>
          </w:p>
          <w:p w:rsidR="00AA3631" w:rsidRPr="00DF0A0A" w:rsidRDefault="00AA3631" w:rsidP="009E6B0E">
            <w:pPr>
              <w:jc w:val="both"/>
              <w:rPr>
                <w:rFonts w:eastAsia="Calibri"/>
                <w:sz w:val="20"/>
                <w:szCs w:val="20"/>
              </w:rPr>
            </w:pPr>
          </w:p>
        </w:tc>
      </w:tr>
      <w:tr w:rsidR="00AA3631" w:rsidRPr="00DF0A0A" w:rsidTr="009E6B0E">
        <w:tc>
          <w:tcPr>
            <w:tcW w:w="5000" w:type="pct"/>
            <w:gridSpan w:val="3"/>
          </w:tcPr>
          <w:p w:rsidR="00AA3631" w:rsidRPr="00DF0A0A" w:rsidRDefault="00AA3631" w:rsidP="009E6B0E">
            <w:pPr>
              <w:jc w:val="both"/>
              <w:rPr>
                <w:rFonts w:eastAsia="Calibri"/>
                <w:sz w:val="20"/>
                <w:szCs w:val="20"/>
              </w:rPr>
            </w:pPr>
            <w:r w:rsidRPr="00DF0A0A">
              <w:rPr>
                <w:rFonts w:eastAsia="Calibri"/>
                <w:sz w:val="20"/>
                <w:szCs w:val="20"/>
              </w:rPr>
              <w:t xml:space="preserve">A Special Advisor to the Minister of Justice (the “Special Advisor”) was appointed to undertake a first time review of the adequacy of the salary and benefits of </w:t>
            </w:r>
            <w:proofErr w:type="spellStart"/>
            <w:r w:rsidRPr="00DF0A0A">
              <w:rPr>
                <w:rFonts w:eastAsia="Calibri"/>
                <w:sz w:val="20"/>
                <w:szCs w:val="20"/>
              </w:rPr>
              <w:t>prothonotaries</w:t>
            </w:r>
            <w:proofErr w:type="spellEnd"/>
            <w:r w:rsidRPr="00DF0A0A">
              <w:rPr>
                <w:rFonts w:eastAsia="Calibri"/>
                <w:sz w:val="20"/>
                <w:szCs w:val="20"/>
              </w:rPr>
              <w:t xml:space="preserve"> of the Federal Court. The Special Advisor’s Report, delivered May 30, 2008, recommended that the salary of </w:t>
            </w:r>
            <w:proofErr w:type="spellStart"/>
            <w:r w:rsidRPr="00DF0A0A">
              <w:rPr>
                <w:rFonts w:eastAsia="Calibri"/>
                <w:sz w:val="20"/>
                <w:szCs w:val="20"/>
              </w:rPr>
              <w:t>prothonotaries</w:t>
            </w:r>
            <w:proofErr w:type="spellEnd"/>
            <w:r w:rsidRPr="00DF0A0A">
              <w:rPr>
                <w:rFonts w:eastAsia="Calibri"/>
                <w:sz w:val="20"/>
                <w:szCs w:val="20"/>
              </w:rPr>
              <w:t xml:space="preserve"> be set at 80% of that of Federal Court </w:t>
            </w:r>
            <w:proofErr w:type="spellStart"/>
            <w:r w:rsidRPr="00DF0A0A">
              <w:rPr>
                <w:rFonts w:eastAsia="Calibri"/>
                <w:sz w:val="20"/>
                <w:szCs w:val="20"/>
              </w:rPr>
              <w:t>puisne</w:t>
            </w:r>
            <w:proofErr w:type="spellEnd"/>
            <w:r w:rsidRPr="00DF0A0A">
              <w:rPr>
                <w:rFonts w:eastAsia="Calibri"/>
                <w:sz w:val="20"/>
                <w:szCs w:val="20"/>
              </w:rPr>
              <w:t xml:space="preserve"> judges, instead of the current rate of 69%. It also recommended improvements in pension benefits, sickness and disability benefits, vacation entitlement, allowances, and other work related issues. The Response by the Minister of Justice rejected virtually all the recommendations except the increase of vacation entitlement to six weeks. The Minister’s overarching consideration was the deterioration of the global economic situation (which occurred after the Special Advisor’s Report) and the adverse affects on the financial position of the Government. The Minister also rejected the recommendations because of concerns about some of the assumptions underpinning them.   Six </w:t>
            </w:r>
            <w:proofErr w:type="spellStart"/>
            <w:r w:rsidRPr="00DF0A0A">
              <w:rPr>
                <w:rFonts w:eastAsia="Calibri"/>
                <w:sz w:val="20"/>
                <w:szCs w:val="20"/>
              </w:rPr>
              <w:t>prothonotaries</w:t>
            </w:r>
            <w:proofErr w:type="spellEnd"/>
            <w:r w:rsidRPr="00DF0A0A">
              <w:rPr>
                <w:rFonts w:eastAsia="Calibri"/>
                <w:sz w:val="20"/>
                <w:szCs w:val="20"/>
              </w:rPr>
              <w:t xml:space="preserve"> brought an application for judicial review of the Minister’s Response.</w:t>
            </w:r>
          </w:p>
          <w:p w:rsidR="00AA3631" w:rsidRPr="00DF0A0A" w:rsidRDefault="00AA3631" w:rsidP="009E6B0E">
            <w:pPr>
              <w:jc w:val="both"/>
              <w:rPr>
                <w:rFonts w:eastAsia="Calibri"/>
                <w:sz w:val="20"/>
                <w:szCs w:val="20"/>
              </w:rPr>
            </w:pPr>
          </w:p>
        </w:tc>
      </w:tr>
      <w:tr w:rsidR="00AA3631" w:rsidRPr="00DF0A0A" w:rsidTr="009E6B0E">
        <w:tc>
          <w:tcPr>
            <w:tcW w:w="2427" w:type="pct"/>
          </w:tcPr>
          <w:p w:rsidR="00AA3631" w:rsidRPr="00DF0A0A" w:rsidRDefault="00AA3631" w:rsidP="009E6B0E">
            <w:pPr>
              <w:jc w:val="both"/>
              <w:rPr>
                <w:rFonts w:eastAsia="Calibri"/>
                <w:sz w:val="20"/>
                <w:szCs w:val="20"/>
              </w:rPr>
            </w:pPr>
            <w:r w:rsidRPr="00DF0A0A">
              <w:rPr>
                <w:rFonts w:eastAsia="Calibri"/>
                <w:sz w:val="20"/>
                <w:szCs w:val="20"/>
              </w:rPr>
              <w:t>August 28, 2009</w:t>
            </w:r>
          </w:p>
          <w:p w:rsidR="00AA3631" w:rsidRPr="00DF0A0A" w:rsidRDefault="00AA3631" w:rsidP="009E6B0E">
            <w:pPr>
              <w:jc w:val="both"/>
              <w:rPr>
                <w:rFonts w:eastAsia="Calibri"/>
                <w:sz w:val="20"/>
                <w:szCs w:val="20"/>
              </w:rPr>
            </w:pPr>
            <w:r w:rsidRPr="00DF0A0A">
              <w:rPr>
                <w:rFonts w:eastAsia="Calibri"/>
                <w:sz w:val="20"/>
                <w:szCs w:val="20"/>
              </w:rPr>
              <w:t>Federal Court</w:t>
            </w:r>
          </w:p>
          <w:p w:rsidR="00AA3631" w:rsidRPr="00DF0A0A" w:rsidRDefault="00AA3631" w:rsidP="009E6B0E">
            <w:pPr>
              <w:jc w:val="both"/>
              <w:rPr>
                <w:rFonts w:eastAsia="Calibri"/>
                <w:sz w:val="20"/>
                <w:szCs w:val="20"/>
              </w:rPr>
            </w:pPr>
            <w:r w:rsidRPr="00DF0A0A">
              <w:rPr>
                <w:rFonts w:eastAsia="Calibri"/>
                <w:sz w:val="20"/>
                <w:szCs w:val="20"/>
              </w:rPr>
              <w:t>(MacKay Deputy Judge)</w:t>
            </w:r>
          </w:p>
          <w:p w:rsidR="00AA3631" w:rsidRPr="00DF0A0A" w:rsidRDefault="00AA3631" w:rsidP="009E6B0E">
            <w:pPr>
              <w:jc w:val="both"/>
              <w:rPr>
                <w:rFonts w:eastAsia="Calibri"/>
                <w:sz w:val="20"/>
                <w:szCs w:val="20"/>
              </w:rPr>
            </w:pPr>
            <w:r w:rsidRPr="00DF0A0A">
              <w:rPr>
                <w:rFonts w:eastAsia="Calibri"/>
                <w:sz w:val="20"/>
                <w:szCs w:val="20"/>
              </w:rPr>
              <w:t>2009 FC 861</w:t>
            </w:r>
          </w:p>
          <w:p w:rsidR="00AA3631" w:rsidRPr="00DF0A0A" w:rsidRDefault="00AA3631" w:rsidP="009E6B0E">
            <w:pPr>
              <w:jc w:val="both"/>
              <w:rPr>
                <w:rFonts w:eastAsia="Calibri"/>
                <w:sz w:val="20"/>
                <w:szCs w:val="20"/>
              </w:rPr>
            </w:pPr>
          </w:p>
        </w:tc>
        <w:tc>
          <w:tcPr>
            <w:tcW w:w="243" w:type="pct"/>
          </w:tcPr>
          <w:p w:rsidR="00AA3631" w:rsidRPr="00DF0A0A" w:rsidRDefault="00AA3631" w:rsidP="009E6B0E">
            <w:pPr>
              <w:jc w:val="both"/>
              <w:rPr>
                <w:rFonts w:eastAsia="Calibri"/>
                <w:sz w:val="20"/>
                <w:szCs w:val="20"/>
              </w:rPr>
            </w:pPr>
          </w:p>
        </w:tc>
        <w:tc>
          <w:tcPr>
            <w:tcW w:w="2330" w:type="pct"/>
          </w:tcPr>
          <w:p w:rsidR="00AA3631" w:rsidRPr="00DF0A0A" w:rsidRDefault="00AA3631" w:rsidP="009E6B0E">
            <w:pPr>
              <w:jc w:val="both"/>
              <w:rPr>
                <w:rFonts w:eastAsia="Calibri"/>
                <w:sz w:val="20"/>
                <w:szCs w:val="20"/>
              </w:rPr>
            </w:pPr>
            <w:r w:rsidRPr="00DF0A0A">
              <w:rPr>
                <w:rFonts w:eastAsia="Calibri"/>
                <w:sz w:val="20"/>
                <w:szCs w:val="20"/>
              </w:rPr>
              <w:t>Application for judicial review of Minister of Justice’s Response, dismissed</w:t>
            </w:r>
          </w:p>
          <w:p w:rsidR="00AA3631" w:rsidRPr="00DF0A0A" w:rsidRDefault="00AA3631" w:rsidP="009E6B0E">
            <w:pPr>
              <w:jc w:val="both"/>
              <w:rPr>
                <w:rFonts w:eastAsia="Calibri"/>
                <w:sz w:val="20"/>
                <w:szCs w:val="20"/>
              </w:rPr>
            </w:pPr>
          </w:p>
        </w:tc>
      </w:tr>
      <w:tr w:rsidR="00AA3631" w:rsidRPr="00DF0A0A" w:rsidTr="009E6B0E">
        <w:tc>
          <w:tcPr>
            <w:tcW w:w="2427" w:type="pct"/>
          </w:tcPr>
          <w:p w:rsidR="00AA3631" w:rsidRPr="00DF0A0A" w:rsidRDefault="00AA3631" w:rsidP="009E6B0E">
            <w:pPr>
              <w:jc w:val="both"/>
              <w:rPr>
                <w:rFonts w:eastAsia="Calibri"/>
                <w:sz w:val="20"/>
                <w:szCs w:val="20"/>
              </w:rPr>
            </w:pPr>
            <w:r w:rsidRPr="00DF0A0A">
              <w:rPr>
                <w:rFonts w:eastAsia="Calibri"/>
                <w:sz w:val="20"/>
                <w:szCs w:val="20"/>
              </w:rPr>
              <w:t>July 21, 2010</w:t>
            </w:r>
          </w:p>
          <w:p w:rsidR="00AA3631" w:rsidRPr="00DF0A0A" w:rsidRDefault="00AA3631" w:rsidP="009E6B0E">
            <w:pPr>
              <w:jc w:val="both"/>
              <w:rPr>
                <w:rFonts w:eastAsia="Calibri"/>
                <w:sz w:val="20"/>
                <w:szCs w:val="20"/>
              </w:rPr>
            </w:pPr>
            <w:r w:rsidRPr="00DF0A0A">
              <w:rPr>
                <w:rFonts w:eastAsia="Calibri"/>
                <w:sz w:val="20"/>
                <w:szCs w:val="20"/>
              </w:rPr>
              <w:t>Federal Court of Appeal</w:t>
            </w:r>
          </w:p>
          <w:p w:rsidR="00AA3631" w:rsidRPr="00DF0A0A" w:rsidRDefault="00AA3631" w:rsidP="009E6B0E">
            <w:pPr>
              <w:jc w:val="both"/>
              <w:rPr>
                <w:rFonts w:eastAsia="Calibri"/>
                <w:sz w:val="20"/>
                <w:szCs w:val="20"/>
              </w:rPr>
            </w:pPr>
            <w:r w:rsidRPr="00DF0A0A">
              <w:rPr>
                <w:rFonts w:eastAsia="Calibri"/>
                <w:sz w:val="20"/>
                <w:szCs w:val="20"/>
              </w:rPr>
              <w:t>(</w:t>
            </w:r>
            <w:proofErr w:type="spellStart"/>
            <w:r w:rsidRPr="00DF0A0A">
              <w:rPr>
                <w:rFonts w:eastAsia="Calibri"/>
                <w:sz w:val="20"/>
                <w:szCs w:val="20"/>
              </w:rPr>
              <w:t>Létourneau</w:t>
            </w:r>
            <w:proofErr w:type="spellEnd"/>
            <w:r w:rsidRPr="00DF0A0A">
              <w:rPr>
                <w:rFonts w:eastAsia="Calibri"/>
                <w:sz w:val="20"/>
                <w:szCs w:val="20"/>
              </w:rPr>
              <w:t>, Sexton and Evans JJ.A.)</w:t>
            </w:r>
          </w:p>
          <w:p w:rsidR="00AA3631" w:rsidRPr="00DF0A0A" w:rsidRDefault="00AA3631" w:rsidP="009E6B0E">
            <w:pPr>
              <w:jc w:val="both"/>
              <w:rPr>
                <w:rFonts w:eastAsia="Calibri"/>
                <w:sz w:val="20"/>
                <w:szCs w:val="20"/>
              </w:rPr>
            </w:pPr>
            <w:r w:rsidRPr="00DF0A0A">
              <w:rPr>
                <w:rFonts w:eastAsia="Calibri"/>
                <w:sz w:val="20"/>
                <w:szCs w:val="20"/>
              </w:rPr>
              <w:t>2010 FCA 195</w:t>
            </w:r>
          </w:p>
          <w:p w:rsidR="00AA3631" w:rsidRPr="00DF0A0A" w:rsidRDefault="00AA3631" w:rsidP="009E6B0E">
            <w:pPr>
              <w:jc w:val="both"/>
              <w:rPr>
                <w:rFonts w:eastAsia="Calibri"/>
                <w:sz w:val="20"/>
                <w:szCs w:val="20"/>
                <w:lang w:val="fr-CA"/>
              </w:rPr>
            </w:pPr>
          </w:p>
        </w:tc>
        <w:tc>
          <w:tcPr>
            <w:tcW w:w="243" w:type="pct"/>
          </w:tcPr>
          <w:p w:rsidR="00AA3631" w:rsidRPr="00DF0A0A" w:rsidRDefault="00AA3631" w:rsidP="009E6B0E">
            <w:pPr>
              <w:jc w:val="both"/>
              <w:rPr>
                <w:rFonts w:eastAsia="Calibri"/>
                <w:sz w:val="20"/>
                <w:szCs w:val="20"/>
                <w:lang w:val="fr-CA"/>
              </w:rPr>
            </w:pPr>
          </w:p>
        </w:tc>
        <w:tc>
          <w:tcPr>
            <w:tcW w:w="2330" w:type="pct"/>
          </w:tcPr>
          <w:p w:rsidR="00AA3631" w:rsidRPr="00DF0A0A" w:rsidRDefault="00AA3631" w:rsidP="009E6B0E">
            <w:pPr>
              <w:jc w:val="both"/>
              <w:rPr>
                <w:rFonts w:eastAsia="Calibri"/>
                <w:sz w:val="20"/>
                <w:szCs w:val="20"/>
              </w:rPr>
            </w:pPr>
            <w:r w:rsidRPr="00DF0A0A">
              <w:rPr>
                <w:rFonts w:eastAsia="Calibri"/>
                <w:sz w:val="20"/>
                <w:szCs w:val="20"/>
              </w:rPr>
              <w:t xml:space="preserve">Appeal dismissed </w:t>
            </w:r>
          </w:p>
        </w:tc>
      </w:tr>
      <w:tr w:rsidR="00AA3631" w:rsidRPr="00DF0A0A" w:rsidTr="009E6B0E">
        <w:tc>
          <w:tcPr>
            <w:tcW w:w="2427" w:type="pct"/>
          </w:tcPr>
          <w:p w:rsidR="00AA3631" w:rsidRPr="00DF0A0A" w:rsidRDefault="00AA3631" w:rsidP="009E6B0E">
            <w:pPr>
              <w:jc w:val="both"/>
              <w:rPr>
                <w:rFonts w:eastAsia="Calibri"/>
                <w:sz w:val="20"/>
                <w:szCs w:val="20"/>
              </w:rPr>
            </w:pPr>
            <w:r w:rsidRPr="00DF0A0A">
              <w:rPr>
                <w:rFonts w:eastAsia="Calibri"/>
                <w:sz w:val="20"/>
                <w:szCs w:val="20"/>
              </w:rPr>
              <w:t>September 29, 2010</w:t>
            </w:r>
          </w:p>
          <w:p w:rsidR="00AA3631" w:rsidRPr="00DF0A0A" w:rsidRDefault="00AA3631" w:rsidP="009E6B0E">
            <w:pPr>
              <w:jc w:val="both"/>
              <w:rPr>
                <w:rFonts w:eastAsia="Calibri"/>
                <w:sz w:val="20"/>
                <w:szCs w:val="20"/>
              </w:rPr>
            </w:pPr>
            <w:r w:rsidRPr="00DF0A0A">
              <w:rPr>
                <w:rFonts w:eastAsia="Calibri"/>
                <w:sz w:val="20"/>
                <w:szCs w:val="20"/>
              </w:rPr>
              <w:t>Supreme Court of Canada</w:t>
            </w:r>
          </w:p>
        </w:tc>
        <w:tc>
          <w:tcPr>
            <w:tcW w:w="243" w:type="pct"/>
          </w:tcPr>
          <w:p w:rsidR="00AA3631" w:rsidRPr="00DF0A0A" w:rsidRDefault="00AA3631" w:rsidP="009E6B0E">
            <w:pPr>
              <w:jc w:val="both"/>
              <w:rPr>
                <w:rFonts w:eastAsia="Calibri"/>
                <w:sz w:val="20"/>
                <w:szCs w:val="20"/>
              </w:rPr>
            </w:pPr>
          </w:p>
        </w:tc>
        <w:tc>
          <w:tcPr>
            <w:tcW w:w="2330" w:type="pct"/>
          </w:tcPr>
          <w:p w:rsidR="00AA3631" w:rsidRPr="00DF0A0A" w:rsidRDefault="00AA3631" w:rsidP="009E6B0E">
            <w:pPr>
              <w:jc w:val="both"/>
              <w:rPr>
                <w:rFonts w:eastAsia="Calibri"/>
                <w:sz w:val="20"/>
                <w:szCs w:val="20"/>
              </w:rPr>
            </w:pPr>
            <w:r w:rsidRPr="00DF0A0A">
              <w:rPr>
                <w:rFonts w:eastAsia="Calibri"/>
                <w:sz w:val="20"/>
                <w:szCs w:val="20"/>
              </w:rPr>
              <w:t>Application for leave to appeal filed</w:t>
            </w:r>
          </w:p>
          <w:p w:rsidR="00AA3631" w:rsidRPr="00DF0A0A" w:rsidRDefault="00AA3631" w:rsidP="009E6B0E">
            <w:pPr>
              <w:jc w:val="both"/>
              <w:rPr>
                <w:rFonts w:eastAsia="Calibri"/>
                <w:sz w:val="20"/>
                <w:szCs w:val="20"/>
              </w:rPr>
            </w:pPr>
          </w:p>
        </w:tc>
      </w:tr>
    </w:tbl>
    <w:p w:rsidR="00610966" w:rsidRDefault="00610966" w:rsidP="008D292F">
      <w:pPr>
        <w:rPr>
          <w:sz w:val="20"/>
          <w:szCs w:val="20"/>
        </w:rPr>
      </w:pPr>
    </w:p>
    <w:p w:rsidR="00610966" w:rsidRDefault="00C478F8" w:rsidP="008D292F">
      <w:pPr>
        <w:rPr>
          <w:sz w:val="20"/>
          <w:szCs w:val="20"/>
        </w:rPr>
      </w:pPr>
      <w:r w:rsidRPr="00C478F8">
        <w:rPr>
          <w:sz w:val="20"/>
          <w:szCs w:val="20"/>
          <w:lang w:val="fr-CA"/>
        </w:rPr>
        <w:pict>
          <v:rect id="_x0000_i1035" style="width:2in;height:1pt" o:hrpct="0" o:hralign="center" o:hrstd="t" o:hrnoshade="t" o:hr="t" fillcolor="black [3213]" stroked="f"/>
        </w:pict>
      </w:r>
    </w:p>
    <w:p w:rsidR="00610966" w:rsidRPr="00610966" w:rsidRDefault="00610966" w:rsidP="008D292F">
      <w:pPr>
        <w:rPr>
          <w:sz w:val="20"/>
          <w:szCs w:val="20"/>
          <w:u w:val="single"/>
        </w:rPr>
      </w:pPr>
      <w:r w:rsidRPr="00610966">
        <w:rPr>
          <w:sz w:val="20"/>
          <w:szCs w:val="20"/>
          <w:u w:val="single"/>
        </w:rPr>
        <w:lastRenderedPageBreak/>
        <w:t>RÉSUMÉ DE L’AFFAIRE</w:t>
      </w:r>
    </w:p>
    <w:p w:rsidR="00610966" w:rsidRDefault="00610966" w:rsidP="008D292F">
      <w:pPr>
        <w:rPr>
          <w:b/>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AA3631" w:rsidRPr="00406D3C" w:rsidTr="009E6B0E">
        <w:tc>
          <w:tcPr>
            <w:tcW w:w="5000" w:type="pct"/>
            <w:gridSpan w:val="3"/>
          </w:tcPr>
          <w:p w:rsidR="00AA3631" w:rsidRPr="00DF0A0A" w:rsidRDefault="00AA3631" w:rsidP="009E6B0E">
            <w:pPr>
              <w:jc w:val="both"/>
              <w:rPr>
                <w:rFonts w:eastAsia="Calibri"/>
                <w:color w:val="000000"/>
                <w:sz w:val="20"/>
                <w:szCs w:val="20"/>
                <w:lang w:val="fr-CA"/>
              </w:rPr>
            </w:pPr>
            <w:r w:rsidRPr="00DF0A0A">
              <w:rPr>
                <w:rFonts w:eastAsia="Calibri"/>
                <w:color w:val="000000"/>
                <w:sz w:val="20"/>
                <w:szCs w:val="20"/>
                <w:lang w:val="fr-CA"/>
              </w:rPr>
              <w:t xml:space="preserve">Droit constitutionnel — Indépendance judiciaire — Tribunaux — Juges — Rémunération — Comité de rémunération — Obligation du gouvernement de répondre aux recommandations — Le gouvernement a dérogé aux recommandations de la commission sur la rémunération en matière de traitement et d'avantages sociaux — Les raisons pour lesquelles le gouvernement a dérogé aux recommandations satisfont-elles au critère de la rationalité? — Contrôle judiciaire de la réponse du gouvernement — Réparations — À quelle norme le processus de réponse doit-il satisfaire dans un contexte de ralentissement économique et en particulier lorsqu’il s’agit d’un processus de première commission? — Le gouvernement peut-il faire fi d'une conclusion expresse selon laquelle le régime d'invalidité et de pension est inadéquat, sans donner de motifs? — Que constitue un traitement équivalent de tous les employés ou presque aux fins de l'application de l'arrêt </w:t>
            </w:r>
            <w:r w:rsidRPr="00DF0A0A">
              <w:rPr>
                <w:rFonts w:eastAsia="Calibri"/>
                <w:i/>
                <w:iCs/>
                <w:color w:val="000000"/>
                <w:sz w:val="20"/>
                <w:szCs w:val="20"/>
                <w:lang w:val="fr-CA"/>
              </w:rPr>
              <w:t>Renvoi relatif à la rémunération des juges de la Cour provinciale (Î.</w:t>
            </w:r>
            <w:r w:rsidRPr="00DF0A0A">
              <w:rPr>
                <w:rFonts w:eastAsia="Calibri"/>
                <w:i/>
                <w:iCs/>
                <w:color w:val="000000"/>
                <w:sz w:val="20"/>
                <w:szCs w:val="20"/>
                <w:lang w:val="fr-CA"/>
              </w:rPr>
              <w:noBreakHyphen/>
              <w:t>P.</w:t>
            </w:r>
            <w:r w:rsidRPr="00DF0A0A">
              <w:rPr>
                <w:rFonts w:eastAsia="Calibri"/>
                <w:i/>
                <w:iCs/>
                <w:color w:val="000000"/>
                <w:sz w:val="20"/>
                <w:szCs w:val="20"/>
                <w:lang w:val="fr-CA"/>
              </w:rPr>
              <w:noBreakHyphen/>
              <w:t>É.)</w:t>
            </w:r>
            <w:r w:rsidRPr="00DF0A0A">
              <w:rPr>
                <w:rFonts w:eastAsia="Calibri"/>
                <w:color w:val="000000"/>
                <w:sz w:val="20"/>
                <w:szCs w:val="20"/>
                <w:lang w:val="fr-CA"/>
              </w:rPr>
              <w:t xml:space="preserve">, [1997] 3 R.C.S. 3? — </w:t>
            </w:r>
            <w:proofErr w:type="spellStart"/>
            <w:r w:rsidRPr="00DF0A0A">
              <w:rPr>
                <w:rFonts w:eastAsia="Calibri"/>
                <w:i/>
                <w:iCs/>
                <w:color w:val="000000"/>
                <w:sz w:val="20"/>
                <w:szCs w:val="20"/>
                <w:lang w:val="fr-CA"/>
              </w:rPr>
              <w:t>Bodner</w:t>
            </w:r>
            <w:proofErr w:type="spellEnd"/>
            <w:r w:rsidRPr="00DF0A0A">
              <w:rPr>
                <w:rFonts w:eastAsia="Calibri"/>
                <w:i/>
                <w:iCs/>
                <w:color w:val="000000"/>
                <w:sz w:val="20"/>
                <w:szCs w:val="20"/>
                <w:lang w:val="fr-CA"/>
              </w:rPr>
              <w:t xml:space="preserve"> c. Alberta</w:t>
            </w:r>
            <w:r w:rsidRPr="00DF0A0A">
              <w:rPr>
                <w:rFonts w:eastAsia="Calibri"/>
                <w:color w:val="000000"/>
                <w:sz w:val="20"/>
                <w:szCs w:val="20"/>
                <w:lang w:val="fr-CA"/>
              </w:rPr>
              <w:t>, 2005 CSC 44, [2005] 2 R.C.S. 286.</w:t>
            </w:r>
          </w:p>
          <w:p w:rsidR="00AA3631" w:rsidRPr="00DF0A0A" w:rsidRDefault="00AA3631" w:rsidP="009E6B0E">
            <w:pPr>
              <w:jc w:val="both"/>
              <w:rPr>
                <w:rFonts w:eastAsia="Calibri"/>
                <w:color w:val="000000"/>
                <w:sz w:val="20"/>
                <w:szCs w:val="20"/>
                <w:lang w:val="fr-CA"/>
              </w:rPr>
            </w:pPr>
          </w:p>
        </w:tc>
      </w:tr>
      <w:tr w:rsidR="00AA3631" w:rsidRPr="00406D3C" w:rsidTr="009E6B0E">
        <w:tc>
          <w:tcPr>
            <w:tcW w:w="5000" w:type="pct"/>
            <w:gridSpan w:val="3"/>
          </w:tcPr>
          <w:p w:rsidR="00AA3631" w:rsidRPr="00DF0A0A" w:rsidRDefault="00AA3631" w:rsidP="009E6B0E">
            <w:pPr>
              <w:jc w:val="both"/>
              <w:rPr>
                <w:rFonts w:eastAsia="Calibri"/>
                <w:sz w:val="20"/>
                <w:szCs w:val="20"/>
                <w:lang w:val="fr-CA"/>
              </w:rPr>
            </w:pPr>
            <w:r w:rsidRPr="00DF0A0A">
              <w:rPr>
                <w:rFonts w:eastAsia="Calibri"/>
                <w:sz w:val="20"/>
                <w:szCs w:val="20"/>
                <w:lang w:val="fr-CA"/>
              </w:rPr>
              <w:t>Un conseiller spécial au ministre de la Justice (le « conseiller spécial ») a été nommé pour entreprendre un premier examen du traitement et des avantages des protonotaires de la Cour fédérale afin de vérifier s'ils sont satisfaisants. Dans son rapport délivré le 30 mai 2008, le conseiller spécial a recommandé que le traitement des protonotaires soit fixé à 80 % de celui des juges puînés de la Cour fédérale, plutôt que le taux actuel de 69 %. Il a également recommandé que des améliorations soient apportées aux prestations de pension, aux prestations de maladie et d'invalidité, au droit au congé annuel, aux allocations et à d'autres questions liées au travail. En guise de réponse, le ministre de la Justice a rejeté à peu près toutes les recommandations sauf l'augmentation du droit au congé annuel à six semaines. La principale considération du ministre était la détérioration de la situation économique globale (qui s'est produite après le rapport du conseiller spécial) et ses effets défavorables sur la situation financière du gouvernement. Le ministre a également rejeté les recommandations en raison de préoccupations au sujet de certaines présomptions sur lesquelles les recommandations étaient fondées. Six protonotaires ont présenté une demande de contrôle judiciaire de la réponse du ministre.</w:t>
            </w:r>
          </w:p>
          <w:p w:rsidR="00AA3631" w:rsidRPr="00DF0A0A" w:rsidRDefault="00AA3631" w:rsidP="009E6B0E">
            <w:pPr>
              <w:jc w:val="both"/>
              <w:rPr>
                <w:rFonts w:eastAsia="Calibri"/>
                <w:sz w:val="20"/>
                <w:szCs w:val="20"/>
                <w:lang w:val="fr-CA"/>
              </w:rPr>
            </w:pPr>
          </w:p>
        </w:tc>
      </w:tr>
      <w:tr w:rsidR="00AA3631" w:rsidRPr="00406D3C" w:rsidTr="009E6B0E">
        <w:tc>
          <w:tcPr>
            <w:tcW w:w="2427" w:type="pct"/>
          </w:tcPr>
          <w:p w:rsidR="00AA3631" w:rsidRPr="00DF0A0A" w:rsidRDefault="00AA3631" w:rsidP="009E6B0E">
            <w:pPr>
              <w:jc w:val="both"/>
              <w:rPr>
                <w:rFonts w:eastAsia="Calibri"/>
                <w:sz w:val="20"/>
                <w:szCs w:val="20"/>
                <w:lang w:val="fr-CA"/>
              </w:rPr>
            </w:pPr>
            <w:r w:rsidRPr="00DF0A0A">
              <w:rPr>
                <w:rFonts w:eastAsia="Calibri"/>
                <w:sz w:val="20"/>
                <w:szCs w:val="20"/>
                <w:lang w:val="fr-CA"/>
              </w:rPr>
              <w:t>28 août 2009</w:t>
            </w:r>
          </w:p>
          <w:p w:rsidR="00AA3631" w:rsidRPr="00DF0A0A" w:rsidRDefault="00AA3631" w:rsidP="009E6B0E">
            <w:pPr>
              <w:jc w:val="both"/>
              <w:rPr>
                <w:rFonts w:eastAsia="Calibri"/>
                <w:sz w:val="20"/>
                <w:szCs w:val="20"/>
                <w:lang w:val="fr-CA"/>
              </w:rPr>
            </w:pPr>
            <w:r w:rsidRPr="00DF0A0A">
              <w:rPr>
                <w:rFonts w:eastAsia="Calibri"/>
                <w:sz w:val="20"/>
                <w:szCs w:val="20"/>
                <w:lang w:val="fr-CA"/>
              </w:rPr>
              <w:t xml:space="preserve">Cour fédérale </w:t>
            </w:r>
          </w:p>
          <w:p w:rsidR="00AA3631" w:rsidRPr="00DF0A0A" w:rsidRDefault="00AA3631" w:rsidP="009E6B0E">
            <w:pPr>
              <w:jc w:val="both"/>
              <w:rPr>
                <w:rFonts w:eastAsia="Calibri"/>
                <w:sz w:val="20"/>
                <w:szCs w:val="20"/>
                <w:lang w:val="fr-CA"/>
              </w:rPr>
            </w:pPr>
            <w:r w:rsidRPr="00DF0A0A">
              <w:rPr>
                <w:rFonts w:eastAsia="Calibri"/>
                <w:sz w:val="20"/>
                <w:szCs w:val="20"/>
                <w:lang w:val="fr-CA"/>
              </w:rPr>
              <w:t xml:space="preserve">(Juge adjoint </w:t>
            </w:r>
            <w:proofErr w:type="spellStart"/>
            <w:r w:rsidRPr="00DF0A0A">
              <w:rPr>
                <w:rFonts w:eastAsia="Calibri"/>
                <w:sz w:val="20"/>
                <w:szCs w:val="20"/>
                <w:lang w:val="fr-CA"/>
              </w:rPr>
              <w:t>MacKay</w:t>
            </w:r>
            <w:proofErr w:type="spellEnd"/>
            <w:r w:rsidRPr="00DF0A0A">
              <w:rPr>
                <w:rFonts w:eastAsia="Calibri"/>
                <w:sz w:val="20"/>
                <w:szCs w:val="20"/>
                <w:lang w:val="fr-CA"/>
              </w:rPr>
              <w:t>)</w:t>
            </w:r>
          </w:p>
          <w:p w:rsidR="00AA3631" w:rsidRPr="00DF0A0A" w:rsidRDefault="00AA3631" w:rsidP="009E6B0E">
            <w:pPr>
              <w:jc w:val="both"/>
              <w:rPr>
                <w:rFonts w:eastAsia="Calibri"/>
                <w:sz w:val="20"/>
                <w:szCs w:val="20"/>
                <w:lang w:val="fr-CA"/>
              </w:rPr>
            </w:pPr>
            <w:r w:rsidRPr="00DF0A0A">
              <w:rPr>
                <w:rFonts w:eastAsia="Calibri"/>
                <w:sz w:val="20"/>
                <w:szCs w:val="20"/>
                <w:lang w:val="fr-CA"/>
              </w:rPr>
              <w:t>2009 CF 861</w:t>
            </w:r>
          </w:p>
          <w:p w:rsidR="00AA3631" w:rsidRPr="00DF0A0A" w:rsidRDefault="00AA3631" w:rsidP="009E6B0E">
            <w:pPr>
              <w:jc w:val="both"/>
              <w:rPr>
                <w:rFonts w:eastAsia="Calibri"/>
                <w:sz w:val="20"/>
                <w:szCs w:val="20"/>
                <w:lang w:val="fr-CA"/>
              </w:rPr>
            </w:pPr>
          </w:p>
        </w:tc>
        <w:tc>
          <w:tcPr>
            <w:tcW w:w="243" w:type="pct"/>
          </w:tcPr>
          <w:p w:rsidR="00AA3631" w:rsidRPr="00DF0A0A" w:rsidRDefault="00AA3631" w:rsidP="009E6B0E">
            <w:pPr>
              <w:jc w:val="both"/>
              <w:rPr>
                <w:rFonts w:eastAsia="Calibri"/>
                <w:sz w:val="20"/>
                <w:szCs w:val="20"/>
                <w:lang w:val="fr-CA"/>
              </w:rPr>
            </w:pPr>
          </w:p>
        </w:tc>
        <w:tc>
          <w:tcPr>
            <w:tcW w:w="2330" w:type="pct"/>
          </w:tcPr>
          <w:p w:rsidR="00AA3631" w:rsidRPr="00DF0A0A" w:rsidRDefault="00AA3631" w:rsidP="009E6B0E">
            <w:pPr>
              <w:jc w:val="both"/>
              <w:rPr>
                <w:rFonts w:eastAsia="Calibri"/>
                <w:sz w:val="20"/>
                <w:szCs w:val="20"/>
                <w:lang w:val="fr-CA"/>
              </w:rPr>
            </w:pPr>
            <w:r w:rsidRPr="00DF0A0A">
              <w:rPr>
                <w:rFonts w:eastAsia="Calibri"/>
                <w:sz w:val="20"/>
                <w:szCs w:val="20"/>
                <w:lang w:val="fr-CA"/>
              </w:rPr>
              <w:t>Demande de contrôle judiciaire de la réponse du ministre de la Justice, rejetée</w:t>
            </w:r>
          </w:p>
          <w:p w:rsidR="00AA3631" w:rsidRPr="00DF0A0A" w:rsidRDefault="00AA3631" w:rsidP="009E6B0E">
            <w:pPr>
              <w:jc w:val="both"/>
              <w:rPr>
                <w:rFonts w:eastAsia="Calibri"/>
                <w:sz w:val="20"/>
                <w:szCs w:val="20"/>
                <w:lang w:val="fr-CA"/>
              </w:rPr>
            </w:pPr>
          </w:p>
        </w:tc>
      </w:tr>
      <w:tr w:rsidR="00AA3631" w:rsidRPr="00DF0A0A" w:rsidTr="009E6B0E">
        <w:tc>
          <w:tcPr>
            <w:tcW w:w="2427" w:type="pct"/>
          </w:tcPr>
          <w:p w:rsidR="00AA3631" w:rsidRPr="00DF0A0A" w:rsidRDefault="00AA3631" w:rsidP="009E6B0E">
            <w:pPr>
              <w:jc w:val="both"/>
              <w:rPr>
                <w:rFonts w:eastAsia="Calibri"/>
                <w:sz w:val="20"/>
                <w:szCs w:val="20"/>
                <w:lang w:val="fr-CA"/>
              </w:rPr>
            </w:pPr>
            <w:r w:rsidRPr="00DF0A0A">
              <w:rPr>
                <w:rFonts w:eastAsia="Calibri"/>
                <w:sz w:val="20"/>
                <w:szCs w:val="20"/>
                <w:lang w:val="fr-CA"/>
              </w:rPr>
              <w:t>21 juillet 2010</w:t>
            </w:r>
          </w:p>
          <w:p w:rsidR="00AA3631" w:rsidRPr="00DF0A0A" w:rsidRDefault="00AA3631" w:rsidP="009E6B0E">
            <w:pPr>
              <w:jc w:val="both"/>
              <w:rPr>
                <w:rFonts w:eastAsia="Calibri"/>
                <w:sz w:val="20"/>
                <w:szCs w:val="20"/>
                <w:lang w:val="fr-CA"/>
              </w:rPr>
            </w:pPr>
            <w:r w:rsidRPr="00DF0A0A">
              <w:rPr>
                <w:rFonts w:eastAsia="Calibri"/>
                <w:sz w:val="20"/>
                <w:szCs w:val="20"/>
                <w:lang w:val="fr-CA"/>
              </w:rPr>
              <w:t xml:space="preserve">Cour d'appel fédérale </w:t>
            </w:r>
          </w:p>
          <w:p w:rsidR="00AA3631" w:rsidRPr="00DF0A0A" w:rsidRDefault="00AA3631" w:rsidP="009E6B0E">
            <w:pPr>
              <w:jc w:val="both"/>
              <w:rPr>
                <w:rFonts w:eastAsia="Calibri"/>
                <w:sz w:val="20"/>
                <w:szCs w:val="20"/>
                <w:lang w:val="fr-CA"/>
              </w:rPr>
            </w:pPr>
            <w:r w:rsidRPr="00DF0A0A">
              <w:rPr>
                <w:rFonts w:eastAsia="Calibri"/>
                <w:sz w:val="20"/>
                <w:szCs w:val="20"/>
                <w:lang w:val="fr-CA"/>
              </w:rPr>
              <w:t xml:space="preserve">(Juges </w:t>
            </w:r>
            <w:proofErr w:type="spellStart"/>
            <w:r w:rsidRPr="00DF0A0A">
              <w:rPr>
                <w:rFonts w:eastAsia="Calibri"/>
                <w:sz w:val="20"/>
                <w:szCs w:val="20"/>
                <w:lang w:val="fr-CA"/>
              </w:rPr>
              <w:t>Létourneau</w:t>
            </w:r>
            <w:proofErr w:type="spellEnd"/>
            <w:r w:rsidRPr="00DF0A0A">
              <w:rPr>
                <w:rFonts w:eastAsia="Calibri"/>
                <w:sz w:val="20"/>
                <w:szCs w:val="20"/>
                <w:lang w:val="fr-CA"/>
              </w:rPr>
              <w:t xml:space="preserve">, </w:t>
            </w:r>
            <w:proofErr w:type="spellStart"/>
            <w:r w:rsidRPr="00DF0A0A">
              <w:rPr>
                <w:rFonts w:eastAsia="Calibri"/>
                <w:sz w:val="20"/>
                <w:szCs w:val="20"/>
                <w:lang w:val="fr-CA"/>
              </w:rPr>
              <w:t>Sexton</w:t>
            </w:r>
            <w:proofErr w:type="spellEnd"/>
            <w:r w:rsidRPr="00DF0A0A">
              <w:rPr>
                <w:rFonts w:eastAsia="Calibri"/>
                <w:sz w:val="20"/>
                <w:szCs w:val="20"/>
                <w:lang w:val="fr-CA"/>
              </w:rPr>
              <w:t xml:space="preserve"> et Evans)</w:t>
            </w:r>
          </w:p>
          <w:p w:rsidR="00AA3631" w:rsidRPr="00DF0A0A" w:rsidRDefault="00AA3631" w:rsidP="009E6B0E">
            <w:pPr>
              <w:jc w:val="both"/>
              <w:rPr>
                <w:rFonts w:eastAsia="Calibri"/>
                <w:sz w:val="20"/>
                <w:szCs w:val="20"/>
                <w:lang w:val="fr-CA"/>
              </w:rPr>
            </w:pPr>
            <w:r w:rsidRPr="00DF0A0A">
              <w:rPr>
                <w:rFonts w:eastAsia="Calibri"/>
                <w:sz w:val="20"/>
                <w:szCs w:val="20"/>
                <w:lang w:val="fr-CA"/>
              </w:rPr>
              <w:t>2010 CAF 195</w:t>
            </w:r>
          </w:p>
          <w:p w:rsidR="00AA3631" w:rsidRPr="00DF0A0A" w:rsidRDefault="00AA3631" w:rsidP="009E6B0E">
            <w:pPr>
              <w:jc w:val="both"/>
              <w:rPr>
                <w:rFonts w:eastAsia="Calibri"/>
                <w:sz w:val="20"/>
                <w:szCs w:val="20"/>
                <w:lang w:val="fr-CA"/>
              </w:rPr>
            </w:pPr>
          </w:p>
        </w:tc>
        <w:tc>
          <w:tcPr>
            <w:tcW w:w="243" w:type="pct"/>
          </w:tcPr>
          <w:p w:rsidR="00AA3631" w:rsidRPr="00DF0A0A" w:rsidRDefault="00AA3631" w:rsidP="009E6B0E">
            <w:pPr>
              <w:jc w:val="both"/>
              <w:rPr>
                <w:rFonts w:eastAsia="Calibri"/>
                <w:sz w:val="20"/>
                <w:szCs w:val="20"/>
                <w:lang w:val="fr-CA"/>
              </w:rPr>
            </w:pPr>
          </w:p>
        </w:tc>
        <w:tc>
          <w:tcPr>
            <w:tcW w:w="2330" w:type="pct"/>
          </w:tcPr>
          <w:p w:rsidR="00AA3631" w:rsidRPr="00DF0A0A" w:rsidRDefault="00AA3631" w:rsidP="009E6B0E">
            <w:pPr>
              <w:jc w:val="both"/>
              <w:rPr>
                <w:rFonts w:eastAsia="Calibri"/>
                <w:sz w:val="20"/>
                <w:szCs w:val="20"/>
                <w:lang w:val="fr-CA"/>
              </w:rPr>
            </w:pPr>
            <w:r w:rsidRPr="00DF0A0A">
              <w:rPr>
                <w:rFonts w:eastAsia="Calibri"/>
                <w:sz w:val="20"/>
                <w:szCs w:val="20"/>
                <w:lang w:val="fr-CA"/>
              </w:rPr>
              <w:t>Appel rejeté</w:t>
            </w:r>
          </w:p>
        </w:tc>
      </w:tr>
      <w:tr w:rsidR="00AA3631" w:rsidRPr="00DF0A0A" w:rsidTr="009E6B0E">
        <w:tc>
          <w:tcPr>
            <w:tcW w:w="2427" w:type="pct"/>
          </w:tcPr>
          <w:p w:rsidR="00AA3631" w:rsidRPr="00DF0A0A" w:rsidRDefault="00AA3631" w:rsidP="009E6B0E">
            <w:pPr>
              <w:jc w:val="both"/>
              <w:rPr>
                <w:rFonts w:eastAsia="Calibri"/>
                <w:sz w:val="20"/>
                <w:szCs w:val="20"/>
                <w:lang w:val="fr-CA"/>
              </w:rPr>
            </w:pPr>
            <w:r w:rsidRPr="00DF0A0A">
              <w:rPr>
                <w:rFonts w:eastAsia="Calibri"/>
                <w:sz w:val="20"/>
                <w:szCs w:val="20"/>
                <w:lang w:val="fr-CA"/>
              </w:rPr>
              <w:t>29 septembre 2010</w:t>
            </w:r>
          </w:p>
          <w:p w:rsidR="00AA3631" w:rsidRPr="00DF0A0A" w:rsidRDefault="00AA3631" w:rsidP="009E6B0E">
            <w:pPr>
              <w:jc w:val="both"/>
              <w:rPr>
                <w:rFonts w:eastAsia="Calibri"/>
                <w:sz w:val="20"/>
                <w:szCs w:val="20"/>
                <w:lang w:val="fr-CA"/>
              </w:rPr>
            </w:pPr>
            <w:r w:rsidRPr="00DF0A0A">
              <w:rPr>
                <w:rFonts w:eastAsia="Calibri"/>
                <w:sz w:val="20"/>
                <w:szCs w:val="20"/>
                <w:lang w:val="fr-CA"/>
              </w:rPr>
              <w:t>Cour suprême du Canada</w:t>
            </w:r>
          </w:p>
        </w:tc>
        <w:tc>
          <w:tcPr>
            <w:tcW w:w="243" w:type="pct"/>
          </w:tcPr>
          <w:p w:rsidR="00AA3631" w:rsidRPr="00DF0A0A" w:rsidRDefault="00AA3631" w:rsidP="009E6B0E">
            <w:pPr>
              <w:jc w:val="both"/>
              <w:rPr>
                <w:rFonts w:eastAsia="Calibri"/>
                <w:sz w:val="20"/>
                <w:szCs w:val="20"/>
                <w:lang w:val="fr-CA"/>
              </w:rPr>
            </w:pPr>
          </w:p>
        </w:tc>
        <w:tc>
          <w:tcPr>
            <w:tcW w:w="2330" w:type="pct"/>
          </w:tcPr>
          <w:p w:rsidR="00AA3631" w:rsidRPr="00DF0A0A" w:rsidRDefault="00AA3631" w:rsidP="009E6B0E">
            <w:pPr>
              <w:jc w:val="both"/>
              <w:rPr>
                <w:rFonts w:eastAsia="Calibri"/>
                <w:sz w:val="20"/>
                <w:szCs w:val="20"/>
                <w:lang w:val="fr-CA"/>
              </w:rPr>
            </w:pPr>
            <w:r w:rsidRPr="00DF0A0A">
              <w:rPr>
                <w:rFonts w:eastAsia="Calibri"/>
                <w:sz w:val="20"/>
                <w:szCs w:val="20"/>
                <w:lang w:val="fr-CA"/>
              </w:rPr>
              <w:t>Demande d'autorisation d'appel, déposée</w:t>
            </w:r>
          </w:p>
          <w:p w:rsidR="00AA3631" w:rsidRPr="00DF0A0A" w:rsidRDefault="00AA3631" w:rsidP="009E6B0E">
            <w:pPr>
              <w:jc w:val="both"/>
              <w:rPr>
                <w:rFonts w:eastAsia="Calibri"/>
                <w:sz w:val="20"/>
                <w:szCs w:val="20"/>
                <w:lang w:val="fr-CA"/>
              </w:rPr>
            </w:pPr>
          </w:p>
        </w:tc>
      </w:tr>
    </w:tbl>
    <w:p w:rsidR="00610966" w:rsidRDefault="00610966" w:rsidP="008D292F">
      <w:pPr>
        <w:rPr>
          <w:b/>
          <w:sz w:val="20"/>
          <w:szCs w:val="20"/>
        </w:rPr>
      </w:pPr>
    </w:p>
    <w:p w:rsidR="00610966" w:rsidRDefault="00C478F8" w:rsidP="008D292F">
      <w:pPr>
        <w:rPr>
          <w:b/>
          <w:sz w:val="20"/>
          <w:szCs w:val="20"/>
        </w:rPr>
      </w:pPr>
      <w:r w:rsidRPr="00C478F8">
        <w:rPr>
          <w:sz w:val="20"/>
          <w:szCs w:val="20"/>
          <w:lang w:val="fr-CA"/>
        </w:rPr>
        <w:pict>
          <v:rect id="_x0000_i1036" style="width:2in;height:1pt" o:hrpct="0" o:hralign="center" o:hrstd="t" o:hrnoshade="t" o:hr="t" fillcolor="black [3213]" stroked="f"/>
        </w:pict>
      </w:r>
    </w:p>
    <w:p w:rsidR="00610966" w:rsidRDefault="00610966" w:rsidP="00610966">
      <w:pPr>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A3C7A" w:rsidRPr="001A3C7A" w:rsidTr="0027596E">
        <w:trPr>
          <w:cantSplit/>
        </w:trPr>
        <w:tc>
          <w:tcPr>
            <w:tcW w:w="1458" w:type="dxa"/>
          </w:tcPr>
          <w:p w:rsidR="001A3C7A" w:rsidRPr="001A3C7A" w:rsidRDefault="001A3C7A" w:rsidP="0027596E">
            <w:pPr>
              <w:rPr>
                <w:sz w:val="20"/>
                <w:szCs w:val="20"/>
              </w:rPr>
            </w:pPr>
            <w:r w:rsidRPr="001A3C7A">
              <w:rPr>
                <w:rStyle w:val="SCCFileNumberChar"/>
                <w:sz w:val="20"/>
                <w:szCs w:val="20"/>
              </w:rPr>
              <w:t>33940</w:t>
            </w:r>
          </w:p>
          <w:p w:rsidR="001A3C7A" w:rsidRPr="001A3C7A" w:rsidRDefault="001A3C7A" w:rsidP="0027596E">
            <w:pPr>
              <w:rPr>
                <w:b/>
                <w:sz w:val="20"/>
                <w:szCs w:val="20"/>
                <w:lang w:val="fr-CA"/>
              </w:rPr>
            </w:pPr>
          </w:p>
        </w:tc>
        <w:tc>
          <w:tcPr>
            <w:tcW w:w="8118" w:type="dxa"/>
          </w:tcPr>
          <w:p w:rsidR="001A3C7A" w:rsidRPr="001A3C7A" w:rsidRDefault="001A3C7A" w:rsidP="0027596E">
            <w:pPr>
              <w:rPr>
                <w:sz w:val="20"/>
                <w:szCs w:val="20"/>
              </w:rPr>
            </w:pPr>
            <w:r w:rsidRPr="001A3C7A">
              <w:rPr>
                <w:rStyle w:val="SCCLsocChar"/>
                <w:sz w:val="20"/>
                <w:szCs w:val="20"/>
              </w:rPr>
              <w:t xml:space="preserve">Stanley D'Almeida v. Stanley </w:t>
            </w:r>
            <w:proofErr w:type="spellStart"/>
            <w:r w:rsidRPr="001A3C7A">
              <w:rPr>
                <w:rStyle w:val="SCCLsocChar"/>
                <w:sz w:val="20"/>
                <w:szCs w:val="20"/>
              </w:rPr>
              <w:t>Barron</w:t>
            </w:r>
            <w:proofErr w:type="spellEnd"/>
            <w:r w:rsidRPr="001A3C7A">
              <w:rPr>
                <w:sz w:val="20"/>
                <w:szCs w:val="20"/>
                <w:lang w:val="fr-CA"/>
              </w:rPr>
              <w:t xml:space="preserve"> (Ont.) </w:t>
            </w:r>
            <w:r w:rsidRPr="001A3C7A">
              <w:rPr>
                <w:sz w:val="20"/>
                <w:szCs w:val="20"/>
              </w:rPr>
              <w:t>(Civil) (By Leave)</w:t>
            </w:r>
          </w:p>
          <w:p w:rsidR="001A3C7A" w:rsidRPr="001A3C7A" w:rsidRDefault="001A3C7A" w:rsidP="0027596E">
            <w:pPr>
              <w:rPr>
                <w:sz w:val="20"/>
                <w:szCs w:val="20"/>
              </w:rPr>
            </w:pPr>
          </w:p>
        </w:tc>
      </w:tr>
      <w:tr w:rsidR="001A3C7A" w:rsidRPr="001A3C7A" w:rsidTr="0027596E">
        <w:trPr>
          <w:cantSplit/>
        </w:trPr>
        <w:tc>
          <w:tcPr>
            <w:tcW w:w="1458" w:type="dxa"/>
          </w:tcPr>
          <w:p w:rsidR="001A3C7A" w:rsidRPr="001A3C7A" w:rsidRDefault="001A3C7A" w:rsidP="0027596E">
            <w:pPr>
              <w:rPr>
                <w:sz w:val="20"/>
                <w:szCs w:val="20"/>
              </w:rPr>
            </w:pPr>
            <w:r w:rsidRPr="001A3C7A">
              <w:rPr>
                <w:sz w:val="20"/>
                <w:szCs w:val="20"/>
              </w:rPr>
              <w:t>Coram :</w:t>
            </w:r>
          </w:p>
        </w:tc>
        <w:tc>
          <w:tcPr>
            <w:tcW w:w="8118" w:type="dxa"/>
          </w:tcPr>
          <w:p w:rsidR="001A3C7A" w:rsidRPr="001A3C7A" w:rsidRDefault="001A3C7A" w:rsidP="0027596E">
            <w:pPr>
              <w:rPr>
                <w:sz w:val="20"/>
                <w:szCs w:val="20"/>
              </w:rPr>
            </w:pPr>
            <w:proofErr w:type="spellStart"/>
            <w:r w:rsidRPr="001A3C7A">
              <w:rPr>
                <w:rStyle w:val="SCCCoramChar"/>
                <w:sz w:val="20"/>
                <w:szCs w:val="20"/>
                <w:lang w:val="en-CA"/>
              </w:rPr>
              <w:t>LeBel</w:t>
            </w:r>
            <w:proofErr w:type="spellEnd"/>
            <w:r w:rsidRPr="001A3C7A">
              <w:rPr>
                <w:rStyle w:val="SCCCoramChar"/>
                <w:sz w:val="20"/>
                <w:szCs w:val="20"/>
                <w:lang w:val="en-CA"/>
              </w:rPr>
              <w:t xml:space="preserve">, </w:t>
            </w:r>
            <w:proofErr w:type="spellStart"/>
            <w:r w:rsidRPr="001A3C7A">
              <w:rPr>
                <w:rStyle w:val="SCCCoramChar"/>
                <w:sz w:val="20"/>
                <w:szCs w:val="20"/>
                <w:lang w:val="en-CA"/>
              </w:rPr>
              <w:t>Deschamps</w:t>
            </w:r>
            <w:proofErr w:type="spellEnd"/>
            <w:r w:rsidRPr="001A3C7A">
              <w:rPr>
                <w:rStyle w:val="SCCCoramChar"/>
                <w:sz w:val="20"/>
                <w:szCs w:val="20"/>
                <w:lang w:val="en-CA"/>
              </w:rPr>
              <w:t xml:space="preserve"> and </w:t>
            </w:r>
            <w:proofErr w:type="spellStart"/>
            <w:r w:rsidRPr="001A3C7A">
              <w:rPr>
                <w:rStyle w:val="SCCCoramChar"/>
                <w:sz w:val="20"/>
                <w:szCs w:val="20"/>
                <w:lang w:val="en-CA"/>
              </w:rPr>
              <w:t>Charron</w:t>
            </w:r>
            <w:proofErr w:type="spellEnd"/>
            <w:r w:rsidRPr="001A3C7A">
              <w:rPr>
                <w:rStyle w:val="SCCCoramChar"/>
                <w:sz w:val="20"/>
                <w:szCs w:val="20"/>
                <w:lang w:val="en-CA"/>
              </w:rPr>
              <w:t> JJ.</w:t>
            </w:r>
          </w:p>
          <w:p w:rsidR="001A3C7A" w:rsidRPr="001A3C7A" w:rsidRDefault="001A3C7A" w:rsidP="0027596E">
            <w:pPr>
              <w:rPr>
                <w:sz w:val="20"/>
                <w:szCs w:val="20"/>
                <w:u w:val="single"/>
              </w:rPr>
            </w:pPr>
          </w:p>
        </w:tc>
      </w:tr>
      <w:tr w:rsidR="001A3C7A" w:rsidRPr="00406D3C" w:rsidTr="0027596E">
        <w:trPr>
          <w:cantSplit/>
        </w:trPr>
        <w:tc>
          <w:tcPr>
            <w:tcW w:w="9576" w:type="dxa"/>
            <w:gridSpan w:val="2"/>
          </w:tcPr>
          <w:p w:rsidR="001A3C7A" w:rsidRPr="001A3C7A" w:rsidRDefault="001A3C7A" w:rsidP="0027596E">
            <w:pPr>
              <w:pStyle w:val="SCCShortJudgment"/>
              <w:rPr>
                <w:szCs w:val="20"/>
              </w:rPr>
            </w:pPr>
            <w:r w:rsidRPr="001A3C7A">
              <w:rPr>
                <w:szCs w:val="20"/>
              </w:rPr>
              <w:lastRenderedPageBreak/>
              <w:t>The motion for an extension of time to serve and file the application for leave to appeal is granted. The motions to adduce new evidence and to file a lengthy memorandum of argument are dismissed. The application for leave to appeal from the judgment of the Court of Appeal for Ontario, Number C49297, 2010 ONCA 564, dated August 31, 2010, is dismissed without costs.</w:t>
            </w:r>
          </w:p>
          <w:p w:rsidR="001A3C7A" w:rsidRPr="001A3C7A" w:rsidRDefault="001A3C7A" w:rsidP="0027596E">
            <w:pPr>
              <w:pStyle w:val="SCCShortJudgment"/>
              <w:ind w:firstLine="0"/>
              <w:rPr>
                <w:szCs w:val="20"/>
              </w:rPr>
            </w:pPr>
          </w:p>
          <w:p w:rsidR="001A3C7A" w:rsidRPr="001A3C7A" w:rsidRDefault="001A3C7A" w:rsidP="001A3C7A">
            <w:pPr>
              <w:pStyle w:val="SCCShortJudgment"/>
              <w:rPr>
                <w:szCs w:val="20"/>
                <w:lang w:val="fr-CA"/>
              </w:rPr>
            </w:pPr>
            <w:r w:rsidRPr="001A3C7A">
              <w:rPr>
                <w:szCs w:val="20"/>
                <w:lang w:val="fr-CA"/>
              </w:rPr>
              <w:t>La requête en prorogation du délai de signification et de dépôt de la demande d’autorisation d’appel est accordée. Les requêtes en vue de produire de nouveaux éléments de preuve et pour déposer un mémoire des arguments volumineux sont rejetées. La demande d’autorisation d’appel de l’arrêt de la Cour d’appel de l’Ontario, numéro C49297, 2010 ONCA 564, daté du 31 août 2010, est rejetée sans dépens.</w:t>
            </w:r>
          </w:p>
        </w:tc>
      </w:tr>
    </w:tbl>
    <w:p w:rsidR="00AA3631" w:rsidRPr="001A3C7A" w:rsidRDefault="00AA3631" w:rsidP="00610966">
      <w:pPr>
        <w:rPr>
          <w:b/>
          <w:sz w:val="20"/>
          <w:szCs w:val="20"/>
          <w:lang w:val="fr-CA"/>
        </w:rPr>
      </w:pPr>
    </w:p>
    <w:p w:rsidR="00610966" w:rsidRDefault="00610966" w:rsidP="00610966">
      <w:pPr>
        <w:rPr>
          <w:sz w:val="20"/>
          <w:szCs w:val="20"/>
        </w:rPr>
      </w:pPr>
      <w:r>
        <w:rPr>
          <w:sz w:val="20"/>
          <w:szCs w:val="20"/>
          <w:u w:val="single"/>
        </w:rPr>
        <w:t>CASE SUMMARY</w:t>
      </w:r>
    </w:p>
    <w:p w:rsidR="00610966" w:rsidRDefault="00610966" w:rsidP="0061096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A3631" w:rsidRPr="00DF0A0A" w:rsidTr="009E6B0E">
        <w:tc>
          <w:tcPr>
            <w:tcW w:w="5000" w:type="pct"/>
            <w:gridSpan w:val="3"/>
          </w:tcPr>
          <w:p w:rsidR="00AA3631" w:rsidRPr="00DF0A0A" w:rsidRDefault="00AA3631" w:rsidP="009E6B0E">
            <w:pPr>
              <w:jc w:val="both"/>
              <w:rPr>
                <w:rFonts w:eastAsia="Calibri"/>
                <w:smallCaps/>
                <w:sz w:val="20"/>
                <w:szCs w:val="20"/>
              </w:rPr>
            </w:pPr>
            <w:r w:rsidRPr="00DF0A0A">
              <w:rPr>
                <w:rFonts w:eastAsia="Calibri"/>
                <w:smallCaps/>
                <w:sz w:val="20"/>
                <w:szCs w:val="20"/>
              </w:rPr>
              <w:t>(Sealing order)</w:t>
            </w:r>
          </w:p>
          <w:p w:rsidR="00AA3631" w:rsidRPr="00DF0A0A" w:rsidRDefault="00AA3631" w:rsidP="009E6B0E">
            <w:pPr>
              <w:jc w:val="both"/>
              <w:rPr>
                <w:rFonts w:eastAsia="Calibri"/>
                <w:sz w:val="20"/>
                <w:szCs w:val="20"/>
              </w:rPr>
            </w:pPr>
          </w:p>
          <w:p w:rsidR="00AA3631" w:rsidRPr="00DF0A0A" w:rsidRDefault="00AA3631" w:rsidP="009E6B0E">
            <w:pPr>
              <w:jc w:val="both"/>
              <w:rPr>
                <w:rFonts w:eastAsia="Calibri"/>
                <w:i/>
                <w:sz w:val="20"/>
                <w:szCs w:val="20"/>
              </w:rPr>
            </w:pPr>
            <w:r w:rsidRPr="00DF0A0A">
              <w:rPr>
                <w:rFonts w:eastAsia="Calibri"/>
                <w:i/>
                <w:sz w:val="20"/>
                <w:szCs w:val="20"/>
              </w:rPr>
              <w:t>Charter of Rights</w:t>
            </w:r>
            <w:r w:rsidRPr="00DF0A0A">
              <w:rPr>
                <w:rFonts w:eastAsia="Calibri"/>
                <w:sz w:val="20"/>
                <w:szCs w:val="20"/>
              </w:rPr>
              <w:t xml:space="preserve"> – Right to equality and security of the person – Applicant appealing decision that he lacked capacity to consent to treatment - Whether Applicant’s psychiatric treatment violated the equality, security of the person and cruel and unusual treatment provisions of the </w:t>
            </w:r>
            <w:r w:rsidRPr="00DF0A0A">
              <w:rPr>
                <w:rFonts w:eastAsia="Calibri"/>
                <w:i/>
                <w:sz w:val="20"/>
                <w:szCs w:val="20"/>
              </w:rPr>
              <w:t>Charter.</w:t>
            </w:r>
          </w:p>
          <w:p w:rsidR="00AA3631" w:rsidRPr="00DF0A0A" w:rsidRDefault="00AA3631" w:rsidP="009E6B0E">
            <w:pPr>
              <w:jc w:val="both"/>
              <w:rPr>
                <w:rFonts w:eastAsia="Calibri"/>
                <w:sz w:val="20"/>
                <w:szCs w:val="20"/>
              </w:rPr>
            </w:pPr>
          </w:p>
        </w:tc>
      </w:tr>
      <w:tr w:rsidR="00AA3631" w:rsidRPr="00DF0A0A" w:rsidTr="009E6B0E">
        <w:tc>
          <w:tcPr>
            <w:tcW w:w="5000" w:type="pct"/>
            <w:gridSpan w:val="3"/>
          </w:tcPr>
          <w:p w:rsidR="00AA3631" w:rsidRPr="00DF0A0A" w:rsidRDefault="00AA3631" w:rsidP="009E6B0E">
            <w:pPr>
              <w:jc w:val="both"/>
              <w:rPr>
                <w:rFonts w:eastAsia="Calibri"/>
                <w:sz w:val="20"/>
                <w:szCs w:val="20"/>
              </w:rPr>
            </w:pPr>
            <w:r w:rsidRPr="00DF0A0A">
              <w:rPr>
                <w:rFonts w:eastAsia="Calibri"/>
                <w:sz w:val="20"/>
                <w:szCs w:val="20"/>
              </w:rPr>
              <w:t xml:space="preserve">Mr. </w:t>
            </w:r>
            <w:proofErr w:type="spellStart"/>
            <w:r w:rsidRPr="00DF0A0A">
              <w:rPr>
                <w:rFonts w:eastAsia="Calibri"/>
                <w:sz w:val="20"/>
                <w:szCs w:val="20"/>
              </w:rPr>
              <w:t>D’Almeida</w:t>
            </w:r>
            <w:proofErr w:type="spellEnd"/>
            <w:r w:rsidRPr="00DF0A0A">
              <w:rPr>
                <w:rFonts w:eastAsia="Calibri"/>
                <w:sz w:val="20"/>
                <w:szCs w:val="20"/>
              </w:rPr>
              <w:t xml:space="preserve"> was diagnosed with a mental illness and was found to be incapable of consenting to treatment with anti-psychotic medication.  He received treatment in the hospital with medication for his symptoms.  In 2006, he applied to the Consent and Capacity Board to review the finding of incapacity because he did not want to be on the medication due to the side effects.  The Consent and Capacity Board dismissed his application.</w:t>
            </w:r>
          </w:p>
          <w:p w:rsidR="00AA3631" w:rsidRPr="00DF0A0A" w:rsidRDefault="00AA3631" w:rsidP="009E6B0E">
            <w:pPr>
              <w:jc w:val="both"/>
              <w:rPr>
                <w:rFonts w:eastAsia="Calibri"/>
                <w:sz w:val="20"/>
                <w:szCs w:val="20"/>
              </w:rPr>
            </w:pPr>
          </w:p>
        </w:tc>
      </w:tr>
      <w:tr w:rsidR="00AA3631" w:rsidRPr="00DF0A0A" w:rsidTr="009E6B0E">
        <w:tc>
          <w:tcPr>
            <w:tcW w:w="2427" w:type="pct"/>
          </w:tcPr>
          <w:p w:rsidR="00AA3631" w:rsidRPr="00DF0A0A" w:rsidRDefault="00AA3631" w:rsidP="009E6B0E">
            <w:pPr>
              <w:jc w:val="both"/>
              <w:rPr>
                <w:rFonts w:eastAsia="Calibri"/>
                <w:sz w:val="20"/>
                <w:szCs w:val="20"/>
              </w:rPr>
            </w:pPr>
            <w:r w:rsidRPr="00DF0A0A">
              <w:rPr>
                <w:rFonts w:eastAsia="Calibri"/>
                <w:sz w:val="20"/>
                <w:szCs w:val="20"/>
              </w:rPr>
              <w:t>July 25, 2008</w:t>
            </w:r>
          </w:p>
          <w:p w:rsidR="00AA3631" w:rsidRPr="00DF0A0A" w:rsidRDefault="00AA3631" w:rsidP="009E6B0E">
            <w:pPr>
              <w:jc w:val="both"/>
              <w:rPr>
                <w:rFonts w:eastAsia="Calibri"/>
                <w:sz w:val="20"/>
                <w:szCs w:val="20"/>
              </w:rPr>
            </w:pPr>
            <w:r w:rsidRPr="00DF0A0A">
              <w:rPr>
                <w:rFonts w:eastAsia="Calibri"/>
                <w:sz w:val="20"/>
                <w:szCs w:val="20"/>
              </w:rPr>
              <w:t>Ontario Superior Court of Justice</w:t>
            </w:r>
          </w:p>
          <w:p w:rsidR="00AA3631" w:rsidRPr="00DF0A0A" w:rsidRDefault="00AA3631" w:rsidP="009E6B0E">
            <w:pPr>
              <w:jc w:val="both"/>
              <w:rPr>
                <w:rFonts w:eastAsia="Calibri"/>
                <w:sz w:val="20"/>
                <w:szCs w:val="20"/>
              </w:rPr>
            </w:pPr>
            <w:r w:rsidRPr="00DF0A0A">
              <w:rPr>
                <w:rFonts w:eastAsia="Calibri"/>
                <w:sz w:val="20"/>
                <w:szCs w:val="20"/>
              </w:rPr>
              <w:t>(</w:t>
            </w:r>
            <w:proofErr w:type="spellStart"/>
            <w:r w:rsidRPr="00DF0A0A">
              <w:rPr>
                <w:rFonts w:eastAsia="Calibri"/>
                <w:sz w:val="20"/>
                <w:szCs w:val="20"/>
              </w:rPr>
              <w:t>Mesbur</w:t>
            </w:r>
            <w:proofErr w:type="spellEnd"/>
            <w:r w:rsidRPr="00DF0A0A">
              <w:rPr>
                <w:rFonts w:eastAsia="Calibri"/>
                <w:sz w:val="20"/>
                <w:szCs w:val="20"/>
              </w:rPr>
              <w:t xml:space="preserve"> J.)</w:t>
            </w:r>
          </w:p>
          <w:p w:rsidR="00AA3631" w:rsidRPr="00DF0A0A" w:rsidRDefault="00AA3631" w:rsidP="009E6B0E">
            <w:pPr>
              <w:jc w:val="both"/>
              <w:rPr>
                <w:rFonts w:eastAsia="Calibri"/>
                <w:sz w:val="20"/>
                <w:szCs w:val="20"/>
              </w:rPr>
            </w:pPr>
            <w:r w:rsidRPr="00DF0A0A">
              <w:rPr>
                <w:rFonts w:eastAsia="Calibri"/>
                <w:sz w:val="20"/>
                <w:szCs w:val="20"/>
              </w:rPr>
              <w:t xml:space="preserve">2008 </w:t>
            </w:r>
            <w:proofErr w:type="spellStart"/>
            <w:r w:rsidRPr="00DF0A0A">
              <w:rPr>
                <w:rFonts w:eastAsia="Calibri"/>
                <w:sz w:val="20"/>
                <w:szCs w:val="20"/>
              </w:rPr>
              <w:t>CanLII</w:t>
            </w:r>
            <w:proofErr w:type="spellEnd"/>
            <w:r w:rsidRPr="00DF0A0A">
              <w:rPr>
                <w:rFonts w:eastAsia="Calibri"/>
                <w:sz w:val="20"/>
                <w:szCs w:val="20"/>
              </w:rPr>
              <w:t xml:space="preserve"> 37208</w:t>
            </w:r>
          </w:p>
          <w:p w:rsidR="00AA3631" w:rsidRPr="00DF0A0A" w:rsidRDefault="00AA3631" w:rsidP="009E6B0E">
            <w:pPr>
              <w:jc w:val="both"/>
              <w:rPr>
                <w:rFonts w:eastAsia="Calibri"/>
                <w:sz w:val="20"/>
                <w:szCs w:val="20"/>
              </w:rPr>
            </w:pPr>
          </w:p>
        </w:tc>
        <w:tc>
          <w:tcPr>
            <w:tcW w:w="243" w:type="pct"/>
          </w:tcPr>
          <w:p w:rsidR="00AA3631" w:rsidRPr="00DF0A0A" w:rsidRDefault="00AA3631" w:rsidP="009E6B0E">
            <w:pPr>
              <w:jc w:val="both"/>
              <w:rPr>
                <w:rFonts w:eastAsia="Calibri"/>
                <w:sz w:val="20"/>
                <w:szCs w:val="20"/>
              </w:rPr>
            </w:pPr>
          </w:p>
        </w:tc>
        <w:tc>
          <w:tcPr>
            <w:tcW w:w="2330" w:type="pct"/>
          </w:tcPr>
          <w:p w:rsidR="00AA3631" w:rsidRPr="00DF0A0A" w:rsidRDefault="00AA3631" w:rsidP="009E6B0E">
            <w:pPr>
              <w:jc w:val="both"/>
              <w:rPr>
                <w:rFonts w:eastAsia="Calibri"/>
                <w:sz w:val="20"/>
                <w:szCs w:val="20"/>
              </w:rPr>
            </w:pPr>
            <w:r w:rsidRPr="00DF0A0A">
              <w:rPr>
                <w:rFonts w:eastAsia="Calibri"/>
                <w:sz w:val="20"/>
                <w:szCs w:val="20"/>
              </w:rPr>
              <w:t>Applicant’s appeal from decision of the Consent and Capacity Board that he was incapable of making treatment decisions dismissed</w:t>
            </w:r>
          </w:p>
          <w:p w:rsidR="00AA3631" w:rsidRPr="00DF0A0A" w:rsidRDefault="00AA3631" w:rsidP="009E6B0E">
            <w:pPr>
              <w:jc w:val="both"/>
              <w:rPr>
                <w:rFonts w:eastAsia="Calibri"/>
                <w:sz w:val="20"/>
                <w:szCs w:val="20"/>
              </w:rPr>
            </w:pPr>
          </w:p>
        </w:tc>
      </w:tr>
      <w:tr w:rsidR="00AA3631" w:rsidRPr="00DF0A0A" w:rsidTr="009E6B0E">
        <w:tc>
          <w:tcPr>
            <w:tcW w:w="2427" w:type="pct"/>
          </w:tcPr>
          <w:p w:rsidR="00AA3631" w:rsidRPr="00DF0A0A" w:rsidRDefault="00AA3631" w:rsidP="009E6B0E">
            <w:pPr>
              <w:jc w:val="both"/>
              <w:rPr>
                <w:rFonts w:eastAsia="Calibri"/>
                <w:sz w:val="20"/>
                <w:szCs w:val="20"/>
              </w:rPr>
            </w:pPr>
            <w:r w:rsidRPr="00DF0A0A">
              <w:rPr>
                <w:rFonts w:eastAsia="Calibri"/>
                <w:sz w:val="20"/>
                <w:szCs w:val="20"/>
              </w:rPr>
              <w:t>August 31, 2010</w:t>
            </w:r>
          </w:p>
          <w:p w:rsidR="00AA3631" w:rsidRPr="00DF0A0A" w:rsidRDefault="00AA3631" w:rsidP="009E6B0E">
            <w:pPr>
              <w:jc w:val="both"/>
              <w:rPr>
                <w:rFonts w:eastAsia="Calibri"/>
                <w:sz w:val="20"/>
                <w:szCs w:val="20"/>
              </w:rPr>
            </w:pPr>
            <w:r w:rsidRPr="00DF0A0A">
              <w:rPr>
                <w:rFonts w:eastAsia="Calibri"/>
                <w:sz w:val="20"/>
                <w:szCs w:val="20"/>
              </w:rPr>
              <w:t>Court of Appeal for Ontario</w:t>
            </w:r>
          </w:p>
          <w:p w:rsidR="00AA3631" w:rsidRPr="00DF0A0A" w:rsidRDefault="00AA3631" w:rsidP="009E6B0E">
            <w:pPr>
              <w:jc w:val="both"/>
              <w:rPr>
                <w:rFonts w:eastAsia="Calibri"/>
                <w:sz w:val="20"/>
                <w:szCs w:val="20"/>
              </w:rPr>
            </w:pPr>
            <w:r w:rsidRPr="00DF0A0A">
              <w:rPr>
                <w:rFonts w:eastAsia="Calibri"/>
                <w:sz w:val="20"/>
                <w:szCs w:val="20"/>
              </w:rPr>
              <w:t xml:space="preserve">(Rosenberg, </w:t>
            </w:r>
            <w:proofErr w:type="spellStart"/>
            <w:r w:rsidRPr="00DF0A0A">
              <w:rPr>
                <w:rFonts w:eastAsia="Calibri"/>
                <w:sz w:val="20"/>
                <w:szCs w:val="20"/>
              </w:rPr>
              <w:t>Goudge</w:t>
            </w:r>
            <w:proofErr w:type="spellEnd"/>
            <w:r w:rsidRPr="00DF0A0A">
              <w:rPr>
                <w:rFonts w:eastAsia="Calibri"/>
                <w:sz w:val="20"/>
                <w:szCs w:val="20"/>
              </w:rPr>
              <w:t xml:space="preserve"> and Feldman JJ.A.)</w:t>
            </w:r>
          </w:p>
          <w:p w:rsidR="00AA3631" w:rsidRPr="00DF0A0A" w:rsidRDefault="00AA3631" w:rsidP="009E6B0E">
            <w:pPr>
              <w:jc w:val="both"/>
              <w:rPr>
                <w:rFonts w:eastAsia="Calibri"/>
                <w:sz w:val="20"/>
                <w:szCs w:val="20"/>
              </w:rPr>
            </w:pPr>
            <w:r w:rsidRPr="00DF0A0A">
              <w:rPr>
                <w:rFonts w:eastAsia="Calibri"/>
                <w:sz w:val="20"/>
                <w:szCs w:val="20"/>
              </w:rPr>
              <w:t>2010 ONCA 564</w:t>
            </w:r>
          </w:p>
          <w:p w:rsidR="00AA3631" w:rsidRPr="00DF0A0A" w:rsidRDefault="00AA3631" w:rsidP="009E6B0E">
            <w:pPr>
              <w:jc w:val="both"/>
              <w:rPr>
                <w:rFonts w:eastAsia="Calibri"/>
                <w:sz w:val="20"/>
                <w:szCs w:val="20"/>
              </w:rPr>
            </w:pPr>
          </w:p>
        </w:tc>
        <w:tc>
          <w:tcPr>
            <w:tcW w:w="243" w:type="pct"/>
          </w:tcPr>
          <w:p w:rsidR="00AA3631" w:rsidRPr="00DF0A0A" w:rsidRDefault="00AA3631" w:rsidP="009E6B0E">
            <w:pPr>
              <w:jc w:val="both"/>
              <w:rPr>
                <w:rFonts w:eastAsia="Calibri"/>
                <w:sz w:val="20"/>
                <w:szCs w:val="20"/>
              </w:rPr>
            </w:pPr>
          </w:p>
        </w:tc>
        <w:tc>
          <w:tcPr>
            <w:tcW w:w="2330" w:type="pct"/>
          </w:tcPr>
          <w:p w:rsidR="00AA3631" w:rsidRPr="00DF0A0A" w:rsidRDefault="00AA3631" w:rsidP="009E6B0E">
            <w:pPr>
              <w:jc w:val="both"/>
              <w:rPr>
                <w:rFonts w:eastAsia="Calibri"/>
                <w:sz w:val="20"/>
                <w:szCs w:val="20"/>
              </w:rPr>
            </w:pPr>
            <w:r w:rsidRPr="00DF0A0A">
              <w:rPr>
                <w:rFonts w:eastAsia="Calibri"/>
                <w:sz w:val="20"/>
                <w:szCs w:val="20"/>
              </w:rPr>
              <w:t>Appeal dismissed</w:t>
            </w:r>
          </w:p>
          <w:p w:rsidR="00AA3631" w:rsidRPr="00DF0A0A" w:rsidRDefault="00AA3631" w:rsidP="009E6B0E">
            <w:pPr>
              <w:jc w:val="both"/>
              <w:rPr>
                <w:rFonts w:eastAsia="Calibri"/>
                <w:sz w:val="20"/>
                <w:szCs w:val="20"/>
              </w:rPr>
            </w:pPr>
          </w:p>
        </w:tc>
      </w:tr>
      <w:tr w:rsidR="00AA3631" w:rsidRPr="00DF0A0A" w:rsidTr="009E6B0E">
        <w:tc>
          <w:tcPr>
            <w:tcW w:w="2427" w:type="pct"/>
          </w:tcPr>
          <w:p w:rsidR="00AA3631" w:rsidRPr="00DF0A0A" w:rsidRDefault="00AA3631" w:rsidP="009E6B0E">
            <w:pPr>
              <w:jc w:val="both"/>
              <w:rPr>
                <w:rFonts w:eastAsia="Calibri"/>
                <w:sz w:val="20"/>
                <w:szCs w:val="20"/>
              </w:rPr>
            </w:pPr>
            <w:r w:rsidRPr="00DF0A0A">
              <w:rPr>
                <w:rFonts w:eastAsia="Calibri"/>
                <w:sz w:val="20"/>
                <w:szCs w:val="20"/>
              </w:rPr>
              <w:t>November 8, 2010</w:t>
            </w:r>
          </w:p>
          <w:p w:rsidR="00AA3631" w:rsidRPr="00DF0A0A" w:rsidRDefault="00AA3631" w:rsidP="009E6B0E">
            <w:pPr>
              <w:jc w:val="both"/>
              <w:rPr>
                <w:rFonts w:eastAsia="Calibri"/>
                <w:sz w:val="20"/>
                <w:szCs w:val="20"/>
              </w:rPr>
            </w:pPr>
            <w:r w:rsidRPr="00DF0A0A">
              <w:rPr>
                <w:rFonts w:eastAsia="Calibri"/>
                <w:sz w:val="20"/>
                <w:szCs w:val="20"/>
              </w:rPr>
              <w:t>Supreme Court of Canada</w:t>
            </w:r>
          </w:p>
        </w:tc>
        <w:tc>
          <w:tcPr>
            <w:tcW w:w="243" w:type="pct"/>
          </w:tcPr>
          <w:p w:rsidR="00AA3631" w:rsidRPr="00DF0A0A" w:rsidRDefault="00AA3631" w:rsidP="009E6B0E">
            <w:pPr>
              <w:jc w:val="both"/>
              <w:rPr>
                <w:rFonts w:eastAsia="Calibri"/>
                <w:sz w:val="20"/>
                <w:szCs w:val="20"/>
              </w:rPr>
            </w:pPr>
          </w:p>
        </w:tc>
        <w:tc>
          <w:tcPr>
            <w:tcW w:w="2330" w:type="pct"/>
          </w:tcPr>
          <w:p w:rsidR="00AA3631" w:rsidRPr="00DF0A0A" w:rsidRDefault="00AA3631" w:rsidP="009E6B0E">
            <w:pPr>
              <w:jc w:val="both"/>
              <w:rPr>
                <w:rFonts w:eastAsia="Calibri"/>
                <w:sz w:val="20"/>
                <w:szCs w:val="20"/>
              </w:rPr>
            </w:pPr>
            <w:r w:rsidRPr="00DF0A0A">
              <w:rPr>
                <w:rFonts w:eastAsia="Calibri"/>
                <w:sz w:val="20"/>
                <w:szCs w:val="20"/>
              </w:rPr>
              <w:t>Application for leave to appeal and motion for extension of time filed</w:t>
            </w:r>
          </w:p>
        </w:tc>
      </w:tr>
    </w:tbl>
    <w:p w:rsidR="00610966" w:rsidRDefault="00610966" w:rsidP="00610966">
      <w:pPr>
        <w:rPr>
          <w:sz w:val="20"/>
          <w:szCs w:val="20"/>
        </w:rPr>
      </w:pPr>
    </w:p>
    <w:p w:rsidR="00610966" w:rsidRDefault="00C478F8" w:rsidP="00610966">
      <w:pPr>
        <w:rPr>
          <w:sz w:val="20"/>
          <w:szCs w:val="20"/>
        </w:rPr>
      </w:pPr>
      <w:r w:rsidRPr="00C478F8">
        <w:rPr>
          <w:sz w:val="20"/>
          <w:szCs w:val="20"/>
          <w:lang w:val="fr-CA"/>
        </w:rPr>
        <w:pict>
          <v:rect id="_x0000_i1037" style="width:2in;height:1pt" o:hrpct="0" o:hralign="center" o:hrstd="t" o:hrnoshade="t" o:hr="t" fillcolor="black [3213]" stroked="f"/>
        </w:pict>
      </w:r>
    </w:p>
    <w:p w:rsidR="00610966" w:rsidRDefault="00610966" w:rsidP="00610966">
      <w:pPr>
        <w:rPr>
          <w:sz w:val="20"/>
          <w:szCs w:val="20"/>
        </w:rPr>
      </w:pPr>
    </w:p>
    <w:p w:rsidR="00610966" w:rsidRPr="00610966" w:rsidRDefault="00610966" w:rsidP="00610966">
      <w:pPr>
        <w:rPr>
          <w:sz w:val="20"/>
          <w:szCs w:val="20"/>
          <w:u w:val="single"/>
        </w:rPr>
      </w:pPr>
      <w:r w:rsidRPr="00610966">
        <w:rPr>
          <w:sz w:val="20"/>
          <w:szCs w:val="20"/>
          <w:u w:val="single"/>
        </w:rPr>
        <w:t>RÉSUMÉ DE L’AFFAIRE</w:t>
      </w:r>
    </w:p>
    <w:p w:rsidR="00610966" w:rsidRDefault="00610966" w:rsidP="00610966">
      <w:pPr>
        <w:rPr>
          <w:b/>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A3631" w:rsidRPr="00406D3C" w:rsidTr="009E6B0E">
        <w:tc>
          <w:tcPr>
            <w:tcW w:w="5000" w:type="pct"/>
            <w:gridSpan w:val="3"/>
          </w:tcPr>
          <w:p w:rsidR="00F74132" w:rsidRPr="00F74132" w:rsidRDefault="00F74132" w:rsidP="009E6B0E">
            <w:pPr>
              <w:jc w:val="both"/>
              <w:rPr>
                <w:rFonts w:eastAsia="Calibri"/>
                <w:smallCaps/>
                <w:sz w:val="20"/>
                <w:szCs w:val="20"/>
                <w:lang w:val="fr-CA"/>
              </w:rPr>
            </w:pPr>
            <w:r w:rsidRPr="00F74132">
              <w:rPr>
                <w:rFonts w:eastAsia="Calibri"/>
                <w:smallCaps/>
                <w:sz w:val="20"/>
                <w:szCs w:val="20"/>
                <w:lang w:val="fr-CA"/>
              </w:rPr>
              <w:t>(Ordonnance de mise sous-scellés)</w:t>
            </w:r>
          </w:p>
          <w:p w:rsidR="00F74132" w:rsidRPr="00DF0A0A" w:rsidRDefault="00F74132" w:rsidP="009E6B0E">
            <w:pPr>
              <w:jc w:val="both"/>
              <w:rPr>
                <w:rFonts w:eastAsia="Calibri"/>
                <w:sz w:val="20"/>
                <w:szCs w:val="20"/>
                <w:lang w:val="fr-FR"/>
              </w:rPr>
            </w:pPr>
          </w:p>
          <w:p w:rsidR="00AA3631" w:rsidRPr="00DF0A0A" w:rsidRDefault="00AA3631" w:rsidP="009E6B0E">
            <w:pPr>
              <w:jc w:val="both"/>
              <w:rPr>
                <w:rFonts w:eastAsia="Calibri"/>
                <w:sz w:val="20"/>
                <w:szCs w:val="20"/>
                <w:lang w:val="fr-FR"/>
              </w:rPr>
            </w:pPr>
            <w:r w:rsidRPr="00DF0A0A">
              <w:rPr>
                <w:rFonts w:eastAsia="Calibri"/>
                <w:i/>
                <w:sz w:val="20"/>
                <w:szCs w:val="20"/>
                <w:lang w:val="fr-FR"/>
              </w:rPr>
              <w:t>Charte des droits</w:t>
            </w:r>
            <w:r w:rsidRPr="00DF0A0A">
              <w:rPr>
                <w:rFonts w:eastAsia="Calibri"/>
                <w:sz w:val="20"/>
                <w:szCs w:val="20"/>
                <w:lang w:val="fr-FR"/>
              </w:rPr>
              <w:t xml:space="preserve"> – Droit à l’égalité et à la sécurité de la personne – Appel formé par le demandeur contre la décision qu’il était incapable de consentir à un traitement – Le traitement psychiatrique administré au demandeur enfreignait-il les dispositions de la </w:t>
            </w:r>
            <w:r w:rsidRPr="00DF0A0A">
              <w:rPr>
                <w:rFonts w:eastAsia="Calibri"/>
                <w:i/>
                <w:sz w:val="20"/>
                <w:szCs w:val="20"/>
                <w:lang w:val="fr-FR"/>
              </w:rPr>
              <w:t>Charte</w:t>
            </w:r>
            <w:r w:rsidRPr="00DF0A0A">
              <w:rPr>
                <w:rFonts w:eastAsia="Calibri"/>
                <w:sz w:val="20"/>
                <w:szCs w:val="20"/>
                <w:lang w:val="fr-FR"/>
              </w:rPr>
              <w:t xml:space="preserve"> relatives à l’égalité et à la sécurité de la personne ainsi que celles visant les traitements cruels et inusités?</w:t>
            </w:r>
          </w:p>
          <w:p w:rsidR="00AA3631" w:rsidRPr="00DF0A0A" w:rsidRDefault="00AA3631" w:rsidP="009E6B0E">
            <w:pPr>
              <w:jc w:val="both"/>
              <w:rPr>
                <w:rFonts w:eastAsia="Calibri"/>
                <w:sz w:val="20"/>
                <w:szCs w:val="20"/>
                <w:lang w:val="fr-FR"/>
              </w:rPr>
            </w:pPr>
          </w:p>
        </w:tc>
      </w:tr>
      <w:tr w:rsidR="00AA3631" w:rsidRPr="00406D3C" w:rsidTr="009E6B0E">
        <w:tc>
          <w:tcPr>
            <w:tcW w:w="5000" w:type="pct"/>
            <w:gridSpan w:val="3"/>
          </w:tcPr>
          <w:p w:rsidR="00AA3631" w:rsidRPr="00DF0A0A" w:rsidRDefault="00AA3631" w:rsidP="009E6B0E">
            <w:pPr>
              <w:jc w:val="both"/>
              <w:rPr>
                <w:rFonts w:eastAsia="Calibri"/>
                <w:sz w:val="20"/>
                <w:szCs w:val="20"/>
                <w:lang w:val="fr-FR"/>
              </w:rPr>
            </w:pPr>
            <w:r w:rsidRPr="00DF0A0A">
              <w:rPr>
                <w:rFonts w:eastAsia="Calibri"/>
                <w:sz w:val="20"/>
                <w:szCs w:val="20"/>
                <w:lang w:val="fr-FR"/>
              </w:rPr>
              <w:t xml:space="preserve">On a diagnostiqué chez M. D’Almeida une maladie mentale, et il a été jugé incapable de consentir à un traitement comprenant l’administration de médicaments antipsychotiques.  Il a reçu à l’hôpital un traitement et des médicaments pour ses symptômes.  Il a demandé à la Commission du consentement et de la capacité en 2006 de réviser la constatation d’incapacité parce qu’il ne voulait pas prendre les médicaments en raison de leurs effets secondaires.  La </w:t>
            </w:r>
            <w:r w:rsidRPr="00DF0A0A">
              <w:rPr>
                <w:rFonts w:eastAsia="Calibri"/>
                <w:sz w:val="20"/>
                <w:szCs w:val="20"/>
                <w:lang w:val="fr-FR"/>
              </w:rPr>
              <w:lastRenderedPageBreak/>
              <w:t xml:space="preserve">Commission du consentement et de la capacité a rejeté sa requête. </w:t>
            </w:r>
          </w:p>
          <w:p w:rsidR="00AA3631" w:rsidRPr="00DF0A0A" w:rsidRDefault="00AA3631" w:rsidP="009E6B0E">
            <w:pPr>
              <w:jc w:val="both"/>
              <w:rPr>
                <w:rFonts w:eastAsia="Calibri"/>
                <w:sz w:val="20"/>
                <w:szCs w:val="20"/>
                <w:lang w:val="fr-FR"/>
              </w:rPr>
            </w:pPr>
          </w:p>
        </w:tc>
      </w:tr>
      <w:tr w:rsidR="00AA3631" w:rsidRPr="00406D3C" w:rsidTr="009E6B0E">
        <w:tc>
          <w:tcPr>
            <w:tcW w:w="2427" w:type="pct"/>
          </w:tcPr>
          <w:p w:rsidR="00AA3631" w:rsidRPr="00DF0A0A" w:rsidRDefault="00AA3631" w:rsidP="009E6B0E">
            <w:pPr>
              <w:jc w:val="both"/>
              <w:rPr>
                <w:rFonts w:eastAsia="Calibri"/>
                <w:sz w:val="20"/>
                <w:szCs w:val="20"/>
                <w:lang w:val="fr-FR"/>
              </w:rPr>
            </w:pPr>
            <w:r w:rsidRPr="00DF0A0A">
              <w:rPr>
                <w:rFonts w:eastAsia="Calibri"/>
                <w:sz w:val="20"/>
                <w:szCs w:val="20"/>
                <w:lang w:val="fr-FR"/>
              </w:rPr>
              <w:lastRenderedPageBreak/>
              <w:t>25 juillet 2008</w:t>
            </w:r>
          </w:p>
          <w:p w:rsidR="00AA3631" w:rsidRPr="00DF0A0A" w:rsidRDefault="00AA3631" w:rsidP="009E6B0E">
            <w:pPr>
              <w:jc w:val="both"/>
              <w:rPr>
                <w:rFonts w:eastAsia="Calibri"/>
                <w:sz w:val="20"/>
                <w:szCs w:val="20"/>
                <w:lang w:val="fr-FR"/>
              </w:rPr>
            </w:pPr>
            <w:r w:rsidRPr="00DF0A0A">
              <w:rPr>
                <w:rFonts w:eastAsia="Calibri"/>
                <w:sz w:val="20"/>
                <w:szCs w:val="20"/>
                <w:lang w:val="fr-FR"/>
              </w:rPr>
              <w:t>Cour supérieure de justice de l’Ontario</w:t>
            </w:r>
          </w:p>
          <w:p w:rsidR="00AA3631" w:rsidRPr="00DF0A0A" w:rsidRDefault="00AA3631" w:rsidP="009E6B0E">
            <w:pPr>
              <w:jc w:val="both"/>
              <w:rPr>
                <w:rFonts w:eastAsia="Calibri"/>
                <w:sz w:val="20"/>
                <w:szCs w:val="20"/>
              </w:rPr>
            </w:pPr>
            <w:r w:rsidRPr="00DF0A0A">
              <w:rPr>
                <w:rFonts w:eastAsia="Calibri"/>
                <w:sz w:val="20"/>
                <w:szCs w:val="20"/>
              </w:rPr>
              <w:t>(</w:t>
            </w:r>
            <w:proofErr w:type="spellStart"/>
            <w:r w:rsidRPr="00DF0A0A">
              <w:rPr>
                <w:rFonts w:eastAsia="Calibri"/>
                <w:sz w:val="20"/>
                <w:szCs w:val="20"/>
              </w:rPr>
              <w:t>Juge</w:t>
            </w:r>
            <w:proofErr w:type="spellEnd"/>
            <w:r w:rsidRPr="00DF0A0A">
              <w:rPr>
                <w:rFonts w:eastAsia="Calibri"/>
                <w:sz w:val="20"/>
                <w:szCs w:val="20"/>
              </w:rPr>
              <w:t xml:space="preserve"> </w:t>
            </w:r>
            <w:proofErr w:type="spellStart"/>
            <w:r w:rsidRPr="00DF0A0A">
              <w:rPr>
                <w:rFonts w:eastAsia="Calibri"/>
                <w:sz w:val="20"/>
                <w:szCs w:val="20"/>
              </w:rPr>
              <w:t>Mesbur</w:t>
            </w:r>
            <w:proofErr w:type="spellEnd"/>
            <w:r w:rsidRPr="00DF0A0A">
              <w:rPr>
                <w:rFonts w:eastAsia="Calibri"/>
                <w:sz w:val="20"/>
                <w:szCs w:val="20"/>
              </w:rPr>
              <w:t>)</w:t>
            </w:r>
          </w:p>
          <w:p w:rsidR="00AA3631" w:rsidRPr="00DF0A0A" w:rsidRDefault="00AA3631" w:rsidP="009E6B0E">
            <w:pPr>
              <w:jc w:val="both"/>
              <w:rPr>
                <w:rFonts w:eastAsia="Calibri"/>
                <w:sz w:val="20"/>
                <w:szCs w:val="20"/>
              </w:rPr>
            </w:pPr>
            <w:r w:rsidRPr="00DF0A0A">
              <w:rPr>
                <w:rFonts w:eastAsia="Calibri"/>
                <w:sz w:val="20"/>
                <w:szCs w:val="20"/>
              </w:rPr>
              <w:t xml:space="preserve">2008 </w:t>
            </w:r>
            <w:proofErr w:type="spellStart"/>
            <w:r w:rsidRPr="00DF0A0A">
              <w:rPr>
                <w:rFonts w:eastAsia="Calibri"/>
                <w:sz w:val="20"/>
                <w:szCs w:val="20"/>
              </w:rPr>
              <w:t>CanLII</w:t>
            </w:r>
            <w:proofErr w:type="spellEnd"/>
            <w:r w:rsidRPr="00DF0A0A">
              <w:rPr>
                <w:rFonts w:eastAsia="Calibri"/>
                <w:sz w:val="20"/>
                <w:szCs w:val="20"/>
              </w:rPr>
              <w:t xml:space="preserve"> 37208</w:t>
            </w:r>
          </w:p>
          <w:p w:rsidR="00AA3631" w:rsidRPr="00DF0A0A" w:rsidRDefault="00AA3631" w:rsidP="009E6B0E">
            <w:pPr>
              <w:jc w:val="both"/>
              <w:rPr>
                <w:rFonts w:eastAsia="Calibri"/>
                <w:sz w:val="20"/>
                <w:szCs w:val="20"/>
              </w:rPr>
            </w:pPr>
          </w:p>
        </w:tc>
        <w:tc>
          <w:tcPr>
            <w:tcW w:w="243" w:type="pct"/>
          </w:tcPr>
          <w:p w:rsidR="00AA3631" w:rsidRPr="00DF0A0A" w:rsidRDefault="00AA3631" w:rsidP="009E6B0E">
            <w:pPr>
              <w:jc w:val="both"/>
              <w:rPr>
                <w:rFonts w:eastAsia="Calibri"/>
                <w:sz w:val="20"/>
                <w:szCs w:val="20"/>
              </w:rPr>
            </w:pPr>
          </w:p>
        </w:tc>
        <w:tc>
          <w:tcPr>
            <w:tcW w:w="2330" w:type="pct"/>
          </w:tcPr>
          <w:p w:rsidR="00AA3631" w:rsidRPr="00DF0A0A" w:rsidRDefault="00AA3631" w:rsidP="009E6B0E">
            <w:pPr>
              <w:jc w:val="both"/>
              <w:rPr>
                <w:rFonts w:eastAsia="Calibri"/>
                <w:sz w:val="20"/>
                <w:szCs w:val="20"/>
                <w:lang w:val="fr-FR"/>
              </w:rPr>
            </w:pPr>
            <w:r w:rsidRPr="00DF0A0A">
              <w:rPr>
                <w:rFonts w:eastAsia="Calibri"/>
                <w:sz w:val="20"/>
                <w:szCs w:val="20"/>
                <w:lang w:val="fr-FR"/>
              </w:rPr>
              <w:t>Appel formé par le demandeur contre la décision de la Commission du consentement et de la capacité qu’il est incapable de prendre des décisions en matière de traitement, rejeté</w:t>
            </w:r>
          </w:p>
          <w:p w:rsidR="00AA3631" w:rsidRPr="00DF0A0A" w:rsidRDefault="00AA3631" w:rsidP="009E6B0E">
            <w:pPr>
              <w:jc w:val="both"/>
              <w:rPr>
                <w:rFonts w:eastAsia="Calibri"/>
                <w:sz w:val="20"/>
                <w:szCs w:val="20"/>
                <w:lang w:val="fr-FR"/>
              </w:rPr>
            </w:pPr>
          </w:p>
        </w:tc>
      </w:tr>
      <w:tr w:rsidR="00AA3631" w:rsidRPr="00DF0A0A" w:rsidTr="009E6B0E">
        <w:tc>
          <w:tcPr>
            <w:tcW w:w="2427" w:type="pct"/>
          </w:tcPr>
          <w:p w:rsidR="00AA3631" w:rsidRPr="00DF0A0A" w:rsidRDefault="00AA3631" w:rsidP="009E6B0E">
            <w:pPr>
              <w:jc w:val="both"/>
              <w:rPr>
                <w:rFonts w:eastAsia="Calibri"/>
                <w:sz w:val="20"/>
                <w:szCs w:val="20"/>
                <w:lang w:val="fr-FR"/>
              </w:rPr>
            </w:pPr>
            <w:r w:rsidRPr="00DF0A0A">
              <w:rPr>
                <w:rFonts w:eastAsia="Calibri"/>
                <w:sz w:val="20"/>
                <w:szCs w:val="20"/>
                <w:lang w:val="fr-FR"/>
              </w:rPr>
              <w:t>31 août 2010</w:t>
            </w:r>
          </w:p>
          <w:p w:rsidR="00AA3631" w:rsidRPr="00DF0A0A" w:rsidRDefault="00AA3631" w:rsidP="009E6B0E">
            <w:pPr>
              <w:jc w:val="both"/>
              <w:rPr>
                <w:rFonts w:eastAsia="Calibri"/>
                <w:sz w:val="20"/>
                <w:szCs w:val="20"/>
                <w:lang w:val="fr-FR"/>
              </w:rPr>
            </w:pPr>
            <w:r w:rsidRPr="00DF0A0A">
              <w:rPr>
                <w:rFonts w:eastAsia="Calibri"/>
                <w:sz w:val="20"/>
                <w:szCs w:val="20"/>
                <w:lang w:val="fr-FR"/>
              </w:rPr>
              <w:t>Cour d’appel de l’Ontario</w:t>
            </w:r>
          </w:p>
          <w:p w:rsidR="00AA3631" w:rsidRPr="00DF0A0A" w:rsidRDefault="00AA3631" w:rsidP="009E6B0E">
            <w:pPr>
              <w:jc w:val="both"/>
              <w:rPr>
                <w:rFonts w:eastAsia="Calibri"/>
                <w:sz w:val="20"/>
                <w:szCs w:val="20"/>
                <w:lang w:val="fr-FR"/>
              </w:rPr>
            </w:pPr>
            <w:r w:rsidRPr="00DF0A0A">
              <w:rPr>
                <w:rFonts w:eastAsia="Calibri"/>
                <w:sz w:val="20"/>
                <w:szCs w:val="20"/>
                <w:lang w:val="fr-FR"/>
              </w:rPr>
              <w:t xml:space="preserve">(Juges Rosenberg, </w:t>
            </w:r>
            <w:proofErr w:type="spellStart"/>
            <w:r w:rsidRPr="00DF0A0A">
              <w:rPr>
                <w:rFonts w:eastAsia="Calibri"/>
                <w:sz w:val="20"/>
                <w:szCs w:val="20"/>
                <w:lang w:val="fr-FR"/>
              </w:rPr>
              <w:t>Goudge</w:t>
            </w:r>
            <w:proofErr w:type="spellEnd"/>
            <w:r w:rsidRPr="00DF0A0A">
              <w:rPr>
                <w:rFonts w:eastAsia="Calibri"/>
                <w:sz w:val="20"/>
                <w:szCs w:val="20"/>
                <w:lang w:val="fr-FR"/>
              </w:rPr>
              <w:t xml:space="preserve"> et </w:t>
            </w:r>
            <w:proofErr w:type="spellStart"/>
            <w:r w:rsidRPr="00DF0A0A">
              <w:rPr>
                <w:rFonts w:eastAsia="Calibri"/>
                <w:sz w:val="20"/>
                <w:szCs w:val="20"/>
                <w:lang w:val="fr-FR"/>
              </w:rPr>
              <w:t>Feldman</w:t>
            </w:r>
            <w:proofErr w:type="spellEnd"/>
            <w:r w:rsidRPr="00DF0A0A">
              <w:rPr>
                <w:rFonts w:eastAsia="Calibri"/>
                <w:sz w:val="20"/>
                <w:szCs w:val="20"/>
                <w:lang w:val="fr-FR"/>
              </w:rPr>
              <w:t>)</w:t>
            </w:r>
          </w:p>
          <w:p w:rsidR="00AA3631" w:rsidRPr="00DF0A0A" w:rsidRDefault="00AA3631" w:rsidP="009E6B0E">
            <w:pPr>
              <w:jc w:val="both"/>
              <w:rPr>
                <w:rFonts w:eastAsia="Calibri"/>
                <w:sz w:val="20"/>
                <w:szCs w:val="20"/>
              </w:rPr>
            </w:pPr>
            <w:r w:rsidRPr="00DF0A0A">
              <w:rPr>
                <w:rFonts w:eastAsia="Calibri"/>
                <w:sz w:val="20"/>
                <w:szCs w:val="20"/>
              </w:rPr>
              <w:t>2010 ONCA 564</w:t>
            </w:r>
          </w:p>
          <w:p w:rsidR="00AA3631" w:rsidRPr="00DF0A0A" w:rsidRDefault="00AA3631" w:rsidP="009E6B0E">
            <w:pPr>
              <w:jc w:val="both"/>
              <w:rPr>
                <w:rFonts w:eastAsia="Calibri"/>
                <w:sz w:val="20"/>
                <w:szCs w:val="20"/>
              </w:rPr>
            </w:pPr>
          </w:p>
        </w:tc>
        <w:tc>
          <w:tcPr>
            <w:tcW w:w="243" w:type="pct"/>
          </w:tcPr>
          <w:p w:rsidR="00AA3631" w:rsidRPr="00DF0A0A" w:rsidRDefault="00AA3631" w:rsidP="009E6B0E">
            <w:pPr>
              <w:jc w:val="both"/>
              <w:rPr>
                <w:rFonts w:eastAsia="Calibri"/>
                <w:sz w:val="20"/>
                <w:szCs w:val="20"/>
              </w:rPr>
            </w:pPr>
          </w:p>
        </w:tc>
        <w:tc>
          <w:tcPr>
            <w:tcW w:w="2330" w:type="pct"/>
          </w:tcPr>
          <w:p w:rsidR="00AA3631" w:rsidRPr="004C5B42" w:rsidRDefault="00AA3631" w:rsidP="009E6B0E">
            <w:pPr>
              <w:jc w:val="both"/>
              <w:rPr>
                <w:rFonts w:eastAsia="Calibri"/>
                <w:sz w:val="20"/>
                <w:szCs w:val="20"/>
                <w:lang w:val="fr-CA"/>
              </w:rPr>
            </w:pPr>
            <w:r w:rsidRPr="004C5B42">
              <w:rPr>
                <w:rFonts w:eastAsia="Calibri"/>
                <w:sz w:val="20"/>
                <w:szCs w:val="20"/>
                <w:lang w:val="fr-CA"/>
              </w:rPr>
              <w:t>Appel rejeté</w:t>
            </w:r>
          </w:p>
          <w:p w:rsidR="00AA3631" w:rsidRPr="00DF0A0A" w:rsidRDefault="00AA3631" w:rsidP="009E6B0E">
            <w:pPr>
              <w:jc w:val="both"/>
              <w:rPr>
                <w:rFonts w:eastAsia="Calibri"/>
                <w:sz w:val="20"/>
                <w:szCs w:val="20"/>
              </w:rPr>
            </w:pPr>
          </w:p>
        </w:tc>
      </w:tr>
      <w:tr w:rsidR="00AA3631" w:rsidRPr="00406D3C" w:rsidTr="009E6B0E">
        <w:tc>
          <w:tcPr>
            <w:tcW w:w="2427" w:type="pct"/>
          </w:tcPr>
          <w:p w:rsidR="00AA3631" w:rsidRPr="00AA3631" w:rsidRDefault="00AA3631" w:rsidP="009E6B0E">
            <w:pPr>
              <w:jc w:val="both"/>
              <w:rPr>
                <w:rFonts w:eastAsia="Calibri"/>
                <w:sz w:val="20"/>
                <w:szCs w:val="20"/>
                <w:lang w:val="fr-CA"/>
              </w:rPr>
            </w:pPr>
            <w:r w:rsidRPr="00AA3631">
              <w:rPr>
                <w:rFonts w:eastAsia="Calibri"/>
                <w:sz w:val="20"/>
                <w:szCs w:val="20"/>
                <w:lang w:val="fr-CA"/>
              </w:rPr>
              <w:t>8 novembre 2010</w:t>
            </w:r>
          </w:p>
          <w:p w:rsidR="00AA3631" w:rsidRPr="00AA3631" w:rsidRDefault="00AA3631" w:rsidP="009E6B0E">
            <w:pPr>
              <w:jc w:val="both"/>
              <w:rPr>
                <w:rFonts w:eastAsia="Calibri"/>
                <w:sz w:val="20"/>
                <w:szCs w:val="20"/>
                <w:lang w:val="fr-CA"/>
              </w:rPr>
            </w:pPr>
            <w:r w:rsidRPr="00AA3631">
              <w:rPr>
                <w:rFonts w:eastAsia="Calibri"/>
                <w:sz w:val="20"/>
                <w:szCs w:val="20"/>
                <w:lang w:val="fr-CA"/>
              </w:rPr>
              <w:t>Cour suprême du Canada</w:t>
            </w:r>
          </w:p>
        </w:tc>
        <w:tc>
          <w:tcPr>
            <w:tcW w:w="243" w:type="pct"/>
          </w:tcPr>
          <w:p w:rsidR="00AA3631" w:rsidRPr="00AA3631" w:rsidRDefault="00AA3631" w:rsidP="009E6B0E">
            <w:pPr>
              <w:jc w:val="both"/>
              <w:rPr>
                <w:rFonts w:eastAsia="Calibri"/>
                <w:sz w:val="20"/>
                <w:szCs w:val="20"/>
                <w:lang w:val="fr-CA"/>
              </w:rPr>
            </w:pPr>
          </w:p>
        </w:tc>
        <w:tc>
          <w:tcPr>
            <w:tcW w:w="2330" w:type="pct"/>
          </w:tcPr>
          <w:p w:rsidR="00AA3631" w:rsidRPr="00DF0A0A" w:rsidRDefault="00AA3631" w:rsidP="009E6B0E">
            <w:pPr>
              <w:jc w:val="both"/>
              <w:rPr>
                <w:rFonts w:eastAsia="Calibri"/>
                <w:sz w:val="20"/>
                <w:szCs w:val="20"/>
                <w:lang w:val="fr-FR"/>
              </w:rPr>
            </w:pPr>
            <w:r w:rsidRPr="00DF0A0A">
              <w:rPr>
                <w:rFonts w:eastAsia="Calibri"/>
                <w:sz w:val="20"/>
                <w:szCs w:val="20"/>
                <w:lang w:val="fr-FR"/>
              </w:rPr>
              <w:t xml:space="preserve">Demande d’autorisation d’appel et requête en prorogation de </w:t>
            </w:r>
            <w:proofErr w:type="gramStart"/>
            <w:r w:rsidRPr="00DF0A0A">
              <w:rPr>
                <w:rFonts w:eastAsia="Calibri"/>
                <w:sz w:val="20"/>
                <w:szCs w:val="20"/>
                <w:lang w:val="fr-FR"/>
              </w:rPr>
              <w:t>délai déposées</w:t>
            </w:r>
            <w:proofErr w:type="gramEnd"/>
            <w:r w:rsidRPr="00DF0A0A">
              <w:rPr>
                <w:rFonts w:eastAsia="Calibri"/>
                <w:sz w:val="20"/>
                <w:szCs w:val="20"/>
                <w:lang w:val="fr-FR"/>
              </w:rPr>
              <w:t xml:space="preserve"> </w:t>
            </w:r>
          </w:p>
        </w:tc>
      </w:tr>
    </w:tbl>
    <w:p w:rsidR="00610966" w:rsidRPr="00AA3631" w:rsidRDefault="00610966" w:rsidP="00610966">
      <w:pPr>
        <w:rPr>
          <w:b/>
          <w:sz w:val="20"/>
          <w:szCs w:val="20"/>
          <w:lang w:val="fr-CA"/>
        </w:rPr>
      </w:pPr>
    </w:p>
    <w:p w:rsidR="00610966" w:rsidRDefault="00C478F8" w:rsidP="00610966">
      <w:pPr>
        <w:rPr>
          <w:b/>
          <w:sz w:val="20"/>
          <w:szCs w:val="20"/>
        </w:rPr>
      </w:pPr>
      <w:r w:rsidRPr="00C478F8">
        <w:rPr>
          <w:sz w:val="20"/>
          <w:szCs w:val="20"/>
          <w:lang w:val="fr-CA"/>
        </w:rPr>
        <w:pict>
          <v:rect id="_x0000_i1038" style="width:2in;height:1pt" o:hrpct="0" o:hralign="center" o:hrstd="t" o:hrnoshade="t" o:hr="t" fillcolor="black [3213]" stroked="f"/>
        </w:pict>
      </w:r>
    </w:p>
    <w:p w:rsidR="009E6B0E" w:rsidRDefault="009E6B0E" w:rsidP="00610966">
      <w:pPr>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A3C7A" w:rsidRPr="001A3C7A" w:rsidTr="0027596E">
        <w:trPr>
          <w:cantSplit/>
        </w:trPr>
        <w:tc>
          <w:tcPr>
            <w:tcW w:w="1458" w:type="dxa"/>
          </w:tcPr>
          <w:p w:rsidR="001A3C7A" w:rsidRPr="001A3C7A" w:rsidRDefault="001A3C7A" w:rsidP="0027596E">
            <w:pPr>
              <w:rPr>
                <w:sz w:val="20"/>
                <w:szCs w:val="20"/>
              </w:rPr>
            </w:pPr>
            <w:r w:rsidRPr="001A3C7A">
              <w:rPr>
                <w:rStyle w:val="SCCFileNumberChar"/>
                <w:sz w:val="20"/>
                <w:szCs w:val="20"/>
              </w:rPr>
              <w:t>33950</w:t>
            </w:r>
          </w:p>
          <w:p w:rsidR="001A3C7A" w:rsidRPr="001A3C7A" w:rsidRDefault="001A3C7A" w:rsidP="0027596E">
            <w:pPr>
              <w:rPr>
                <w:b/>
                <w:sz w:val="20"/>
                <w:szCs w:val="20"/>
                <w:lang w:val="fr-CA"/>
              </w:rPr>
            </w:pPr>
          </w:p>
        </w:tc>
        <w:tc>
          <w:tcPr>
            <w:tcW w:w="8118" w:type="dxa"/>
          </w:tcPr>
          <w:p w:rsidR="001A3C7A" w:rsidRPr="001A3C7A" w:rsidRDefault="001A3C7A" w:rsidP="0027596E">
            <w:pPr>
              <w:rPr>
                <w:sz w:val="20"/>
                <w:szCs w:val="20"/>
              </w:rPr>
            </w:pPr>
            <w:r w:rsidRPr="001A3C7A">
              <w:rPr>
                <w:rStyle w:val="SCCLsocChar"/>
                <w:sz w:val="20"/>
                <w:szCs w:val="20"/>
                <w:lang w:val="en-CA"/>
              </w:rPr>
              <w:t>Andrew James Smith v. Michael Hayden</w:t>
            </w:r>
            <w:r w:rsidRPr="001A3C7A">
              <w:rPr>
                <w:sz w:val="20"/>
                <w:szCs w:val="20"/>
              </w:rPr>
              <w:t xml:space="preserve"> (Ont.) (Civil) (By Leave)</w:t>
            </w:r>
          </w:p>
          <w:p w:rsidR="001A3C7A" w:rsidRPr="001A3C7A" w:rsidRDefault="001A3C7A" w:rsidP="0027596E">
            <w:pPr>
              <w:rPr>
                <w:sz w:val="20"/>
                <w:szCs w:val="20"/>
              </w:rPr>
            </w:pPr>
          </w:p>
        </w:tc>
      </w:tr>
      <w:tr w:rsidR="001A3C7A" w:rsidRPr="001A3C7A" w:rsidTr="0027596E">
        <w:trPr>
          <w:cantSplit/>
        </w:trPr>
        <w:tc>
          <w:tcPr>
            <w:tcW w:w="1458" w:type="dxa"/>
          </w:tcPr>
          <w:p w:rsidR="001A3C7A" w:rsidRPr="001A3C7A" w:rsidRDefault="001A3C7A" w:rsidP="0027596E">
            <w:pPr>
              <w:rPr>
                <w:sz w:val="20"/>
                <w:szCs w:val="20"/>
              </w:rPr>
            </w:pPr>
            <w:r w:rsidRPr="001A3C7A">
              <w:rPr>
                <w:sz w:val="20"/>
                <w:szCs w:val="20"/>
              </w:rPr>
              <w:t>Coram :</w:t>
            </w:r>
          </w:p>
        </w:tc>
        <w:tc>
          <w:tcPr>
            <w:tcW w:w="8118" w:type="dxa"/>
          </w:tcPr>
          <w:p w:rsidR="001A3C7A" w:rsidRPr="001A3C7A" w:rsidRDefault="001A3C7A" w:rsidP="0027596E">
            <w:pPr>
              <w:rPr>
                <w:sz w:val="20"/>
                <w:szCs w:val="20"/>
              </w:rPr>
            </w:pPr>
            <w:proofErr w:type="spellStart"/>
            <w:r w:rsidRPr="001A3C7A">
              <w:rPr>
                <w:rStyle w:val="SCCCoramChar"/>
                <w:sz w:val="20"/>
                <w:szCs w:val="20"/>
                <w:lang w:val="en-CA"/>
              </w:rPr>
              <w:t>Binnie</w:t>
            </w:r>
            <w:proofErr w:type="spellEnd"/>
            <w:r w:rsidRPr="001A3C7A">
              <w:rPr>
                <w:rStyle w:val="SCCCoramChar"/>
                <w:sz w:val="20"/>
                <w:szCs w:val="20"/>
                <w:lang w:val="en-CA"/>
              </w:rPr>
              <w:t>, Fish and Rothstein JJ.</w:t>
            </w:r>
          </w:p>
          <w:p w:rsidR="001A3C7A" w:rsidRPr="001A3C7A" w:rsidRDefault="001A3C7A" w:rsidP="0027596E">
            <w:pPr>
              <w:rPr>
                <w:sz w:val="20"/>
                <w:szCs w:val="20"/>
                <w:u w:val="single"/>
              </w:rPr>
            </w:pPr>
          </w:p>
        </w:tc>
      </w:tr>
      <w:tr w:rsidR="001A3C7A" w:rsidRPr="00406D3C" w:rsidTr="0027596E">
        <w:trPr>
          <w:cantSplit/>
        </w:trPr>
        <w:tc>
          <w:tcPr>
            <w:tcW w:w="9576" w:type="dxa"/>
            <w:gridSpan w:val="2"/>
          </w:tcPr>
          <w:p w:rsidR="001A3C7A" w:rsidRPr="001A3C7A" w:rsidRDefault="001A3C7A" w:rsidP="0027596E">
            <w:pPr>
              <w:pStyle w:val="SCCShortJudgment"/>
              <w:rPr>
                <w:szCs w:val="20"/>
              </w:rPr>
            </w:pPr>
            <w:r w:rsidRPr="001A3C7A">
              <w:rPr>
                <w:szCs w:val="20"/>
              </w:rPr>
              <w:t>The motion for an extension of time to serve and file the application for leave to appeal is granted.  The application for leave to appeal from the judgment of the Court of Appeal for Ontario, Number C49770, 2010 ONCA 271, dated April 14, 2010, is dismissed with costs.</w:t>
            </w:r>
          </w:p>
          <w:p w:rsidR="001A3C7A" w:rsidRPr="001A3C7A" w:rsidRDefault="001A3C7A" w:rsidP="0027596E">
            <w:pPr>
              <w:pStyle w:val="SCCShortJudgment"/>
              <w:ind w:firstLine="0"/>
              <w:rPr>
                <w:szCs w:val="20"/>
              </w:rPr>
            </w:pPr>
          </w:p>
          <w:p w:rsidR="001A3C7A" w:rsidRPr="001A3C7A" w:rsidRDefault="001A3C7A" w:rsidP="0027596E">
            <w:pPr>
              <w:pStyle w:val="SCCShortJudgment"/>
              <w:rPr>
                <w:szCs w:val="20"/>
                <w:lang w:val="fr-CA"/>
              </w:rPr>
            </w:pPr>
            <w:r w:rsidRPr="001A3C7A">
              <w:rPr>
                <w:szCs w:val="20"/>
                <w:lang w:val="fr-CA"/>
              </w:rPr>
              <w:t>La requête en prorogation du délai de signification et de dépôt de la demande d’autorisation d’appel est accordée.  La demande d’autorisation d’appel de l’arrêt de la Cour d’appel de l’Ontario, numéro C49770, 2010 ONCA 271, daté du 14 avril 2010, est rejetée avec dépens.</w:t>
            </w:r>
          </w:p>
          <w:p w:rsidR="001A3C7A" w:rsidRPr="001A3C7A" w:rsidRDefault="001A3C7A" w:rsidP="0027596E">
            <w:pPr>
              <w:rPr>
                <w:sz w:val="20"/>
                <w:szCs w:val="20"/>
                <w:lang w:val="fr-CA"/>
              </w:rPr>
            </w:pPr>
          </w:p>
        </w:tc>
      </w:tr>
    </w:tbl>
    <w:p w:rsidR="00610966" w:rsidRDefault="00610966" w:rsidP="00610966">
      <w:pPr>
        <w:rPr>
          <w:sz w:val="20"/>
          <w:szCs w:val="20"/>
        </w:rPr>
      </w:pPr>
      <w:r>
        <w:rPr>
          <w:sz w:val="20"/>
          <w:szCs w:val="20"/>
          <w:u w:val="single"/>
        </w:rPr>
        <w:t>CASE SUMMARY</w:t>
      </w:r>
    </w:p>
    <w:p w:rsidR="00610966" w:rsidRDefault="00610966" w:rsidP="0061096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E6B0E" w:rsidRPr="00DF0A0A" w:rsidTr="009E6B0E">
        <w:tc>
          <w:tcPr>
            <w:tcW w:w="5000" w:type="pct"/>
            <w:gridSpan w:val="3"/>
          </w:tcPr>
          <w:p w:rsidR="009E6B0E" w:rsidRPr="00DF0A0A" w:rsidRDefault="009E6B0E" w:rsidP="009E6B0E">
            <w:pPr>
              <w:jc w:val="both"/>
              <w:rPr>
                <w:rFonts w:eastAsia="Calibri"/>
                <w:sz w:val="20"/>
                <w:szCs w:val="20"/>
              </w:rPr>
            </w:pPr>
            <w:r w:rsidRPr="00DF0A0A">
              <w:rPr>
                <w:rFonts w:eastAsia="Calibri"/>
                <w:i/>
                <w:sz w:val="20"/>
                <w:szCs w:val="20"/>
              </w:rPr>
              <w:t>Charter of Rights</w:t>
            </w:r>
            <w:r w:rsidRPr="00DF0A0A">
              <w:rPr>
                <w:rFonts w:eastAsia="Calibri"/>
                <w:sz w:val="20"/>
                <w:szCs w:val="20"/>
              </w:rPr>
              <w:t xml:space="preserve"> — Intellectual property — Copyright law — Attribution - Whether the lower courts erred in concluding that the applicant’s action was time barred — Whether the lower courts erred in denying copyright infringement through a failure to give Mr. Smith attribution for the sculpture, given that the </w:t>
            </w:r>
            <w:r w:rsidRPr="00DF0A0A">
              <w:rPr>
                <w:rFonts w:eastAsia="Calibri"/>
                <w:i/>
                <w:sz w:val="20"/>
                <w:szCs w:val="20"/>
              </w:rPr>
              <w:t>Copyright Act</w:t>
            </w:r>
            <w:r w:rsidRPr="00DF0A0A">
              <w:rPr>
                <w:rFonts w:eastAsia="Calibri"/>
                <w:sz w:val="20"/>
                <w:szCs w:val="20"/>
              </w:rPr>
              <w:t xml:space="preserve"> prohibits copying “in any form whatever” — Whether the lower courts erred in failing to consider that s. 41 of the </w:t>
            </w:r>
            <w:r w:rsidRPr="00DF0A0A">
              <w:rPr>
                <w:rFonts w:eastAsia="Calibri"/>
                <w:i/>
                <w:sz w:val="20"/>
                <w:szCs w:val="20"/>
              </w:rPr>
              <w:t>Copyright Act</w:t>
            </w:r>
            <w:r w:rsidRPr="00DF0A0A">
              <w:rPr>
                <w:rFonts w:eastAsia="Calibri"/>
                <w:sz w:val="20"/>
                <w:szCs w:val="20"/>
              </w:rPr>
              <w:t xml:space="preserve"> does not apply to infringement of moral rights that occurred before 1998 — Whether a decision that ignores legal precedent infringes on equality rights under s. 15(1) of the </w:t>
            </w:r>
            <w:r w:rsidRPr="00DF0A0A">
              <w:rPr>
                <w:rFonts w:eastAsia="Calibri"/>
                <w:i/>
                <w:sz w:val="20"/>
                <w:szCs w:val="20"/>
              </w:rPr>
              <w:t>Charter</w:t>
            </w:r>
            <w:r w:rsidRPr="00DF0A0A">
              <w:rPr>
                <w:rFonts w:eastAsia="Calibri"/>
                <w:sz w:val="20"/>
                <w:szCs w:val="20"/>
              </w:rPr>
              <w:t>—</w:t>
            </w:r>
            <w:r w:rsidRPr="00DF0A0A">
              <w:rPr>
                <w:rFonts w:eastAsia="Calibri"/>
                <w:i/>
                <w:sz w:val="20"/>
                <w:szCs w:val="20"/>
              </w:rPr>
              <w:t xml:space="preserve"> </w:t>
            </w:r>
            <w:r w:rsidRPr="00DF0A0A">
              <w:rPr>
                <w:rFonts w:eastAsia="Calibri"/>
                <w:sz w:val="20"/>
                <w:szCs w:val="20"/>
              </w:rPr>
              <w:t xml:space="preserve">Whether a decision which ignores the pleadings is an arbitrary administration of fundamental justice and a deprivation of the right to life, liberty and security of the person contrary to s. 7 of the </w:t>
            </w:r>
            <w:r w:rsidRPr="00DF0A0A">
              <w:rPr>
                <w:rFonts w:eastAsia="Calibri"/>
                <w:i/>
                <w:sz w:val="20"/>
                <w:szCs w:val="20"/>
              </w:rPr>
              <w:t xml:space="preserve">Charter </w:t>
            </w:r>
            <w:r w:rsidRPr="00DF0A0A">
              <w:rPr>
                <w:rFonts w:eastAsia="Calibri"/>
                <w:sz w:val="20"/>
                <w:szCs w:val="20"/>
              </w:rPr>
              <w:t>—</w:t>
            </w:r>
            <w:r w:rsidRPr="00DF0A0A">
              <w:rPr>
                <w:rFonts w:eastAsia="Calibri"/>
                <w:i/>
                <w:sz w:val="20"/>
                <w:szCs w:val="20"/>
              </w:rPr>
              <w:t xml:space="preserve"> </w:t>
            </w:r>
            <w:r w:rsidRPr="00DF0A0A">
              <w:rPr>
                <w:rFonts w:eastAsia="Calibri"/>
                <w:sz w:val="20"/>
                <w:szCs w:val="20"/>
              </w:rPr>
              <w:t xml:space="preserve">Whether a decision that disallows authorship is a violation of freedom of expression and infringes s. 2(b) of the </w:t>
            </w:r>
            <w:r w:rsidRPr="00DF0A0A">
              <w:rPr>
                <w:rFonts w:eastAsia="Calibri"/>
                <w:i/>
                <w:sz w:val="20"/>
                <w:szCs w:val="20"/>
              </w:rPr>
              <w:t xml:space="preserve">Charter </w:t>
            </w:r>
            <w:r w:rsidRPr="00DF0A0A">
              <w:rPr>
                <w:rFonts w:eastAsia="Calibri"/>
                <w:sz w:val="20"/>
                <w:szCs w:val="20"/>
              </w:rPr>
              <w:t>—</w:t>
            </w:r>
            <w:r w:rsidRPr="00DF0A0A">
              <w:rPr>
                <w:rFonts w:eastAsia="Calibri"/>
                <w:i/>
                <w:sz w:val="20"/>
                <w:szCs w:val="20"/>
              </w:rPr>
              <w:t xml:space="preserve"> </w:t>
            </w:r>
            <w:r w:rsidRPr="00DF0A0A">
              <w:rPr>
                <w:rFonts w:eastAsia="Calibri"/>
                <w:sz w:val="20"/>
                <w:szCs w:val="20"/>
              </w:rPr>
              <w:t>Whether the Supreme Court should apply the correctness standard of law to set aside the lower court decisions.</w:t>
            </w:r>
          </w:p>
          <w:p w:rsidR="009E6B0E" w:rsidRPr="00DF0A0A" w:rsidRDefault="009E6B0E" w:rsidP="009E6B0E">
            <w:pPr>
              <w:jc w:val="both"/>
              <w:rPr>
                <w:rFonts w:eastAsia="Calibri"/>
                <w:sz w:val="20"/>
                <w:szCs w:val="20"/>
              </w:rPr>
            </w:pPr>
          </w:p>
        </w:tc>
      </w:tr>
      <w:tr w:rsidR="009E6B0E" w:rsidRPr="00DF0A0A" w:rsidTr="009E6B0E">
        <w:tc>
          <w:tcPr>
            <w:tcW w:w="5000" w:type="pct"/>
            <w:gridSpan w:val="3"/>
          </w:tcPr>
          <w:p w:rsidR="009E6B0E" w:rsidRPr="00DF0A0A" w:rsidRDefault="009E6B0E" w:rsidP="009E6B0E">
            <w:pPr>
              <w:jc w:val="both"/>
              <w:rPr>
                <w:rFonts w:eastAsia="Calibri"/>
                <w:sz w:val="20"/>
                <w:szCs w:val="20"/>
              </w:rPr>
            </w:pPr>
            <w:r w:rsidRPr="00DF0A0A">
              <w:rPr>
                <w:rFonts w:eastAsia="Calibri"/>
                <w:sz w:val="20"/>
                <w:szCs w:val="20"/>
              </w:rPr>
              <w:t>The applicant brought an action claiming that a sculpture created by the respondent infringed copyright in drawings the applicant created in the early 1970’s representing an arrangement of an infinite number of polygons.  The respondent created a neon sculpture consisting of a series of polygons starting with a vertical triangle and extending through a progression of polygons each being tilted 15 degrees towards horizontal and ending with a horizontal circle.  The applicant alleged he had given the respondent a copy of his drawings to consider making a sculpture, but had confirmed that the drawing was not a gift.  The respondent denied seeing the applicant’s drawings and denied that there was an infringement of copyright.  He also argued that the action was statute barred.</w:t>
            </w:r>
          </w:p>
          <w:p w:rsidR="009E6B0E" w:rsidRPr="00DF0A0A" w:rsidRDefault="009E6B0E" w:rsidP="009E6B0E">
            <w:pPr>
              <w:jc w:val="both"/>
              <w:rPr>
                <w:rFonts w:eastAsia="Calibri"/>
                <w:sz w:val="20"/>
                <w:szCs w:val="20"/>
              </w:rPr>
            </w:pPr>
          </w:p>
        </w:tc>
      </w:tr>
      <w:tr w:rsidR="009E6B0E" w:rsidRPr="00DF0A0A" w:rsidTr="009E6B0E">
        <w:tc>
          <w:tcPr>
            <w:tcW w:w="2427" w:type="pct"/>
          </w:tcPr>
          <w:p w:rsidR="009E6B0E" w:rsidRPr="00DF0A0A" w:rsidRDefault="009E6B0E" w:rsidP="009E6B0E">
            <w:pPr>
              <w:jc w:val="both"/>
              <w:rPr>
                <w:rFonts w:eastAsia="Calibri"/>
                <w:sz w:val="20"/>
                <w:szCs w:val="20"/>
              </w:rPr>
            </w:pPr>
            <w:r w:rsidRPr="00DF0A0A">
              <w:rPr>
                <w:rFonts w:eastAsia="Calibri"/>
                <w:sz w:val="20"/>
                <w:szCs w:val="20"/>
              </w:rPr>
              <w:lastRenderedPageBreak/>
              <w:t>November 17, 2008</w:t>
            </w:r>
          </w:p>
          <w:p w:rsidR="009E6B0E" w:rsidRPr="00DF0A0A" w:rsidRDefault="009E6B0E" w:rsidP="009E6B0E">
            <w:pPr>
              <w:jc w:val="both"/>
              <w:rPr>
                <w:rFonts w:eastAsia="Calibri"/>
                <w:sz w:val="20"/>
                <w:szCs w:val="20"/>
              </w:rPr>
            </w:pPr>
            <w:r w:rsidRPr="00DF0A0A">
              <w:rPr>
                <w:rFonts w:eastAsia="Calibri"/>
                <w:sz w:val="20"/>
                <w:szCs w:val="20"/>
              </w:rPr>
              <w:t>Ontario Superior Court of Justice</w:t>
            </w:r>
          </w:p>
          <w:p w:rsidR="009E6B0E" w:rsidRPr="00DF0A0A" w:rsidRDefault="009E6B0E" w:rsidP="009E6B0E">
            <w:pPr>
              <w:jc w:val="both"/>
              <w:rPr>
                <w:rFonts w:eastAsia="Calibri"/>
                <w:sz w:val="20"/>
                <w:szCs w:val="20"/>
              </w:rPr>
            </w:pPr>
            <w:r w:rsidRPr="00DF0A0A">
              <w:rPr>
                <w:rFonts w:eastAsia="Calibri"/>
                <w:sz w:val="20"/>
                <w:szCs w:val="20"/>
              </w:rPr>
              <w:t>(Taylor J.)</w:t>
            </w:r>
          </w:p>
          <w:p w:rsidR="009E6B0E" w:rsidRPr="00DF0A0A" w:rsidRDefault="009E6B0E" w:rsidP="009E6B0E">
            <w:pPr>
              <w:jc w:val="both"/>
              <w:rPr>
                <w:rFonts w:eastAsia="Calibri"/>
                <w:sz w:val="20"/>
                <w:szCs w:val="20"/>
              </w:rPr>
            </w:pPr>
            <w:r w:rsidRPr="00DF0A0A">
              <w:rPr>
                <w:rFonts w:eastAsia="Calibri"/>
                <w:sz w:val="20"/>
                <w:szCs w:val="20"/>
              </w:rPr>
              <w:t xml:space="preserve">2008 </w:t>
            </w:r>
            <w:proofErr w:type="spellStart"/>
            <w:r w:rsidRPr="00DF0A0A">
              <w:rPr>
                <w:rFonts w:eastAsia="Calibri"/>
                <w:sz w:val="20"/>
                <w:szCs w:val="20"/>
              </w:rPr>
              <w:t>CanLII</w:t>
            </w:r>
            <w:proofErr w:type="spellEnd"/>
            <w:r w:rsidRPr="00DF0A0A">
              <w:rPr>
                <w:rFonts w:eastAsia="Calibri"/>
                <w:sz w:val="20"/>
                <w:szCs w:val="20"/>
              </w:rPr>
              <w:t xml:space="preserve"> 64395</w:t>
            </w:r>
          </w:p>
          <w:p w:rsidR="009E6B0E" w:rsidRPr="00DF0A0A" w:rsidRDefault="009E6B0E" w:rsidP="009E6B0E">
            <w:pPr>
              <w:jc w:val="both"/>
              <w:rPr>
                <w:rFonts w:eastAsia="Calibri"/>
                <w:sz w:val="20"/>
                <w:szCs w:val="20"/>
              </w:rPr>
            </w:pPr>
          </w:p>
        </w:tc>
        <w:tc>
          <w:tcPr>
            <w:tcW w:w="243" w:type="pct"/>
          </w:tcPr>
          <w:p w:rsidR="009E6B0E" w:rsidRPr="00DF0A0A" w:rsidRDefault="009E6B0E" w:rsidP="009E6B0E">
            <w:pPr>
              <w:jc w:val="both"/>
              <w:rPr>
                <w:rFonts w:eastAsia="Calibri"/>
                <w:sz w:val="20"/>
                <w:szCs w:val="20"/>
              </w:rPr>
            </w:pPr>
          </w:p>
        </w:tc>
        <w:tc>
          <w:tcPr>
            <w:tcW w:w="2330" w:type="pct"/>
          </w:tcPr>
          <w:p w:rsidR="009E6B0E" w:rsidRPr="00DF0A0A" w:rsidRDefault="009E6B0E" w:rsidP="009E6B0E">
            <w:pPr>
              <w:jc w:val="both"/>
              <w:rPr>
                <w:rFonts w:eastAsia="Calibri"/>
                <w:sz w:val="20"/>
                <w:szCs w:val="20"/>
              </w:rPr>
            </w:pPr>
            <w:r w:rsidRPr="00DF0A0A">
              <w:rPr>
                <w:rFonts w:eastAsia="Calibri"/>
                <w:sz w:val="20"/>
                <w:szCs w:val="20"/>
              </w:rPr>
              <w:t>Applicant’s action dismissed</w:t>
            </w:r>
          </w:p>
          <w:p w:rsidR="009E6B0E" w:rsidRPr="00DF0A0A" w:rsidRDefault="009E6B0E" w:rsidP="009E6B0E">
            <w:pPr>
              <w:jc w:val="both"/>
              <w:rPr>
                <w:rFonts w:eastAsia="Calibri"/>
                <w:sz w:val="20"/>
                <w:szCs w:val="20"/>
              </w:rPr>
            </w:pPr>
          </w:p>
        </w:tc>
      </w:tr>
      <w:tr w:rsidR="009E6B0E" w:rsidRPr="00DF0A0A" w:rsidTr="009E6B0E">
        <w:tc>
          <w:tcPr>
            <w:tcW w:w="2427" w:type="pct"/>
          </w:tcPr>
          <w:p w:rsidR="009E6B0E" w:rsidRPr="00DF0A0A" w:rsidRDefault="009E6B0E" w:rsidP="009E6B0E">
            <w:pPr>
              <w:jc w:val="both"/>
              <w:rPr>
                <w:rFonts w:eastAsia="Calibri"/>
                <w:sz w:val="20"/>
                <w:szCs w:val="20"/>
              </w:rPr>
            </w:pPr>
            <w:r w:rsidRPr="00DF0A0A">
              <w:rPr>
                <w:rFonts w:eastAsia="Calibri"/>
                <w:sz w:val="20"/>
                <w:szCs w:val="20"/>
              </w:rPr>
              <w:t>April 14, 2010</w:t>
            </w:r>
          </w:p>
          <w:p w:rsidR="009E6B0E" w:rsidRPr="00DF0A0A" w:rsidRDefault="009E6B0E" w:rsidP="009E6B0E">
            <w:pPr>
              <w:jc w:val="both"/>
              <w:rPr>
                <w:rFonts w:eastAsia="Calibri"/>
                <w:sz w:val="20"/>
                <w:szCs w:val="20"/>
              </w:rPr>
            </w:pPr>
            <w:r w:rsidRPr="00DF0A0A">
              <w:rPr>
                <w:rFonts w:eastAsia="Calibri"/>
                <w:sz w:val="20"/>
                <w:szCs w:val="20"/>
              </w:rPr>
              <w:t>Court of Appeal for Ontario</w:t>
            </w:r>
          </w:p>
          <w:p w:rsidR="009E6B0E" w:rsidRPr="00DF0A0A" w:rsidRDefault="009E6B0E" w:rsidP="009E6B0E">
            <w:pPr>
              <w:jc w:val="both"/>
              <w:rPr>
                <w:rFonts w:eastAsia="Calibri"/>
                <w:sz w:val="20"/>
                <w:szCs w:val="20"/>
              </w:rPr>
            </w:pPr>
            <w:r w:rsidRPr="00DF0A0A">
              <w:rPr>
                <w:rFonts w:eastAsia="Calibri"/>
                <w:sz w:val="20"/>
                <w:szCs w:val="20"/>
              </w:rPr>
              <w:t>(</w:t>
            </w:r>
            <w:proofErr w:type="spellStart"/>
            <w:r w:rsidRPr="00DF0A0A">
              <w:rPr>
                <w:rFonts w:eastAsia="Calibri"/>
                <w:sz w:val="20"/>
                <w:szCs w:val="20"/>
              </w:rPr>
              <w:t>Gillese</w:t>
            </w:r>
            <w:proofErr w:type="spellEnd"/>
            <w:r w:rsidRPr="00DF0A0A">
              <w:rPr>
                <w:rFonts w:eastAsia="Calibri"/>
                <w:sz w:val="20"/>
                <w:szCs w:val="20"/>
              </w:rPr>
              <w:t xml:space="preserve">, Lang and </w:t>
            </w:r>
            <w:proofErr w:type="spellStart"/>
            <w:r w:rsidRPr="00DF0A0A">
              <w:rPr>
                <w:rFonts w:eastAsia="Calibri"/>
                <w:sz w:val="20"/>
                <w:szCs w:val="20"/>
              </w:rPr>
              <w:t>Rouleau</w:t>
            </w:r>
            <w:proofErr w:type="spellEnd"/>
            <w:r w:rsidRPr="00DF0A0A">
              <w:rPr>
                <w:rFonts w:eastAsia="Calibri"/>
                <w:sz w:val="20"/>
                <w:szCs w:val="20"/>
              </w:rPr>
              <w:t xml:space="preserve"> JJ.A.)</w:t>
            </w:r>
          </w:p>
          <w:p w:rsidR="009E6B0E" w:rsidRPr="00DF0A0A" w:rsidRDefault="009E6B0E" w:rsidP="009E6B0E">
            <w:pPr>
              <w:jc w:val="both"/>
              <w:rPr>
                <w:rFonts w:eastAsia="Calibri"/>
                <w:sz w:val="20"/>
                <w:szCs w:val="20"/>
              </w:rPr>
            </w:pPr>
            <w:r w:rsidRPr="00DF0A0A">
              <w:rPr>
                <w:rFonts w:eastAsia="Calibri"/>
                <w:sz w:val="20"/>
                <w:szCs w:val="20"/>
              </w:rPr>
              <w:t>2010 ONCA 271; C49770</w:t>
            </w:r>
          </w:p>
          <w:p w:rsidR="009E6B0E" w:rsidRPr="00DF0A0A" w:rsidRDefault="009E6B0E" w:rsidP="009E6B0E">
            <w:pPr>
              <w:jc w:val="both"/>
              <w:rPr>
                <w:rFonts w:eastAsia="Calibri"/>
                <w:sz w:val="20"/>
                <w:szCs w:val="20"/>
              </w:rPr>
            </w:pPr>
          </w:p>
        </w:tc>
        <w:tc>
          <w:tcPr>
            <w:tcW w:w="243" w:type="pct"/>
          </w:tcPr>
          <w:p w:rsidR="009E6B0E" w:rsidRPr="00DF0A0A" w:rsidRDefault="009E6B0E" w:rsidP="009E6B0E">
            <w:pPr>
              <w:jc w:val="both"/>
              <w:rPr>
                <w:rFonts w:eastAsia="Calibri"/>
                <w:sz w:val="20"/>
                <w:szCs w:val="20"/>
              </w:rPr>
            </w:pPr>
          </w:p>
        </w:tc>
        <w:tc>
          <w:tcPr>
            <w:tcW w:w="2330" w:type="pct"/>
          </w:tcPr>
          <w:p w:rsidR="009E6B0E" w:rsidRPr="00DF0A0A" w:rsidRDefault="009E6B0E" w:rsidP="009E6B0E">
            <w:pPr>
              <w:jc w:val="both"/>
              <w:rPr>
                <w:rFonts w:eastAsia="Calibri"/>
                <w:sz w:val="20"/>
                <w:szCs w:val="20"/>
              </w:rPr>
            </w:pPr>
            <w:r w:rsidRPr="00DF0A0A">
              <w:rPr>
                <w:rFonts w:eastAsia="Calibri"/>
                <w:sz w:val="20"/>
                <w:szCs w:val="20"/>
              </w:rPr>
              <w:t>Appeal dismissed</w:t>
            </w:r>
          </w:p>
          <w:p w:rsidR="009E6B0E" w:rsidRPr="00DF0A0A" w:rsidRDefault="009E6B0E" w:rsidP="009E6B0E">
            <w:pPr>
              <w:jc w:val="both"/>
              <w:rPr>
                <w:rFonts w:eastAsia="Calibri"/>
                <w:sz w:val="20"/>
                <w:szCs w:val="20"/>
              </w:rPr>
            </w:pPr>
          </w:p>
        </w:tc>
      </w:tr>
      <w:tr w:rsidR="009E6B0E" w:rsidRPr="00DF0A0A" w:rsidTr="009E6B0E">
        <w:tc>
          <w:tcPr>
            <w:tcW w:w="2427" w:type="pct"/>
          </w:tcPr>
          <w:p w:rsidR="009E6B0E" w:rsidRPr="00DF0A0A" w:rsidRDefault="009E6B0E" w:rsidP="009E6B0E">
            <w:pPr>
              <w:jc w:val="both"/>
              <w:rPr>
                <w:rFonts w:eastAsia="Calibri"/>
                <w:sz w:val="20"/>
                <w:szCs w:val="20"/>
              </w:rPr>
            </w:pPr>
            <w:r w:rsidRPr="00DF0A0A">
              <w:rPr>
                <w:rFonts w:eastAsia="Calibri"/>
                <w:sz w:val="20"/>
                <w:szCs w:val="20"/>
              </w:rPr>
              <w:t>November 10, 2010</w:t>
            </w:r>
          </w:p>
          <w:p w:rsidR="009E6B0E" w:rsidRPr="00DF0A0A" w:rsidRDefault="009E6B0E" w:rsidP="009E6B0E">
            <w:pPr>
              <w:jc w:val="both"/>
              <w:rPr>
                <w:rFonts w:eastAsia="Calibri"/>
                <w:sz w:val="20"/>
                <w:szCs w:val="20"/>
              </w:rPr>
            </w:pPr>
            <w:r w:rsidRPr="00DF0A0A">
              <w:rPr>
                <w:rFonts w:eastAsia="Calibri"/>
                <w:sz w:val="20"/>
                <w:szCs w:val="20"/>
              </w:rPr>
              <w:t>Supreme Court of Canada</w:t>
            </w:r>
          </w:p>
        </w:tc>
        <w:tc>
          <w:tcPr>
            <w:tcW w:w="243" w:type="pct"/>
          </w:tcPr>
          <w:p w:rsidR="009E6B0E" w:rsidRPr="00DF0A0A" w:rsidRDefault="009E6B0E" w:rsidP="009E6B0E">
            <w:pPr>
              <w:jc w:val="both"/>
              <w:rPr>
                <w:rFonts w:eastAsia="Calibri"/>
                <w:sz w:val="20"/>
                <w:szCs w:val="20"/>
              </w:rPr>
            </w:pPr>
          </w:p>
        </w:tc>
        <w:tc>
          <w:tcPr>
            <w:tcW w:w="2330" w:type="pct"/>
          </w:tcPr>
          <w:p w:rsidR="009E6B0E" w:rsidRPr="00DF0A0A" w:rsidRDefault="009E6B0E" w:rsidP="009E6B0E">
            <w:pPr>
              <w:jc w:val="both"/>
              <w:rPr>
                <w:rFonts w:eastAsia="Calibri"/>
                <w:sz w:val="20"/>
                <w:szCs w:val="20"/>
              </w:rPr>
            </w:pPr>
            <w:r w:rsidRPr="00DF0A0A">
              <w:rPr>
                <w:rFonts w:eastAsia="Calibri"/>
                <w:sz w:val="20"/>
                <w:szCs w:val="20"/>
              </w:rPr>
              <w:t>Application for leave to appeal and motion for an extension of time filed</w:t>
            </w:r>
          </w:p>
        </w:tc>
      </w:tr>
    </w:tbl>
    <w:p w:rsidR="00610966" w:rsidRDefault="00610966" w:rsidP="00610966">
      <w:pPr>
        <w:rPr>
          <w:sz w:val="20"/>
          <w:szCs w:val="20"/>
        </w:rPr>
      </w:pPr>
    </w:p>
    <w:p w:rsidR="00610966" w:rsidRDefault="00C478F8" w:rsidP="00610966">
      <w:pPr>
        <w:rPr>
          <w:sz w:val="20"/>
          <w:szCs w:val="20"/>
        </w:rPr>
      </w:pPr>
      <w:r w:rsidRPr="00C478F8">
        <w:rPr>
          <w:sz w:val="20"/>
          <w:szCs w:val="20"/>
          <w:lang w:val="fr-CA"/>
        </w:rPr>
        <w:pict>
          <v:rect id="_x0000_i1039" style="width:2in;height:1pt" o:hrpct="0" o:hralign="center" o:hrstd="t" o:hrnoshade="t" o:hr="t" fillcolor="black [3213]" stroked="f"/>
        </w:pict>
      </w:r>
    </w:p>
    <w:p w:rsidR="00610966" w:rsidRDefault="00610966" w:rsidP="00610966">
      <w:pPr>
        <w:rPr>
          <w:sz w:val="20"/>
          <w:szCs w:val="20"/>
        </w:rPr>
      </w:pPr>
    </w:p>
    <w:p w:rsidR="00610966" w:rsidRPr="00610966" w:rsidRDefault="00610966" w:rsidP="00610966">
      <w:pPr>
        <w:rPr>
          <w:sz w:val="20"/>
          <w:szCs w:val="20"/>
          <w:u w:val="single"/>
        </w:rPr>
      </w:pPr>
      <w:r w:rsidRPr="00610966">
        <w:rPr>
          <w:sz w:val="20"/>
          <w:szCs w:val="20"/>
          <w:u w:val="single"/>
        </w:rPr>
        <w:t>RÉSUMÉ DE L’AFFAIRE</w:t>
      </w:r>
    </w:p>
    <w:p w:rsidR="00610966" w:rsidRDefault="00610966" w:rsidP="00610966">
      <w:pPr>
        <w:rPr>
          <w:b/>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9E6B0E" w:rsidRPr="00406D3C" w:rsidTr="009E6B0E">
        <w:tc>
          <w:tcPr>
            <w:tcW w:w="5000" w:type="pct"/>
            <w:gridSpan w:val="3"/>
          </w:tcPr>
          <w:p w:rsidR="009E6B0E" w:rsidRPr="00DF0A0A" w:rsidRDefault="009E6B0E" w:rsidP="009E6B0E">
            <w:pPr>
              <w:jc w:val="both"/>
              <w:rPr>
                <w:rFonts w:eastAsia="Calibri"/>
                <w:sz w:val="20"/>
                <w:szCs w:val="20"/>
                <w:lang w:val="fr-CA"/>
              </w:rPr>
            </w:pPr>
            <w:r w:rsidRPr="00DF0A0A">
              <w:rPr>
                <w:rFonts w:eastAsia="Calibri"/>
                <w:i/>
                <w:iCs/>
                <w:sz w:val="20"/>
                <w:szCs w:val="20"/>
                <w:lang w:val="fr-CA"/>
              </w:rPr>
              <w:t xml:space="preserve">Charte des droits </w:t>
            </w:r>
            <w:r w:rsidRPr="00DF0A0A">
              <w:rPr>
                <w:rFonts w:eastAsia="Calibri"/>
                <w:sz w:val="20"/>
                <w:szCs w:val="20"/>
                <w:lang w:val="fr-CA"/>
              </w:rPr>
              <w:t xml:space="preserve">— Propriété intellectuelle — Droit d'auteur — Attribution — Les juridictions inférieures </w:t>
            </w:r>
            <w:proofErr w:type="spellStart"/>
            <w:r w:rsidRPr="00DF0A0A">
              <w:rPr>
                <w:rFonts w:eastAsia="Calibri"/>
                <w:sz w:val="20"/>
                <w:szCs w:val="20"/>
                <w:lang w:val="fr-CA"/>
              </w:rPr>
              <w:t>ont</w:t>
            </w:r>
            <w:r w:rsidRPr="00DF0A0A">
              <w:rPr>
                <w:rFonts w:eastAsia="Calibri"/>
                <w:sz w:val="20"/>
                <w:szCs w:val="20"/>
                <w:lang w:val="fr-CA"/>
              </w:rPr>
              <w:noBreakHyphen/>
              <w:t>elles</w:t>
            </w:r>
            <w:proofErr w:type="spellEnd"/>
            <w:r w:rsidRPr="00DF0A0A">
              <w:rPr>
                <w:rFonts w:eastAsia="Calibri"/>
                <w:sz w:val="20"/>
                <w:szCs w:val="20"/>
                <w:lang w:val="fr-CA"/>
              </w:rPr>
              <w:t xml:space="preserve"> eu tort de conclure que l'action du demandeur était prescrite? </w:t>
            </w:r>
            <w:r w:rsidRPr="00DF0A0A">
              <w:rPr>
                <w:rFonts w:eastAsia="Calibri"/>
                <w:i/>
                <w:iCs/>
                <w:sz w:val="20"/>
                <w:szCs w:val="20"/>
                <w:lang w:val="fr-CA"/>
              </w:rPr>
              <w:t>—</w:t>
            </w:r>
            <w:r w:rsidRPr="00DF0A0A">
              <w:rPr>
                <w:rFonts w:eastAsia="Calibri"/>
                <w:sz w:val="20"/>
                <w:szCs w:val="20"/>
                <w:lang w:val="fr-CA"/>
              </w:rPr>
              <w:t xml:space="preserve"> Les juridictions inférieures </w:t>
            </w:r>
            <w:proofErr w:type="spellStart"/>
            <w:r w:rsidRPr="00DF0A0A">
              <w:rPr>
                <w:rFonts w:eastAsia="Calibri"/>
                <w:sz w:val="20"/>
                <w:szCs w:val="20"/>
                <w:lang w:val="fr-CA"/>
              </w:rPr>
              <w:t>ont</w:t>
            </w:r>
            <w:r w:rsidRPr="00DF0A0A">
              <w:rPr>
                <w:rFonts w:eastAsia="Calibri"/>
                <w:sz w:val="20"/>
                <w:szCs w:val="20"/>
                <w:lang w:val="fr-CA"/>
              </w:rPr>
              <w:noBreakHyphen/>
              <w:t>elles</w:t>
            </w:r>
            <w:proofErr w:type="spellEnd"/>
            <w:r w:rsidRPr="00DF0A0A">
              <w:rPr>
                <w:rFonts w:eastAsia="Calibri"/>
                <w:sz w:val="20"/>
                <w:szCs w:val="20"/>
                <w:lang w:val="fr-CA"/>
              </w:rPr>
              <w:t xml:space="preserve"> eu tort de nier la violation du droit d'auteur en omettant d'attribuer à M. Smith la paternité de la sculpture, vu que la </w:t>
            </w:r>
            <w:r w:rsidRPr="00DF0A0A">
              <w:rPr>
                <w:rFonts w:eastAsia="Calibri"/>
                <w:i/>
                <w:iCs/>
                <w:sz w:val="20"/>
                <w:szCs w:val="20"/>
                <w:lang w:val="fr-CA"/>
              </w:rPr>
              <w:t>Loi sur le droit d'auteur</w:t>
            </w:r>
            <w:r w:rsidRPr="00DF0A0A">
              <w:rPr>
                <w:rFonts w:eastAsia="Calibri"/>
                <w:sz w:val="20"/>
                <w:szCs w:val="20"/>
                <w:lang w:val="fr-CA"/>
              </w:rPr>
              <w:t xml:space="preserve"> interdit la reproduction « sous une forme quelconque »? </w:t>
            </w:r>
            <w:r w:rsidRPr="00DF0A0A">
              <w:rPr>
                <w:rFonts w:eastAsia="Calibri"/>
                <w:i/>
                <w:iCs/>
                <w:sz w:val="20"/>
                <w:szCs w:val="20"/>
                <w:lang w:val="fr-CA"/>
              </w:rPr>
              <w:t>—</w:t>
            </w:r>
            <w:r w:rsidRPr="00DF0A0A">
              <w:rPr>
                <w:rFonts w:eastAsia="Calibri"/>
                <w:sz w:val="20"/>
                <w:szCs w:val="20"/>
                <w:lang w:val="fr-CA"/>
              </w:rPr>
              <w:t xml:space="preserve"> Les juridictions inférieures </w:t>
            </w:r>
            <w:proofErr w:type="spellStart"/>
            <w:r w:rsidRPr="00DF0A0A">
              <w:rPr>
                <w:rFonts w:eastAsia="Calibri"/>
                <w:sz w:val="20"/>
                <w:szCs w:val="20"/>
                <w:lang w:val="fr-CA"/>
              </w:rPr>
              <w:t>ont</w:t>
            </w:r>
            <w:r w:rsidRPr="00DF0A0A">
              <w:rPr>
                <w:rFonts w:eastAsia="Calibri"/>
                <w:sz w:val="20"/>
                <w:szCs w:val="20"/>
                <w:lang w:val="fr-CA"/>
              </w:rPr>
              <w:noBreakHyphen/>
              <w:t>elles</w:t>
            </w:r>
            <w:proofErr w:type="spellEnd"/>
            <w:r w:rsidRPr="00DF0A0A">
              <w:rPr>
                <w:rFonts w:eastAsia="Calibri"/>
                <w:sz w:val="20"/>
                <w:szCs w:val="20"/>
                <w:lang w:val="fr-CA"/>
              </w:rPr>
              <w:t xml:space="preserve"> eu tort de ne pas considérer que l’art. 41 de la </w:t>
            </w:r>
            <w:r w:rsidRPr="00DF0A0A">
              <w:rPr>
                <w:rFonts w:eastAsia="Calibri"/>
                <w:i/>
                <w:iCs/>
                <w:sz w:val="20"/>
                <w:szCs w:val="20"/>
                <w:lang w:val="fr-CA"/>
              </w:rPr>
              <w:t>Loi sur le droit d'auteur</w:t>
            </w:r>
            <w:r w:rsidRPr="00DF0A0A">
              <w:rPr>
                <w:rFonts w:eastAsia="Calibri"/>
                <w:sz w:val="20"/>
                <w:szCs w:val="20"/>
                <w:lang w:val="fr-CA"/>
              </w:rPr>
              <w:t xml:space="preserve"> ne s'applique pas à la violation des droits moraux survenue avant 1998? </w:t>
            </w:r>
            <w:r w:rsidRPr="00DF0A0A">
              <w:rPr>
                <w:rFonts w:eastAsia="Calibri"/>
                <w:i/>
                <w:iCs/>
                <w:sz w:val="20"/>
                <w:szCs w:val="20"/>
                <w:lang w:val="fr-CA"/>
              </w:rPr>
              <w:t>—</w:t>
            </w:r>
            <w:r w:rsidRPr="00DF0A0A">
              <w:rPr>
                <w:rFonts w:eastAsia="Calibri"/>
                <w:sz w:val="20"/>
                <w:szCs w:val="20"/>
                <w:lang w:val="fr-CA"/>
              </w:rPr>
              <w:t xml:space="preserve"> La décision de ne pas tenir compte de la jurisprudence </w:t>
            </w:r>
            <w:proofErr w:type="spellStart"/>
            <w:r w:rsidRPr="00DF0A0A">
              <w:rPr>
                <w:rFonts w:eastAsia="Calibri"/>
                <w:sz w:val="20"/>
                <w:szCs w:val="20"/>
                <w:lang w:val="fr-CA"/>
              </w:rPr>
              <w:t>porte</w:t>
            </w:r>
            <w:r w:rsidRPr="00DF0A0A">
              <w:rPr>
                <w:rFonts w:eastAsia="Calibri"/>
                <w:sz w:val="20"/>
                <w:szCs w:val="20"/>
                <w:lang w:val="fr-CA"/>
              </w:rPr>
              <w:noBreakHyphen/>
              <w:t>t</w:t>
            </w:r>
            <w:r w:rsidRPr="00DF0A0A">
              <w:rPr>
                <w:rFonts w:eastAsia="Calibri"/>
                <w:sz w:val="20"/>
                <w:szCs w:val="20"/>
                <w:lang w:val="fr-CA"/>
              </w:rPr>
              <w:noBreakHyphen/>
              <w:t>elle</w:t>
            </w:r>
            <w:proofErr w:type="spellEnd"/>
            <w:r w:rsidRPr="00DF0A0A">
              <w:rPr>
                <w:rFonts w:eastAsia="Calibri"/>
                <w:sz w:val="20"/>
                <w:szCs w:val="20"/>
                <w:lang w:val="fr-CA"/>
              </w:rPr>
              <w:t xml:space="preserve"> atteinte au droit à l'égalité garanti par le par. 15(1) de la </w:t>
            </w:r>
            <w:r w:rsidRPr="00DF0A0A">
              <w:rPr>
                <w:rFonts w:eastAsia="Calibri"/>
                <w:i/>
                <w:iCs/>
                <w:sz w:val="20"/>
                <w:szCs w:val="20"/>
                <w:lang w:val="fr-CA"/>
              </w:rPr>
              <w:t>Charte</w:t>
            </w:r>
            <w:r w:rsidRPr="00DF0A0A">
              <w:rPr>
                <w:rFonts w:eastAsia="Calibri"/>
                <w:sz w:val="20"/>
                <w:szCs w:val="20"/>
                <w:lang w:val="fr-CA"/>
              </w:rPr>
              <w:t xml:space="preserve">? </w:t>
            </w:r>
            <w:r w:rsidRPr="00DF0A0A">
              <w:rPr>
                <w:rFonts w:eastAsia="Calibri"/>
                <w:i/>
                <w:iCs/>
                <w:sz w:val="20"/>
                <w:szCs w:val="20"/>
                <w:lang w:val="fr-CA"/>
              </w:rPr>
              <w:t>—</w:t>
            </w:r>
            <w:r w:rsidRPr="00DF0A0A">
              <w:rPr>
                <w:rFonts w:eastAsia="Calibri"/>
                <w:sz w:val="20"/>
                <w:szCs w:val="20"/>
                <w:lang w:val="fr-CA"/>
              </w:rPr>
              <w:t xml:space="preserve"> Une décision qui ne tient pas compte des actes de procédure </w:t>
            </w:r>
            <w:proofErr w:type="spellStart"/>
            <w:r w:rsidRPr="00DF0A0A">
              <w:rPr>
                <w:rFonts w:eastAsia="Calibri"/>
                <w:sz w:val="20"/>
                <w:szCs w:val="20"/>
                <w:lang w:val="fr-CA"/>
              </w:rPr>
              <w:t>constitue</w:t>
            </w:r>
            <w:r w:rsidRPr="00DF0A0A">
              <w:rPr>
                <w:rFonts w:eastAsia="Calibri"/>
                <w:sz w:val="20"/>
                <w:szCs w:val="20"/>
                <w:lang w:val="fr-CA"/>
              </w:rPr>
              <w:noBreakHyphen/>
              <w:t>t</w:t>
            </w:r>
            <w:r w:rsidRPr="00DF0A0A">
              <w:rPr>
                <w:rFonts w:eastAsia="Calibri"/>
                <w:sz w:val="20"/>
                <w:szCs w:val="20"/>
                <w:lang w:val="fr-CA"/>
              </w:rPr>
              <w:noBreakHyphen/>
              <w:t>elle</w:t>
            </w:r>
            <w:proofErr w:type="spellEnd"/>
            <w:r w:rsidRPr="00DF0A0A">
              <w:rPr>
                <w:rFonts w:eastAsia="Calibri"/>
                <w:sz w:val="20"/>
                <w:szCs w:val="20"/>
                <w:lang w:val="fr-CA"/>
              </w:rPr>
              <w:t xml:space="preserve"> une application arbitraire de la justice fondamentale et une privation du droit à la vie, à la liberté et à la sécurité de la personne contrevenant à l’art. 7 de la </w:t>
            </w:r>
            <w:r w:rsidRPr="00DF0A0A">
              <w:rPr>
                <w:rFonts w:eastAsia="Calibri"/>
                <w:i/>
                <w:iCs/>
                <w:sz w:val="20"/>
                <w:szCs w:val="20"/>
                <w:lang w:val="fr-CA"/>
              </w:rPr>
              <w:t>Charte</w:t>
            </w:r>
            <w:r w:rsidRPr="00DF0A0A">
              <w:rPr>
                <w:rFonts w:eastAsia="Calibri"/>
                <w:sz w:val="20"/>
                <w:szCs w:val="20"/>
                <w:lang w:val="fr-CA"/>
              </w:rPr>
              <w:t>?</w:t>
            </w:r>
            <w:r w:rsidRPr="00DF0A0A">
              <w:rPr>
                <w:rFonts w:eastAsia="Calibri"/>
                <w:i/>
                <w:iCs/>
                <w:sz w:val="20"/>
                <w:szCs w:val="20"/>
                <w:lang w:val="fr-CA"/>
              </w:rPr>
              <w:t xml:space="preserve"> —</w:t>
            </w:r>
            <w:r w:rsidRPr="00DF0A0A">
              <w:rPr>
                <w:rFonts w:eastAsia="Calibri"/>
                <w:sz w:val="20"/>
                <w:szCs w:val="20"/>
                <w:lang w:val="fr-CA"/>
              </w:rPr>
              <w:t xml:space="preserve"> Une décision qui n’attribue pas la paternité d'une </w:t>
            </w:r>
            <w:proofErr w:type="spellStart"/>
            <w:r w:rsidRPr="00DF0A0A">
              <w:rPr>
                <w:rFonts w:eastAsia="Calibri"/>
                <w:sz w:val="20"/>
                <w:szCs w:val="20"/>
                <w:lang w:val="fr-CA"/>
              </w:rPr>
              <w:t>oeuvre</w:t>
            </w:r>
            <w:proofErr w:type="spellEnd"/>
            <w:r w:rsidRPr="00DF0A0A">
              <w:rPr>
                <w:rFonts w:eastAsia="Calibri"/>
                <w:sz w:val="20"/>
                <w:szCs w:val="20"/>
                <w:lang w:val="fr-CA"/>
              </w:rPr>
              <w:t xml:space="preserve"> </w:t>
            </w:r>
            <w:proofErr w:type="spellStart"/>
            <w:r w:rsidRPr="00DF0A0A">
              <w:rPr>
                <w:rFonts w:eastAsia="Calibri"/>
                <w:sz w:val="20"/>
                <w:szCs w:val="20"/>
                <w:lang w:val="fr-CA"/>
              </w:rPr>
              <w:t>est</w:t>
            </w:r>
            <w:r w:rsidRPr="00DF0A0A">
              <w:rPr>
                <w:rFonts w:eastAsia="Calibri"/>
                <w:sz w:val="20"/>
                <w:szCs w:val="20"/>
                <w:lang w:val="fr-CA"/>
              </w:rPr>
              <w:noBreakHyphen/>
              <w:t>elle</w:t>
            </w:r>
            <w:proofErr w:type="spellEnd"/>
            <w:r w:rsidRPr="00DF0A0A">
              <w:rPr>
                <w:rFonts w:eastAsia="Calibri"/>
                <w:sz w:val="20"/>
                <w:szCs w:val="20"/>
                <w:lang w:val="fr-CA"/>
              </w:rPr>
              <w:t xml:space="preserve"> une violation de la liberté d'expression et </w:t>
            </w:r>
            <w:proofErr w:type="spellStart"/>
            <w:r w:rsidRPr="00DF0A0A">
              <w:rPr>
                <w:rFonts w:eastAsia="Calibri"/>
                <w:sz w:val="20"/>
                <w:szCs w:val="20"/>
                <w:lang w:val="fr-CA"/>
              </w:rPr>
              <w:t>porte</w:t>
            </w:r>
            <w:r w:rsidRPr="00DF0A0A">
              <w:rPr>
                <w:rFonts w:eastAsia="Calibri"/>
                <w:sz w:val="20"/>
                <w:szCs w:val="20"/>
                <w:lang w:val="fr-CA"/>
              </w:rPr>
              <w:noBreakHyphen/>
              <w:t>t</w:t>
            </w:r>
            <w:r w:rsidRPr="00DF0A0A">
              <w:rPr>
                <w:rFonts w:eastAsia="Calibri"/>
                <w:sz w:val="20"/>
                <w:szCs w:val="20"/>
                <w:lang w:val="fr-CA"/>
              </w:rPr>
              <w:noBreakHyphen/>
              <w:t>elle</w:t>
            </w:r>
            <w:proofErr w:type="spellEnd"/>
            <w:r w:rsidRPr="00DF0A0A">
              <w:rPr>
                <w:rFonts w:eastAsia="Calibri"/>
                <w:sz w:val="20"/>
                <w:szCs w:val="20"/>
                <w:lang w:val="fr-CA"/>
              </w:rPr>
              <w:t xml:space="preserve"> atteinte à l’al. 2(b) de la </w:t>
            </w:r>
            <w:r w:rsidRPr="00DF0A0A">
              <w:rPr>
                <w:rFonts w:eastAsia="Calibri"/>
                <w:i/>
                <w:iCs/>
                <w:sz w:val="20"/>
                <w:szCs w:val="20"/>
                <w:lang w:val="fr-CA"/>
              </w:rPr>
              <w:t>Charte</w:t>
            </w:r>
            <w:r w:rsidRPr="00DF0A0A">
              <w:rPr>
                <w:rFonts w:eastAsia="Calibri"/>
                <w:sz w:val="20"/>
                <w:szCs w:val="20"/>
                <w:lang w:val="fr-CA"/>
              </w:rPr>
              <w:t xml:space="preserve">? </w:t>
            </w:r>
            <w:r w:rsidRPr="00DF0A0A">
              <w:rPr>
                <w:rFonts w:eastAsia="Calibri"/>
                <w:i/>
                <w:iCs/>
                <w:sz w:val="20"/>
                <w:szCs w:val="20"/>
                <w:lang w:val="fr-CA"/>
              </w:rPr>
              <w:t>—</w:t>
            </w:r>
            <w:r w:rsidRPr="00DF0A0A">
              <w:rPr>
                <w:rFonts w:eastAsia="Calibri"/>
                <w:sz w:val="20"/>
                <w:szCs w:val="20"/>
                <w:lang w:val="fr-CA"/>
              </w:rPr>
              <w:t xml:space="preserve"> La Cour suprême </w:t>
            </w:r>
            <w:proofErr w:type="spellStart"/>
            <w:r w:rsidRPr="00DF0A0A">
              <w:rPr>
                <w:rFonts w:eastAsia="Calibri"/>
                <w:sz w:val="20"/>
                <w:szCs w:val="20"/>
                <w:lang w:val="fr-CA"/>
              </w:rPr>
              <w:t>devrait</w:t>
            </w:r>
            <w:r w:rsidRPr="00DF0A0A">
              <w:rPr>
                <w:rFonts w:eastAsia="Calibri"/>
                <w:sz w:val="20"/>
                <w:szCs w:val="20"/>
                <w:lang w:val="fr-CA"/>
              </w:rPr>
              <w:noBreakHyphen/>
              <w:t>elle</w:t>
            </w:r>
            <w:proofErr w:type="spellEnd"/>
            <w:r w:rsidRPr="00DF0A0A">
              <w:rPr>
                <w:rFonts w:eastAsia="Calibri"/>
                <w:sz w:val="20"/>
                <w:szCs w:val="20"/>
                <w:lang w:val="fr-CA"/>
              </w:rPr>
              <w:t xml:space="preserve"> </w:t>
            </w:r>
            <w:proofErr w:type="gramStart"/>
            <w:r w:rsidRPr="00DF0A0A">
              <w:rPr>
                <w:rFonts w:eastAsia="Calibri"/>
                <w:sz w:val="20"/>
                <w:szCs w:val="20"/>
                <w:lang w:val="fr-CA"/>
              </w:rPr>
              <w:t>appliquer</w:t>
            </w:r>
            <w:proofErr w:type="gramEnd"/>
            <w:r w:rsidRPr="00DF0A0A">
              <w:rPr>
                <w:rFonts w:eastAsia="Calibri"/>
                <w:sz w:val="20"/>
                <w:szCs w:val="20"/>
                <w:lang w:val="fr-CA"/>
              </w:rPr>
              <w:t xml:space="preserve"> la norme de la décision correcte en droit pour annuler les décisions des juridictions inférieures?</w:t>
            </w:r>
          </w:p>
          <w:p w:rsidR="009E6B0E" w:rsidRPr="00DF0A0A" w:rsidRDefault="009E6B0E" w:rsidP="009E6B0E">
            <w:pPr>
              <w:jc w:val="both"/>
              <w:rPr>
                <w:rFonts w:eastAsia="Calibri"/>
                <w:sz w:val="20"/>
                <w:szCs w:val="20"/>
                <w:lang w:val="fr-CA"/>
              </w:rPr>
            </w:pPr>
          </w:p>
        </w:tc>
      </w:tr>
      <w:tr w:rsidR="009E6B0E" w:rsidRPr="00DF0A0A" w:rsidTr="009E6B0E">
        <w:tc>
          <w:tcPr>
            <w:tcW w:w="5000" w:type="pct"/>
            <w:gridSpan w:val="3"/>
          </w:tcPr>
          <w:p w:rsidR="009E6B0E" w:rsidRPr="00DF0A0A" w:rsidRDefault="009E6B0E" w:rsidP="009E6B0E">
            <w:pPr>
              <w:jc w:val="both"/>
              <w:rPr>
                <w:rFonts w:eastAsia="Calibri"/>
                <w:sz w:val="20"/>
                <w:szCs w:val="20"/>
                <w:lang w:val="fr-CA"/>
              </w:rPr>
            </w:pPr>
            <w:r w:rsidRPr="00DF0A0A">
              <w:rPr>
                <w:rFonts w:eastAsia="Calibri"/>
                <w:sz w:val="20"/>
                <w:szCs w:val="20"/>
                <w:lang w:val="fr-CA"/>
              </w:rPr>
              <w:t>Le demandeur a intenté une action dans laquelle il allègue qu'une sculpture créée par l'intimé violait le droit d'auteur à l'égard de dessins que le demandeur avait créés au début des années 1970, représentant un arrangement d'un nombre infini de polygones.  L'intimé a créé une sculpture de néon constituée d'une série de polygones disposés à partir d’un triangle vertical et s'étendant par une progression de polygones dont chacun était incliné à 15 degrés vers l'horizontale et se terminant par un cercle horizontal.  Le demandeur a allégué avoir donné à l’intimé une copie de ses dessins pour considérer la réalisation d’une sculpture, mais avait confirmé que le dessin n'était pas un cadeau.  L’intimé a nié avoir vu les dessins du demandeur et a nié qu'il y avait eu violation de droit d'auteur. Il a également plaidé que l'action était prescrite.</w:t>
            </w:r>
          </w:p>
          <w:p w:rsidR="009E6B0E" w:rsidRPr="00DF0A0A" w:rsidRDefault="009E6B0E" w:rsidP="009E6B0E">
            <w:pPr>
              <w:jc w:val="both"/>
              <w:rPr>
                <w:rFonts w:eastAsia="Calibri"/>
                <w:sz w:val="20"/>
                <w:szCs w:val="20"/>
                <w:lang w:val="fr-CA"/>
              </w:rPr>
            </w:pPr>
          </w:p>
        </w:tc>
      </w:tr>
      <w:tr w:rsidR="009E6B0E" w:rsidRPr="00DF0A0A" w:rsidTr="009E6B0E">
        <w:tc>
          <w:tcPr>
            <w:tcW w:w="2427" w:type="pct"/>
          </w:tcPr>
          <w:p w:rsidR="009E6B0E" w:rsidRPr="00DF0A0A" w:rsidRDefault="009E6B0E" w:rsidP="009E6B0E">
            <w:pPr>
              <w:jc w:val="both"/>
              <w:rPr>
                <w:rFonts w:eastAsia="Calibri"/>
                <w:sz w:val="20"/>
                <w:szCs w:val="20"/>
                <w:lang w:val="fr-CA"/>
              </w:rPr>
            </w:pPr>
            <w:r w:rsidRPr="00DF0A0A">
              <w:rPr>
                <w:rFonts w:eastAsia="Calibri"/>
                <w:sz w:val="20"/>
                <w:szCs w:val="20"/>
                <w:lang w:val="fr-CA"/>
              </w:rPr>
              <w:t>17 novembre 2008</w:t>
            </w:r>
          </w:p>
          <w:p w:rsidR="009E6B0E" w:rsidRPr="00DF0A0A" w:rsidRDefault="009E6B0E" w:rsidP="009E6B0E">
            <w:pPr>
              <w:jc w:val="both"/>
              <w:rPr>
                <w:rFonts w:eastAsia="Calibri"/>
                <w:sz w:val="20"/>
                <w:szCs w:val="20"/>
                <w:lang w:val="fr-CA"/>
              </w:rPr>
            </w:pPr>
            <w:r w:rsidRPr="00DF0A0A">
              <w:rPr>
                <w:rFonts w:eastAsia="Calibri"/>
                <w:sz w:val="20"/>
                <w:szCs w:val="20"/>
                <w:lang w:val="fr-CA"/>
              </w:rPr>
              <w:t xml:space="preserve">Cour supérieure de justice de l'Ontario </w:t>
            </w:r>
          </w:p>
          <w:p w:rsidR="009E6B0E" w:rsidRPr="00DF0A0A" w:rsidRDefault="009E6B0E" w:rsidP="009E6B0E">
            <w:pPr>
              <w:jc w:val="both"/>
              <w:rPr>
                <w:rFonts w:eastAsia="Calibri"/>
                <w:sz w:val="20"/>
                <w:szCs w:val="20"/>
                <w:lang w:val="fr-CA"/>
              </w:rPr>
            </w:pPr>
            <w:r w:rsidRPr="00DF0A0A">
              <w:rPr>
                <w:rFonts w:eastAsia="Calibri"/>
                <w:sz w:val="20"/>
                <w:szCs w:val="20"/>
                <w:lang w:val="fr-CA"/>
              </w:rPr>
              <w:t>(Juge Taylor)</w:t>
            </w:r>
          </w:p>
          <w:p w:rsidR="009E6B0E" w:rsidRPr="00DF0A0A" w:rsidRDefault="009E6B0E" w:rsidP="009E6B0E">
            <w:pPr>
              <w:jc w:val="both"/>
              <w:rPr>
                <w:rFonts w:eastAsia="Calibri"/>
                <w:sz w:val="20"/>
                <w:szCs w:val="20"/>
                <w:lang w:val="fr-CA"/>
              </w:rPr>
            </w:pPr>
            <w:r w:rsidRPr="00DF0A0A">
              <w:rPr>
                <w:rFonts w:eastAsia="Calibri"/>
                <w:sz w:val="20"/>
                <w:szCs w:val="20"/>
                <w:lang w:val="fr-CA"/>
              </w:rPr>
              <w:t xml:space="preserve">2008 </w:t>
            </w:r>
            <w:proofErr w:type="spellStart"/>
            <w:r w:rsidRPr="00DF0A0A">
              <w:rPr>
                <w:rFonts w:eastAsia="Calibri"/>
                <w:sz w:val="20"/>
                <w:szCs w:val="20"/>
                <w:lang w:val="fr-CA"/>
              </w:rPr>
              <w:t>CanLII</w:t>
            </w:r>
            <w:proofErr w:type="spellEnd"/>
            <w:r w:rsidRPr="00DF0A0A">
              <w:rPr>
                <w:rFonts w:eastAsia="Calibri"/>
                <w:sz w:val="20"/>
                <w:szCs w:val="20"/>
                <w:lang w:val="fr-CA"/>
              </w:rPr>
              <w:t xml:space="preserve"> 64395</w:t>
            </w:r>
          </w:p>
          <w:p w:rsidR="009E6B0E" w:rsidRPr="00DF0A0A" w:rsidRDefault="009E6B0E" w:rsidP="009E6B0E">
            <w:pPr>
              <w:jc w:val="both"/>
              <w:rPr>
                <w:rFonts w:eastAsia="Calibri"/>
                <w:sz w:val="20"/>
                <w:szCs w:val="20"/>
                <w:lang w:val="fr-CA"/>
              </w:rPr>
            </w:pPr>
          </w:p>
        </w:tc>
        <w:tc>
          <w:tcPr>
            <w:tcW w:w="243" w:type="pct"/>
          </w:tcPr>
          <w:p w:rsidR="009E6B0E" w:rsidRPr="00DF0A0A" w:rsidRDefault="009E6B0E" w:rsidP="009E6B0E">
            <w:pPr>
              <w:jc w:val="both"/>
              <w:rPr>
                <w:rFonts w:eastAsia="Calibri"/>
                <w:sz w:val="20"/>
                <w:szCs w:val="20"/>
                <w:lang w:val="fr-CA"/>
              </w:rPr>
            </w:pPr>
          </w:p>
        </w:tc>
        <w:tc>
          <w:tcPr>
            <w:tcW w:w="2330" w:type="pct"/>
          </w:tcPr>
          <w:p w:rsidR="009E6B0E" w:rsidRPr="00DF0A0A" w:rsidRDefault="009E6B0E" w:rsidP="009E6B0E">
            <w:pPr>
              <w:jc w:val="both"/>
              <w:rPr>
                <w:rFonts w:eastAsia="Calibri"/>
                <w:sz w:val="20"/>
                <w:szCs w:val="20"/>
                <w:lang w:val="fr-CA"/>
              </w:rPr>
            </w:pPr>
            <w:r w:rsidRPr="00DF0A0A">
              <w:rPr>
                <w:rFonts w:eastAsia="Calibri"/>
                <w:sz w:val="20"/>
                <w:szCs w:val="20"/>
                <w:lang w:val="fr-CA"/>
              </w:rPr>
              <w:t>Action du demandeur, rejetée</w:t>
            </w:r>
          </w:p>
          <w:p w:rsidR="009E6B0E" w:rsidRPr="00DF0A0A" w:rsidRDefault="009E6B0E" w:rsidP="009E6B0E">
            <w:pPr>
              <w:jc w:val="both"/>
              <w:rPr>
                <w:rFonts w:eastAsia="Calibri"/>
                <w:sz w:val="20"/>
                <w:szCs w:val="20"/>
                <w:lang w:val="fr-CA"/>
              </w:rPr>
            </w:pPr>
          </w:p>
        </w:tc>
      </w:tr>
      <w:tr w:rsidR="009E6B0E" w:rsidRPr="00DF0A0A" w:rsidTr="009E6B0E">
        <w:tc>
          <w:tcPr>
            <w:tcW w:w="2427" w:type="pct"/>
          </w:tcPr>
          <w:p w:rsidR="009E6B0E" w:rsidRPr="00DF0A0A" w:rsidRDefault="009E6B0E" w:rsidP="009E6B0E">
            <w:pPr>
              <w:jc w:val="both"/>
              <w:rPr>
                <w:rFonts w:eastAsia="Calibri"/>
                <w:sz w:val="20"/>
                <w:szCs w:val="20"/>
                <w:lang w:val="fr-CA"/>
              </w:rPr>
            </w:pPr>
            <w:r w:rsidRPr="00DF0A0A">
              <w:rPr>
                <w:rFonts w:eastAsia="Calibri"/>
                <w:sz w:val="20"/>
                <w:szCs w:val="20"/>
                <w:lang w:val="fr-CA"/>
              </w:rPr>
              <w:t>14 avril 2010</w:t>
            </w:r>
          </w:p>
          <w:p w:rsidR="009E6B0E" w:rsidRPr="00DF0A0A" w:rsidRDefault="009E6B0E" w:rsidP="009E6B0E">
            <w:pPr>
              <w:jc w:val="both"/>
              <w:rPr>
                <w:rFonts w:eastAsia="Calibri"/>
                <w:sz w:val="20"/>
                <w:szCs w:val="20"/>
                <w:lang w:val="fr-CA"/>
              </w:rPr>
            </w:pPr>
            <w:r w:rsidRPr="00DF0A0A">
              <w:rPr>
                <w:rFonts w:eastAsia="Calibri"/>
                <w:sz w:val="20"/>
                <w:szCs w:val="20"/>
                <w:lang w:val="fr-CA"/>
              </w:rPr>
              <w:t>Cour d'appel de l’Ontario</w:t>
            </w:r>
          </w:p>
          <w:p w:rsidR="009E6B0E" w:rsidRPr="00DF0A0A" w:rsidRDefault="009E6B0E" w:rsidP="009E6B0E">
            <w:pPr>
              <w:jc w:val="both"/>
              <w:rPr>
                <w:rFonts w:eastAsia="Calibri"/>
                <w:sz w:val="20"/>
                <w:szCs w:val="20"/>
                <w:lang w:val="fr-CA"/>
              </w:rPr>
            </w:pPr>
            <w:r w:rsidRPr="00DF0A0A">
              <w:rPr>
                <w:rFonts w:eastAsia="Calibri"/>
                <w:sz w:val="20"/>
                <w:szCs w:val="20"/>
                <w:lang w:val="fr-CA"/>
              </w:rPr>
              <w:t xml:space="preserve">(Juges </w:t>
            </w:r>
            <w:proofErr w:type="spellStart"/>
            <w:r w:rsidRPr="00DF0A0A">
              <w:rPr>
                <w:rFonts w:eastAsia="Calibri"/>
                <w:sz w:val="20"/>
                <w:szCs w:val="20"/>
                <w:lang w:val="fr-CA"/>
              </w:rPr>
              <w:t>Gillese</w:t>
            </w:r>
            <w:proofErr w:type="spellEnd"/>
            <w:r w:rsidRPr="00DF0A0A">
              <w:rPr>
                <w:rFonts w:eastAsia="Calibri"/>
                <w:sz w:val="20"/>
                <w:szCs w:val="20"/>
                <w:lang w:val="fr-CA"/>
              </w:rPr>
              <w:t>, Lang et Rouleau)</w:t>
            </w:r>
          </w:p>
          <w:p w:rsidR="009E6B0E" w:rsidRPr="00DF0A0A" w:rsidRDefault="009E6B0E" w:rsidP="009E6B0E">
            <w:pPr>
              <w:jc w:val="both"/>
              <w:rPr>
                <w:rFonts w:eastAsia="Calibri"/>
                <w:sz w:val="20"/>
                <w:szCs w:val="20"/>
                <w:lang w:val="fr-CA"/>
              </w:rPr>
            </w:pPr>
            <w:r w:rsidRPr="00DF0A0A">
              <w:rPr>
                <w:rFonts w:eastAsia="Calibri"/>
                <w:sz w:val="20"/>
                <w:szCs w:val="20"/>
                <w:lang w:val="fr-CA"/>
              </w:rPr>
              <w:t>2010 ONCA 271; C49770</w:t>
            </w:r>
          </w:p>
          <w:p w:rsidR="009E6B0E" w:rsidRPr="00DF0A0A" w:rsidRDefault="009E6B0E" w:rsidP="009E6B0E">
            <w:pPr>
              <w:jc w:val="both"/>
              <w:rPr>
                <w:rFonts w:eastAsia="Calibri"/>
                <w:sz w:val="20"/>
                <w:szCs w:val="20"/>
                <w:lang w:val="fr-CA"/>
              </w:rPr>
            </w:pPr>
          </w:p>
        </w:tc>
        <w:tc>
          <w:tcPr>
            <w:tcW w:w="243" w:type="pct"/>
          </w:tcPr>
          <w:p w:rsidR="009E6B0E" w:rsidRPr="00DF0A0A" w:rsidRDefault="009E6B0E" w:rsidP="009E6B0E">
            <w:pPr>
              <w:jc w:val="both"/>
              <w:rPr>
                <w:rFonts w:eastAsia="Calibri"/>
                <w:sz w:val="20"/>
                <w:szCs w:val="20"/>
                <w:lang w:val="fr-CA"/>
              </w:rPr>
            </w:pPr>
          </w:p>
        </w:tc>
        <w:tc>
          <w:tcPr>
            <w:tcW w:w="2330" w:type="pct"/>
          </w:tcPr>
          <w:p w:rsidR="009E6B0E" w:rsidRPr="00DF0A0A" w:rsidRDefault="009E6B0E" w:rsidP="009E6B0E">
            <w:pPr>
              <w:jc w:val="both"/>
              <w:rPr>
                <w:rFonts w:eastAsia="Calibri"/>
                <w:sz w:val="20"/>
                <w:szCs w:val="20"/>
                <w:lang w:val="fr-CA"/>
              </w:rPr>
            </w:pPr>
            <w:r w:rsidRPr="00DF0A0A">
              <w:rPr>
                <w:rFonts w:eastAsia="Calibri"/>
                <w:sz w:val="20"/>
                <w:szCs w:val="20"/>
                <w:lang w:val="fr-CA"/>
              </w:rPr>
              <w:t>Appel rejeté</w:t>
            </w:r>
          </w:p>
          <w:p w:rsidR="009E6B0E" w:rsidRPr="00DF0A0A" w:rsidRDefault="009E6B0E" w:rsidP="009E6B0E">
            <w:pPr>
              <w:jc w:val="both"/>
              <w:rPr>
                <w:rFonts w:eastAsia="Calibri"/>
                <w:sz w:val="20"/>
                <w:szCs w:val="20"/>
                <w:lang w:val="fr-CA"/>
              </w:rPr>
            </w:pPr>
          </w:p>
        </w:tc>
      </w:tr>
    </w:tbl>
    <w:p w:rsidR="00F74132" w:rsidRDefault="00F74132"/>
    <w:p w:rsidR="00F74132" w:rsidRDefault="00F74132">
      <w:r>
        <w:br w:type="page"/>
      </w:r>
    </w:p>
    <w:tbl>
      <w:tblPr>
        <w:tblW w:w="4952" w:type="pct"/>
        <w:tblInd w:w="2" w:type="dxa"/>
        <w:tblLayout w:type="fixed"/>
        <w:tblCellMar>
          <w:left w:w="0" w:type="dxa"/>
          <w:bottom w:w="99" w:type="dxa"/>
          <w:right w:w="0" w:type="dxa"/>
        </w:tblCellMar>
        <w:tblLook w:val="00A0"/>
      </w:tblPr>
      <w:tblGrid>
        <w:gridCol w:w="4624"/>
        <w:gridCol w:w="463"/>
        <w:gridCol w:w="4440"/>
      </w:tblGrid>
      <w:tr w:rsidR="009E6B0E" w:rsidRPr="00406D3C" w:rsidTr="00F74132">
        <w:trPr>
          <w:cantSplit/>
        </w:trPr>
        <w:tc>
          <w:tcPr>
            <w:tcW w:w="2427" w:type="pct"/>
          </w:tcPr>
          <w:p w:rsidR="009E6B0E" w:rsidRPr="00DF0A0A" w:rsidRDefault="009E6B0E" w:rsidP="009E6B0E">
            <w:pPr>
              <w:jc w:val="both"/>
              <w:rPr>
                <w:rFonts w:eastAsia="Calibri"/>
                <w:sz w:val="20"/>
                <w:szCs w:val="20"/>
                <w:lang w:val="fr-CA"/>
              </w:rPr>
            </w:pPr>
            <w:r w:rsidRPr="00DF0A0A">
              <w:rPr>
                <w:rFonts w:eastAsia="Calibri"/>
                <w:sz w:val="20"/>
                <w:szCs w:val="20"/>
                <w:lang w:val="fr-CA"/>
              </w:rPr>
              <w:lastRenderedPageBreak/>
              <w:t>10 novembre 2010</w:t>
            </w:r>
          </w:p>
          <w:p w:rsidR="009E6B0E" w:rsidRPr="00DF0A0A" w:rsidRDefault="009E6B0E" w:rsidP="009E6B0E">
            <w:pPr>
              <w:jc w:val="both"/>
              <w:rPr>
                <w:rFonts w:eastAsia="Calibri"/>
                <w:sz w:val="20"/>
                <w:szCs w:val="20"/>
                <w:lang w:val="fr-CA"/>
              </w:rPr>
            </w:pPr>
            <w:r w:rsidRPr="00DF0A0A">
              <w:rPr>
                <w:rFonts w:eastAsia="Calibri"/>
                <w:sz w:val="20"/>
                <w:szCs w:val="20"/>
                <w:lang w:val="fr-CA"/>
              </w:rPr>
              <w:t>Cour suprême du Canada</w:t>
            </w:r>
          </w:p>
        </w:tc>
        <w:tc>
          <w:tcPr>
            <w:tcW w:w="243" w:type="pct"/>
          </w:tcPr>
          <w:p w:rsidR="009E6B0E" w:rsidRPr="00DF0A0A" w:rsidRDefault="009E6B0E" w:rsidP="009E6B0E">
            <w:pPr>
              <w:jc w:val="both"/>
              <w:rPr>
                <w:rFonts w:eastAsia="Calibri"/>
                <w:sz w:val="20"/>
                <w:szCs w:val="20"/>
                <w:lang w:val="fr-CA"/>
              </w:rPr>
            </w:pPr>
          </w:p>
        </w:tc>
        <w:tc>
          <w:tcPr>
            <w:tcW w:w="2330" w:type="pct"/>
          </w:tcPr>
          <w:p w:rsidR="009E6B0E" w:rsidRPr="00DF0A0A" w:rsidRDefault="009E6B0E" w:rsidP="009E6B0E">
            <w:pPr>
              <w:jc w:val="both"/>
              <w:rPr>
                <w:rFonts w:eastAsia="Calibri"/>
                <w:sz w:val="20"/>
                <w:szCs w:val="20"/>
                <w:lang w:val="fr-CA"/>
              </w:rPr>
            </w:pPr>
            <w:r w:rsidRPr="00DF0A0A">
              <w:rPr>
                <w:rFonts w:eastAsia="Calibri"/>
                <w:sz w:val="20"/>
                <w:szCs w:val="20"/>
                <w:lang w:val="fr-CA"/>
              </w:rPr>
              <w:t>Demande d'autorisation d’appel et requête en prorogation de délai, déposée</w:t>
            </w:r>
          </w:p>
        </w:tc>
      </w:tr>
    </w:tbl>
    <w:p w:rsidR="00610966" w:rsidRPr="009E6B0E" w:rsidRDefault="00610966" w:rsidP="00610966">
      <w:pPr>
        <w:rPr>
          <w:b/>
          <w:sz w:val="20"/>
          <w:szCs w:val="20"/>
          <w:lang w:val="fr-CA"/>
        </w:rPr>
      </w:pPr>
    </w:p>
    <w:p w:rsidR="00610966" w:rsidRDefault="00C478F8" w:rsidP="00610966">
      <w:pPr>
        <w:rPr>
          <w:b/>
          <w:sz w:val="20"/>
          <w:szCs w:val="20"/>
        </w:rPr>
      </w:pPr>
      <w:r w:rsidRPr="00C478F8">
        <w:rPr>
          <w:sz w:val="20"/>
          <w:szCs w:val="20"/>
          <w:lang w:val="fr-CA"/>
        </w:rPr>
        <w:pict>
          <v:rect id="_x0000_i1040" style="width:2in;height:1pt" o:hrpct="0" o:hralign="center" o:hrstd="t" o:hrnoshade="t" o:hr="t" fillcolor="black [3213]" stroked="f"/>
        </w:pict>
      </w:r>
    </w:p>
    <w:p w:rsidR="00610966" w:rsidRDefault="00610966" w:rsidP="00610966">
      <w:pPr>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A3C7A" w:rsidRPr="001A3C7A" w:rsidTr="0027596E">
        <w:trPr>
          <w:cantSplit/>
        </w:trPr>
        <w:tc>
          <w:tcPr>
            <w:tcW w:w="1458" w:type="dxa"/>
          </w:tcPr>
          <w:p w:rsidR="001A3C7A" w:rsidRPr="001A3C7A" w:rsidRDefault="001A3C7A" w:rsidP="0027596E">
            <w:pPr>
              <w:rPr>
                <w:sz w:val="20"/>
                <w:szCs w:val="20"/>
              </w:rPr>
            </w:pPr>
            <w:r w:rsidRPr="001A3C7A">
              <w:rPr>
                <w:rStyle w:val="SCCFileNumberChar"/>
                <w:sz w:val="20"/>
                <w:szCs w:val="20"/>
              </w:rPr>
              <w:t>33962</w:t>
            </w:r>
          </w:p>
          <w:p w:rsidR="001A3C7A" w:rsidRPr="001A3C7A" w:rsidRDefault="001A3C7A" w:rsidP="0027596E">
            <w:pPr>
              <w:rPr>
                <w:b/>
                <w:sz w:val="20"/>
                <w:szCs w:val="20"/>
                <w:lang w:val="fr-CA"/>
              </w:rPr>
            </w:pPr>
          </w:p>
        </w:tc>
        <w:tc>
          <w:tcPr>
            <w:tcW w:w="8118" w:type="dxa"/>
          </w:tcPr>
          <w:p w:rsidR="001A3C7A" w:rsidRPr="001A3C7A" w:rsidRDefault="001A3C7A" w:rsidP="001A3C7A">
            <w:pPr>
              <w:jc w:val="both"/>
              <w:rPr>
                <w:sz w:val="20"/>
                <w:szCs w:val="20"/>
              </w:rPr>
            </w:pPr>
            <w:r w:rsidRPr="001A3C7A">
              <w:rPr>
                <w:rStyle w:val="SCCLsocChar"/>
                <w:sz w:val="20"/>
                <w:szCs w:val="20"/>
                <w:lang w:val="en-CA"/>
              </w:rPr>
              <w:t xml:space="preserve">Claudette </w:t>
            </w:r>
            <w:proofErr w:type="spellStart"/>
            <w:r w:rsidRPr="001A3C7A">
              <w:rPr>
                <w:rStyle w:val="SCCLsocChar"/>
                <w:sz w:val="20"/>
                <w:szCs w:val="20"/>
                <w:lang w:val="en-CA"/>
              </w:rPr>
              <w:t>Losier</w:t>
            </w:r>
            <w:proofErr w:type="spellEnd"/>
            <w:r w:rsidRPr="001A3C7A">
              <w:rPr>
                <w:rStyle w:val="SCCLsocChar"/>
                <w:sz w:val="20"/>
                <w:szCs w:val="20"/>
                <w:lang w:val="en-CA"/>
              </w:rPr>
              <w:t xml:space="preserve"> v. Attorney General of Ontario, Ontario Human Rights Commission, Dina </w:t>
            </w:r>
            <w:proofErr w:type="spellStart"/>
            <w:r w:rsidRPr="001A3C7A">
              <w:rPr>
                <w:rStyle w:val="SCCLsocChar"/>
                <w:sz w:val="20"/>
                <w:szCs w:val="20"/>
                <w:lang w:val="en-CA"/>
              </w:rPr>
              <w:t>Waik</w:t>
            </w:r>
            <w:proofErr w:type="spellEnd"/>
            <w:r w:rsidRPr="001A3C7A">
              <w:rPr>
                <w:rStyle w:val="SCCLsocChar"/>
                <w:sz w:val="20"/>
                <w:szCs w:val="20"/>
                <w:lang w:val="en-CA"/>
              </w:rPr>
              <w:t xml:space="preserve">, Shannon Meadows-Lee AND BETWEEN Claudette </w:t>
            </w:r>
            <w:proofErr w:type="spellStart"/>
            <w:r w:rsidRPr="001A3C7A">
              <w:rPr>
                <w:rStyle w:val="SCCLsocChar"/>
                <w:sz w:val="20"/>
                <w:szCs w:val="20"/>
                <w:lang w:val="en-CA"/>
              </w:rPr>
              <w:t>Losier</w:t>
            </w:r>
            <w:proofErr w:type="spellEnd"/>
            <w:r w:rsidRPr="001A3C7A">
              <w:rPr>
                <w:rStyle w:val="SCCLsocChar"/>
                <w:sz w:val="20"/>
                <w:szCs w:val="20"/>
                <w:lang w:val="en-CA"/>
              </w:rPr>
              <w:t xml:space="preserve"> v. Attorney General of Ontario, Ontario Human Rights Commission, Dina </w:t>
            </w:r>
            <w:proofErr w:type="spellStart"/>
            <w:r w:rsidRPr="001A3C7A">
              <w:rPr>
                <w:rStyle w:val="SCCLsocChar"/>
                <w:sz w:val="20"/>
                <w:szCs w:val="20"/>
                <w:lang w:val="en-CA"/>
              </w:rPr>
              <w:t>Waik</w:t>
            </w:r>
            <w:proofErr w:type="spellEnd"/>
            <w:r w:rsidR="00F74132">
              <w:rPr>
                <w:rStyle w:val="SCCLsocChar"/>
                <w:sz w:val="20"/>
                <w:szCs w:val="20"/>
                <w:lang w:val="en-CA"/>
              </w:rPr>
              <w:t xml:space="preserve"> and</w:t>
            </w:r>
            <w:r w:rsidRPr="001A3C7A">
              <w:rPr>
                <w:rStyle w:val="SCCLsocChar"/>
                <w:sz w:val="20"/>
                <w:szCs w:val="20"/>
                <w:lang w:val="en-CA"/>
              </w:rPr>
              <w:t xml:space="preserve"> Shannon Meadows-Lee</w:t>
            </w:r>
            <w:r w:rsidRPr="001A3C7A">
              <w:rPr>
                <w:sz w:val="20"/>
                <w:szCs w:val="20"/>
              </w:rPr>
              <w:t xml:space="preserve"> (Ont.) (Civil) (By Leave)</w:t>
            </w:r>
          </w:p>
          <w:p w:rsidR="001A3C7A" w:rsidRPr="001A3C7A" w:rsidRDefault="001A3C7A" w:rsidP="0027596E">
            <w:pPr>
              <w:rPr>
                <w:sz w:val="20"/>
                <w:szCs w:val="20"/>
              </w:rPr>
            </w:pPr>
          </w:p>
        </w:tc>
      </w:tr>
      <w:tr w:rsidR="001A3C7A" w:rsidRPr="001A3C7A" w:rsidTr="0027596E">
        <w:trPr>
          <w:cantSplit/>
        </w:trPr>
        <w:tc>
          <w:tcPr>
            <w:tcW w:w="1458" w:type="dxa"/>
          </w:tcPr>
          <w:p w:rsidR="001A3C7A" w:rsidRPr="001A3C7A" w:rsidRDefault="001A3C7A" w:rsidP="0027596E">
            <w:pPr>
              <w:rPr>
                <w:sz w:val="20"/>
                <w:szCs w:val="20"/>
              </w:rPr>
            </w:pPr>
            <w:r w:rsidRPr="001A3C7A">
              <w:rPr>
                <w:sz w:val="20"/>
                <w:szCs w:val="20"/>
              </w:rPr>
              <w:t>Coram :</w:t>
            </w:r>
          </w:p>
        </w:tc>
        <w:tc>
          <w:tcPr>
            <w:tcW w:w="8118" w:type="dxa"/>
          </w:tcPr>
          <w:p w:rsidR="001A3C7A" w:rsidRPr="001A3C7A" w:rsidRDefault="001A3C7A" w:rsidP="0027596E">
            <w:pPr>
              <w:rPr>
                <w:sz w:val="20"/>
                <w:szCs w:val="20"/>
              </w:rPr>
            </w:pPr>
            <w:proofErr w:type="spellStart"/>
            <w:r w:rsidRPr="001A3C7A">
              <w:rPr>
                <w:rStyle w:val="SCCCoramChar"/>
                <w:sz w:val="20"/>
                <w:szCs w:val="20"/>
                <w:lang w:val="en-CA"/>
              </w:rPr>
              <w:t>Binnie</w:t>
            </w:r>
            <w:proofErr w:type="spellEnd"/>
            <w:r w:rsidRPr="001A3C7A">
              <w:rPr>
                <w:rStyle w:val="SCCCoramChar"/>
                <w:sz w:val="20"/>
                <w:szCs w:val="20"/>
                <w:lang w:val="en-CA"/>
              </w:rPr>
              <w:t>, Fish and Rothstein JJ.</w:t>
            </w:r>
          </w:p>
          <w:p w:rsidR="001A3C7A" w:rsidRPr="001A3C7A" w:rsidRDefault="001A3C7A" w:rsidP="0027596E">
            <w:pPr>
              <w:rPr>
                <w:sz w:val="20"/>
                <w:szCs w:val="20"/>
                <w:u w:val="single"/>
              </w:rPr>
            </w:pPr>
          </w:p>
        </w:tc>
      </w:tr>
      <w:tr w:rsidR="001A3C7A" w:rsidRPr="00406D3C" w:rsidTr="0027596E">
        <w:trPr>
          <w:cantSplit/>
        </w:trPr>
        <w:tc>
          <w:tcPr>
            <w:tcW w:w="9576" w:type="dxa"/>
            <w:gridSpan w:val="2"/>
          </w:tcPr>
          <w:p w:rsidR="001A3C7A" w:rsidRPr="001A3C7A" w:rsidRDefault="001A3C7A" w:rsidP="0027596E">
            <w:pPr>
              <w:pStyle w:val="SCCShortJudgment"/>
              <w:rPr>
                <w:szCs w:val="20"/>
              </w:rPr>
            </w:pPr>
            <w:r w:rsidRPr="001A3C7A">
              <w:rPr>
                <w:szCs w:val="20"/>
              </w:rPr>
              <w:t>The application for leave to appeal from the judgment of the Court of Appeal for Ontario, Number C50990, 2010 ONCA 613, dated September 22, 2010, is dismissed with costs.</w:t>
            </w:r>
          </w:p>
          <w:p w:rsidR="001A3C7A" w:rsidRPr="001A3C7A" w:rsidRDefault="001A3C7A" w:rsidP="0027596E">
            <w:pPr>
              <w:pStyle w:val="SCCShortJudgment"/>
              <w:ind w:firstLine="0"/>
              <w:rPr>
                <w:szCs w:val="20"/>
              </w:rPr>
            </w:pPr>
          </w:p>
          <w:p w:rsidR="001A3C7A" w:rsidRPr="001A3C7A" w:rsidRDefault="001A3C7A" w:rsidP="00925A77">
            <w:pPr>
              <w:pStyle w:val="SCCShortJudgment"/>
              <w:rPr>
                <w:szCs w:val="20"/>
                <w:lang w:val="fr-CA"/>
              </w:rPr>
            </w:pPr>
            <w:r w:rsidRPr="001A3C7A">
              <w:rPr>
                <w:szCs w:val="20"/>
                <w:lang w:val="fr-CA"/>
              </w:rPr>
              <w:t>La demande d’autorisation d’appel de l’arrêt de la Cour d’appel de l’Ontario, numéro C50990, 2010 ONCA 613, daté du 22 septembre 2010, est rejetée avec dépens.</w:t>
            </w:r>
          </w:p>
        </w:tc>
      </w:tr>
    </w:tbl>
    <w:p w:rsidR="00610966" w:rsidRPr="001A3C7A" w:rsidRDefault="00610966" w:rsidP="00610966">
      <w:pPr>
        <w:rPr>
          <w:b/>
          <w:sz w:val="20"/>
          <w:szCs w:val="20"/>
          <w:lang w:val="fr-CA"/>
        </w:rPr>
      </w:pPr>
    </w:p>
    <w:p w:rsidR="00610966" w:rsidRDefault="00610966" w:rsidP="00610966">
      <w:pPr>
        <w:rPr>
          <w:sz w:val="20"/>
          <w:szCs w:val="20"/>
        </w:rPr>
      </w:pPr>
      <w:r>
        <w:rPr>
          <w:sz w:val="20"/>
          <w:szCs w:val="20"/>
          <w:u w:val="single"/>
        </w:rPr>
        <w:t>CASE SUMMARY</w:t>
      </w:r>
    </w:p>
    <w:p w:rsidR="00610966" w:rsidRDefault="00610966" w:rsidP="0061096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22D4A" w:rsidRPr="00DF0A0A" w:rsidTr="00496DC7">
        <w:tc>
          <w:tcPr>
            <w:tcW w:w="5000" w:type="pct"/>
            <w:gridSpan w:val="3"/>
          </w:tcPr>
          <w:p w:rsidR="00122D4A" w:rsidRPr="00DF0A0A" w:rsidRDefault="00122D4A" w:rsidP="00496DC7">
            <w:pPr>
              <w:jc w:val="both"/>
              <w:rPr>
                <w:rFonts w:eastAsia="Calibri"/>
                <w:sz w:val="20"/>
              </w:rPr>
            </w:pPr>
            <w:r w:rsidRPr="00DF0A0A">
              <w:rPr>
                <w:rFonts w:eastAsia="Calibri"/>
                <w:sz w:val="20"/>
              </w:rPr>
              <w:t xml:space="preserve">Courts – Procedure – Applications to strike statements of claim for want of </w:t>
            </w:r>
            <w:proofErr w:type="spellStart"/>
            <w:r w:rsidRPr="00DF0A0A">
              <w:rPr>
                <w:rFonts w:eastAsia="Calibri"/>
                <w:sz w:val="20"/>
              </w:rPr>
              <w:t>triable</w:t>
            </w:r>
            <w:proofErr w:type="spellEnd"/>
            <w:r w:rsidRPr="00DF0A0A">
              <w:rPr>
                <w:rFonts w:eastAsia="Calibri"/>
                <w:sz w:val="20"/>
              </w:rPr>
              <w:t xml:space="preserve"> issues – Case arising in context of employment law, with allegations of sexual harassment, wrongful dismissal and with claims in tort, including negligence - Whether Court of Appeal did not deal with all of applicant’s substantive issues arising from trial judge’s “improper and bald analysis on torts, immunity and discretion breaching legal authorities” – Whether the Court of Appeal did not deal with substantive issues with respect to discriminatory retaliation - Whether the Court of Appeal intentionally misapplied the law to protect the Attorney General, a former SCC law clerk.</w:t>
            </w:r>
          </w:p>
          <w:p w:rsidR="00122D4A" w:rsidRPr="00DF0A0A" w:rsidRDefault="00122D4A" w:rsidP="00496DC7">
            <w:pPr>
              <w:jc w:val="both"/>
              <w:rPr>
                <w:rFonts w:eastAsia="Calibri"/>
                <w:smallCaps/>
                <w:sz w:val="20"/>
              </w:rPr>
            </w:pPr>
          </w:p>
        </w:tc>
      </w:tr>
      <w:tr w:rsidR="00122D4A" w:rsidRPr="00DF0A0A" w:rsidTr="00496DC7">
        <w:tc>
          <w:tcPr>
            <w:tcW w:w="5000" w:type="pct"/>
            <w:gridSpan w:val="3"/>
          </w:tcPr>
          <w:p w:rsidR="00122D4A" w:rsidRPr="00DF0A0A" w:rsidRDefault="00122D4A" w:rsidP="00496DC7">
            <w:pPr>
              <w:jc w:val="both"/>
              <w:rPr>
                <w:rFonts w:eastAsia="Calibri"/>
                <w:sz w:val="20"/>
              </w:rPr>
            </w:pPr>
            <w:r w:rsidRPr="00DF0A0A">
              <w:rPr>
                <w:rFonts w:eastAsia="Calibri"/>
                <w:sz w:val="20"/>
              </w:rPr>
              <w:t xml:space="preserve">The respondents brought motions in two actions to strike out the statements of claim.  The actions arose because of sexual harassment and wrongful dismissal claim against former employers and, with respect to the Minister of the Attorney General, the Ontario Human Rights Commission and two of its employees, because </w:t>
            </w:r>
            <w:proofErr w:type="gramStart"/>
            <w:r w:rsidRPr="00DF0A0A">
              <w:rPr>
                <w:rFonts w:eastAsia="Calibri"/>
                <w:sz w:val="20"/>
              </w:rPr>
              <w:t>of  the</w:t>
            </w:r>
            <w:proofErr w:type="gramEnd"/>
            <w:r w:rsidRPr="00DF0A0A">
              <w:rPr>
                <w:rFonts w:eastAsia="Calibri"/>
                <w:sz w:val="20"/>
              </w:rPr>
              <w:t xml:space="preserve"> Commission’s decision not to take action on nine complaints filed with it on the allegations of  negligence, misfeasance, injurious falsehood, emotional distress and defamation. </w:t>
            </w:r>
          </w:p>
          <w:p w:rsidR="00122D4A" w:rsidRPr="00DF0A0A" w:rsidRDefault="00122D4A" w:rsidP="00496DC7">
            <w:pPr>
              <w:jc w:val="both"/>
              <w:rPr>
                <w:rFonts w:eastAsia="Calibri"/>
                <w:sz w:val="20"/>
              </w:rPr>
            </w:pPr>
          </w:p>
        </w:tc>
      </w:tr>
      <w:tr w:rsidR="00122D4A" w:rsidRPr="00DF0A0A" w:rsidTr="00496DC7">
        <w:tc>
          <w:tcPr>
            <w:tcW w:w="2427" w:type="pct"/>
          </w:tcPr>
          <w:p w:rsidR="00122D4A" w:rsidRPr="00DF0A0A" w:rsidRDefault="00122D4A" w:rsidP="00496DC7">
            <w:pPr>
              <w:jc w:val="both"/>
              <w:rPr>
                <w:rFonts w:eastAsia="Calibri"/>
                <w:sz w:val="20"/>
              </w:rPr>
            </w:pPr>
            <w:r w:rsidRPr="00DF0A0A">
              <w:rPr>
                <w:rFonts w:eastAsia="Calibri"/>
                <w:sz w:val="20"/>
              </w:rPr>
              <w:t>August 21, 2009</w:t>
            </w:r>
          </w:p>
          <w:p w:rsidR="00122D4A" w:rsidRPr="00DF0A0A" w:rsidRDefault="00122D4A" w:rsidP="00496DC7">
            <w:pPr>
              <w:jc w:val="both"/>
              <w:rPr>
                <w:rFonts w:eastAsia="Calibri"/>
                <w:sz w:val="20"/>
              </w:rPr>
            </w:pPr>
            <w:r w:rsidRPr="00DF0A0A">
              <w:rPr>
                <w:rFonts w:eastAsia="Calibri"/>
                <w:sz w:val="20"/>
              </w:rPr>
              <w:t>Ontario Superior Court of Justice</w:t>
            </w:r>
          </w:p>
          <w:p w:rsidR="00122D4A" w:rsidRPr="00DF0A0A" w:rsidRDefault="00122D4A" w:rsidP="00496DC7">
            <w:pPr>
              <w:jc w:val="both"/>
              <w:rPr>
                <w:rFonts w:eastAsia="Calibri"/>
                <w:sz w:val="20"/>
              </w:rPr>
            </w:pPr>
            <w:r w:rsidRPr="00DF0A0A">
              <w:rPr>
                <w:rFonts w:eastAsia="Calibri"/>
                <w:sz w:val="20"/>
              </w:rPr>
              <w:t>(</w:t>
            </w:r>
            <w:proofErr w:type="spellStart"/>
            <w:r w:rsidRPr="00DF0A0A">
              <w:rPr>
                <w:rFonts w:eastAsia="Calibri"/>
                <w:sz w:val="20"/>
              </w:rPr>
              <w:t>Lofchik</w:t>
            </w:r>
            <w:proofErr w:type="spellEnd"/>
            <w:r w:rsidRPr="00DF0A0A">
              <w:rPr>
                <w:rFonts w:eastAsia="Calibri"/>
                <w:sz w:val="20"/>
              </w:rPr>
              <w:t xml:space="preserve"> J.)</w:t>
            </w:r>
          </w:p>
          <w:p w:rsidR="00122D4A" w:rsidRPr="00DF0A0A" w:rsidRDefault="00122D4A" w:rsidP="00496DC7">
            <w:pPr>
              <w:jc w:val="both"/>
              <w:rPr>
                <w:rFonts w:eastAsia="Calibri"/>
                <w:sz w:val="20"/>
              </w:rPr>
            </w:pPr>
          </w:p>
        </w:tc>
        <w:tc>
          <w:tcPr>
            <w:tcW w:w="243" w:type="pct"/>
          </w:tcPr>
          <w:p w:rsidR="00122D4A" w:rsidRPr="00DF0A0A" w:rsidRDefault="00122D4A" w:rsidP="00496DC7">
            <w:pPr>
              <w:jc w:val="both"/>
              <w:rPr>
                <w:rFonts w:eastAsia="Calibri"/>
                <w:sz w:val="20"/>
              </w:rPr>
            </w:pPr>
          </w:p>
        </w:tc>
        <w:tc>
          <w:tcPr>
            <w:tcW w:w="2330" w:type="pct"/>
          </w:tcPr>
          <w:p w:rsidR="00122D4A" w:rsidRPr="00DF0A0A" w:rsidRDefault="00122D4A" w:rsidP="00496DC7">
            <w:pPr>
              <w:jc w:val="both"/>
              <w:rPr>
                <w:rFonts w:eastAsia="Calibri"/>
                <w:sz w:val="20"/>
              </w:rPr>
            </w:pPr>
            <w:r w:rsidRPr="00DF0A0A">
              <w:rPr>
                <w:rFonts w:eastAsia="Calibri"/>
                <w:sz w:val="20"/>
              </w:rPr>
              <w:t>Claim frivolous and vexatious, claims for breach of natural justice and for obstruction of justice struck and the actions dismissed.</w:t>
            </w:r>
          </w:p>
        </w:tc>
      </w:tr>
      <w:tr w:rsidR="00122D4A" w:rsidRPr="00DF0A0A" w:rsidTr="00496DC7">
        <w:tc>
          <w:tcPr>
            <w:tcW w:w="2427" w:type="pct"/>
          </w:tcPr>
          <w:p w:rsidR="00122D4A" w:rsidRPr="00DF0A0A" w:rsidRDefault="00122D4A" w:rsidP="00496DC7">
            <w:pPr>
              <w:jc w:val="both"/>
              <w:rPr>
                <w:rFonts w:eastAsia="Calibri"/>
                <w:sz w:val="20"/>
              </w:rPr>
            </w:pPr>
            <w:r w:rsidRPr="00DF0A0A">
              <w:rPr>
                <w:rFonts w:eastAsia="Calibri"/>
                <w:sz w:val="20"/>
              </w:rPr>
              <w:t>September 22, 2010</w:t>
            </w:r>
          </w:p>
          <w:p w:rsidR="00122D4A" w:rsidRPr="00DF0A0A" w:rsidRDefault="00122D4A" w:rsidP="00496DC7">
            <w:pPr>
              <w:jc w:val="both"/>
              <w:rPr>
                <w:rFonts w:eastAsia="Calibri"/>
                <w:sz w:val="20"/>
              </w:rPr>
            </w:pPr>
            <w:r w:rsidRPr="00DF0A0A">
              <w:rPr>
                <w:rFonts w:eastAsia="Calibri"/>
                <w:sz w:val="20"/>
              </w:rPr>
              <w:t>Court of Appeal for Ontario</w:t>
            </w:r>
          </w:p>
          <w:p w:rsidR="00122D4A" w:rsidRPr="00DF0A0A" w:rsidRDefault="00122D4A" w:rsidP="00496DC7">
            <w:pPr>
              <w:jc w:val="both"/>
              <w:rPr>
                <w:rFonts w:eastAsia="Calibri"/>
                <w:sz w:val="20"/>
              </w:rPr>
            </w:pPr>
            <w:r w:rsidRPr="00DF0A0A">
              <w:rPr>
                <w:rFonts w:eastAsia="Calibri"/>
                <w:sz w:val="20"/>
              </w:rPr>
              <w:t>(</w:t>
            </w:r>
            <w:proofErr w:type="spellStart"/>
            <w:r w:rsidRPr="00DF0A0A">
              <w:rPr>
                <w:rFonts w:eastAsia="Calibri"/>
                <w:sz w:val="20"/>
              </w:rPr>
              <w:t>Weiler</w:t>
            </w:r>
            <w:proofErr w:type="spellEnd"/>
            <w:r w:rsidRPr="00DF0A0A">
              <w:rPr>
                <w:rFonts w:eastAsia="Calibri"/>
                <w:sz w:val="20"/>
              </w:rPr>
              <w:t xml:space="preserve">, </w:t>
            </w:r>
            <w:proofErr w:type="spellStart"/>
            <w:r w:rsidRPr="00DF0A0A">
              <w:rPr>
                <w:rFonts w:eastAsia="Calibri"/>
                <w:sz w:val="20"/>
              </w:rPr>
              <w:t>Laskin</w:t>
            </w:r>
            <w:proofErr w:type="spellEnd"/>
            <w:r w:rsidRPr="00DF0A0A">
              <w:rPr>
                <w:rFonts w:eastAsia="Calibri"/>
                <w:sz w:val="20"/>
              </w:rPr>
              <w:t xml:space="preserve">, and </w:t>
            </w:r>
            <w:proofErr w:type="spellStart"/>
            <w:r w:rsidRPr="00DF0A0A">
              <w:rPr>
                <w:rFonts w:eastAsia="Calibri"/>
                <w:sz w:val="20"/>
              </w:rPr>
              <w:t>Goudge</w:t>
            </w:r>
            <w:proofErr w:type="spellEnd"/>
            <w:r w:rsidRPr="00DF0A0A">
              <w:rPr>
                <w:rFonts w:eastAsia="Calibri"/>
                <w:sz w:val="20"/>
              </w:rPr>
              <w:t xml:space="preserve"> JJ.A.</w:t>
            </w:r>
          </w:p>
          <w:p w:rsidR="00122D4A" w:rsidRPr="00DF0A0A" w:rsidRDefault="00122D4A" w:rsidP="00496DC7">
            <w:pPr>
              <w:jc w:val="both"/>
              <w:rPr>
                <w:rFonts w:eastAsia="Calibri"/>
                <w:sz w:val="20"/>
              </w:rPr>
            </w:pPr>
            <w:r w:rsidRPr="00DF0A0A">
              <w:rPr>
                <w:rFonts w:eastAsia="Calibri"/>
                <w:sz w:val="20"/>
              </w:rPr>
              <w:t>Neutral citation: 2010 ONCA 613</w:t>
            </w:r>
          </w:p>
          <w:p w:rsidR="00122D4A" w:rsidRPr="00DF0A0A" w:rsidRDefault="00122D4A" w:rsidP="00496DC7">
            <w:pPr>
              <w:jc w:val="both"/>
              <w:rPr>
                <w:rFonts w:eastAsia="Calibri"/>
                <w:sz w:val="20"/>
              </w:rPr>
            </w:pPr>
          </w:p>
        </w:tc>
        <w:tc>
          <w:tcPr>
            <w:tcW w:w="243" w:type="pct"/>
          </w:tcPr>
          <w:p w:rsidR="00122D4A" w:rsidRPr="00DF0A0A" w:rsidRDefault="00122D4A" w:rsidP="00496DC7">
            <w:pPr>
              <w:jc w:val="both"/>
              <w:rPr>
                <w:rFonts w:eastAsia="Calibri"/>
                <w:sz w:val="20"/>
              </w:rPr>
            </w:pPr>
          </w:p>
        </w:tc>
        <w:tc>
          <w:tcPr>
            <w:tcW w:w="2330" w:type="pct"/>
          </w:tcPr>
          <w:p w:rsidR="00122D4A" w:rsidRPr="00DF0A0A" w:rsidRDefault="00122D4A" w:rsidP="00496DC7">
            <w:pPr>
              <w:jc w:val="both"/>
              <w:rPr>
                <w:rFonts w:eastAsia="Calibri"/>
                <w:sz w:val="20"/>
              </w:rPr>
            </w:pPr>
            <w:r w:rsidRPr="00DF0A0A">
              <w:rPr>
                <w:rFonts w:eastAsia="Calibri"/>
                <w:sz w:val="20"/>
              </w:rPr>
              <w:t>Appeal dismissed.</w:t>
            </w:r>
          </w:p>
          <w:p w:rsidR="00122D4A" w:rsidRPr="00DF0A0A" w:rsidRDefault="00122D4A" w:rsidP="00496DC7">
            <w:pPr>
              <w:jc w:val="both"/>
              <w:rPr>
                <w:rFonts w:eastAsia="Calibri"/>
                <w:sz w:val="20"/>
              </w:rPr>
            </w:pPr>
          </w:p>
        </w:tc>
      </w:tr>
      <w:tr w:rsidR="00122D4A" w:rsidRPr="00DF0A0A" w:rsidTr="00496DC7">
        <w:tc>
          <w:tcPr>
            <w:tcW w:w="2427" w:type="pct"/>
          </w:tcPr>
          <w:p w:rsidR="00122D4A" w:rsidRPr="00DF0A0A" w:rsidRDefault="00122D4A" w:rsidP="00496DC7">
            <w:pPr>
              <w:jc w:val="both"/>
              <w:rPr>
                <w:rFonts w:eastAsia="Calibri"/>
                <w:sz w:val="20"/>
              </w:rPr>
            </w:pPr>
            <w:r w:rsidRPr="00DF0A0A">
              <w:rPr>
                <w:rFonts w:eastAsia="Calibri"/>
                <w:sz w:val="20"/>
              </w:rPr>
              <w:t>November 18, 2010</w:t>
            </w:r>
          </w:p>
          <w:p w:rsidR="00122D4A" w:rsidRPr="00DF0A0A" w:rsidRDefault="00122D4A" w:rsidP="00496DC7">
            <w:pPr>
              <w:jc w:val="both"/>
              <w:rPr>
                <w:rFonts w:eastAsia="Calibri"/>
                <w:sz w:val="20"/>
              </w:rPr>
            </w:pPr>
            <w:r w:rsidRPr="00DF0A0A">
              <w:rPr>
                <w:rFonts w:eastAsia="Calibri"/>
                <w:sz w:val="20"/>
              </w:rPr>
              <w:t>Supreme Court of Canada</w:t>
            </w:r>
          </w:p>
        </w:tc>
        <w:tc>
          <w:tcPr>
            <w:tcW w:w="243" w:type="pct"/>
          </w:tcPr>
          <w:p w:rsidR="00122D4A" w:rsidRPr="00DF0A0A" w:rsidRDefault="00122D4A" w:rsidP="00496DC7">
            <w:pPr>
              <w:jc w:val="both"/>
              <w:rPr>
                <w:rFonts w:eastAsia="Calibri"/>
                <w:sz w:val="20"/>
              </w:rPr>
            </w:pPr>
          </w:p>
        </w:tc>
        <w:tc>
          <w:tcPr>
            <w:tcW w:w="2330" w:type="pct"/>
          </w:tcPr>
          <w:p w:rsidR="00122D4A" w:rsidRPr="00DF0A0A" w:rsidRDefault="00122D4A" w:rsidP="00496DC7">
            <w:pPr>
              <w:jc w:val="both"/>
              <w:rPr>
                <w:rFonts w:eastAsia="Calibri"/>
                <w:sz w:val="20"/>
              </w:rPr>
            </w:pPr>
            <w:r w:rsidRPr="00DF0A0A">
              <w:rPr>
                <w:rFonts w:eastAsia="Calibri"/>
                <w:sz w:val="20"/>
              </w:rPr>
              <w:t>Application for leave to appeal filed</w:t>
            </w:r>
          </w:p>
          <w:p w:rsidR="00122D4A" w:rsidRPr="00DF0A0A" w:rsidRDefault="00122D4A" w:rsidP="00496DC7">
            <w:pPr>
              <w:jc w:val="both"/>
              <w:rPr>
                <w:rFonts w:eastAsia="Calibri"/>
                <w:sz w:val="20"/>
              </w:rPr>
            </w:pPr>
          </w:p>
        </w:tc>
      </w:tr>
    </w:tbl>
    <w:p w:rsidR="00610966" w:rsidRDefault="00610966" w:rsidP="00610966">
      <w:pPr>
        <w:rPr>
          <w:sz w:val="20"/>
          <w:szCs w:val="20"/>
        </w:rPr>
      </w:pPr>
    </w:p>
    <w:p w:rsidR="00610966" w:rsidRDefault="00C478F8" w:rsidP="00610966">
      <w:pPr>
        <w:rPr>
          <w:sz w:val="20"/>
          <w:szCs w:val="20"/>
        </w:rPr>
      </w:pPr>
      <w:r w:rsidRPr="00C478F8">
        <w:rPr>
          <w:sz w:val="20"/>
          <w:szCs w:val="20"/>
          <w:lang w:val="fr-CA"/>
        </w:rPr>
        <w:pict>
          <v:rect id="_x0000_i1041" style="width:2in;height:1pt" o:hrpct="0" o:hralign="center" o:hrstd="t" o:hrnoshade="t" o:hr="t" fillcolor="black [3213]" stroked="f"/>
        </w:pict>
      </w:r>
    </w:p>
    <w:p w:rsidR="00610966" w:rsidRDefault="00610966" w:rsidP="00610966">
      <w:pPr>
        <w:rPr>
          <w:sz w:val="20"/>
          <w:szCs w:val="20"/>
        </w:rPr>
      </w:pPr>
    </w:p>
    <w:p w:rsidR="00610966" w:rsidRPr="00610966" w:rsidRDefault="00610966" w:rsidP="00610966">
      <w:pPr>
        <w:rPr>
          <w:sz w:val="20"/>
          <w:szCs w:val="20"/>
          <w:u w:val="single"/>
        </w:rPr>
      </w:pPr>
      <w:r w:rsidRPr="00610966">
        <w:rPr>
          <w:sz w:val="20"/>
          <w:szCs w:val="20"/>
          <w:u w:val="single"/>
        </w:rPr>
        <w:t>RÉSUMÉ DE L’AFFAIRE</w:t>
      </w:r>
    </w:p>
    <w:p w:rsidR="00610966" w:rsidRDefault="00610966" w:rsidP="00610966">
      <w:pPr>
        <w:rPr>
          <w:b/>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122D4A" w:rsidRPr="00406D3C" w:rsidTr="00496DC7">
        <w:tc>
          <w:tcPr>
            <w:tcW w:w="5000" w:type="pct"/>
            <w:gridSpan w:val="3"/>
          </w:tcPr>
          <w:p w:rsidR="00122D4A" w:rsidRPr="00DF0A0A" w:rsidRDefault="00122D4A" w:rsidP="00496DC7">
            <w:pPr>
              <w:jc w:val="both"/>
              <w:rPr>
                <w:rFonts w:eastAsia="Calibri"/>
                <w:sz w:val="20"/>
                <w:lang w:val="fr-CA"/>
              </w:rPr>
            </w:pPr>
            <w:r w:rsidRPr="00DF0A0A">
              <w:rPr>
                <w:rFonts w:eastAsia="Calibri"/>
                <w:sz w:val="20"/>
                <w:lang w:val="fr-CA"/>
              </w:rPr>
              <w:t xml:space="preserve">Tribunaux – Procédure – Demande de radiation des déclarations faute de questions justifiant un procès – Affaire née </w:t>
            </w:r>
            <w:r w:rsidRPr="00DF0A0A">
              <w:rPr>
                <w:rFonts w:eastAsia="Calibri"/>
                <w:sz w:val="20"/>
                <w:lang w:val="fr-CA"/>
              </w:rPr>
              <w:lastRenderedPageBreak/>
              <w:t xml:space="preserve">dans le contexte du droit de l'emploi, avec des allégations de harcèlement sexuel, de congédiement injustifié et des chefs de responsabilité délictuelle, y compris la négligence – La Cour d'appel a-t-elle omis de traiter toutes les questions de fond soulevées par la demanderesse découlant de </w:t>
            </w:r>
            <w:r w:rsidRPr="00DF0A0A">
              <w:rPr>
                <w:rFonts w:eastAsia="Calibri"/>
                <w:smallCaps/>
                <w:sz w:val="20"/>
                <w:lang w:val="fr-CA"/>
              </w:rPr>
              <w:t>[traduction]</w:t>
            </w:r>
            <w:r w:rsidRPr="00DF0A0A">
              <w:rPr>
                <w:rFonts w:eastAsia="Calibri"/>
                <w:sz w:val="20"/>
                <w:lang w:val="fr-CA"/>
              </w:rPr>
              <w:t xml:space="preserve"> « l'analyse fautive et incomplète de la responsabilité délictuelle, l'immunité et le pouvoir discrétionnaire, contraire à la jurisprudence » du juge de première instance? – La Cour d'appel a-t-elle omis de traiter les questions de fond relatives aux représailles discriminatoires? – La Cour d'appel a-t-elle intentionnellement mal appliqué le droit pour protéger le procureur général, un ancien stagiaire de la CSC?</w:t>
            </w:r>
          </w:p>
          <w:p w:rsidR="00122D4A" w:rsidRPr="00DF0A0A" w:rsidRDefault="00122D4A" w:rsidP="00496DC7">
            <w:pPr>
              <w:jc w:val="both"/>
              <w:rPr>
                <w:rFonts w:eastAsia="Calibri"/>
                <w:smallCaps/>
                <w:sz w:val="20"/>
                <w:lang w:val="fr-CA"/>
              </w:rPr>
            </w:pPr>
          </w:p>
        </w:tc>
      </w:tr>
      <w:tr w:rsidR="00122D4A" w:rsidRPr="00406D3C" w:rsidTr="00496DC7">
        <w:tc>
          <w:tcPr>
            <w:tcW w:w="5000" w:type="pct"/>
            <w:gridSpan w:val="3"/>
          </w:tcPr>
          <w:p w:rsidR="00122D4A" w:rsidRPr="00DF0A0A" w:rsidRDefault="00122D4A" w:rsidP="00496DC7">
            <w:pPr>
              <w:jc w:val="both"/>
              <w:rPr>
                <w:rFonts w:eastAsia="Calibri"/>
                <w:sz w:val="20"/>
                <w:lang w:val="fr-CA"/>
              </w:rPr>
            </w:pPr>
            <w:r w:rsidRPr="00DF0A0A">
              <w:rPr>
                <w:rFonts w:eastAsia="Calibri"/>
                <w:sz w:val="20"/>
                <w:lang w:val="fr-CA"/>
              </w:rPr>
              <w:lastRenderedPageBreak/>
              <w:t xml:space="preserve">Les intimés ont présenté des motions dans deux actions pour la radiation des déclarations. Les actions étaient fondées sur une allégation de harcèlement sexuel et de congédiement injustifié contre d’anciens employeurs et, relativement au ministre du Procureur général, à la Commission ontarienne des droits de la personne et à deux de ses employés, sur la décision de la Commission de ne pas donner suite à neuf plaintes déposées auprès d’elle sur des allégations de négligence, de malfaisance, de dénigrement, de détresse émotionnelle et de diffamation. </w:t>
            </w:r>
          </w:p>
          <w:p w:rsidR="00122D4A" w:rsidRPr="00DF0A0A" w:rsidRDefault="00122D4A" w:rsidP="00496DC7">
            <w:pPr>
              <w:jc w:val="both"/>
              <w:rPr>
                <w:rFonts w:eastAsia="Calibri"/>
                <w:sz w:val="20"/>
                <w:lang w:val="fr-CA"/>
              </w:rPr>
            </w:pPr>
          </w:p>
        </w:tc>
      </w:tr>
      <w:tr w:rsidR="00122D4A" w:rsidRPr="00406D3C" w:rsidTr="00496DC7">
        <w:tc>
          <w:tcPr>
            <w:tcW w:w="2427" w:type="pct"/>
          </w:tcPr>
          <w:p w:rsidR="00122D4A" w:rsidRPr="00DF0A0A" w:rsidRDefault="00122D4A" w:rsidP="00496DC7">
            <w:pPr>
              <w:jc w:val="both"/>
              <w:rPr>
                <w:rFonts w:eastAsia="Calibri"/>
                <w:sz w:val="20"/>
                <w:lang w:val="fr-CA"/>
              </w:rPr>
            </w:pPr>
            <w:r w:rsidRPr="00DF0A0A">
              <w:rPr>
                <w:rFonts w:eastAsia="Calibri"/>
                <w:sz w:val="20"/>
                <w:lang w:val="fr-CA"/>
              </w:rPr>
              <w:t>21 août 2009</w:t>
            </w:r>
          </w:p>
          <w:p w:rsidR="00122D4A" w:rsidRPr="00DF0A0A" w:rsidRDefault="00122D4A" w:rsidP="00496DC7">
            <w:pPr>
              <w:jc w:val="both"/>
              <w:rPr>
                <w:rFonts w:eastAsia="Calibri"/>
                <w:sz w:val="20"/>
                <w:lang w:val="fr-CA"/>
              </w:rPr>
            </w:pPr>
            <w:r w:rsidRPr="00DF0A0A">
              <w:rPr>
                <w:rFonts w:eastAsia="Calibri"/>
                <w:sz w:val="20"/>
                <w:lang w:val="fr-CA"/>
              </w:rPr>
              <w:t xml:space="preserve">Cour supérieure de justice de l'Ontario </w:t>
            </w:r>
          </w:p>
          <w:p w:rsidR="00122D4A" w:rsidRPr="00DF0A0A" w:rsidRDefault="00122D4A" w:rsidP="00496DC7">
            <w:pPr>
              <w:jc w:val="both"/>
              <w:rPr>
                <w:rFonts w:eastAsia="Calibri"/>
                <w:sz w:val="20"/>
                <w:lang w:val="fr-CA"/>
              </w:rPr>
            </w:pPr>
            <w:r w:rsidRPr="00DF0A0A">
              <w:rPr>
                <w:rFonts w:eastAsia="Calibri"/>
                <w:sz w:val="20"/>
                <w:lang w:val="fr-CA"/>
              </w:rPr>
              <w:t xml:space="preserve">(Juge </w:t>
            </w:r>
            <w:proofErr w:type="spellStart"/>
            <w:r w:rsidRPr="00DF0A0A">
              <w:rPr>
                <w:rFonts w:eastAsia="Calibri"/>
                <w:sz w:val="20"/>
                <w:lang w:val="fr-CA"/>
              </w:rPr>
              <w:t>Lofchik</w:t>
            </w:r>
            <w:proofErr w:type="spellEnd"/>
            <w:r w:rsidRPr="00DF0A0A">
              <w:rPr>
                <w:rFonts w:eastAsia="Calibri"/>
                <w:sz w:val="20"/>
                <w:lang w:val="fr-CA"/>
              </w:rPr>
              <w:t>)</w:t>
            </w:r>
          </w:p>
          <w:p w:rsidR="00122D4A" w:rsidRPr="00DF0A0A" w:rsidRDefault="00122D4A" w:rsidP="00496DC7">
            <w:pPr>
              <w:jc w:val="both"/>
              <w:rPr>
                <w:rFonts w:eastAsia="Calibri"/>
                <w:sz w:val="20"/>
                <w:lang w:val="fr-CA"/>
              </w:rPr>
            </w:pPr>
          </w:p>
        </w:tc>
        <w:tc>
          <w:tcPr>
            <w:tcW w:w="243" w:type="pct"/>
          </w:tcPr>
          <w:p w:rsidR="00122D4A" w:rsidRPr="00DF0A0A" w:rsidRDefault="00122D4A" w:rsidP="00496DC7">
            <w:pPr>
              <w:jc w:val="both"/>
              <w:rPr>
                <w:rFonts w:eastAsia="Calibri"/>
                <w:sz w:val="20"/>
                <w:lang w:val="fr-CA"/>
              </w:rPr>
            </w:pPr>
          </w:p>
        </w:tc>
        <w:tc>
          <w:tcPr>
            <w:tcW w:w="2330" w:type="pct"/>
          </w:tcPr>
          <w:p w:rsidR="00122D4A" w:rsidRPr="00DF0A0A" w:rsidRDefault="00122D4A" w:rsidP="00496DC7">
            <w:pPr>
              <w:jc w:val="both"/>
              <w:rPr>
                <w:rFonts w:eastAsia="Calibri"/>
                <w:sz w:val="20"/>
                <w:lang w:val="fr-CA"/>
              </w:rPr>
            </w:pPr>
            <w:r w:rsidRPr="00DF0A0A">
              <w:rPr>
                <w:rFonts w:eastAsia="Calibri"/>
                <w:sz w:val="20"/>
                <w:lang w:val="fr-CA"/>
              </w:rPr>
              <w:t>Demande frivole et vexatoire, allégations de manquement à la justice naturelle et d'entrave à la justice radiées et actions rejetées.</w:t>
            </w:r>
          </w:p>
        </w:tc>
      </w:tr>
      <w:tr w:rsidR="00122D4A" w:rsidRPr="00DF0A0A" w:rsidTr="00496DC7">
        <w:tc>
          <w:tcPr>
            <w:tcW w:w="2427" w:type="pct"/>
          </w:tcPr>
          <w:p w:rsidR="00122D4A" w:rsidRPr="00DF0A0A" w:rsidRDefault="00122D4A" w:rsidP="00496DC7">
            <w:pPr>
              <w:jc w:val="both"/>
              <w:rPr>
                <w:rFonts w:eastAsia="Calibri"/>
                <w:sz w:val="20"/>
                <w:lang w:val="fr-CA"/>
              </w:rPr>
            </w:pPr>
            <w:r w:rsidRPr="00DF0A0A">
              <w:rPr>
                <w:rFonts w:eastAsia="Calibri"/>
                <w:sz w:val="20"/>
                <w:lang w:val="fr-CA"/>
              </w:rPr>
              <w:t>22 septembre 2010</w:t>
            </w:r>
          </w:p>
          <w:p w:rsidR="00122D4A" w:rsidRPr="00DF0A0A" w:rsidRDefault="00122D4A" w:rsidP="00496DC7">
            <w:pPr>
              <w:jc w:val="both"/>
              <w:rPr>
                <w:rFonts w:eastAsia="Calibri"/>
                <w:sz w:val="20"/>
                <w:lang w:val="fr-CA"/>
              </w:rPr>
            </w:pPr>
            <w:r w:rsidRPr="00DF0A0A">
              <w:rPr>
                <w:rFonts w:eastAsia="Calibri"/>
                <w:sz w:val="20"/>
                <w:lang w:val="fr-CA"/>
              </w:rPr>
              <w:t>Cour d'appel de l’Ontario</w:t>
            </w:r>
          </w:p>
          <w:p w:rsidR="00122D4A" w:rsidRPr="00DF0A0A" w:rsidRDefault="00122D4A" w:rsidP="00496DC7">
            <w:pPr>
              <w:jc w:val="both"/>
              <w:rPr>
                <w:rFonts w:eastAsia="Calibri"/>
                <w:sz w:val="20"/>
                <w:lang w:val="fr-CA"/>
              </w:rPr>
            </w:pPr>
            <w:r w:rsidRPr="00DF0A0A">
              <w:rPr>
                <w:rFonts w:eastAsia="Calibri"/>
                <w:sz w:val="20"/>
                <w:lang w:val="fr-CA"/>
              </w:rPr>
              <w:t xml:space="preserve">(Juges </w:t>
            </w:r>
            <w:proofErr w:type="spellStart"/>
            <w:r w:rsidRPr="00DF0A0A">
              <w:rPr>
                <w:rFonts w:eastAsia="Calibri"/>
                <w:sz w:val="20"/>
                <w:lang w:val="fr-CA"/>
              </w:rPr>
              <w:t>Weiler</w:t>
            </w:r>
            <w:proofErr w:type="spellEnd"/>
            <w:r w:rsidRPr="00DF0A0A">
              <w:rPr>
                <w:rFonts w:eastAsia="Calibri"/>
                <w:sz w:val="20"/>
                <w:lang w:val="fr-CA"/>
              </w:rPr>
              <w:t xml:space="preserve">, </w:t>
            </w:r>
            <w:proofErr w:type="spellStart"/>
            <w:r w:rsidRPr="00DF0A0A">
              <w:rPr>
                <w:rFonts w:eastAsia="Calibri"/>
                <w:sz w:val="20"/>
                <w:lang w:val="fr-CA"/>
              </w:rPr>
              <w:t>Laskin</w:t>
            </w:r>
            <w:proofErr w:type="spellEnd"/>
            <w:r w:rsidRPr="00DF0A0A">
              <w:rPr>
                <w:rFonts w:eastAsia="Calibri"/>
                <w:sz w:val="20"/>
                <w:lang w:val="fr-CA"/>
              </w:rPr>
              <w:t xml:space="preserve"> et </w:t>
            </w:r>
            <w:proofErr w:type="spellStart"/>
            <w:r w:rsidRPr="00DF0A0A">
              <w:rPr>
                <w:rFonts w:eastAsia="Calibri"/>
                <w:sz w:val="20"/>
                <w:lang w:val="fr-CA"/>
              </w:rPr>
              <w:t>Goudge</w:t>
            </w:r>
            <w:proofErr w:type="spellEnd"/>
            <w:r w:rsidRPr="00DF0A0A">
              <w:rPr>
                <w:rFonts w:eastAsia="Calibri"/>
                <w:sz w:val="20"/>
                <w:lang w:val="fr-CA"/>
              </w:rPr>
              <w:t>)</w:t>
            </w:r>
          </w:p>
          <w:p w:rsidR="00122D4A" w:rsidRPr="00DF0A0A" w:rsidRDefault="00122D4A" w:rsidP="00496DC7">
            <w:pPr>
              <w:jc w:val="both"/>
              <w:rPr>
                <w:rFonts w:eastAsia="Calibri"/>
                <w:sz w:val="20"/>
                <w:lang w:val="fr-CA"/>
              </w:rPr>
            </w:pPr>
            <w:r w:rsidRPr="00DF0A0A">
              <w:rPr>
                <w:rFonts w:eastAsia="Calibri"/>
                <w:sz w:val="20"/>
                <w:lang w:val="fr-CA"/>
              </w:rPr>
              <w:t>Référence neutre : 2010 ONCA 613</w:t>
            </w:r>
          </w:p>
          <w:p w:rsidR="00122D4A" w:rsidRPr="00DF0A0A" w:rsidRDefault="00122D4A" w:rsidP="00496DC7">
            <w:pPr>
              <w:jc w:val="both"/>
              <w:rPr>
                <w:rFonts w:eastAsia="Calibri"/>
                <w:sz w:val="20"/>
                <w:lang w:val="fr-CA"/>
              </w:rPr>
            </w:pPr>
          </w:p>
        </w:tc>
        <w:tc>
          <w:tcPr>
            <w:tcW w:w="243" w:type="pct"/>
          </w:tcPr>
          <w:p w:rsidR="00122D4A" w:rsidRPr="00DF0A0A" w:rsidRDefault="00122D4A" w:rsidP="00496DC7">
            <w:pPr>
              <w:jc w:val="both"/>
              <w:rPr>
                <w:rFonts w:eastAsia="Calibri"/>
                <w:sz w:val="20"/>
                <w:lang w:val="fr-CA"/>
              </w:rPr>
            </w:pPr>
          </w:p>
        </w:tc>
        <w:tc>
          <w:tcPr>
            <w:tcW w:w="2330" w:type="pct"/>
          </w:tcPr>
          <w:p w:rsidR="00122D4A" w:rsidRPr="00DF0A0A" w:rsidRDefault="00122D4A" w:rsidP="00496DC7">
            <w:pPr>
              <w:jc w:val="both"/>
              <w:rPr>
                <w:rFonts w:eastAsia="Calibri"/>
                <w:sz w:val="20"/>
                <w:lang w:val="fr-CA"/>
              </w:rPr>
            </w:pPr>
            <w:r w:rsidRPr="00DF0A0A">
              <w:rPr>
                <w:rFonts w:eastAsia="Calibri"/>
                <w:sz w:val="20"/>
                <w:lang w:val="fr-CA"/>
              </w:rPr>
              <w:t>Appel rejeté.</w:t>
            </w:r>
          </w:p>
          <w:p w:rsidR="00122D4A" w:rsidRPr="00DF0A0A" w:rsidRDefault="00122D4A" w:rsidP="00496DC7">
            <w:pPr>
              <w:jc w:val="both"/>
              <w:rPr>
                <w:rFonts w:eastAsia="Calibri"/>
                <w:sz w:val="20"/>
                <w:lang w:val="fr-CA"/>
              </w:rPr>
            </w:pPr>
          </w:p>
        </w:tc>
      </w:tr>
      <w:tr w:rsidR="00122D4A" w:rsidRPr="00DF0A0A" w:rsidTr="00496DC7">
        <w:tc>
          <w:tcPr>
            <w:tcW w:w="2427" w:type="pct"/>
          </w:tcPr>
          <w:p w:rsidR="00122D4A" w:rsidRPr="00DF0A0A" w:rsidRDefault="00122D4A" w:rsidP="00496DC7">
            <w:pPr>
              <w:jc w:val="both"/>
              <w:rPr>
                <w:rFonts w:eastAsia="Calibri"/>
                <w:sz w:val="20"/>
                <w:lang w:val="fr-CA"/>
              </w:rPr>
            </w:pPr>
            <w:r w:rsidRPr="00DF0A0A">
              <w:rPr>
                <w:rFonts w:eastAsia="Calibri"/>
                <w:sz w:val="20"/>
                <w:lang w:val="fr-CA"/>
              </w:rPr>
              <w:t>18 novembre 2010</w:t>
            </w:r>
          </w:p>
          <w:p w:rsidR="00122D4A" w:rsidRPr="00DF0A0A" w:rsidRDefault="00122D4A" w:rsidP="00496DC7">
            <w:pPr>
              <w:jc w:val="both"/>
              <w:rPr>
                <w:rFonts w:eastAsia="Calibri"/>
                <w:sz w:val="20"/>
                <w:lang w:val="fr-CA"/>
              </w:rPr>
            </w:pPr>
            <w:r w:rsidRPr="00DF0A0A">
              <w:rPr>
                <w:rFonts w:eastAsia="Calibri"/>
                <w:sz w:val="20"/>
                <w:lang w:val="fr-CA"/>
              </w:rPr>
              <w:t>Cour suprême du Canada</w:t>
            </w:r>
          </w:p>
        </w:tc>
        <w:tc>
          <w:tcPr>
            <w:tcW w:w="243" w:type="pct"/>
          </w:tcPr>
          <w:p w:rsidR="00122D4A" w:rsidRPr="00DF0A0A" w:rsidRDefault="00122D4A" w:rsidP="00496DC7">
            <w:pPr>
              <w:jc w:val="both"/>
              <w:rPr>
                <w:rFonts w:eastAsia="Calibri"/>
                <w:sz w:val="20"/>
                <w:lang w:val="fr-CA"/>
              </w:rPr>
            </w:pPr>
          </w:p>
        </w:tc>
        <w:tc>
          <w:tcPr>
            <w:tcW w:w="2330" w:type="pct"/>
          </w:tcPr>
          <w:p w:rsidR="00122D4A" w:rsidRPr="00DF0A0A" w:rsidRDefault="00122D4A" w:rsidP="00496DC7">
            <w:pPr>
              <w:jc w:val="both"/>
              <w:rPr>
                <w:rFonts w:eastAsia="Calibri"/>
                <w:sz w:val="20"/>
                <w:lang w:val="fr-CA"/>
              </w:rPr>
            </w:pPr>
            <w:r w:rsidRPr="00DF0A0A">
              <w:rPr>
                <w:rFonts w:eastAsia="Calibri"/>
                <w:sz w:val="20"/>
                <w:lang w:val="fr-CA"/>
              </w:rPr>
              <w:t>Demande d'autorisation d'appel, déposée</w:t>
            </w:r>
          </w:p>
          <w:p w:rsidR="00122D4A" w:rsidRPr="00DF0A0A" w:rsidRDefault="00122D4A" w:rsidP="00496DC7">
            <w:pPr>
              <w:jc w:val="both"/>
              <w:rPr>
                <w:rFonts w:eastAsia="Calibri"/>
                <w:sz w:val="20"/>
                <w:lang w:val="fr-CA"/>
              </w:rPr>
            </w:pPr>
          </w:p>
        </w:tc>
      </w:tr>
    </w:tbl>
    <w:p w:rsidR="00610966" w:rsidRDefault="00610966" w:rsidP="00610966">
      <w:pPr>
        <w:rPr>
          <w:b/>
          <w:sz w:val="20"/>
          <w:szCs w:val="20"/>
        </w:rPr>
      </w:pPr>
    </w:p>
    <w:p w:rsidR="00610966" w:rsidRDefault="00C478F8" w:rsidP="00610966">
      <w:pPr>
        <w:rPr>
          <w:b/>
          <w:sz w:val="20"/>
          <w:szCs w:val="20"/>
        </w:rPr>
      </w:pPr>
      <w:r w:rsidRPr="00C478F8">
        <w:rPr>
          <w:sz w:val="20"/>
          <w:szCs w:val="20"/>
          <w:lang w:val="fr-CA"/>
        </w:rPr>
        <w:pict>
          <v:rect id="_x0000_i1042" style="width:2in;height:1pt" o:hrpct="0" o:hralign="center" o:hrstd="t" o:hrnoshade="t" o:hr="t" fillcolor="black [3213]" stroked="f"/>
        </w:pict>
      </w:r>
    </w:p>
    <w:p w:rsidR="00610966" w:rsidRPr="00C50A5C" w:rsidRDefault="00610966" w:rsidP="00610966">
      <w:pPr>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25A77" w:rsidRPr="00925A77" w:rsidTr="0027596E">
        <w:trPr>
          <w:cantSplit/>
        </w:trPr>
        <w:tc>
          <w:tcPr>
            <w:tcW w:w="1458" w:type="dxa"/>
          </w:tcPr>
          <w:p w:rsidR="00925A77" w:rsidRPr="00925A77" w:rsidRDefault="00925A77" w:rsidP="0027596E">
            <w:pPr>
              <w:rPr>
                <w:sz w:val="20"/>
                <w:szCs w:val="20"/>
              </w:rPr>
            </w:pPr>
            <w:r w:rsidRPr="00925A77">
              <w:rPr>
                <w:rStyle w:val="SCCFileNumberChar"/>
                <w:sz w:val="20"/>
                <w:szCs w:val="20"/>
              </w:rPr>
              <w:t>33967</w:t>
            </w:r>
          </w:p>
          <w:p w:rsidR="00925A77" w:rsidRPr="00925A77" w:rsidRDefault="00925A77" w:rsidP="0027596E">
            <w:pPr>
              <w:rPr>
                <w:b/>
                <w:sz w:val="20"/>
                <w:szCs w:val="20"/>
                <w:lang w:val="fr-CA"/>
              </w:rPr>
            </w:pPr>
          </w:p>
        </w:tc>
        <w:tc>
          <w:tcPr>
            <w:tcW w:w="8118" w:type="dxa"/>
          </w:tcPr>
          <w:p w:rsidR="00925A77" w:rsidRPr="00925A77" w:rsidRDefault="00925A77" w:rsidP="0027596E">
            <w:pPr>
              <w:rPr>
                <w:sz w:val="20"/>
                <w:szCs w:val="20"/>
              </w:rPr>
            </w:pPr>
            <w:proofErr w:type="spellStart"/>
            <w:r w:rsidRPr="00925A77">
              <w:rPr>
                <w:rStyle w:val="SCCLsocChar"/>
                <w:sz w:val="20"/>
                <w:szCs w:val="20"/>
                <w:lang w:val="en-CA"/>
              </w:rPr>
              <w:t>Keeno</w:t>
            </w:r>
            <w:proofErr w:type="spellEnd"/>
            <w:r w:rsidRPr="00925A77">
              <w:rPr>
                <w:rStyle w:val="SCCLsocChar"/>
                <w:sz w:val="20"/>
                <w:szCs w:val="20"/>
                <w:lang w:val="en-CA"/>
              </w:rPr>
              <w:t xml:space="preserve"> Shawn Wright v. Her Majesty the Queen</w:t>
            </w:r>
            <w:r w:rsidRPr="00925A77">
              <w:rPr>
                <w:sz w:val="20"/>
                <w:szCs w:val="20"/>
              </w:rPr>
              <w:t xml:space="preserve"> (Man.) (Criminal) (By Leave)</w:t>
            </w:r>
          </w:p>
          <w:p w:rsidR="00925A77" w:rsidRPr="00925A77" w:rsidRDefault="00925A77" w:rsidP="0027596E">
            <w:pPr>
              <w:rPr>
                <w:sz w:val="20"/>
                <w:szCs w:val="20"/>
              </w:rPr>
            </w:pPr>
          </w:p>
        </w:tc>
      </w:tr>
      <w:tr w:rsidR="00925A77" w:rsidRPr="00925A77" w:rsidTr="0027596E">
        <w:trPr>
          <w:cantSplit/>
        </w:trPr>
        <w:tc>
          <w:tcPr>
            <w:tcW w:w="1458" w:type="dxa"/>
          </w:tcPr>
          <w:p w:rsidR="00925A77" w:rsidRPr="00925A77" w:rsidRDefault="00925A77" w:rsidP="0027596E">
            <w:pPr>
              <w:rPr>
                <w:sz w:val="20"/>
                <w:szCs w:val="20"/>
              </w:rPr>
            </w:pPr>
            <w:r w:rsidRPr="00925A77">
              <w:rPr>
                <w:sz w:val="20"/>
                <w:szCs w:val="20"/>
              </w:rPr>
              <w:t>Coram :</w:t>
            </w:r>
          </w:p>
        </w:tc>
        <w:tc>
          <w:tcPr>
            <w:tcW w:w="8118" w:type="dxa"/>
          </w:tcPr>
          <w:p w:rsidR="00925A77" w:rsidRPr="00925A77" w:rsidRDefault="00925A77" w:rsidP="0027596E">
            <w:pPr>
              <w:rPr>
                <w:sz w:val="20"/>
                <w:szCs w:val="20"/>
              </w:rPr>
            </w:pPr>
            <w:proofErr w:type="spellStart"/>
            <w:r w:rsidRPr="00925A77">
              <w:rPr>
                <w:rStyle w:val="SCCCoramChar"/>
                <w:sz w:val="20"/>
                <w:szCs w:val="20"/>
                <w:lang w:val="en-CA"/>
              </w:rPr>
              <w:t>Binnie</w:t>
            </w:r>
            <w:proofErr w:type="spellEnd"/>
            <w:r w:rsidRPr="00925A77">
              <w:rPr>
                <w:rStyle w:val="SCCCoramChar"/>
                <w:sz w:val="20"/>
                <w:szCs w:val="20"/>
                <w:lang w:val="en-CA"/>
              </w:rPr>
              <w:t>, Fish and Rothstein JJ.</w:t>
            </w:r>
          </w:p>
          <w:p w:rsidR="00925A77" w:rsidRPr="00925A77" w:rsidRDefault="00925A77" w:rsidP="0027596E">
            <w:pPr>
              <w:rPr>
                <w:sz w:val="20"/>
                <w:szCs w:val="20"/>
                <w:u w:val="single"/>
              </w:rPr>
            </w:pPr>
          </w:p>
        </w:tc>
      </w:tr>
      <w:tr w:rsidR="00925A77" w:rsidRPr="00406D3C" w:rsidTr="0027596E">
        <w:trPr>
          <w:cantSplit/>
        </w:trPr>
        <w:tc>
          <w:tcPr>
            <w:tcW w:w="9576" w:type="dxa"/>
            <w:gridSpan w:val="2"/>
          </w:tcPr>
          <w:p w:rsidR="00925A77" w:rsidRPr="00925A77" w:rsidRDefault="00925A77" w:rsidP="0027596E">
            <w:pPr>
              <w:pStyle w:val="SCCShortJudgment"/>
              <w:rPr>
                <w:szCs w:val="20"/>
              </w:rPr>
            </w:pPr>
            <w:r w:rsidRPr="00925A77">
              <w:rPr>
                <w:szCs w:val="20"/>
              </w:rPr>
              <w:t>The application for leave to appeal from the judgment of the Court of Appeal of Manitoba, Number AR 10-30-07398, 2010 MBCA 95, dated October 20, 2010, is dismissed without costs.</w:t>
            </w:r>
          </w:p>
          <w:p w:rsidR="00925A77" w:rsidRPr="00925A77" w:rsidRDefault="00925A77" w:rsidP="0027596E">
            <w:pPr>
              <w:pStyle w:val="SCCShortJudgment"/>
              <w:ind w:firstLine="0"/>
              <w:rPr>
                <w:szCs w:val="20"/>
              </w:rPr>
            </w:pPr>
          </w:p>
          <w:p w:rsidR="00925A77" w:rsidRPr="00925A77" w:rsidRDefault="00925A77" w:rsidP="00925A77">
            <w:pPr>
              <w:pStyle w:val="SCCShortJudgment"/>
              <w:rPr>
                <w:szCs w:val="20"/>
                <w:lang w:val="fr-CA"/>
              </w:rPr>
            </w:pPr>
            <w:r w:rsidRPr="00925A77">
              <w:rPr>
                <w:szCs w:val="20"/>
                <w:lang w:val="fr-CA"/>
              </w:rPr>
              <w:t>La demande d’autorisation d’appel de l’arrêt de la Cour d’appel du Manitoba, numéro AR 10-30-07398, 2010 MBCA 95, daté du 20 octobre 2010, est rejetée sans dépens.</w:t>
            </w:r>
          </w:p>
        </w:tc>
      </w:tr>
    </w:tbl>
    <w:p w:rsidR="00610966" w:rsidRPr="00925A77" w:rsidRDefault="00610966" w:rsidP="00610966">
      <w:pPr>
        <w:rPr>
          <w:b/>
          <w:sz w:val="20"/>
          <w:szCs w:val="20"/>
          <w:lang w:val="fr-CA"/>
        </w:rPr>
      </w:pPr>
    </w:p>
    <w:p w:rsidR="00610966" w:rsidRDefault="00610966" w:rsidP="00610966">
      <w:pPr>
        <w:rPr>
          <w:sz w:val="20"/>
          <w:szCs w:val="20"/>
        </w:rPr>
      </w:pPr>
      <w:r>
        <w:rPr>
          <w:sz w:val="20"/>
          <w:szCs w:val="20"/>
          <w:u w:val="single"/>
        </w:rPr>
        <w:t>CASE SUMMARY</w:t>
      </w:r>
    </w:p>
    <w:p w:rsidR="00610966" w:rsidRDefault="00610966" w:rsidP="0061096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22D4A" w:rsidRPr="00DF0A0A" w:rsidTr="00496DC7">
        <w:tc>
          <w:tcPr>
            <w:tcW w:w="5000" w:type="pct"/>
            <w:gridSpan w:val="3"/>
          </w:tcPr>
          <w:p w:rsidR="00122D4A" w:rsidRPr="00DF0A0A" w:rsidRDefault="00122D4A" w:rsidP="00496DC7">
            <w:pPr>
              <w:jc w:val="both"/>
              <w:rPr>
                <w:rFonts w:eastAsia="Calibri"/>
                <w:sz w:val="20"/>
              </w:rPr>
            </w:pPr>
            <w:r w:rsidRPr="00DF0A0A">
              <w:rPr>
                <w:rFonts w:eastAsia="Calibri"/>
                <w:i/>
                <w:sz w:val="20"/>
              </w:rPr>
              <w:t xml:space="preserve">Charter of Rights and Freedoms </w:t>
            </w:r>
            <w:r w:rsidRPr="00DF0A0A">
              <w:rPr>
                <w:rFonts w:eastAsia="Calibri"/>
                <w:sz w:val="20"/>
              </w:rPr>
              <w:t>– Right to counsel – Offences – Elements of offence – Obstructing peace officer – Whether arresting officer was in the lawful execution of his duty when applicant resisted being forced to the ground – Whether arresting officer was obstructed.</w:t>
            </w:r>
          </w:p>
          <w:p w:rsidR="00122D4A" w:rsidRPr="00DF0A0A" w:rsidRDefault="00122D4A" w:rsidP="00496DC7">
            <w:pPr>
              <w:jc w:val="both"/>
              <w:rPr>
                <w:rFonts w:eastAsia="Calibri"/>
                <w:sz w:val="20"/>
              </w:rPr>
            </w:pPr>
          </w:p>
        </w:tc>
      </w:tr>
      <w:tr w:rsidR="00122D4A" w:rsidRPr="00DF0A0A" w:rsidTr="00496DC7">
        <w:tc>
          <w:tcPr>
            <w:tcW w:w="5000" w:type="pct"/>
            <w:gridSpan w:val="3"/>
          </w:tcPr>
          <w:p w:rsidR="00122D4A" w:rsidRPr="00DF0A0A" w:rsidRDefault="00122D4A" w:rsidP="00925A77">
            <w:pPr>
              <w:jc w:val="both"/>
              <w:rPr>
                <w:rFonts w:eastAsia="Calibri"/>
                <w:sz w:val="20"/>
              </w:rPr>
            </w:pPr>
            <w:r w:rsidRPr="00DF0A0A">
              <w:rPr>
                <w:rFonts w:eastAsia="Calibri"/>
                <w:sz w:val="20"/>
              </w:rPr>
              <w:t xml:space="preserve">Police officers were in the process of arresting two members of a gang for drug offences.  The applicant and two others arrived in a vehicle and parked beside the scene of the arrest.  The police believed that they were members of a rival gang and that their arrival was dangerous.  A police officer drew his firearm and ordered the applicant and his companions to get out of the vehicle and lie on the ground. The applicant’s companions complied but the applicant remained in the vehicle for five to ten seconds before emerging.  He was not told why he was being detained.  The applicant then walked around the vehicle and continued towards one of the constables who was arresting and charging </w:t>
            </w:r>
            <w:r w:rsidRPr="00DF0A0A">
              <w:rPr>
                <w:rFonts w:eastAsia="Calibri"/>
                <w:sz w:val="20"/>
              </w:rPr>
              <w:lastRenderedPageBreak/>
              <w:t xml:space="preserve">one of the suspects accused of drug dealing, asking why he had to go to the ground.  The constable grabbed the applicant and forced him to the ground. </w:t>
            </w:r>
            <w:r w:rsidRPr="00DF0A0A">
              <w:rPr>
                <w:rFonts w:eastAsia="Calibri"/>
                <w:color w:val="000000"/>
                <w:sz w:val="20"/>
              </w:rPr>
              <w:t xml:space="preserve"> </w:t>
            </w:r>
            <w:r w:rsidRPr="00DF0A0A">
              <w:rPr>
                <w:rFonts w:eastAsia="Calibri"/>
                <w:sz w:val="20"/>
              </w:rPr>
              <w:t xml:space="preserve">A struggle ensued and the applicant was handcuffed.  He was charged with obstructing a peace officer. </w:t>
            </w:r>
          </w:p>
        </w:tc>
      </w:tr>
      <w:tr w:rsidR="00122D4A" w:rsidRPr="00DF0A0A" w:rsidTr="00496DC7">
        <w:tc>
          <w:tcPr>
            <w:tcW w:w="2427" w:type="pct"/>
          </w:tcPr>
          <w:p w:rsidR="00122D4A" w:rsidRPr="00DF0A0A" w:rsidRDefault="00122D4A" w:rsidP="00496DC7">
            <w:pPr>
              <w:jc w:val="both"/>
              <w:rPr>
                <w:rFonts w:eastAsia="Calibri"/>
                <w:sz w:val="20"/>
              </w:rPr>
            </w:pPr>
            <w:r w:rsidRPr="00DF0A0A">
              <w:rPr>
                <w:rFonts w:eastAsia="Calibri"/>
                <w:sz w:val="20"/>
              </w:rPr>
              <w:lastRenderedPageBreak/>
              <w:t>October 21, 2009</w:t>
            </w:r>
          </w:p>
          <w:p w:rsidR="00122D4A" w:rsidRPr="00DF0A0A" w:rsidRDefault="00122D4A" w:rsidP="00496DC7">
            <w:pPr>
              <w:jc w:val="both"/>
              <w:rPr>
                <w:rFonts w:eastAsia="Calibri"/>
                <w:sz w:val="20"/>
              </w:rPr>
            </w:pPr>
            <w:r w:rsidRPr="00DF0A0A">
              <w:rPr>
                <w:rFonts w:eastAsia="Calibri"/>
                <w:sz w:val="20"/>
              </w:rPr>
              <w:t>Provincial Court of Manitoba</w:t>
            </w:r>
          </w:p>
          <w:p w:rsidR="00122D4A" w:rsidRPr="00DF0A0A" w:rsidRDefault="00122D4A" w:rsidP="00496DC7">
            <w:pPr>
              <w:jc w:val="both"/>
              <w:rPr>
                <w:rFonts w:eastAsia="Calibri"/>
                <w:sz w:val="20"/>
              </w:rPr>
            </w:pPr>
            <w:r w:rsidRPr="00DF0A0A">
              <w:rPr>
                <w:rFonts w:eastAsia="Calibri"/>
                <w:sz w:val="20"/>
              </w:rPr>
              <w:t xml:space="preserve">(Lerner J.) </w:t>
            </w:r>
          </w:p>
          <w:p w:rsidR="00122D4A" w:rsidRPr="00DF0A0A" w:rsidRDefault="00122D4A" w:rsidP="00496DC7">
            <w:pPr>
              <w:jc w:val="both"/>
              <w:rPr>
                <w:rFonts w:eastAsia="Calibri"/>
                <w:sz w:val="20"/>
              </w:rPr>
            </w:pPr>
            <w:r w:rsidRPr="00DF0A0A">
              <w:rPr>
                <w:rFonts w:eastAsia="Calibri"/>
                <w:sz w:val="20"/>
              </w:rPr>
              <w:t>2009 MBPC 51</w:t>
            </w:r>
          </w:p>
          <w:p w:rsidR="00122D4A" w:rsidRPr="00DF0A0A" w:rsidRDefault="00122D4A" w:rsidP="00496DC7">
            <w:pPr>
              <w:jc w:val="both"/>
              <w:rPr>
                <w:rFonts w:eastAsia="Calibri"/>
                <w:sz w:val="20"/>
              </w:rPr>
            </w:pPr>
          </w:p>
        </w:tc>
        <w:tc>
          <w:tcPr>
            <w:tcW w:w="243" w:type="pct"/>
          </w:tcPr>
          <w:p w:rsidR="00122D4A" w:rsidRPr="00DF0A0A" w:rsidRDefault="00122D4A" w:rsidP="00496DC7">
            <w:pPr>
              <w:jc w:val="both"/>
              <w:rPr>
                <w:rFonts w:eastAsia="Calibri"/>
                <w:sz w:val="20"/>
              </w:rPr>
            </w:pPr>
          </w:p>
        </w:tc>
        <w:tc>
          <w:tcPr>
            <w:tcW w:w="2330" w:type="pct"/>
          </w:tcPr>
          <w:p w:rsidR="00122D4A" w:rsidRPr="00DF0A0A" w:rsidRDefault="00122D4A" w:rsidP="00496DC7">
            <w:pPr>
              <w:jc w:val="both"/>
              <w:rPr>
                <w:rFonts w:eastAsia="Calibri"/>
                <w:sz w:val="20"/>
              </w:rPr>
            </w:pPr>
            <w:r w:rsidRPr="00DF0A0A">
              <w:rPr>
                <w:rFonts w:eastAsia="Calibri"/>
                <w:sz w:val="20"/>
              </w:rPr>
              <w:t>Conviction: obstructing a peace officer</w:t>
            </w:r>
          </w:p>
          <w:p w:rsidR="00122D4A" w:rsidRPr="00DF0A0A" w:rsidRDefault="00122D4A" w:rsidP="00496DC7">
            <w:pPr>
              <w:jc w:val="both"/>
              <w:rPr>
                <w:rFonts w:eastAsia="Calibri"/>
                <w:sz w:val="20"/>
              </w:rPr>
            </w:pPr>
          </w:p>
        </w:tc>
      </w:tr>
      <w:tr w:rsidR="00122D4A" w:rsidRPr="00DF0A0A" w:rsidTr="00496DC7">
        <w:tc>
          <w:tcPr>
            <w:tcW w:w="2427" w:type="pct"/>
          </w:tcPr>
          <w:p w:rsidR="00122D4A" w:rsidRPr="00DF0A0A" w:rsidRDefault="00122D4A" w:rsidP="00496DC7">
            <w:pPr>
              <w:jc w:val="both"/>
              <w:rPr>
                <w:rFonts w:eastAsia="Calibri"/>
                <w:sz w:val="20"/>
              </w:rPr>
            </w:pPr>
            <w:r w:rsidRPr="00DF0A0A">
              <w:rPr>
                <w:rFonts w:eastAsia="Calibri"/>
                <w:sz w:val="20"/>
              </w:rPr>
              <w:t>June 25, 2010</w:t>
            </w:r>
          </w:p>
          <w:p w:rsidR="00122D4A" w:rsidRPr="00DF0A0A" w:rsidRDefault="00122D4A" w:rsidP="00496DC7">
            <w:pPr>
              <w:jc w:val="both"/>
              <w:rPr>
                <w:rFonts w:eastAsia="Calibri"/>
                <w:sz w:val="20"/>
              </w:rPr>
            </w:pPr>
            <w:r w:rsidRPr="00DF0A0A">
              <w:rPr>
                <w:rFonts w:eastAsia="Calibri"/>
                <w:sz w:val="20"/>
              </w:rPr>
              <w:t>Court of Queen’s Bench of Manitoba</w:t>
            </w:r>
          </w:p>
          <w:p w:rsidR="00122D4A" w:rsidRPr="00DF0A0A" w:rsidRDefault="00122D4A" w:rsidP="00496DC7">
            <w:pPr>
              <w:jc w:val="both"/>
              <w:rPr>
                <w:rFonts w:eastAsia="Calibri"/>
                <w:sz w:val="20"/>
              </w:rPr>
            </w:pPr>
            <w:r w:rsidRPr="00DF0A0A">
              <w:rPr>
                <w:rFonts w:eastAsia="Calibri"/>
                <w:sz w:val="20"/>
              </w:rPr>
              <w:t>(</w:t>
            </w:r>
            <w:proofErr w:type="spellStart"/>
            <w:r w:rsidRPr="00DF0A0A">
              <w:rPr>
                <w:rFonts w:eastAsia="Calibri"/>
                <w:sz w:val="20"/>
              </w:rPr>
              <w:t>Bryk</w:t>
            </w:r>
            <w:proofErr w:type="spellEnd"/>
            <w:r w:rsidRPr="00DF0A0A">
              <w:rPr>
                <w:rFonts w:eastAsia="Calibri"/>
                <w:sz w:val="20"/>
              </w:rPr>
              <w:t xml:space="preserve"> J.)</w:t>
            </w:r>
          </w:p>
          <w:p w:rsidR="00122D4A" w:rsidRPr="00DF0A0A" w:rsidRDefault="00122D4A" w:rsidP="00496DC7">
            <w:pPr>
              <w:jc w:val="both"/>
              <w:rPr>
                <w:rFonts w:eastAsia="Calibri"/>
                <w:sz w:val="20"/>
              </w:rPr>
            </w:pPr>
            <w:r w:rsidRPr="00DF0A0A">
              <w:rPr>
                <w:rFonts w:eastAsia="Calibri"/>
                <w:sz w:val="20"/>
              </w:rPr>
              <w:t>2010 MBQM 158</w:t>
            </w:r>
          </w:p>
          <w:p w:rsidR="00122D4A" w:rsidRPr="00DF0A0A" w:rsidRDefault="00122D4A" w:rsidP="00496DC7">
            <w:pPr>
              <w:jc w:val="both"/>
              <w:rPr>
                <w:rFonts w:eastAsia="Calibri"/>
                <w:sz w:val="20"/>
              </w:rPr>
            </w:pPr>
          </w:p>
        </w:tc>
        <w:tc>
          <w:tcPr>
            <w:tcW w:w="243" w:type="pct"/>
          </w:tcPr>
          <w:p w:rsidR="00122D4A" w:rsidRPr="00DF0A0A" w:rsidRDefault="00122D4A" w:rsidP="00496DC7">
            <w:pPr>
              <w:jc w:val="both"/>
              <w:rPr>
                <w:rFonts w:eastAsia="Calibri"/>
                <w:sz w:val="20"/>
              </w:rPr>
            </w:pPr>
          </w:p>
        </w:tc>
        <w:tc>
          <w:tcPr>
            <w:tcW w:w="2330" w:type="pct"/>
          </w:tcPr>
          <w:p w:rsidR="00122D4A" w:rsidRPr="00DF0A0A" w:rsidRDefault="00122D4A" w:rsidP="00496DC7">
            <w:pPr>
              <w:jc w:val="both"/>
              <w:rPr>
                <w:rFonts w:eastAsia="Calibri"/>
                <w:sz w:val="20"/>
              </w:rPr>
            </w:pPr>
            <w:r w:rsidRPr="00DF0A0A">
              <w:rPr>
                <w:rFonts w:eastAsia="Calibri"/>
                <w:sz w:val="20"/>
              </w:rPr>
              <w:t>Summary conviction appeal dismissed</w:t>
            </w:r>
          </w:p>
          <w:p w:rsidR="00122D4A" w:rsidRPr="00DF0A0A" w:rsidRDefault="00122D4A" w:rsidP="00496DC7">
            <w:pPr>
              <w:jc w:val="both"/>
              <w:rPr>
                <w:rFonts w:eastAsia="Calibri"/>
                <w:sz w:val="20"/>
              </w:rPr>
            </w:pPr>
          </w:p>
        </w:tc>
      </w:tr>
      <w:tr w:rsidR="00122D4A" w:rsidRPr="00DF0A0A" w:rsidTr="00496DC7">
        <w:tc>
          <w:tcPr>
            <w:tcW w:w="2427" w:type="pct"/>
          </w:tcPr>
          <w:p w:rsidR="00122D4A" w:rsidRPr="00DF0A0A" w:rsidRDefault="00122D4A" w:rsidP="00496DC7">
            <w:pPr>
              <w:jc w:val="both"/>
              <w:rPr>
                <w:rFonts w:eastAsia="Calibri"/>
                <w:sz w:val="20"/>
              </w:rPr>
            </w:pPr>
            <w:r w:rsidRPr="00DF0A0A">
              <w:rPr>
                <w:rFonts w:eastAsia="Calibri"/>
                <w:sz w:val="20"/>
              </w:rPr>
              <w:t>October 20, 2010</w:t>
            </w:r>
          </w:p>
          <w:p w:rsidR="00122D4A" w:rsidRPr="00DF0A0A" w:rsidRDefault="00122D4A" w:rsidP="00496DC7">
            <w:pPr>
              <w:jc w:val="both"/>
              <w:rPr>
                <w:rFonts w:eastAsia="Calibri"/>
                <w:sz w:val="20"/>
              </w:rPr>
            </w:pPr>
            <w:r w:rsidRPr="00DF0A0A">
              <w:rPr>
                <w:rFonts w:eastAsia="Calibri"/>
                <w:sz w:val="20"/>
              </w:rPr>
              <w:t>Court of Appeal of Manitoba</w:t>
            </w:r>
          </w:p>
          <w:p w:rsidR="00122D4A" w:rsidRPr="00DF0A0A" w:rsidRDefault="00122D4A" w:rsidP="00496DC7">
            <w:pPr>
              <w:jc w:val="both"/>
              <w:rPr>
                <w:rFonts w:eastAsia="Calibri"/>
                <w:sz w:val="20"/>
              </w:rPr>
            </w:pPr>
            <w:r w:rsidRPr="00DF0A0A">
              <w:rPr>
                <w:rFonts w:eastAsia="Calibri"/>
                <w:sz w:val="20"/>
              </w:rPr>
              <w:t>(</w:t>
            </w:r>
            <w:proofErr w:type="spellStart"/>
            <w:r w:rsidRPr="00DF0A0A">
              <w:rPr>
                <w:rFonts w:eastAsia="Calibri"/>
                <w:sz w:val="20"/>
              </w:rPr>
              <w:t>Monnin</w:t>
            </w:r>
            <w:proofErr w:type="spellEnd"/>
            <w:r w:rsidRPr="00DF0A0A">
              <w:rPr>
                <w:rFonts w:eastAsia="Calibri"/>
                <w:sz w:val="20"/>
              </w:rPr>
              <w:t xml:space="preserve"> J.A.) </w:t>
            </w:r>
          </w:p>
          <w:p w:rsidR="00122D4A" w:rsidRPr="00DF0A0A" w:rsidRDefault="00122D4A" w:rsidP="00496DC7">
            <w:pPr>
              <w:jc w:val="both"/>
              <w:rPr>
                <w:rFonts w:eastAsia="Calibri"/>
                <w:sz w:val="20"/>
              </w:rPr>
            </w:pPr>
            <w:r w:rsidRPr="00DF0A0A">
              <w:rPr>
                <w:rFonts w:eastAsia="Calibri"/>
                <w:sz w:val="20"/>
              </w:rPr>
              <w:t>2010 MBCA 95</w:t>
            </w:r>
          </w:p>
          <w:p w:rsidR="00122D4A" w:rsidRPr="00DF0A0A" w:rsidRDefault="00122D4A" w:rsidP="00496DC7">
            <w:pPr>
              <w:jc w:val="both"/>
              <w:rPr>
                <w:rFonts w:eastAsia="Calibri"/>
                <w:sz w:val="20"/>
              </w:rPr>
            </w:pPr>
            <w:r w:rsidRPr="00DF0A0A">
              <w:rPr>
                <w:rFonts w:eastAsia="Calibri"/>
                <w:sz w:val="20"/>
              </w:rPr>
              <w:t>AR 10-30-07398</w:t>
            </w:r>
          </w:p>
          <w:p w:rsidR="00122D4A" w:rsidRPr="00DF0A0A" w:rsidRDefault="00122D4A" w:rsidP="00496DC7">
            <w:pPr>
              <w:jc w:val="both"/>
              <w:rPr>
                <w:rFonts w:eastAsia="Calibri"/>
                <w:sz w:val="20"/>
              </w:rPr>
            </w:pPr>
          </w:p>
        </w:tc>
        <w:tc>
          <w:tcPr>
            <w:tcW w:w="243" w:type="pct"/>
          </w:tcPr>
          <w:p w:rsidR="00122D4A" w:rsidRPr="00DF0A0A" w:rsidRDefault="00122D4A" w:rsidP="00496DC7">
            <w:pPr>
              <w:jc w:val="both"/>
              <w:rPr>
                <w:rFonts w:eastAsia="Calibri"/>
                <w:sz w:val="20"/>
              </w:rPr>
            </w:pPr>
          </w:p>
        </w:tc>
        <w:tc>
          <w:tcPr>
            <w:tcW w:w="2330" w:type="pct"/>
          </w:tcPr>
          <w:p w:rsidR="00122D4A" w:rsidRPr="00DF0A0A" w:rsidRDefault="00122D4A" w:rsidP="00496DC7">
            <w:pPr>
              <w:jc w:val="both"/>
              <w:rPr>
                <w:rFonts w:eastAsia="Calibri"/>
                <w:sz w:val="20"/>
              </w:rPr>
            </w:pPr>
            <w:r w:rsidRPr="00DF0A0A">
              <w:rPr>
                <w:rFonts w:eastAsia="Calibri"/>
                <w:sz w:val="20"/>
              </w:rPr>
              <w:t>Application for leave to appeal dismissed</w:t>
            </w:r>
          </w:p>
          <w:p w:rsidR="00122D4A" w:rsidRPr="00DF0A0A" w:rsidRDefault="00122D4A" w:rsidP="00496DC7">
            <w:pPr>
              <w:jc w:val="both"/>
              <w:rPr>
                <w:rFonts w:eastAsia="Calibri"/>
                <w:sz w:val="20"/>
              </w:rPr>
            </w:pPr>
          </w:p>
        </w:tc>
      </w:tr>
      <w:tr w:rsidR="00122D4A" w:rsidRPr="00DF0A0A" w:rsidTr="00496DC7">
        <w:tc>
          <w:tcPr>
            <w:tcW w:w="2427" w:type="pct"/>
          </w:tcPr>
          <w:p w:rsidR="00122D4A" w:rsidRPr="00DF0A0A" w:rsidRDefault="00122D4A" w:rsidP="00496DC7">
            <w:pPr>
              <w:jc w:val="both"/>
              <w:rPr>
                <w:rFonts w:eastAsia="Calibri"/>
                <w:sz w:val="20"/>
              </w:rPr>
            </w:pPr>
            <w:r w:rsidRPr="00DF0A0A">
              <w:rPr>
                <w:rFonts w:eastAsia="Calibri"/>
                <w:sz w:val="20"/>
              </w:rPr>
              <w:t>November 26, 2010</w:t>
            </w:r>
          </w:p>
          <w:p w:rsidR="00122D4A" w:rsidRPr="00DF0A0A" w:rsidRDefault="00122D4A" w:rsidP="00496DC7">
            <w:pPr>
              <w:jc w:val="both"/>
              <w:rPr>
                <w:rFonts w:eastAsia="Calibri"/>
                <w:sz w:val="20"/>
              </w:rPr>
            </w:pPr>
            <w:r w:rsidRPr="00DF0A0A">
              <w:rPr>
                <w:rFonts w:eastAsia="Calibri"/>
                <w:sz w:val="20"/>
              </w:rPr>
              <w:t>Supreme Court of Canada</w:t>
            </w:r>
          </w:p>
        </w:tc>
        <w:tc>
          <w:tcPr>
            <w:tcW w:w="243" w:type="pct"/>
          </w:tcPr>
          <w:p w:rsidR="00122D4A" w:rsidRPr="00DF0A0A" w:rsidRDefault="00122D4A" w:rsidP="00496DC7">
            <w:pPr>
              <w:jc w:val="both"/>
              <w:rPr>
                <w:rFonts w:eastAsia="Calibri"/>
                <w:sz w:val="20"/>
              </w:rPr>
            </w:pPr>
          </w:p>
        </w:tc>
        <w:tc>
          <w:tcPr>
            <w:tcW w:w="2330" w:type="pct"/>
          </w:tcPr>
          <w:p w:rsidR="00122D4A" w:rsidRPr="00DF0A0A" w:rsidRDefault="00122D4A" w:rsidP="00496DC7">
            <w:pPr>
              <w:jc w:val="both"/>
              <w:rPr>
                <w:rFonts w:eastAsia="Calibri"/>
                <w:sz w:val="20"/>
              </w:rPr>
            </w:pPr>
            <w:r w:rsidRPr="00DF0A0A">
              <w:rPr>
                <w:rFonts w:eastAsia="Calibri"/>
                <w:sz w:val="20"/>
              </w:rPr>
              <w:t>Application for leave to appeal filed</w:t>
            </w:r>
          </w:p>
          <w:p w:rsidR="00122D4A" w:rsidRPr="00DF0A0A" w:rsidRDefault="00122D4A" w:rsidP="00496DC7">
            <w:pPr>
              <w:jc w:val="both"/>
              <w:rPr>
                <w:rFonts w:eastAsia="Calibri"/>
                <w:sz w:val="20"/>
              </w:rPr>
            </w:pPr>
          </w:p>
        </w:tc>
      </w:tr>
    </w:tbl>
    <w:p w:rsidR="00610966" w:rsidRDefault="00610966" w:rsidP="00610966">
      <w:pPr>
        <w:rPr>
          <w:sz w:val="20"/>
          <w:szCs w:val="20"/>
        </w:rPr>
      </w:pPr>
    </w:p>
    <w:p w:rsidR="00610966" w:rsidRDefault="00C478F8" w:rsidP="00610966">
      <w:pPr>
        <w:rPr>
          <w:sz w:val="20"/>
          <w:szCs w:val="20"/>
        </w:rPr>
      </w:pPr>
      <w:r w:rsidRPr="00C478F8">
        <w:rPr>
          <w:sz w:val="20"/>
          <w:szCs w:val="20"/>
          <w:lang w:val="fr-CA"/>
        </w:rPr>
        <w:pict>
          <v:rect id="_x0000_i1043" style="width:2in;height:1pt" o:hrpct="0" o:hralign="center" o:hrstd="t" o:hrnoshade="t" o:hr="t" fillcolor="black [3213]" stroked="f"/>
        </w:pict>
      </w:r>
    </w:p>
    <w:p w:rsidR="00610966" w:rsidRDefault="00610966" w:rsidP="00610966">
      <w:pPr>
        <w:rPr>
          <w:sz w:val="20"/>
          <w:szCs w:val="20"/>
        </w:rPr>
      </w:pPr>
    </w:p>
    <w:p w:rsidR="00610966" w:rsidRPr="00610966" w:rsidRDefault="00610966" w:rsidP="00610966">
      <w:pPr>
        <w:rPr>
          <w:sz w:val="20"/>
          <w:szCs w:val="20"/>
          <w:u w:val="single"/>
        </w:rPr>
      </w:pPr>
      <w:r w:rsidRPr="00610966">
        <w:rPr>
          <w:sz w:val="20"/>
          <w:szCs w:val="20"/>
          <w:u w:val="single"/>
        </w:rPr>
        <w:t>RÉSUMÉ DE L’AFFAIRE</w:t>
      </w:r>
    </w:p>
    <w:p w:rsidR="00610966" w:rsidRDefault="00610966" w:rsidP="00610966">
      <w:pPr>
        <w:rPr>
          <w:b/>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122D4A" w:rsidRPr="00406D3C" w:rsidTr="00496DC7">
        <w:tc>
          <w:tcPr>
            <w:tcW w:w="5000" w:type="pct"/>
            <w:gridSpan w:val="3"/>
          </w:tcPr>
          <w:p w:rsidR="00122D4A" w:rsidRPr="00DF0A0A" w:rsidRDefault="00122D4A" w:rsidP="00496DC7">
            <w:pPr>
              <w:jc w:val="both"/>
              <w:rPr>
                <w:rFonts w:eastAsia="Calibri"/>
                <w:sz w:val="20"/>
                <w:lang w:val="fr-CA"/>
              </w:rPr>
            </w:pPr>
            <w:r w:rsidRPr="00DF0A0A">
              <w:rPr>
                <w:rFonts w:eastAsia="Calibri"/>
                <w:i/>
                <w:iCs/>
                <w:sz w:val="20"/>
                <w:lang w:val="fr-CA"/>
              </w:rPr>
              <w:t xml:space="preserve">Charte des droits et libertés </w:t>
            </w:r>
            <w:r w:rsidRPr="00DF0A0A">
              <w:rPr>
                <w:rFonts w:eastAsia="Calibri"/>
                <w:sz w:val="20"/>
                <w:lang w:val="fr-CA"/>
              </w:rPr>
              <w:t>– Droit à l'assistance d'un avocat – Infractions – Éléments de l'infraction – Entrave au travail d’un agent de la paix – L'agent qui a procédé à l'arrestation était-il dans l'exercice légitime de ses fonctions lorsque le demandeur a opposé de la résistance quand l’agent l’a couché au sol de force? – L'agent qui a procédé à l'arrestation a-t-il été entravé dans son travail?</w:t>
            </w:r>
          </w:p>
          <w:p w:rsidR="00122D4A" w:rsidRPr="00DF0A0A" w:rsidRDefault="00122D4A" w:rsidP="00496DC7">
            <w:pPr>
              <w:jc w:val="both"/>
              <w:rPr>
                <w:rFonts w:eastAsia="Calibri"/>
                <w:sz w:val="20"/>
                <w:lang w:val="fr-CA"/>
              </w:rPr>
            </w:pPr>
          </w:p>
        </w:tc>
      </w:tr>
      <w:tr w:rsidR="00122D4A" w:rsidRPr="00406D3C" w:rsidTr="00496DC7">
        <w:tc>
          <w:tcPr>
            <w:tcW w:w="5000" w:type="pct"/>
            <w:gridSpan w:val="3"/>
          </w:tcPr>
          <w:p w:rsidR="00122D4A" w:rsidRPr="00DF0A0A" w:rsidRDefault="00122D4A" w:rsidP="00496DC7">
            <w:pPr>
              <w:jc w:val="both"/>
              <w:rPr>
                <w:rFonts w:eastAsia="Calibri"/>
                <w:sz w:val="20"/>
                <w:lang w:val="fr-CA"/>
              </w:rPr>
            </w:pPr>
            <w:r w:rsidRPr="00DF0A0A">
              <w:rPr>
                <w:rFonts w:eastAsia="Calibri"/>
                <w:sz w:val="20"/>
                <w:lang w:val="fr-CA"/>
              </w:rPr>
              <w:t>Des policiers étaient en train d'arrêter deux membres d’un gang pour des infractions en matière de drogue. Le demandeur et deux autres personnes sont arrivés dans un véhicule et ils se sont garés à côté de la scène de l'arrestation. Les policiers ont cru qu'il s'agissait de membres d’un gang rival et que leur arrivée représentait un danger. Un policier a dégainé son arme à feu et a ordonné aux demandeurs et à ses compagnons de sortir du véhicule et de se coucher par terre. Les compagnons du demandeur ont obtempéré, mais le demandeur est demeuré dans le véhicule pendant de cinq à dix secondes avant de sortir. Il n'a pas été informé des motifs de sa détention. Le demandeur a ensuite marché autour du véhicule et s'est avancé vers un des agents qui procédait à l'arrestation d'un des suspects, accusé de trafic de drogue, lui demandant pourquoi il devait se coucher par terre. L'agent a saisi le demandeur et l’a couché au sol de force. Une lutte s'est ensuivie et on a mis des menottes au demandeur. Il a été accusé d'entrave au travail d’un agent de la paix.</w:t>
            </w:r>
          </w:p>
          <w:p w:rsidR="00122D4A" w:rsidRPr="00DF0A0A" w:rsidRDefault="00122D4A" w:rsidP="00496DC7">
            <w:pPr>
              <w:jc w:val="both"/>
              <w:rPr>
                <w:rFonts w:eastAsia="Calibri"/>
                <w:sz w:val="20"/>
                <w:lang w:val="fr-CA"/>
              </w:rPr>
            </w:pPr>
          </w:p>
        </w:tc>
      </w:tr>
      <w:tr w:rsidR="00122D4A" w:rsidRPr="00406D3C" w:rsidTr="00496DC7">
        <w:tc>
          <w:tcPr>
            <w:tcW w:w="2427" w:type="pct"/>
          </w:tcPr>
          <w:p w:rsidR="00122D4A" w:rsidRPr="00DF0A0A" w:rsidRDefault="00122D4A" w:rsidP="00496DC7">
            <w:pPr>
              <w:jc w:val="both"/>
              <w:rPr>
                <w:rFonts w:eastAsia="Calibri"/>
                <w:sz w:val="20"/>
                <w:lang w:val="fr-CA"/>
              </w:rPr>
            </w:pPr>
            <w:r w:rsidRPr="00DF0A0A">
              <w:rPr>
                <w:rFonts w:eastAsia="Calibri"/>
                <w:sz w:val="20"/>
                <w:lang w:val="fr-CA"/>
              </w:rPr>
              <w:t>21 octobre 2009</w:t>
            </w:r>
          </w:p>
          <w:p w:rsidR="00122D4A" w:rsidRPr="00DF0A0A" w:rsidRDefault="00122D4A" w:rsidP="00496DC7">
            <w:pPr>
              <w:jc w:val="both"/>
              <w:rPr>
                <w:rFonts w:eastAsia="Calibri"/>
                <w:sz w:val="20"/>
                <w:lang w:val="fr-CA"/>
              </w:rPr>
            </w:pPr>
            <w:r w:rsidRPr="00DF0A0A">
              <w:rPr>
                <w:rFonts w:eastAsia="Calibri"/>
                <w:sz w:val="20"/>
                <w:lang w:val="fr-CA"/>
              </w:rPr>
              <w:t>Cour provinciale du Manitoba</w:t>
            </w:r>
          </w:p>
          <w:p w:rsidR="00122D4A" w:rsidRPr="00DF0A0A" w:rsidRDefault="00122D4A" w:rsidP="00496DC7">
            <w:pPr>
              <w:jc w:val="both"/>
              <w:rPr>
                <w:rFonts w:eastAsia="Calibri"/>
                <w:sz w:val="20"/>
                <w:lang w:val="fr-CA"/>
              </w:rPr>
            </w:pPr>
            <w:r w:rsidRPr="00DF0A0A">
              <w:rPr>
                <w:rFonts w:eastAsia="Calibri"/>
                <w:sz w:val="20"/>
                <w:lang w:val="fr-CA"/>
              </w:rPr>
              <w:t xml:space="preserve">(Juge </w:t>
            </w:r>
            <w:proofErr w:type="spellStart"/>
            <w:r w:rsidRPr="00DF0A0A">
              <w:rPr>
                <w:rFonts w:eastAsia="Calibri"/>
                <w:sz w:val="20"/>
                <w:lang w:val="fr-CA"/>
              </w:rPr>
              <w:t>Lerner</w:t>
            </w:r>
            <w:proofErr w:type="spellEnd"/>
            <w:r w:rsidRPr="00DF0A0A">
              <w:rPr>
                <w:rFonts w:eastAsia="Calibri"/>
                <w:sz w:val="20"/>
                <w:lang w:val="fr-CA"/>
              </w:rPr>
              <w:t xml:space="preserve">) </w:t>
            </w:r>
          </w:p>
          <w:p w:rsidR="00122D4A" w:rsidRPr="00DF0A0A" w:rsidRDefault="00122D4A" w:rsidP="00496DC7">
            <w:pPr>
              <w:jc w:val="both"/>
              <w:rPr>
                <w:rFonts w:eastAsia="Calibri"/>
                <w:sz w:val="20"/>
                <w:lang w:val="fr-CA"/>
              </w:rPr>
            </w:pPr>
            <w:r w:rsidRPr="00DF0A0A">
              <w:rPr>
                <w:rFonts w:eastAsia="Calibri"/>
                <w:sz w:val="20"/>
                <w:lang w:val="fr-CA"/>
              </w:rPr>
              <w:t>2009 MBPC 51</w:t>
            </w:r>
          </w:p>
          <w:p w:rsidR="00122D4A" w:rsidRPr="00DF0A0A" w:rsidRDefault="00122D4A" w:rsidP="00496DC7">
            <w:pPr>
              <w:jc w:val="both"/>
              <w:rPr>
                <w:rFonts w:eastAsia="Calibri"/>
                <w:sz w:val="20"/>
                <w:lang w:val="fr-CA"/>
              </w:rPr>
            </w:pPr>
          </w:p>
        </w:tc>
        <w:tc>
          <w:tcPr>
            <w:tcW w:w="243" w:type="pct"/>
          </w:tcPr>
          <w:p w:rsidR="00122D4A" w:rsidRPr="00DF0A0A" w:rsidRDefault="00122D4A" w:rsidP="00496DC7">
            <w:pPr>
              <w:jc w:val="both"/>
              <w:rPr>
                <w:rFonts w:eastAsia="Calibri"/>
                <w:sz w:val="20"/>
                <w:lang w:val="fr-CA"/>
              </w:rPr>
            </w:pPr>
          </w:p>
        </w:tc>
        <w:tc>
          <w:tcPr>
            <w:tcW w:w="2330" w:type="pct"/>
          </w:tcPr>
          <w:p w:rsidR="00122D4A" w:rsidRPr="00DF0A0A" w:rsidRDefault="00122D4A" w:rsidP="00496DC7">
            <w:pPr>
              <w:jc w:val="both"/>
              <w:rPr>
                <w:rFonts w:eastAsia="Calibri"/>
                <w:sz w:val="20"/>
                <w:lang w:val="fr-CA"/>
              </w:rPr>
            </w:pPr>
            <w:r w:rsidRPr="00DF0A0A">
              <w:rPr>
                <w:rFonts w:eastAsia="Calibri"/>
                <w:sz w:val="20"/>
                <w:lang w:val="fr-CA"/>
              </w:rPr>
              <w:t>Déclaration de culpabilité : entrave au travail d’un agent de la paix</w:t>
            </w:r>
          </w:p>
          <w:p w:rsidR="00122D4A" w:rsidRPr="00DF0A0A" w:rsidRDefault="00122D4A" w:rsidP="00496DC7">
            <w:pPr>
              <w:jc w:val="both"/>
              <w:rPr>
                <w:rFonts w:eastAsia="Calibri"/>
                <w:sz w:val="20"/>
                <w:lang w:val="fr-CA"/>
              </w:rPr>
            </w:pPr>
          </w:p>
        </w:tc>
      </w:tr>
      <w:tr w:rsidR="00122D4A" w:rsidRPr="00406D3C" w:rsidTr="00496DC7">
        <w:tc>
          <w:tcPr>
            <w:tcW w:w="2427" w:type="pct"/>
          </w:tcPr>
          <w:p w:rsidR="00122D4A" w:rsidRPr="00DF0A0A" w:rsidRDefault="00122D4A" w:rsidP="00496DC7">
            <w:pPr>
              <w:jc w:val="both"/>
              <w:rPr>
                <w:rFonts w:eastAsia="Calibri"/>
                <w:sz w:val="20"/>
                <w:lang w:val="fr-CA"/>
              </w:rPr>
            </w:pPr>
            <w:r w:rsidRPr="00DF0A0A">
              <w:rPr>
                <w:rFonts w:eastAsia="Calibri"/>
                <w:sz w:val="20"/>
                <w:lang w:val="fr-CA"/>
              </w:rPr>
              <w:t>25 juin 2010</w:t>
            </w:r>
          </w:p>
          <w:p w:rsidR="00122D4A" w:rsidRPr="00DF0A0A" w:rsidRDefault="00122D4A" w:rsidP="00496DC7">
            <w:pPr>
              <w:jc w:val="both"/>
              <w:rPr>
                <w:rFonts w:eastAsia="Calibri"/>
                <w:sz w:val="20"/>
                <w:lang w:val="fr-CA"/>
              </w:rPr>
            </w:pPr>
            <w:r w:rsidRPr="00DF0A0A">
              <w:rPr>
                <w:rFonts w:eastAsia="Calibri"/>
                <w:sz w:val="20"/>
                <w:lang w:val="fr-CA"/>
              </w:rPr>
              <w:t>Cour du Banc de la Reine du Manitoba</w:t>
            </w:r>
          </w:p>
          <w:p w:rsidR="00122D4A" w:rsidRPr="00DF0A0A" w:rsidRDefault="00122D4A" w:rsidP="00496DC7">
            <w:pPr>
              <w:jc w:val="both"/>
              <w:rPr>
                <w:rFonts w:eastAsia="Calibri"/>
                <w:sz w:val="20"/>
                <w:lang w:val="fr-CA"/>
              </w:rPr>
            </w:pPr>
            <w:r w:rsidRPr="00DF0A0A">
              <w:rPr>
                <w:rFonts w:eastAsia="Calibri"/>
                <w:sz w:val="20"/>
                <w:lang w:val="fr-CA"/>
              </w:rPr>
              <w:t xml:space="preserve">(Juge </w:t>
            </w:r>
            <w:proofErr w:type="spellStart"/>
            <w:r w:rsidRPr="00DF0A0A">
              <w:rPr>
                <w:rFonts w:eastAsia="Calibri"/>
                <w:sz w:val="20"/>
                <w:lang w:val="fr-CA"/>
              </w:rPr>
              <w:t>Bryk</w:t>
            </w:r>
            <w:proofErr w:type="spellEnd"/>
            <w:r w:rsidRPr="00DF0A0A">
              <w:rPr>
                <w:rFonts w:eastAsia="Calibri"/>
                <w:sz w:val="20"/>
                <w:lang w:val="fr-CA"/>
              </w:rPr>
              <w:t>)</w:t>
            </w:r>
          </w:p>
          <w:p w:rsidR="00122D4A" w:rsidRPr="00DF0A0A" w:rsidRDefault="00122D4A" w:rsidP="009349BD">
            <w:pPr>
              <w:jc w:val="both"/>
              <w:rPr>
                <w:rFonts w:eastAsia="Calibri"/>
                <w:sz w:val="20"/>
                <w:lang w:val="fr-CA"/>
              </w:rPr>
            </w:pPr>
            <w:r w:rsidRPr="00DF0A0A">
              <w:rPr>
                <w:rFonts w:eastAsia="Calibri"/>
                <w:sz w:val="20"/>
                <w:lang w:val="fr-CA"/>
              </w:rPr>
              <w:t>2010 MBQM 158</w:t>
            </w:r>
          </w:p>
        </w:tc>
        <w:tc>
          <w:tcPr>
            <w:tcW w:w="243" w:type="pct"/>
          </w:tcPr>
          <w:p w:rsidR="00122D4A" w:rsidRPr="00DF0A0A" w:rsidRDefault="00122D4A" w:rsidP="00496DC7">
            <w:pPr>
              <w:jc w:val="both"/>
              <w:rPr>
                <w:rFonts w:eastAsia="Calibri"/>
                <w:sz w:val="20"/>
                <w:lang w:val="fr-CA"/>
              </w:rPr>
            </w:pPr>
          </w:p>
        </w:tc>
        <w:tc>
          <w:tcPr>
            <w:tcW w:w="2330" w:type="pct"/>
          </w:tcPr>
          <w:p w:rsidR="00122D4A" w:rsidRPr="00DF0A0A" w:rsidRDefault="00122D4A" w:rsidP="00496DC7">
            <w:pPr>
              <w:jc w:val="both"/>
              <w:rPr>
                <w:rFonts w:eastAsia="Calibri"/>
                <w:sz w:val="20"/>
                <w:lang w:val="fr-CA"/>
              </w:rPr>
            </w:pPr>
            <w:r w:rsidRPr="00DF0A0A">
              <w:rPr>
                <w:rFonts w:eastAsia="Calibri"/>
                <w:sz w:val="20"/>
                <w:lang w:val="fr-CA"/>
              </w:rPr>
              <w:t>Appel en matière de poursuite sommaire, rejeté</w:t>
            </w:r>
          </w:p>
          <w:p w:rsidR="00122D4A" w:rsidRPr="00DF0A0A" w:rsidRDefault="00122D4A" w:rsidP="00496DC7">
            <w:pPr>
              <w:jc w:val="both"/>
              <w:rPr>
                <w:rFonts w:eastAsia="Calibri"/>
                <w:sz w:val="20"/>
                <w:lang w:val="fr-CA"/>
              </w:rPr>
            </w:pPr>
          </w:p>
        </w:tc>
      </w:tr>
    </w:tbl>
    <w:p w:rsidR="00925A77" w:rsidRPr="00F74132" w:rsidRDefault="00925A77">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122D4A" w:rsidRPr="00DF0A0A" w:rsidTr="00925A77">
        <w:trPr>
          <w:cantSplit/>
        </w:trPr>
        <w:tc>
          <w:tcPr>
            <w:tcW w:w="2427" w:type="pct"/>
          </w:tcPr>
          <w:p w:rsidR="00122D4A" w:rsidRPr="00DF0A0A" w:rsidRDefault="00122D4A" w:rsidP="00496DC7">
            <w:pPr>
              <w:jc w:val="both"/>
              <w:rPr>
                <w:rFonts w:eastAsia="Calibri"/>
                <w:sz w:val="20"/>
                <w:lang w:val="fr-CA"/>
              </w:rPr>
            </w:pPr>
            <w:r w:rsidRPr="00DF0A0A">
              <w:rPr>
                <w:rFonts w:eastAsia="Calibri"/>
                <w:sz w:val="20"/>
                <w:lang w:val="fr-CA"/>
              </w:rPr>
              <w:t>20 octobre 2010</w:t>
            </w:r>
          </w:p>
          <w:p w:rsidR="00122D4A" w:rsidRPr="00DF0A0A" w:rsidRDefault="00122D4A" w:rsidP="00496DC7">
            <w:pPr>
              <w:jc w:val="both"/>
              <w:rPr>
                <w:rFonts w:eastAsia="Calibri"/>
                <w:sz w:val="20"/>
                <w:lang w:val="fr-CA"/>
              </w:rPr>
            </w:pPr>
            <w:r w:rsidRPr="00DF0A0A">
              <w:rPr>
                <w:rFonts w:eastAsia="Calibri"/>
                <w:sz w:val="20"/>
                <w:lang w:val="fr-CA"/>
              </w:rPr>
              <w:t>Cour d'appel du Manitoba</w:t>
            </w:r>
          </w:p>
          <w:p w:rsidR="00122D4A" w:rsidRPr="00DF0A0A" w:rsidRDefault="00122D4A" w:rsidP="00496DC7">
            <w:pPr>
              <w:jc w:val="both"/>
              <w:rPr>
                <w:rFonts w:eastAsia="Calibri"/>
                <w:sz w:val="20"/>
                <w:lang w:val="fr-CA"/>
              </w:rPr>
            </w:pPr>
            <w:r w:rsidRPr="00DF0A0A">
              <w:rPr>
                <w:rFonts w:eastAsia="Calibri"/>
                <w:sz w:val="20"/>
                <w:lang w:val="fr-CA"/>
              </w:rPr>
              <w:t xml:space="preserve">(Juge </w:t>
            </w:r>
            <w:proofErr w:type="spellStart"/>
            <w:r w:rsidRPr="00DF0A0A">
              <w:rPr>
                <w:rFonts w:eastAsia="Calibri"/>
                <w:sz w:val="20"/>
                <w:lang w:val="fr-CA"/>
              </w:rPr>
              <w:t>Monnin</w:t>
            </w:r>
            <w:proofErr w:type="spellEnd"/>
            <w:r w:rsidRPr="00DF0A0A">
              <w:rPr>
                <w:rFonts w:eastAsia="Calibri"/>
                <w:sz w:val="20"/>
                <w:lang w:val="fr-CA"/>
              </w:rPr>
              <w:t xml:space="preserve">) </w:t>
            </w:r>
          </w:p>
          <w:p w:rsidR="00122D4A" w:rsidRPr="00DF0A0A" w:rsidRDefault="00122D4A" w:rsidP="00496DC7">
            <w:pPr>
              <w:jc w:val="both"/>
              <w:rPr>
                <w:rFonts w:eastAsia="Calibri"/>
                <w:sz w:val="20"/>
                <w:lang w:val="fr-CA"/>
              </w:rPr>
            </w:pPr>
            <w:r w:rsidRPr="00DF0A0A">
              <w:rPr>
                <w:rFonts w:eastAsia="Calibri"/>
                <w:sz w:val="20"/>
                <w:lang w:val="fr-CA"/>
              </w:rPr>
              <w:t xml:space="preserve"> 2010 MBCA 95</w:t>
            </w:r>
          </w:p>
          <w:p w:rsidR="00122D4A" w:rsidRPr="00DF0A0A" w:rsidRDefault="00122D4A" w:rsidP="00496DC7">
            <w:pPr>
              <w:jc w:val="both"/>
              <w:rPr>
                <w:rFonts w:eastAsia="Calibri"/>
                <w:sz w:val="20"/>
                <w:lang w:val="fr-CA"/>
              </w:rPr>
            </w:pPr>
            <w:r w:rsidRPr="00DF0A0A">
              <w:rPr>
                <w:rFonts w:eastAsia="Calibri"/>
                <w:sz w:val="20"/>
                <w:lang w:val="fr-CA"/>
              </w:rPr>
              <w:t>AR 10-30-07398</w:t>
            </w:r>
          </w:p>
          <w:p w:rsidR="00122D4A" w:rsidRPr="00DF0A0A" w:rsidRDefault="00122D4A" w:rsidP="00496DC7">
            <w:pPr>
              <w:jc w:val="both"/>
              <w:rPr>
                <w:rFonts w:eastAsia="Calibri"/>
                <w:sz w:val="20"/>
                <w:lang w:val="fr-CA"/>
              </w:rPr>
            </w:pPr>
          </w:p>
        </w:tc>
        <w:tc>
          <w:tcPr>
            <w:tcW w:w="243" w:type="pct"/>
          </w:tcPr>
          <w:p w:rsidR="00122D4A" w:rsidRPr="00DF0A0A" w:rsidRDefault="00122D4A" w:rsidP="00496DC7">
            <w:pPr>
              <w:jc w:val="both"/>
              <w:rPr>
                <w:rFonts w:eastAsia="Calibri"/>
                <w:sz w:val="20"/>
                <w:lang w:val="fr-CA"/>
              </w:rPr>
            </w:pPr>
          </w:p>
        </w:tc>
        <w:tc>
          <w:tcPr>
            <w:tcW w:w="2330" w:type="pct"/>
          </w:tcPr>
          <w:p w:rsidR="00122D4A" w:rsidRPr="00DF0A0A" w:rsidRDefault="00122D4A" w:rsidP="00496DC7">
            <w:pPr>
              <w:jc w:val="both"/>
              <w:rPr>
                <w:rFonts w:eastAsia="Calibri"/>
                <w:sz w:val="20"/>
                <w:lang w:val="fr-CA"/>
              </w:rPr>
            </w:pPr>
            <w:r w:rsidRPr="00DF0A0A">
              <w:rPr>
                <w:rFonts w:eastAsia="Calibri"/>
                <w:sz w:val="20"/>
                <w:lang w:val="fr-CA"/>
              </w:rPr>
              <w:t>Demande d'autorisation d'appel, rejetée</w:t>
            </w:r>
          </w:p>
          <w:p w:rsidR="00122D4A" w:rsidRPr="00DF0A0A" w:rsidRDefault="00122D4A" w:rsidP="00496DC7">
            <w:pPr>
              <w:jc w:val="both"/>
              <w:rPr>
                <w:rFonts w:eastAsia="Calibri"/>
                <w:sz w:val="20"/>
                <w:lang w:val="fr-CA"/>
              </w:rPr>
            </w:pPr>
          </w:p>
        </w:tc>
      </w:tr>
      <w:tr w:rsidR="00122D4A" w:rsidRPr="00DF0A0A" w:rsidTr="00925A77">
        <w:trPr>
          <w:cantSplit/>
        </w:trPr>
        <w:tc>
          <w:tcPr>
            <w:tcW w:w="2427" w:type="pct"/>
          </w:tcPr>
          <w:p w:rsidR="00122D4A" w:rsidRPr="00DF0A0A" w:rsidRDefault="00122D4A" w:rsidP="00496DC7">
            <w:pPr>
              <w:jc w:val="both"/>
              <w:rPr>
                <w:rFonts w:eastAsia="Calibri"/>
                <w:sz w:val="20"/>
                <w:lang w:val="fr-CA"/>
              </w:rPr>
            </w:pPr>
            <w:r w:rsidRPr="00DF0A0A">
              <w:rPr>
                <w:rFonts w:eastAsia="Calibri"/>
                <w:sz w:val="20"/>
                <w:lang w:val="fr-CA"/>
              </w:rPr>
              <w:t>26 novembre 2010</w:t>
            </w:r>
          </w:p>
          <w:p w:rsidR="00122D4A" w:rsidRPr="00DF0A0A" w:rsidRDefault="00122D4A" w:rsidP="00496DC7">
            <w:pPr>
              <w:jc w:val="both"/>
              <w:rPr>
                <w:rFonts w:eastAsia="Calibri"/>
                <w:sz w:val="20"/>
                <w:lang w:val="fr-CA"/>
              </w:rPr>
            </w:pPr>
            <w:r w:rsidRPr="00DF0A0A">
              <w:rPr>
                <w:rFonts w:eastAsia="Calibri"/>
                <w:sz w:val="20"/>
                <w:lang w:val="fr-CA"/>
              </w:rPr>
              <w:t>Cour suprême du Canada</w:t>
            </w:r>
          </w:p>
        </w:tc>
        <w:tc>
          <w:tcPr>
            <w:tcW w:w="243" w:type="pct"/>
          </w:tcPr>
          <w:p w:rsidR="00122D4A" w:rsidRPr="00DF0A0A" w:rsidRDefault="00122D4A" w:rsidP="00496DC7">
            <w:pPr>
              <w:jc w:val="both"/>
              <w:rPr>
                <w:rFonts w:eastAsia="Calibri"/>
                <w:sz w:val="20"/>
                <w:lang w:val="fr-CA"/>
              </w:rPr>
            </w:pPr>
          </w:p>
        </w:tc>
        <w:tc>
          <w:tcPr>
            <w:tcW w:w="2330" w:type="pct"/>
          </w:tcPr>
          <w:p w:rsidR="00122D4A" w:rsidRPr="00DF0A0A" w:rsidRDefault="00122D4A" w:rsidP="00496DC7">
            <w:pPr>
              <w:jc w:val="both"/>
              <w:rPr>
                <w:rFonts w:eastAsia="Calibri"/>
                <w:sz w:val="20"/>
                <w:lang w:val="fr-CA"/>
              </w:rPr>
            </w:pPr>
            <w:r w:rsidRPr="00DF0A0A">
              <w:rPr>
                <w:rFonts w:eastAsia="Calibri"/>
                <w:sz w:val="20"/>
                <w:lang w:val="fr-CA"/>
              </w:rPr>
              <w:t>Demande d'autorisation d'appel, déposée</w:t>
            </w:r>
          </w:p>
          <w:p w:rsidR="00122D4A" w:rsidRPr="00DF0A0A" w:rsidRDefault="00122D4A" w:rsidP="00496DC7">
            <w:pPr>
              <w:jc w:val="both"/>
              <w:rPr>
                <w:rFonts w:eastAsia="Calibri"/>
                <w:sz w:val="20"/>
                <w:lang w:val="fr-CA"/>
              </w:rPr>
            </w:pPr>
          </w:p>
        </w:tc>
      </w:tr>
    </w:tbl>
    <w:p w:rsidR="00610966" w:rsidRDefault="00610966" w:rsidP="00610966">
      <w:pPr>
        <w:rPr>
          <w:b/>
          <w:sz w:val="20"/>
          <w:szCs w:val="20"/>
        </w:rPr>
      </w:pPr>
    </w:p>
    <w:p w:rsidR="00610966" w:rsidRDefault="00C478F8" w:rsidP="00610966">
      <w:pPr>
        <w:rPr>
          <w:b/>
          <w:sz w:val="20"/>
          <w:szCs w:val="20"/>
        </w:rPr>
      </w:pPr>
      <w:r w:rsidRPr="00C478F8">
        <w:rPr>
          <w:sz w:val="20"/>
          <w:szCs w:val="20"/>
          <w:lang w:val="fr-CA"/>
        </w:rPr>
        <w:pict>
          <v:rect id="_x0000_i1044" style="width:2in;height:1pt" o:hrpct="0" o:hralign="center" o:hrstd="t" o:hrnoshade="t" o:hr="t" fillcolor="black [3213]" stroked="f"/>
        </w:pict>
      </w:r>
    </w:p>
    <w:p w:rsidR="00610966" w:rsidRPr="00C50A5C" w:rsidRDefault="00610966" w:rsidP="00610966">
      <w:pPr>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25A77" w:rsidRPr="00925A77" w:rsidTr="0027596E">
        <w:trPr>
          <w:cantSplit/>
        </w:trPr>
        <w:tc>
          <w:tcPr>
            <w:tcW w:w="1458" w:type="dxa"/>
          </w:tcPr>
          <w:p w:rsidR="00925A77" w:rsidRPr="00925A77" w:rsidRDefault="00925A77" w:rsidP="0027596E">
            <w:pPr>
              <w:rPr>
                <w:sz w:val="20"/>
                <w:szCs w:val="20"/>
              </w:rPr>
            </w:pPr>
            <w:r w:rsidRPr="00925A77">
              <w:rPr>
                <w:rStyle w:val="SCCFileNumberChar"/>
                <w:sz w:val="20"/>
                <w:szCs w:val="20"/>
              </w:rPr>
              <w:t>33989</w:t>
            </w:r>
          </w:p>
          <w:p w:rsidR="00925A77" w:rsidRPr="00925A77" w:rsidRDefault="00925A77" w:rsidP="0027596E">
            <w:pPr>
              <w:rPr>
                <w:b/>
                <w:sz w:val="20"/>
                <w:szCs w:val="20"/>
                <w:lang w:val="fr-CA"/>
              </w:rPr>
            </w:pPr>
          </w:p>
        </w:tc>
        <w:tc>
          <w:tcPr>
            <w:tcW w:w="8118" w:type="dxa"/>
          </w:tcPr>
          <w:p w:rsidR="00925A77" w:rsidRPr="00925A77" w:rsidRDefault="00925A77" w:rsidP="0027596E">
            <w:pPr>
              <w:rPr>
                <w:sz w:val="20"/>
                <w:szCs w:val="20"/>
              </w:rPr>
            </w:pPr>
            <w:r w:rsidRPr="00925A77">
              <w:rPr>
                <w:rStyle w:val="SCCLsocChar"/>
                <w:sz w:val="20"/>
                <w:szCs w:val="20"/>
                <w:lang w:val="en-CA"/>
              </w:rPr>
              <w:t>N.S. v. Her Majesty the Queen, M---</w:t>
            </w:r>
            <w:proofErr w:type="spellStart"/>
            <w:r w:rsidRPr="00925A77">
              <w:rPr>
                <w:rStyle w:val="SCCLsocChar"/>
                <w:sz w:val="20"/>
                <w:szCs w:val="20"/>
                <w:lang w:val="en-CA"/>
              </w:rPr>
              <w:t>d.S</w:t>
            </w:r>
            <w:proofErr w:type="spellEnd"/>
            <w:r w:rsidRPr="00925A77">
              <w:rPr>
                <w:rStyle w:val="SCCLsocChar"/>
                <w:sz w:val="20"/>
                <w:szCs w:val="20"/>
                <w:lang w:val="en-CA"/>
              </w:rPr>
              <w:t>.</w:t>
            </w:r>
            <w:r w:rsidR="009349BD">
              <w:rPr>
                <w:rStyle w:val="SCCLsocChar"/>
                <w:sz w:val="20"/>
                <w:szCs w:val="20"/>
                <w:lang w:val="en-CA"/>
              </w:rPr>
              <w:t xml:space="preserve"> and</w:t>
            </w:r>
            <w:r w:rsidRPr="00925A77">
              <w:rPr>
                <w:rStyle w:val="SCCLsocChar"/>
                <w:sz w:val="20"/>
                <w:szCs w:val="20"/>
                <w:lang w:val="en-CA"/>
              </w:rPr>
              <w:t xml:space="preserve"> M---</w:t>
            </w:r>
            <w:proofErr w:type="spellStart"/>
            <w:r w:rsidRPr="00925A77">
              <w:rPr>
                <w:rStyle w:val="SCCLsocChar"/>
                <w:sz w:val="20"/>
                <w:szCs w:val="20"/>
                <w:lang w:val="en-CA"/>
              </w:rPr>
              <w:t>l.S</w:t>
            </w:r>
            <w:proofErr w:type="spellEnd"/>
            <w:r w:rsidRPr="00925A77">
              <w:rPr>
                <w:rStyle w:val="SCCLsocChar"/>
                <w:sz w:val="20"/>
                <w:szCs w:val="20"/>
                <w:lang w:val="en-CA"/>
              </w:rPr>
              <w:t>.</w:t>
            </w:r>
            <w:r w:rsidRPr="00925A77">
              <w:rPr>
                <w:sz w:val="20"/>
                <w:szCs w:val="20"/>
              </w:rPr>
              <w:t xml:space="preserve"> (Ont.) (Criminal) (By Leave)</w:t>
            </w:r>
          </w:p>
          <w:p w:rsidR="00925A77" w:rsidRPr="00925A77" w:rsidRDefault="00925A77" w:rsidP="0027596E">
            <w:pPr>
              <w:rPr>
                <w:sz w:val="20"/>
                <w:szCs w:val="20"/>
              </w:rPr>
            </w:pPr>
          </w:p>
        </w:tc>
      </w:tr>
      <w:tr w:rsidR="00925A77" w:rsidRPr="00925A77" w:rsidTr="0027596E">
        <w:trPr>
          <w:cantSplit/>
        </w:trPr>
        <w:tc>
          <w:tcPr>
            <w:tcW w:w="1458" w:type="dxa"/>
          </w:tcPr>
          <w:p w:rsidR="00925A77" w:rsidRPr="00925A77" w:rsidRDefault="00925A77" w:rsidP="0027596E">
            <w:pPr>
              <w:rPr>
                <w:sz w:val="20"/>
                <w:szCs w:val="20"/>
              </w:rPr>
            </w:pPr>
            <w:r w:rsidRPr="00925A77">
              <w:rPr>
                <w:sz w:val="20"/>
                <w:szCs w:val="20"/>
              </w:rPr>
              <w:t>Coram :</w:t>
            </w:r>
          </w:p>
        </w:tc>
        <w:tc>
          <w:tcPr>
            <w:tcW w:w="8118" w:type="dxa"/>
          </w:tcPr>
          <w:p w:rsidR="00925A77" w:rsidRPr="00925A77" w:rsidRDefault="00925A77" w:rsidP="0027596E">
            <w:pPr>
              <w:rPr>
                <w:sz w:val="20"/>
                <w:szCs w:val="20"/>
              </w:rPr>
            </w:pPr>
            <w:proofErr w:type="spellStart"/>
            <w:r w:rsidRPr="00925A77">
              <w:rPr>
                <w:rStyle w:val="SCCCoramChar"/>
                <w:sz w:val="20"/>
                <w:szCs w:val="20"/>
                <w:lang w:val="en-CA"/>
              </w:rPr>
              <w:t>McLachlin</w:t>
            </w:r>
            <w:proofErr w:type="spellEnd"/>
            <w:r w:rsidRPr="00925A77">
              <w:rPr>
                <w:rStyle w:val="SCCCoramChar"/>
                <w:sz w:val="20"/>
                <w:szCs w:val="20"/>
                <w:lang w:val="en-CA"/>
              </w:rPr>
              <w:t xml:space="preserve"> C.J. and </w:t>
            </w:r>
            <w:proofErr w:type="spellStart"/>
            <w:r w:rsidRPr="00925A77">
              <w:rPr>
                <w:rStyle w:val="SCCCoramChar"/>
                <w:sz w:val="20"/>
                <w:szCs w:val="20"/>
                <w:lang w:val="en-CA"/>
              </w:rPr>
              <w:t>Abella</w:t>
            </w:r>
            <w:proofErr w:type="spellEnd"/>
            <w:r w:rsidRPr="00925A77">
              <w:rPr>
                <w:rStyle w:val="SCCCoramChar"/>
                <w:sz w:val="20"/>
                <w:szCs w:val="20"/>
                <w:lang w:val="en-CA"/>
              </w:rPr>
              <w:t xml:space="preserve"> and Cromwell JJ.</w:t>
            </w:r>
          </w:p>
          <w:p w:rsidR="00925A77" w:rsidRPr="00925A77" w:rsidRDefault="00925A77" w:rsidP="0027596E">
            <w:pPr>
              <w:rPr>
                <w:sz w:val="20"/>
                <w:szCs w:val="20"/>
                <w:u w:val="single"/>
              </w:rPr>
            </w:pPr>
          </w:p>
        </w:tc>
      </w:tr>
      <w:tr w:rsidR="00925A77" w:rsidRPr="00406D3C" w:rsidTr="0027596E">
        <w:trPr>
          <w:cantSplit/>
        </w:trPr>
        <w:tc>
          <w:tcPr>
            <w:tcW w:w="9576" w:type="dxa"/>
            <w:gridSpan w:val="2"/>
          </w:tcPr>
          <w:p w:rsidR="00925A77" w:rsidRPr="00925A77" w:rsidRDefault="00925A77" w:rsidP="0027596E">
            <w:pPr>
              <w:pStyle w:val="SCCShortJudgment"/>
              <w:rPr>
                <w:szCs w:val="20"/>
              </w:rPr>
            </w:pPr>
            <w:r w:rsidRPr="00925A77">
              <w:rPr>
                <w:szCs w:val="20"/>
              </w:rPr>
              <w:t>The motion for an extension of time to serve the application for leave to appeal is granted.  The application for leave to appeal from the judgment of the Court of Appeal for Ontario, Numbers C50534 and C50892, 2010 ONCA 670, dated October 13, 2010, is granted.  The motion to appoint David Butt as counsel to the applicant is granted.  Mr. Butt’s fees and disbursements shall be paid by the Attorney General of Ontario.</w:t>
            </w:r>
          </w:p>
          <w:p w:rsidR="00925A77" w:rsidRPr="00925A77" w:rsidRDefault="00925A77" w:rsidP="0027596E">
            <w:pPr>
              <w:pStyle w:val="SCCShortJudgment"/>
              <w:ind w:firstLine="0"/>
              <w:rPr>
                <w:szCs w:val="20"/>
              </w:rPr>
            </w:pPr>
          </w:p>
          <w:p w:rsidR="00925A77" w:rsidRPr="00925A77" w:rsidRDefault="00925A77" w:rsidP="00925A77">
            <w:pPr>
              <w:pStyle w:val="SCCShortJudgment"/>
              <w:rPr>
                <w:szCs w:val="20"/>
                <w:lang w:val="fr-CA"/>
              </w:rPr>
            </w:pPr>
            <w:r w:rsidRPr="00925A77">
              <w:rPr>
                <w:szCs w:val="20"/>
                <w:lang w:val="fr-CA"/>
              </w:rPr>
              <w:t>La requête en prorogation du délai de signification de la demande d’autorisation d’appel est accordée.  La demande d’autorisation d’appel de l’arrêt de la Cour d’appel de l’Ontario, numéros C50534 et C50892, 2010 ONCA 670, daté du 13 octobre 2010, est accordée.  La requête demandant la nomination de David Butt comme avocat de la demanderesse est accordée.  Les honoraires et les débours de Me Butt seront payés par le procureur général de l’Ontario.</w:t>
            </w:r>
          </w:p>
        </w:tc>
      </w:tr>
    </w:tbl>
    <w:p w:rsidR="00610966" w:rsidRPr="00925A77" w:rsidRDefault="00610966" w:rsidP="00610966">
      <w:pPr>
        <w:rPr>
          <w:b/>
          <w:sz w:val="20"/>
          <w:szCs w:val="20"/>
          <w:lang w:val="fr-CA"/>
        </w:rPr>
      </w:pPr>
    </w:p>
    <w:p w:rsidR="00610966" w:rsidRDefault="00610966" w:rsidP="00610966">
      <w:pPr>
        <w:rPr>
          <w:sz w:val="20"/>
          <w:szCs w:val="20"/>
        </w:rPr>
      </w:pPr>
      <w:r>
        <w:rPr>
          <w:sz w:val="20"/>
          <w:szCs w:val="20"/>
          <w:u w:val="single"/>
        </w:rPr>
        <w:t>CASE SUMMARY</w:t>
      </w:r>
    </w:p>
    <w:p w:rsidR="00610966" w:rsidRDefault="00610966" w:rsidP="00610966">
      <w:pPr>
        <w:rPr>
          <w:sz w:val="20"/>
          <w:szCs w:val="20"/>
        </w:rPr>
      </w:pPr>
    </w:p>
    <w:tbl>
      <w:tblPr>
        <w:tblW w:w="4952" w:type="pct"/>
        <w:tblLayout w:type="fixed"/>
        <w:tblCellMar>
          <w:left w:w="0" w:type="dxa"/>
          <w:bottom w:w="99" w:type="dxa"/>
          <w:right w:w="0" w:type="dxa"/>
        </w:tblCellMar>
        <w:tblLook w:val="04A0"/>
      </w:tblPr>
      <w:tblGrid>
        <w:gridCol w:w="9527"/>
      </w:tblGrid>
      <w:tr w:rsidR="00496DC7" w:rsidRPr="00DF0A0A" w:rsidTr="00496DC7">
        <w:tc>
          <w:tcPr>
            <w:tcW w:w="5000" w:type="pct"/>
          </w:tcPr>
          <w:p w:rsidR="00496DC7" w:rsidRPr="00DF0A0A" w:rsidRDefault="00496DC7" w:rsidP="00496DC7">
            <w:pPr>
              <w:jc w:val="both"/>
              <w:rPr>
                <w:rFonts w:eastAsia="Calibri"/>
                <w:smallCaps/>
                <w:sz w:val="20"/>
              </w:rPr>
            </w:pPr>
            <w:r w:rsidRPr="00DF0A0A">
              <w:rPr>
                <w:rFonts w:eastAsia="Calibri"/>
                <w:smallCaps/>
                <w:sz w:val="20"/>
              </w:rPr>
              <w:t>(Publication ban on party)</w:t>
            </w:r>
          </w:p>
          <w:p w:rsidR="00496DC7" w:rsidRPr="00DF0A0A" w:rsidRDefault="00496DC7" w:rsidP="00496DC7">
            <w:pPr>
              <w:jc w:val="both"/>
              <w:rPr>
                <w:rFonts w:eastAsia="Calibri"/>
                <w:sz w:val="20"/>
              </w:rPr>
            </w:pPr>
          </w:p>
          <w:p w:rsidR="00496DC7" w:rsidRPr="00DF0A0A" w:rsidRDefault="00496DC7" w:rsidP="00496DC7">
            <w:pPr>
              <w:jc w:val="both"/>
              <w:rPr>
                <w:rFonts w:eastAsia="Calibri"/>
                <w:sz w:val="20"/>
              </w:rPr>
            </w:pPr>
            <w:r w:rsidRPr="00DF0A0A">
              <w:rPr>
                <w:rFonts w:eastAsia="Calibri"/>
                <w:i/>
                <w:sz w:val="20"/>
              </w:rPr>
              <w:t>Charter of Rights</w:t>
            </w:r>
            <w:r w:rsidRPr="00DF0A0A">
              <w:rPr>
                <w:rFonts w:eastAsia="Calibri"/>
                <w:sz w:val="20"/>
              </w:rPr>
              <w:t xml:space="preserve"> – Right to life, liberty and security of the person – Right to make full answer and defence – Right to cross-examine witness – Freedom of religion – Preliminary inquiry into allegations of sexual assault – Complainant sought permission to wear </w:t>
            </w:r>
            <w:proofErr w:type="spellStart"/>
            <w:r w:rsidRPr="00DF0A0A">
              <w:rPr>
                <w:rFonts w:eastAsia="Calibri"/>
                <w:sz w:val="20"/>
              </w:rPr>
              <w:t>niqab</w:t>
            </w:r>
            <w:proofErr w:type="spellEnd"/>
            <w:r w:rsidRPr="00DF0A0A">
              <w:rPr>
                <w:rFonts w:eastAsia="Calibri"/>
                <w:sz w:val="20"/>
              </w:rPr>
              <w:t xml:space="preserve"> while testifying </w:t>
            </w:r>
            <w:proofErr w:type="gramStart"/>
            <w:r w:rsidRPr="00DF0A0A">
              <w:rPr>
                <w:rFonts w:eastAsia="Calibri"/>
                <w:sz w:val="20"/>
              </w:rPr>
              <w:t>–  Whether</w:t>
            </w:r>
            <w:proofErr w:type="gramEnd"/>
            <w:r w:rsidRPr="00DF0A0A">
              <w:rPr>
                <w:rFonts w:eastAsia="Calibri"/>
                <w:sz w:val="20"/>
              </w:rPr>
              <w:t xml:space="preserve"> a sexual assault complainant can wear her </w:t>
            </w:r>
            <w:proofErr w:type="spellStart"/>
            <w:r w:rsidRPr="00DF0A0A">
              <w:rPr>
                <w:rFonts w:eastAsia="Calibri"/>
                <w:sz w:val="20"/>
              </w:rPr>
              <w:t>niqab</w:t>
            </w:r>
            <w:proofErr w:type="spellEnd"/>
            <w:r w:rsidRPr="00DF0A0A">
              <w:rPr>
                <w:rFonts w:eastAsia="Calibri"/>
                <w:sz w:val="20"/>
              </w:rPr>
              <w:t xml:space="preserve"> for religious reasons while testifying.</w:t>
            </w:r>
          </w:p>
          <w:p w:rsidR="00496DC7" w:rsidRPr="00DF0A0A" w:rsidRDefault="00496DC7" w:rsidP="00496DC7">
            <w:pPr>
              <w:jc w:val="both"/>
              <w:rPr>
                <w:rFonts w:eastAsia="Calibri"/>
                <w:sz w:val="20"/>
              </w:rPr>
            </w:pPr>
          </w:p>
        </w:tc>
      </w:tr>
      <w:tr w:rsidR="00496DC7" w:rsidRPr="00DF0A0A" w:rsidTr="00496DC7">
        <w:tc>
          <w:tcPr>
            <w:tcW w:w="5000" w:type="pct"/>
          </w:tcPr>
          <w:p w:rsidR="00496DC7" w:rsidRPr="00DF0A0A" w:rsidRDefault="00496DC7" w:rsidP="00496DC7">
            <w:pPr>
              <w:jc w:val="both"/>
              <w:rPr>
                <w:rFonts w:eastAsia="Calibri"/>
                <w:sz w:val="20"/>
              </w:rPr>
            </w:pPr>
            <w:r w:rsidRPr="00DF0A0A">
              <w:rPr>
                <w:rFonts w:eastAsia="Calibri"/>
                <w:sz w:val="20"/>
              </w:rPr>
              <w:t>At a preliminary inquiry into allegations of historical sexual assaults on N.S. by her uncle, M--</w:t>
            </w:r>
            <w:proofErr w:type="spellStart"/>
            <w:r w:rsidRPr="00DF0A0A">
              <w:rPr>
                <w:rFonts w:eastAsia="Calibri"/>
                <w:sz w:val="20"/>
              </w:rPr>
              <w:t>l.S</w:t>
            </w:r>
            <w:proofErr w:type="spellEnd"/>
            <w:r w:rsidRPr="00DF0A0A">
              <w:rPr>
                <w:rFonts w:eastAsia="Calibri"/>
                <w:sz w:val="20"/>
              </w:rPr>
              <w:t>., and her cousin, M--</w:t>
            </w:r>
            <w:proofErr w:type="spellStart"/>
            <w:r w:rsidRPr="00DF0A0A">
              <w:rPr>
                <w:rFonts w:eastAsia="Calibri"/>
                <w:sz w:val="20"/>
              </w:rPr>
              <w:t>d.S</w:t>
            </w:r>
            <w:proofErr w:type="spellEnd"/>
            <w:r w:rsidRPr="00DF0A0A">
              <w:rPr>
                <w:rFonts w:eastAsia="Calibri"/>
                <w:sz w:val="20"/>
              </w:rPr>
              <w:t xml:space="preserve">., N.S. requested permission to testify while wearing her </w:t>
            </w:r>
            <w:proofErr w:type="spellStart"/>
            <w:r w:rsidRPr="00DF0A0A">
              <w:rPr>
                <w:rFonts w:eastAsia="Calibri"/>
                <w:sz w:val="20"/>
              </w:rPr>
              <w:t>niqab</w:t>
            </w:r>
            <w:proofErr w:type="spellEnd"/>
            <w:r w:rsidRPr="00DF0A0A">
              <w:rPr>
                <w:rFonts w:eastAsia="Calibri"/>
                <w:sz w:val="20"/>
              </w:rPr>
              <w:t xml:space="preserve">. She based her request on her Muslim religious beliefs. In conformity with those beliefs, N.S. wears a </w:t>
            </w:r>
            <w:proofErr w:type="spellStart"/>
            <w:r w:rsidRPr="00DF0A0A">
              <w:rPr>
                <w:rFonts w:eastAsia="Calibri"/>
                <w:sz w:val="20"/>
              </w:rPr>
              <w:t>hijab</w:t>
            </w:r>
            <w:proofErr w:type="spellEnd"/>
            <w:r w:rsidRPr="00DF0A0A">
              <w:rPr>
                <w:rFonts w:eastAsia="Calibri"/>
                <w:sz w:val="20"/>
              </w:rPr>
              <w:t xml:space="preserve"> – a full body dress – and a </w:t>
            </w:r>
            <w:proofErr w:type="spellStart"/>
            <w:r w:rsidRPr="00DF0A0A">
              <w:rPr>
                <w:rFonts w:eastAsia="Calibri"/>
                <w:sz w:val="20"/>
              </w:rPr>
              <w:t>niqab</w:t>
            </w:r>
            <w:proofErr w:type="spellEnd"/>
            <w:r w:rsidRPr="00DF0A0A">
              <w:rPr>
                <w:rFonts w:eastAsia="Calibri"/>
                <w:sz w:val="20"/>
              </w:rPr>
              <w:t xml:space="preserve"> – a veil which covers her entire face except for her eyes – when she is in public or in the presence of males who are not “direct” members of her family. The stricture applies in the presence of M--</w:t>
            </w:r>
            <w:proofErr w:type="spellStart"/>
            <w:r w:rsidRPr="00DF0A0A">
              <w:rPr>
                <w:rFonts w:eastAsia="Calibri"/>
                <w:sz w:val="20"/>
              </w:rPr>
              <w:t>d.S</w:t>
            </w:r>
            <w:proofErr w:type="spellEnd"/>
            <w:r w:rsidRPr="00DF0A0A">
              <w:rPr>
                <w:rFonts w:eastAsia="Calibri"/>
                <w:sz w:val="20"/>
              </w:rPr>
              <w:t xml:space="preserve">. As of the date of the appellate proceedings, she had been wearing the </w:t>
            </w:r>
            <w:proofErr w:type="spellStart"/>
            <w:r w:rsidRPr="00DF0A0A">
              <w:rPr>
                <w:rFonts w:eastAsia="Calibri"/>
                <w:sz w:val="20"/>
              </w:rPr>
              <w:t>niqab</w:t>
            </w:r>
            <w:proofErr w:type="spellEnd"/>
            <w:r w:rsidRPr="00DF0A0A">
              <w:rPr>
                <w:rFonts w:eastAsia="Calibri"/>
                <w:sz w:val="20"/>
              </w:rPr>
              <w:t xml:space="preserve"> and </w:t>
            </w:r>
            <w:proofErr w:type="spellStart"/>
            <w:r w:rsidRPr="00DF0A0A">
              <w:rPr>
                <w:rFonts w:eastAsia="Calibri"/>
                <w:sz w:val="20"/>
              </w:rPr>
              <w:t>hijab</w:t>
            </w:r>
            <w:proofErr w:type="spellEnd"/>
            <w:r w:rsidRPr="00DF0A0A">
              <w:rPr>
                <w:rFonts w:eastAsia="Calibri"/>
                <w:sz w:val="20"/>
              </w:rPr>
              <w:t xml:space="preserve"> for approximately five years. M--</w:t>
            </w:r>
            <w:proofErr w:type="spellStart"/>
            <w:r w:rsidRPr="00DF0A0A">
              <w:rPr>
                <w:rFonts w:eastAsia="Calibri"/>
                <w:sz w:val="20"/>
              </w:rPr>
              <w:t>d.S</w:t>
            </w:r>
            <w:proofErr w:type="spellEnd"/>
            <w:r w:rsidRPr="00DF0A0A">
              <w:rPr>
                <w:rFonts w:eastAsia="Calibri"/>
                <w:sz w:val="20"/>
              </w:rPr>
              <w:t>. and the Crown objected.</w:t>
            </w:r>
          </w:p>
          <w:p w:rsidR="00496DC7" w:rsidRPr="00DF0A0A" w:rsidRDefault="00496DC7" w:rsidP="00496DC7">
            <w:pPr>
              <w:jc w:val="both"/>
              <w:rPr>
                <w:rFonts w:eastAsia="Calibri"/>
                <w:sz w:val="20"/>
              </w:rPr>
            </w:pPr>
          </w:p>
          <w:p w:rsidR="00496DC7" w:rsidRPr="00DF0A0A" w:rsidRDefault="00496DC7" w:rsidP="00496DC7">
            <w:pPr>
              <w:jc w:val="both"/>
              <w:rPr>
                <w:rFonts w:eastAsia="Calibri"/>
                <w:sz w:val="20"/>
              </w:rPr>
            </w:pPr>
            <w:r w:rsidRPr="00DF0A0A">
              <w:rPr>
                <w:rFonts w:eastAsia="Calibri"/>
                <w:sz w:val="20"/>
              </w:rPr>
              <w:t xml:space="preserve">The preliminary inquiry judge ordered that she remove her </w:t>
            </w:r>
            <w:proofErr w:type="spellStart"/>
            <w:r w:rsidRPr="00DF0A0A">
              <w:rPr>
                <w:rFonts w:eastAsia="Calibri"/>
                <w:sz w:val="20"/>
              </w:rPr>
              <w:t>niqab</w:t>
            </w:r>
            <w:proofErr w:type="spellEnd"/>
            <w:r w:rsidRPr="00DF0A0A">
              <w:rPr>
                <w:rFonts w:eastAsia="Calibri"/>
                <w:sz w:val="20"/>
              </w:rPr>
              <w:t xml:space="preserve"> before testifying in the preliminary inquiry. On a motion for extraordinary remedies, the Superior Court judge granted an application for </w:t>
            </w:r>
            <w:r w:rsidRPr="00DF0A0A">
              <w:rPr>
                <w:rFonts w:eastAsia="Calibri"/>
                <w:i/>
                <w:sz w:val="20"/>
              </w:rPr>
              <w:t>certiorari</w:t>
            </w:r>
            <w:r w:rsidRPr="00DF0A0A">
              <w:rPr>
                <w:rFonts w:eastAsia="Calibri"/>
                <w:sz w:val="20"/>
              </w:rPr>
              <w:t xml:space="preserve"> quashing the order requiring N.S. to remove her veil during testimony, but denied an application for </w:t>
            </w:r>
            <w:r w:rsidRPr="00DF0A0A">
              <w:rPr>
                <w:rFonts w:eastAsia="Calibri"/>
                <w:i/>
                <w:sz w:val="20"/>
              </w:rPr>
              <w:t>mandamus</w:t>
            </w:r>
            <w:r w:rsidRPr="00DF0A0A">
              <w:rPr>
                <w:rFonts w:eastAsia="Calibri"/>
                <w:sz w:val="20"/>
              </w:rPr>
              <w:t xml:space="preserve"> allowing N.S. to wear her veil while testifying. The Court of Appeal allowed the appeal in part. It affirmed the Superior Court’s order quashing the preliminary inquiry judge’s order and remitted the matter to the preliminary inquiry judge for a decision in accordance with its reasons. A cross-appeal was dismissed.</w:t>
            </w:r>
          </w:p>
          <w:p w:rsidR="00496DC7" w:rsidRPr="00DF0A0A" w:rsidRDefault="00496DC7" w:rsidP="00496DC7">
            <w:pPr>
              <w:jc w:val="both"/>
              <w:rPr>
                <w:rFonts w:eastAsia="Calibri"/>
                <w:sz w:val="20"/>
              </w:rPr>
            </w:pPr>
          </w:p>
        </w:tc>
      </w:tr>
    </w:tbl>
    <w:p w:rsidR="0027596E" w:rsidRDefault="0027596E"/>
    <w:tbl>
      <w:tblPr>
        <w:tblW w:w="4952" w:type="pct"/>
        <w:tblLayout w:type="fixed"/>
        <w:tblCellMar>
          <w:left w:w="0" w:type="dxa"/>
          <w:bottom w:w="99" w:type="dxa"/>
          <w:right w:w="0" w:type="dxa"/>
        </w:tblCellMar>
        <w:tblLook w:val="04A0"/>
      </w:tblPr>
      <w:tblGrid>
        <w:gridCol w:w="4624"/>
        <w:gridCol w:w="463"/>
        <w:gridCol w:w="4440"/>
      </w:tblGrid>
      <w:tr w:rsidR="00496DC7" w:rsidRPr="00DF0A0A" w:rsidTr="0027596E">
        <w:trPr>
          <w:cantSplit/>
        </w:trPr>
        <w:tc>
          <w:tcPr>
            <w:tcW w:w="2427" w:type="pct"/>
          </w:tcPr>
          <w:p w:rsidR="00496DC7" w:rsidRPr="00DF0A0A" w:rsidRDefault="00496DC7" w:rsidP="00496DC7">
            <w:pPr>
              <w:jc w:val="both"/>
              <w:rPr>
                <w:rFonts w:eastAsia="Calibri"/>
                <w:sz w:val="20"/>
              </w:rPr>
            </w:pPr>
            <w:r w:rsidRPr="00DF0A0A">
              <w:rPr>
                <w:rFonts w:eastAsia="Calibri"/>
                <w:sz w:val="20"/>
              </w:rPr>
              <w:lastRenderedPageBreak/>
              <w:t>October 16, 2008</w:t>
            </w:r>
          </w:p>
          <w:p w:rsidR="00496DC7" w:rsidRPr="00DF0A0A" w:rsidRDefault="00496DC7" w:rsidP="00496DC7">
            <w:pPr>
              <w:jc w:val="both"/>
              <w:rPr>
                <w:rFonts w:eastAsia="Calibri"/>
                <w:sz w:val="20"/>
              </w:rPr>
            </w:pPr>
            <w:r w:rsidRPr="00DF0A0A">
              <w:rPr>
                <w:rFonts w:eastAsia="Calibri"/>
                <w:sz w:val="20"/>
              </w:rPr>
              <w:t>Ontario Court of Justice</w:t>
            </w:r>
          </w:p>
          <w:p w:rsidR="00496DC7" w:rsidRPr="00DF0A0A" w:rsidRDefault="00496DC7" w:rsidP="00496DC7">
            <w:pPr>
              <w:jc w:val="both"/>
              <w:rPr>
                <w:rFonts w:eastAsia="Calibri"/>
                <w:sz w:val="20"/>
              </w:rPr>
            </w:pPr>
            <w:r w:rsidRPr="00DF0A0A">
              <w:rPr>
                <w:rFonts w:eastAsia="Calibri"/>
                <w:sz w:val="20"/>
              </w:rPr>
              <w:t>(Weisman J.)</w:t>
            </w:r>
          </w:p>
          <w:p w:rsidR="00496DC7" w:rsidRPr="00DF0A0A" w:rsidRDefault="00496DC7" w:rsidP="00496DC7">
            <w:pPr>
              <w:jc w:val="both"/>
              <w:rPr>
                <w:rFonts w:eastAsia="Calibri"/>
                <w:sz w:val="20"/>
              </w:rPr>
            </w:pPr>
            <w:r w:rsidRPr="00DF0A0A">
              <w:rPr>
                <w:rFonts w:eastAsia="Calibri"/>
                <w:sz w:val="20"/>
              </w:rPr>
              <w:t>Unreported</w:t>
            </w:r>
          </w:p>
          <w:p w:rsidR="00496DC7" w:rsidRPr="00DF0A0A" w:rsidRDefault="00496DC7" w:rsidP="00496DC7">
            <w:pPr>
              <w:jc w:val="both"/>
              <w:rPr>
                <w:rFonts w:eastAsia="Calibri"/>
                <w:sz w:val="20"/>
              </w:rPr>
            </w:pPr>
          </w:p>
        </w:tc>
        <w:tc>
          <w:tcPr>
            <w:tcW w:w="243" w:type="pct"/>
          </w:tcPr>
          <w:p w:rsidR="00496DC7" w:rsidRPr="00DF0A0A" w:rsidRDefault="00496DC7" w:rsidP="00496DC7">
            <w:pPr>
              <w:jc w:val="both"/>
              <w:rPr>
                <w:rFonts w:eastAsia="Calibri"/>
                <w:sz w:val="20"/>
              </w:rPr>
            </w:pPr>
          </w:p>
        </w:tc>
        <w:tc>
          <w:tcPr>
            <w:tcW w:w="2330" w:type="pct"/>
          </w:tcPr>
          <w:p w:rsidR="00496DC7" w:rsidRPr="00DF0A0A" w:rsidRDefault="00496DC7" w:rsidP="00496DC7">
            <w:pPr>
              <w:jc w:val="both"/>
              <w:rPr>
                <w:rFonts w:eastAsia="Calibri"/>
                <w:sz w:val="20"/>
              </w:rPr>
            </w:pPr>
            <w:r w:rsidRPr="00DF0A0A">
              <w:rPr>
                <w:rFonts w:eastAsia="Calibri"/>
                <w:sz w:val="20"/>
              </w:rPr>
              <w:t xml:space="preserve">N.S. denied permission to wear </w:t>
            </w:r>
            <w:proofErr w:type="spellStart"/>
            <w:r w:rsidRPr="00DF0A0A">
              <w:rPr>
                <w:rFonts w:eastAsia="Calibri"/>
                <w:sz w:val="20"/>
              </w:rPr>
              <w:t>niqab</w:t>
            </w:r>
            <w:proofErr w:type="spellEnd"/>
            <w:r w:rsidRPr="00DF0A0A">
              <w:rPr>
                <w:rFonts w:eastAsia="Calibri"/>
                <w:sz w:val="20"/>
              </w:rPr>
              <w:t xml:space="preserve"> while testifying at preliminary inquiry</w:t>
            </w:r>
          </w:p>
        </w:tc>
      </w:tr>
      <w:tr w:rsidR="00496DC7" w:rsidRPr="00DF0A0A" w:rsidTr="0027596E">
        <w:trPr>
          <w:cantSplit/>
        </w:trPr>
        <w:tc>
          <w:tcPr>
            <w:tcW w:w="2427" w:type="pct"/>
          </w:tcPr>
          <w:p w:rsidR="00496DC7" w:rsidRPr="00DF0A0A" w:rsidRDefault="00496DC7" w:rsidP="00496DC7">
            <w:pPr>
              <w:jc w:val="both"/>
              <w:rPr>
                <w:rFonts w:eastAsia="Calibri"/>
                <w:sz w:val="20"/>
              </w:rPr>
            </w:pPr>
            <w:r w:rsidRPr="00DF0A0A">
              <w:rPr>
                <w:rFonts w:eastAsia="Calibri"/>
                <w:sz w:val="20"/>
              </w:rPr>
              <w:t>April 30, 2009</w:t>
            </w:r>
          </w:p>
          <w:p w:rsidR="00496DC7" w:rsidRPr="00DF0A0A" w:rsidRDefault="00496DC7" w:rsidP="00496DC7">
            <w:pPr>
              <w:jc w:val="both"/>
              <w:rPr>
                <w:rFonts w:eastAsia="Calibri"/>
                <w:sz w:val="20"/>
              </w:rPr>
            </w:pPr>
            <w:r w:rsidRPr="00DF0A0A">
              <w:rPr>
                <w:rFonts w:eastAsia="Calibri"/>
                <w:sz w:val="20"/>
              </w:rPr>
              <w:t>Ontario Superior Court of Justice</w:t>
            </w:r>
          </w:p>
          <w:p w:rsidR="00496DC7" w:rsidRPr="00DF0A0A" w:rsidRDefault="00496DC7" w:rsidP="00496DC7">
            <w:pPr>
              <w:jc w:val="both"/>
              <w:rPr>
                <w:rFonts w:eastAsia="Calibri"/>
                <w:sz w:val="20"/>
              </w:rPr>
            </w:pPr>
            <w:r w:rsidRPr="00DF0A0A">
              <w:rPr>
                <w:rFonts w:eastAsia="Calibri"/>
                <w:sz w:val="20"/>
              </w:rPr>
              <w:t>(</w:t>
            </w:r>
            <w:proofErr w:type="spellStart"/>
            <w:r w:rsidRPr="00DF0A0A">
              <w:rPr>
                <w:rFonts w:eastAsia="Calibri"/>
                <w:sz w:val="20"/>
              </w:rPr>
              <w:t>Marrocco</w:t>
            </w:r>
            <w:proofErr w:type="spellEnd"/>
            <w:r w:rsidRPr="00DF0A0A">
              <w:rPr>
                <w:rFonts w:eastAsia="Calibri"/>
                <w:sz w:val="20"/>
              </w:rPr>
              <w:t xml:space="preserve"> J.)</w:t>
            </w:r>
          </w:p>
          <w:p w:rsidR="00496DC7" w:rsidRPr="00DF0A0A" w:rsidRDefault="00496DC7" w:rsidP="00496DC7">
            <w:pPr>
              <w:jc w:val="both"/>
              <w:rPr>
                <w:rFonts w:eastAsia="Calibri"/>
                <w:sz w:val="20"/>
              </w:rPr>
            </w:pPr>
            <w:r w:rsidRPr="00DF0A0A">
              <w:rPr>
                <w:rFonts w:eastAsia="Calibri"/>
                <w:sz w:val="20"/>
              </w:rPr>
              <w:t>Unreported</w:t>
            </w:r>
          </w:p>
          <w:p w:rsidR="00496DC7" w:rsidRPr="00DF0A0A" w:rsidRDefault="00496DC7" w:rsidP="00496DC7">
            <w:pPr>
              <w:jc w:val="both"/>
              <w:rPr>
                <w:rFonts w:eastAsia="Calibri"/>
                <w:sz w:val="20"/>
              </w:rPr>
            </w:pPr>
          </w:p>
        </w:tc>
        <w:tc>
          <w:tcPr>
            <w:tcW w:w="243" w:type="pct"/>
          </w:tcPr>
          <w:p w:rsidR="00496DC7" w:rsidRPr="00DF0A0A" w:rsidRDefault="00496DC7" w:rsidP="00496DC7">
            <w:pPr>
              <w:jc w:val="both"/>
              <w:rPr>
                <w:rFonts w:eastAsia="Calibri"/>
                <w:sz w:val="20"/>
              </w:rPr>
            </w:pPr>
          </w:p>
        </w:tc>
        <w:tc>
          <w:tcPr>
            <w:tcW w:w="2330" w:type="pct"/>
          </w:tcPr>
          <w:p w:rsidR="00496DC7" w:rsidRPr="00DF0A0A" w:rsidRDefault="00496DC7" w:rsidP="00496DC7">
            <w:pPr>
              <w:jc w:val="both"/>
              <w:rPr>
                <w:rFonts w:eastAsia="Calibri"/>
                <w:sz w:val="20"/>
              </w:rPr>
            </w:pPr>
            <w:r w:rsidRPr="00DF0A0A">
              <w:rPr>
                <w:rFonts w:eastAsia="Calibri"/>
                <w:sz w:val="20"/>
              </w:rPr>
              <w:t xml:space="preserve">Preliminary inquiry judge’s order that N.S. remove </w:t>
            </w:r>
            <w:proofErr w:type="spellStart"/>
            <w:r w:rsidRPr="00DF0A0A">
              <w:rPr>
                <w:rFonts w:eastAsia="Calibri"/>
                <w:sz w:val="20"/>
              </w:rPr>
              <w:t>niqab</w:t>
            </w:r>
            <w:proofErr w:type="spellEnd"/>
            <w:r w:rsidRPr="00DF0A0A">
              <w:rPr>
                <w:rFonts w:eastAsia="Calibri"/>
                <w:sz w:val="20"/>
              </w:rPr>
              <w:t xml:space="preserve"> while testifying at preliminary inquiry quashed; request that N.S. be allowed to testify at preliminary inquiry while wearing </w:t>
            </w:r>
            <w:proofErr w:type="spellStart"/>
            <w:r w:rsidRPr="00DF0A0A">
              <w:rPr>
                <w:rFonts w:eastAsia="Calibri"/>
                <w:sz w:val="20"/>
              </w:rPr>
              <w:t>niqab</w:t>
            </w:r>
            <w:proofErr w:type="spellEnd"/>
            <w:r w:rsidRPr="00DF0A0A">
              <w:rPr>
                <w:rFonts w:eastAsia="Calibri"/>
                <w:sz w:val="20"/>
              </w:rPr>
              <w:t xml:space="preserve"> refused </w:t>
            </w:r>
          </w:p>
          <w:p w:rsidR="00496DC7" w:rsidRPr="00DF0A0A" w:rsidRDefault="00496DC7" w:rsidP="00496DC7">
            <w:pPr>
              <w:jc w:val="both"/>
              <w:rPr>
                <w:rFonts w:eastAsia="Calibri"/>
                <w:sz w:val="20"/>
              </w:rPr>
            </w:pPr>
          </w:p>
        </w:tc>
      </w:tr>
      <w:tr w:rsidR="00496DC7" w:rsidRPr="00DF0A0A" w:rsidTr="0027596E">
        <w:trPr>
          <w:cantSplit/>
        </w:trPr>
        <w:tc>
          <w:tcPr>
            <w:tcW w:w="2427" w:type="pct"/>
          </w:tcPr>
          <w:p w:rsidR="00496DC7" w:rsidRPr="00DF0A0A" w:rsidRDefault="00496DC7" w:rsidP="00496DC7">
            <w:pPr>
              <w:jc w:val="both"/>
              <w:rPr>
                <w:rFonts w:eastAsia="Calibri"/>
                <w:sz w:val="20"/>
              </w:rPr>
            </w:pPr>
            <w:r w:rsidRPr="00DF0A0A">
              <w:rPr>
                <w:rFonts w:eastAsia="Calibri"/>
                <w:sz w:val="20"/>
              </w:rPr>
              <w:t>October 13, 2010</w:t>
            </w:r>
          </w:p>
          <w:p w:rsidR="00496DC7" w:rsidRPr="00DF0A0A" w:rsidRDefault="00496DC7" w:rsidP="00496DC7">
            <w:pPr>
              <w:jc w:val="both"/>
              <w:rPr>
                <w:rFonts w:eastAsia="Calibri"/>
                <w:sz w:val="20"/>
              </w:rPr>
            </w:pPr>
            <w:r w:rsidRPr="00DF0A0A">
              <w:rPr>
                <w:rFonts w:eastAsia="Calibri"/>
                <w:sz w:val="20"/>
              </w:rPr>
              <w:t>Court of Appeal for Ontario</w:t>
            </w:r>
          </w:p>
          <w:p w:rsidR="00496DC7" w:rsidRPr="00DF0A0A" w:rsidRDefault="00496DC7" w:rsidP="00496DC7">
            <w:pPr>
              <w:jc w:val="both"/>
              <w:rPr>
                <w:rFonts w:eastAsia="Calibri"/>
                <w:sz w:val="20"/>
              </w:rPr>
            </w:pPr>
            <w:r w:rsidRPr="00DF0A0A">
              <w:rPr>
                <w:rFonts w:eastAsia="Calibri"/>
                <w:sz w:val="20"/>
              </w:rPr>
              <w:t xml:space="preserve">(Doherty, </w:t>
            </w:r>
            <w:proofErr w:type="spellStart"/>
            <w:r w:rsidRPr="00DF0A0A">
              <w:rPr>
                <w:rFonts w:eastAsia="Calibri"/>
                <w:sz w:val="20"/>
              </w:rPr>
              <w:t>Moldaver</w:t>
            </w:r>
            <w:proofErr w:type="spellEnd"/>
            <w:r w:rsidRPr="00DF0A0A">
              <w:rPr>
                <w:rFonts w:eastAsia="Calibri"/>
                <w:sz w:val="20"/>
              </w:rPr>
              <w:t>, Sharpe JJ.A.)</w:t>
            </w:r>
          </w:p>
          <w:p w:rsidR="00496DC7" w:rsidRPr="00DF0A0A" w:rsidRDefault="00496DC7" w:rsidP="00496DC7">
            <w:pPr>
              <w:jc w:val="both"/>
              <w:rPr>
                <w:rFonts w:eastAsia="Calibri"/>
                <w:sz w:val="20"/>
              </w:rPr>
            </w:pPr>
            <w:r w:rsidRPr="00DF0A0A">
              <w:rPr>
                <w:rFonts w:eastAsia="Calibri"/>
                <w:sz w:val="20"/>
              </w:rPr>
              <w:t>Neutral citation: 2010 ONCA 670</w:t>
            </w:r>
          </w:p>
          <w:p w:rsidR="00496DC7" w:rsidRPr="00DF0A0A" w:rsidRDefault="00496DC7" w:rsidP="00496DC7">
            <w:pPr>
              <w:jc w:val="both"/>
              <w:rPr>
                <w:rFonts w:eastAsia="Calibri"/>
                <w:sz w:val="20"/>
              </w:rPr>
            </w:pPr>
          </w:p>
        </w:tc>
        <w:tc>
          <w:tcPr>
            <w:tcW w:w="243" w:type="pct"/>
          </w:tcPr>
          <w:p w:rsidR="00496DC7" w:rsidRPr="00DF0A0A" w:rsidRDefault="00496DC7" w:rsidP="00496DC7">
            <w:pPr>
              <w:jc w:val="both"/>
              <w:rPr>
                <w:rFonts w:eastAsia="Calibri"/>
                <w:sz w:val="20"/>
              </w:rPr>
            </w:pPr>
          </w:p>
        </w:tc>
        <w:tc>
          <w:tcPr>
            <w:tcW w:w="2330" w:type="pct"/>
          </w:tcPr>
          <w:p w:rsidR="00496DC7" w:rsidRPr="00DF0A0A" w:rsidRDefault="00496DC7" w:rsidP="00496DC7">
            <w:pPr>
              <w:jc w:val="both"/>
              <w:rPr>
                <w:rFonts w:eastAsia="Calibri"/>
                <w:sz w:val="20"/>
              </w:rPr>
            </w:pPr>
            <w:r w:rsidRPr="00DF0A0A">
              <w:rPr>
                <w:rFonts w:eastAsia="Calibri"/>
                <w:sz w:val="20"/>
              </w:rPr>
              <w:t>Appeal allowed in part; cross-appeal dismissed</w:t>
            </w:r>
          </w:p>
        </w:tc>
      </w:tr>
      <w:tr w:rsidR="00496DC7" w:rsidRPr="00DF0A0A" w:rsidTr="0027596E">
        <w:trPr>
          <w:cantSplit/>
        </w:trPr>
        <w:tc>
          <w:tcPr>
            <w:tcW w:w="2427" w:type="pct"/>
          </w:tcPr>
          <w:p w:rsidR="00496DC7" w:rsidRPr="00DF0A0A" w:rsidRDefault="00496DC7" w:rsidP="00496DC7">
            <w:pPr>
              <w:jc w:val="both"/>
              <w:rPr>
                <w:rFonts w:eastAsia="Calibri"/>
                <w:sz w:val="20"/>
              </w:rPr>
            </w:pPr>
            <w:r w:rsidRPr="00DF0A0A">
              <w:rPr>
                <w:rFonts w:eastAsia="Calibri"/>
                <w:sz w:val="20"/>
              </w:rPr>
              <w:t>December 13, 2010</w:t>
            </w:r>
          </w:p>
          <w:p w:rsidR="00496DC7" w:rsidRPr="00DF0A0A" w:rsidRDefault="00496DC7" w:rsidP="00496DC7">
            <w:pPr>
              <w:jc w:val="both"/>
              <w:rPr>
                <w:rFonts w:eastAsia="Calibri"/>
                <w:sz w:val="20"/>
              </w:rPr>
            </w:pPr>
            <w:r w:rsidRPr="00DF0A0A">
              <w:rPr>
                <w:rFonts w:eastAsia="Calibri"/>
                <w:sz w:val="20"/>
              </w:rPr>
              <w:t>Supreme Court of Canada</w:t>
            </w:r>
          </w:p>
        </w:tc>
        <w:tc>
          <w:tcPr>
            <w:tcW w:w="243" w:type="pct"/>
          </w:tcPr>
          <w:p w:rsidR="00496DC7" w:rsidRPr="00DF0A0A" w:rsidRDefault="00496DC7" w:rsidP="00496DC7">
            <w:pPr>
              <w:jc w:val="both"/>
              <w:rPr>
                <w:rFonts w:eastAsia="Calibri"/>
                <w:sz w:val="20"/>
              </w:rPr>
            </w:pPr>
          </w:p>
        </w:tc>
        <w:tc>
          <w:tcPr>
            <w:tcW w:w="2330" w:type="pct"/>
          </w:tcPr>
          <w:p w:rsidR="00496DC7" w:rsidRPr="00DF0A0A" w:rsidRDefault="00496DC7" w:rsidP="00496DC7">
            <w:pPr>
              <w:jc w:val="both"/>
              <w:rPr>
                <w:rFonts w:eastAsia="Calibri"/>
                <w:sz w:val="20"/>
              </w:rPr>
            </w:pPr>
            <w:r w:rsidRPr="00DF0A0A">
              <w:rPr>
                <w:rFonts w:eastAsia="Calibri"/>
                <w:sz w:val="20"/>
              </w:rPr>
              <w:t>Application for leave to appeal and motion to extend time to serve leave application filed</w:t>
            </w:r>
          </w:p>
        </w:tc>
      </w:tr>
    </w:tbl>
    <w:p w:rsidR="00610966" w:rsidRDefault="00610966" w:rsidP="00610966">
      <w:pPr>
        <w:rPr>
          <w:sz w:val="20"/>
          <w:szCs w:val="20"/>
        </w:rPr>
      </w:pPr>
    </w:p>
    <w:p w:rsidR="00610966" w:rsidRDefault="00C478F8" w:rsidP="00610966">
      <w:pPr>
        <w:rPr>
          <w:sz w:val="20"/>
          <w:szCs w:val="20"/>
        </w:rPr>
      </w:pPr>
      <w:r w:rsidRPr="00C478F8">
        <w:rPr>
          <w:sz w:val="20"/>
          <w:szCs w:val="20"/>
          <w:lang w:val="fr-CA"/>
        </w:rPr>
        <w:pict>
          <v:rect id="_x0000_i1045" style="width:2in;height:1pt" o:hrpct="0" o:hralign="center" o:hrstd="t" o:hrnoshade="t" o:hr="t" fillcolor="black [3213]" stroked="f"/>
        </w:pict>
      </w:r>
    </w:p>
    <w:p w:rsidR="00610966" w:rsidRDefault="00610966" w:rsidP="00610966">
      <w:pPr>
        <w:rPr>
          <w:sz w:val="20"/>
          <w:szCs w:val="20"/>
        </w:rPr>
      </w:pPr>
    </w:p>
    <w:p w:rsidR="00610966" w:rsidRPr="00610966" w:rsidRDefault="00610966" w:rsidP="00610966">
      <w:pPr>
        <w:rPr>
          <w:sz w:val="20"/>
          <w:szCs w:val="20"/>
          <w:u w:val="single"/>
        </w:rPr>
      </w:pPr>
      <w:r w:rsidRPr="00610966">
        <w:rPr>
          <w:sz w:val="20"/>
          <w:szCs w:val="20"/>
          <w:u w:val="single"/>
        </w:rPr>
        <w:t>RÉSUMÉ DE L’AFFAIRE</w:t>
      </w:r>
    </w:p>
    <w:p w:rsidR="00610966" w:rsidRDefault="00610966" w:rsidP="00610966">
      <w:pPr>
        <w:rPr>
          <w:b/>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96DC7" w:rsidRPr="00406D3C" w:rsidTr="00496DC7">
        <w:tc>
          <w:tcPr>
            <w:tcW w:w="5000" w:type="pct"/>
            <w:gridSpan w:val="3"/>
          </w:tcPr>
          <w:p w:rsidR="00496DC7" w:rsidRPr="00DF0A0A" w:rsidRDefault="00496DC7" w:rsidP="00496DC7">
            <w:pPr>
              <w:jc w:val="both"/>
              <w:rPr>
                <w:rFonts w:eastAsia="Calibri"/>
                <w:smallCaps/>
                <w:sz w:val="20"/>
                <w:lang w:val="fr-CA"/>
              </w:rPr>
            </w:pPr>
            <w:r w:rsidRPr="00DF0A0A">
              <w:rPr>
                <w:rFonts w:eastAsia="Calibri"/>
                <w:smallCaps/>
                <w:sz w:val="20"/>
                <w:lang w:val="fr-CA"/>
              </w:rPr>
              <w:t>(Ordonnance de non-publication visant une partie)</w:t>
            </w:r>
          </w:p>
          <w:p w:rsidR="00496DC7" w:rsidRPr="00DF0A0A" w:rsidRDefault="00496DC7" w:rsidP="00496DC7">
            <w:pPr>
              <w:jc w:val="both"/>
              <w:rPr>
                <w:rFonts w:eastAsia="Calibri"/>
                <w:sz w:val="20"/>
                <w:lang w:val="fr-CA"/>
              </w:rPr>
            </w:pPr>
          </w:p>
          <w:p w:rsidR="00496DC7" w:rsidRPr="00DF0A0A" w:rsidRDefault="00496DC7" w:rsidP="00496DC7">
            <w:pPr>
              <w:jc w:val="both"/>
              <w:rPr>
                <w:rFonts w:eastAsia="Calibri"/>
                <w:sz w:val="20"/>
                <w:lang w:val="fr-CA"/>
              </w:rPr>
            </w:pPr>
            <w:r w:rsidRPr="00DF0A0A">
              <w:rPr>
                <w:rFonts w:eastAsia="Calibri"/>
                <w:i/>
                <w:sz w:val="20"/>
                <w:lang w:val="fr-CA"/>
              </w:rPr>
              <w:t>Charte des droits</w:t>
            </w:r>
            <w:r w:rsidRPr="00DF0A0A">
              <w:rPr>
                <w:rFonts w:eastAsia="Calibri"/>
                <w:sz w:val="20"/>
                <w:lang w:val="fr-CA"/>
              </w:rPr>
              <w:t xml:space="preserve"> – Droit à la vie, à la liberté et à la sécurité de la personne – Droit de présenter une défense pleine et entière – Droit de contre-interroger le témoin – Liberté de religion – Enquête préliminaire sur des allégations d’agressions sexuelles – Plaignante a demandé l’autorisation de porter un </w:t>
            </w:r>
            <w:proofErr w:type="spellStart"/>
            <w:r w:rsidRPr="00DF0A0A">
              <w:rPr>
                <w:rFonts w:eastAsia="Calibri"/>
                <w:sz w:val="20"/>
                <w:lang w:val="fr-CA"/>
              </w:rPr>
              <w:t>niqab</w:t>
            </w:r>
            <w:proofErr w:type="spellEnd"/>
            <w:r w:rsidRPr="00DF0A0A">
              <w:rPr>
                <w:rFonts w:eastAsia="Calibri"/>
                <w:sz w:val="20"/>
                <w:lang w:val="fr-CA"/>
              </w:rPr>
              <w:t xml:space="preserve"> durant son témoignage – Une personne se plaignant d’avoir été victime d’agression sexuelle peut-elle porter un </w:t>
            </w:r>
            <w:proofErr w:type="spellStart"/>
            <w:r w:rsidRPr="00DF0A0A">
              <w:rPr>
                <w:rFonts w:eastAsia="Calibri"/>
                <w:sz w:val="20"/>
                <w:lang w:val="fr-CA"/>
              </w:rPr>
              <w:t>niqab</w:t>
            </w:r>
            <w:proofErr w:type="spellEnd"/>
            <w:r w:rsidRPr="00DF0A0A">
              <w:rPr>
                <w:rFonts w:eastAsia="Calibri"/>
                <w:sz w:val="20"/>
                <w:lang w:val="fr-CA"/>
              </w:rPr>
              <w:t>, pour des motifs d’ordre religieux, pendant qu’elle témoigne?</w:t>
            </w:r>
          </w:p>
          <w:p w:rsidR="00496DC7" w:rsidRPr="00DF0A0A" w:rsidRDefault="00496DC7" w:rsidP="00496DC7">
            <w:pPr>
              <w:jc w:val="both"/>
              <w:rPr>
                <w:rFonts w:eastAsia="Calibri"/>
                <w:sz w:val="20"/>
                <w:lang w:val="fr-CA"/>
              </w:rPr>
            </w:pPr>
          </w:p>
        </w:tc>
      </w:tr>
      <w:tr w:rsidR="00496DC7" w:rsidRPr="00DF0A0A" w:rsidTr="00496DC7">
        <w:tc>
          <w:tcPr>
            <w:tcW w:w="5000" w:type="pct"/>
            <w:gridSpan w:val="3"/>
          </w:tcPr>
          <w:p w:rsidR="00496DC7" w:rsidRPr="00DF0A0A" w:rsidRDefault="00496DC7" w:rsidP="00496DC7">
            <w:pPr>
              <w:jc w:val="both"/>
              <w:rPr>
                <w:rFonts w:eastAsia="Calibri"/>
                <w:sz w:val="20"/>
                <w:lang w:val="fr-CA"/>
              </w:rPr>
            </w:pPr>
            <w:r w:rsidRPr="00DF0A0A">
              <w:rPr>
                <w:rFonts w:eastAsia="Calibri"/>
                <w:sz w:val="20"/>
                <w:lang w:val="fr-CA"/>
              </w:rPr>
              <w:t>Lors de l’enquête préliminaire portant sur les allégations d’agressions sexuelles commises sur elle par son oncle, M--l.S., et son cousin, M--d.S., N.S. a demandé l’autorisation de témoigner  en portant son voile (</w:t>
            </w:r>
            <w:proofErr w:type="spellStart"/>
            <w:r w:rsidRPr="00DF0A0A">
              <w:rPr>
                <w:rFonts w:eastAsia="Calibri"/>
                <w:sz w:val="20"/>
                <w:lang w:val="fr-CA"/>
              </w:rPr>
              <w:t>niqab</w:t>
            </w:r>
            <w:proofErr w:type="spellEnd"/>
            <w:r w:rsidRPr="00DF0A0A">
              <w:rPr>
                <w:rFonts w:eastAsia="Calibri"/>
                <w:sz w:val="20"/>
                <w:lang w:val="fr-CA"/>
              </w:rPr>
              <w:t xml:space="preserve">).  Elle a invoqué ses croyances religieuses musulmanes à l’appui de sa demande.  Comme l’exigent ces croyances, N.S. porte un hijab – un vêtement qui couvre tout le corps – et un </w:t>
            </w:r>
            <w:proofErr w:type="spellStart"/>
            <w:r w:rsidRPr="00DF0A0A">
              <w:rPr>
                <w:rFonts w:eastAsia="Calibri"/>
                <w:sz w:val="20"/>
                <w:lang w:val="fr-CA"/>
              </w:rPr>
              <w:t>niqab</w:t>
            </w:r>
            <w:proofErr w:type="spellEnd"/>
            <w:r w:rsidRPr="00DF0A0A">
              <w:rPr>
                <w:rFonts w:eastAsia="Calibri"/>
                <w:sz w:val="20"/>
                <w:lang w:val="fr-CA"/>
              </w:rPr>
              <w:t xml:space="preserve"> – un voile qui couvre tout le visage sauf les yeux – lorsqu’elle se trouve en public ou en présence d’hommes qui ne sont pas des membres « directs » de sa famille.  Cette règle s’applique en présence de M--</w:t>
            </w:r>
            <w:proofErr w:type="spellStart"/>
            <w:r w:rsidRPr="00DF0A0A">
              <w:rPr>
                <w:rFonts w:eastAsia="Calibri"/>
                <w:sz w:val="20"/>
                <w:lang w:val="fr-CA"/>
              </w:rPr>
              <w:t>d.S</w:t>
            </w:r>
            <w:proofErr w:type="spellEnd"/>
            <w:r w:rsidRPr="00DF0A0A">
              <w:rPr>
                <w:rFonts w:eastAsia="Calibri"/>
                <w:sz w:val="20"/>
                <w:lang w:val="fr-CA"/>
              </w:rPr>
              <w:t xml:space="preserve">.  En date des procédures d’appel, elle portait le </w:t>
            </w:r>
            <w:proofErr w:type="spellStart"/>
            <w:r w:rsidRPr="00DF0A0A">
              <w:rPr>
                <w:rFonts w:eastAsia="Calibri"/>
                <w:sz w:val="20"/>
                <w:lang w:val="fr-CA"/>
              </w:rPr>
              <w:t>niqab</w:t>
            </w:r>
            <w:proofErr w:type="spellEnd"/>
            <w:r w:rsidRPr="00DF0A0A">
              <w:rPr>
                <w:rFonts w:eastAsia="Calibri"/>
                <w:sz w:val="20"/>
                <w:lang w:val="fr-CA"/>
              </w:rPr>
              <w:t xml:space="preserve"> et le hijab depuis environ cinq ans. M--</w:t>
            </w:r>
            <w:proofErr w:type="spellStart"/>
            <w:r w:rsidRPr="00DF0A0A">
              <w:rPr>
                <w:rFonts w:eastAsia="Calibri"/>
                <w:sz w:val="20"/>
                <w:lang w:val="fr-CA"/>
              </w:rPr>
              <w:t>d.S</w:t>
            </w:r>
            <w:proofErr w:type="spellEnd"/>
            <w:r w:rsidRPr="00DF0A0A">
              <w:rPr>
                <w:rFonts w:eastAsia="Calibri"/>
                <w:sz w:val="20"/>
                <w:lang w:val="fr-CA"/>
              </w:rPr>
              <w:t>. et la Couronne se sont opposés.</w:t>
            </w:r>
          </w:p>
          <w:p w:rsidR="00496DC7" w:rsidRPr="00DF0A0A" w:rsidRDefault="00496DC7" w:rsidP="00496DC7">
            <w:pPr>
              <w:jc w:val="both"/>
              <w:rPr>
                <w:rFonts w:eastAsia="Calibri"/>
                <w:sz w:val="20"/>
                <w:lang w:val="fr-CA"/>
              </w:rPr>
            </w:pPr>
          </w:p>
          <w:p w:rsidR="00496DC7" w:rsidRPr="00DF0A0A" w:rsidRDefault="00496DC7" w:rsidP="00496DC7">
            <w:pPr>
              <w:jc w:val="both"/>
              <w:rPr>
                <w:rFonts w:eastAsia="Calibri"/>
                <w:sz w:val="20"/>
                <w:lang w:val="fr-CA"/>
              </w:rPr>
            </w:pPr>
            <w:r w:rsidRPr="00DF0A0A">
              <w:rPr>
                <w:rFonts w:eastAsia="Calibri"/>
                <w:sz w:val="20"/>
                <w:lang w:val="fr-CA"/>
              </w:rPr>
              <w:t xml:space="preserve">Le juge présidant l’enquête préliminaire lui a ordonné d’enlever son </w:t>
            </w:r>
            <w:proofErr w:type="spellStart"/>
            <w:r w:rsidRPr="00DF0A0A">
              <w:rPr>
                <w:rFonts w:eastAsia="Calibri"/>
                <w:sz w:val="20"/>
                <w:lang w:val="fr-CA"/>
              </w:rPr>
              <w:t>niqab</w:t>
            </w:r>
            <w:proofErr w:type="spellEnd"/>
            <w:r w:rsidRPr="00DF0A0A">
              <w:rPr>
                <w:rFonts w:eastAsia="Calibri"/>
                <w:sz w:val="20"/>
                <w:lang w:val="fr-CA"/>
              </w:rPr>
              <w:t xml:space="preserve"> avant de témoigner à l’enquête préliminaire. Saisi d’une requête en recours extraordinaire, le juge de la Cour supérieure a accueilli une demande de </w:t>
            </w:r>
            <w:proofErr w:type="spellStart"/>
            <w:r w:rsidRPr="00DF0A0A">
              <w:rPr>
                <w:rFonts w:eastAsia="Calibri"/>
                <w:i/>
                <w:sz w:val="20"/>
                <w:lang w:val="fr-CA"/>
              </w:rPr>
              <w:t>certiorari</w:t>
            </w:r>
            <w:proofErr w:type="spellEnd"/>
            <w:r w:rsidRPr="00DF0A0A">
              <w:rPr>
                <w:rFonts w:eastAsia="Calibri"/>
                <w:sz w:val="20"/>
                <w:lang w:val="fr-CA"/>
              </w:rPr>
              <w:t xml:space="preserve"> annulant l’ordonnance exigeant que N.S. retire son voile pendant son témoignage, mais a rejeté une demande de </w:t>
            </w:r>
            <w:r w:rsidRPr="00DF0A0A">
              <w:rPr>
                <w:rFonts w:eastAsia="Calibri"/>
                <w:i/>
                <w:sz w:val="20"/>
                <w:lang w:val="fr-CA"/>
              </w:rPr>
              <w:t>mandamus</w:t>
            </w:r>
            <w:r w:rsidRPr="00DF0A0A">
              <w:rPr>
                <w:rFonts w:eastAsia="Calibri"/>
                <w:sz w:val="20"/>
                <w:lang w:val="fr-CA"/>
              </w:rPr>
              <w:t xml:space="preserve"> autorisant N.S. à porter son voile durant son témoignage.  La Cour d’appel a accueilli l’appel en partie.  Elle a confirmé l’ordonnance de la Cour supérieure annulant l’ordonnance du juge ayant présidé l’enquête préliminaire et a renvoyé l’affaire au juge ayant présidé l’enquête préliminaire pour qu’il rende une décision conforme à ses motifs.  Un appel incident a été rejeté.</w:t>
            </w:r>
          </w:p>
          <w:p w:rsidR="00496DC7" w:rsidRPr="00DF0A0A" w:rsidRDefault="00496DC7" w:rsidP="00496DC7">
            <w:pPr>
              <w:jc w:val="both"/>
              <w:rPr>
                <w:rFonts w:eastAsia="Calibri"/>
                <w:sz w:val="20"/>
                <w:lang w:val="fr-CA"/>
              </w:rPr>
            </w:pPr>
          </w:p>
        </w:tc>
      </w:tr>
      <w:tr w:rsidR="00496DC7" w:rsidRPr="00406D3C" w:rsidTr="00496DC7">
        <w:tc>
          <w:tcPr>
            <w:tcW w:w="2427" w:type="pct"/>
          </w:tcPr>
          <w:p w:rsidR="00496DC7" w:rsidRPr="00DF0A0A" w:rsidRDefault="00496DC7" w:rsidP="00496DC7">
            <w:pPr>
              <w:jc w:val="both"/>
              <w:rPr>
                <w:rFonts w:eastAsia="Calibri"/>
                <w:sz w:val="20"/>
                <w:lang w:val="fr-CA"/>
              </w:rPr>
            </w:pPr>
            <w:r w:rsidRPr="00DF0A0A">
              <w:rPr>
                <w:rFonts w:eastAsia="Calibri"/>
                <w:sz w:val="20"/>
                <w:lang w:val="fr-CA"/>
              </w:rPr>
              <w:t>16 octobre 2008</w:t>
            </w:r>
          </w:p>
          <w:p w:rsidR="00496DC7" w:rsidRPr="00DF0A0A" w:rsidRDefault="00496DC7" w:rsidP="00496DC7">
            <w:pPr>
              <w:jc w:val="both"/>
              <w:rPr>
                <w:rFonts w:eastAsia="Calibri"/>
                <w:sz w:val="20"/>
                <w:lang w:val="fr-CA"/>
              </w:rPr>
            </w:pPr>
            <w:r w:rsidRPr="00DF0A0A">
              <w:rPr>
                <w:rFonts w:eastAsia="Calibri"/>
                <w:sz w:val="20"/>
                <w:lang w:val="fr-CA"/>
              </w:rPr>
              <w:t>Cour de justice de l’Ontario</w:t>
            </w:r>
          </w:p>
          <w:p w:rsidR="00496DC7" w:rsidRPr="00DF0A0A" w:rsidRDefault="00496DC7" w:rsidP="00496DC7">
            <w:pPr>
              <w:jc w:val="both"/>
              <w:rPr>
                <w:rFonts w:eastAsia="Calibri"/>
                <w:sz w:val="20"/>
                <w:lang w:val="fr-CA"/>
              </w:rPr>
            </w:pPr>
            <w:r w:rsidRPr="00DF0A0A">
              <w:rPr>
                <w:rFonts w:eastAsia="Calibri"/>
                <w:sz w:val="20"/>
                <w:lang w:val="fr-CA"/>
              </w:rPr>
              <w:t xml:space="preserve">(juge </w:t>
            </w:r>
            <w:proofErr w:type="spellStart"/>
            <w:r w:rsidRPr="00DF0A0A">
              <w:rPr>
                <w:rFonts w:eastAsia="Calibri"/>
                <w:sz w:val="20"/>
                <w:lang w:val="fr-CA"/>
              </w:rPr>
              <w:t>Weisman</w:t>
            </w:r>
            <w:proofErr w:type="spellEnd"/>
            <w:r w:rsidRPr="00DF0A0A">
              <w:rPr>
                <w:rFonts w:eastAsia="Calibri"/>
                <w:sz w:val="20"/>
                <w:lang w:val="fr-CA"/>
              </w:rPr>
              <w:t>)</w:t>
            </w:r>
          </w:p>
          <w:p w:rsidR="00496DC7" w:rsidRPr="00DF0A0A" w:rsidRDefault="00496DC7" w:rsidP="00496DC7">
            <w:pPr>
              <w:jc w:val="both"/>
              <w:rPr>
                <w:rFonts w:eastAsia="Calibri"/>
                <w:sz w:val="20"/>
                <w:lang w:val="fr-CA"/>
              </w:rPr>
            </w:pPr>
            <w:r w:rsidRPr="00DF0A0A">
              <w:rPr>
                <w:rFonts w:eastAsia="Calibri"/>
                <w:sz w:val="20"/>
                <w:lang w:val="fr-CA"/>
              </w:rPr>
              <w:t>Non publiée</w:t>
            </w:r>
          </w:p>
          <w:p w:rsidR="00496DC7" w:rsidRPr="00DF0A0A" w:rsidRDefault="00496DC7" w:rsidP="00496DC7">
            <w:pPr>
              <w:jc w:val="both"/>
              <w:rPr>
                <w:rFonts w:eastAsia="Calibri"/>
                <w:sz w:val="20"/>
                <w:lang w:val="fr-CA"/>
              </w:rPr>
            </w:pPr>
          </w:p>
        </w:tc>
        <w:tc>
          <w:tcPr>
            <w:tcW w:w="243" w:type="pct"/>
          </w:tcPr>
          <w:p w:rsidR="00496DC7" w:rsidRPr="00DF0A0A" w:rsidRDefault="00496DC7" w:rsidP="00496DC7">
            <w:pPr>
              <w:jc w:val="both"/>
              <w:rPr>
                <w:rFonts w:eastAsia="Calibri"/>
                <w:sz w:val="20"/>
                <w:lang w:val="fr-CA"/>
              </w:rPr>
            </w:pPr>
          </w:p>
        </w:tc>
        <w:tc>
          <w:tcPr>
            <w:tcW w:w="2330" w:type="pct"/>
          </w:tcPr>
          <w:p w:rsidR="00496DC7" w:rsidRPr="00DF0A0A" w:rsidRDefault="00496DC7" w:rsidP="00496DC7">
            <w:pPr>
              <w:jc w:val="both"/>
              <w:rPr>
                <w:rFonts w:eastAsia="Calibri"/>
                <w:sz w:val="20"/>
                <w:lang w:val="fr-CA"/>
              </w:rPr>
            </w:pPr>
            <w:r w:rsidRPr="00DF0A0A">
              <w:rPr>
                <w:rFonts w:eastAsia="Calibri"/>
                <w:sz w:val="20"/>
                <w:lang w:val="fr-CA"/>
              </w:rPr>
              <w:t xml:space="preserve">N.S. n’a pas autorisé le port du </w:t>
            </w:r>
            <w:proofErr w:type="spellStart"/>
            <w:r w:rsidRPr="00DF0A0A">
              <w:rPr>
                <w:rFonts w:eastAsia="Calibri"/>
                <w:sz w:val="20"/>
                <w:lang w:val="fr-CA"/>
              </w:rPr>
              <w:t>niqab</w:t>
            </w:r>
            <w:proofErr w:type="spellEnd"/>
            <w:r w:rsidRPr="00DF0A0A">
              <w:rPr>
                <w:rFonts w:eastAsia="Calibri"/>
                <w:sz w:val="20"/>
                <w:lang w:val="fr-CA"/>
              </w:rPr>
              <w:t xml:space="preserve"> pendant le témoignage à l’enquête préliminaire.</w:t>
            </w:r>
          </w:p>
        </w:tc>
      </w:tr>
      <w:tr w:rsidR="00496DC7" w:rsidRPr="00406D3C" w:rsidTr="00496DC7">
        <w:tc>
          <w:tcPr>
            <w:tcW w:w="2427" w:type="pct"/>
          </w:tcPr>
          <w:p w:rsidR="00496DC7" w:rsidRPr="00DF0A0A" w:rsidRDefault="00496DC7" w:rsidP="00496DC7">
            <w:pPr>
              <w:jc w:val="both"/>
              <w:rPr>
                <w:rFonts w:eastAsia="Calibri"/>
                <w:sz w:val="20"/>
                <w:lang w:val="fr-CA"/>
              </w:rPr>
            </w:pPr>
            <w:r w:rsidRPr="00DF0A0A">
              <w:rPr>
                <w:rFonts w:eastAsia="Calibri"/>
                <w:sz w:val="20"/>
                <w:lang w:val="fr-CA"/>
              </w:rPr>
              <w:lastRenderedPageBreak/>
              <w:t>30 avril 2009</w:t>
            </w:r>
          </w:p>
          <w:p w:rsidR="00496DC7" w:rsidRPr="00DF0A0A" w:rsidRDefault="00496DC7" w:rsidP="00496DC7">
            <w:pPr>
              <w:jc w:val="both"/>
              <w:rPr>
                <w:rFonts w:eastAsia="Calibri"/>
                <w:sz w:val="20"/>
                <w:lang w:val="fr-CA"/>
              </w:rPr>
            </w:pPr>
            <w:r w:rsidRPr="00DF0A0A">
              <w:rPr>
                <w:rFonts w:eastAsia="Calibri"/>
                <w:sz w:val="20"/>
                <w:lang w:val="fr-CA"/>
              </w:rPr>
              <w:t xml:space="preserve">Cour supérieure de justice de l’Ontario </w:t>
            </w:r>
          </w:p>
          <w:p w:rsidR="00496DC7" w:rsidRPr="00DF0A0A" w:rsidRDefault="00496DC7" w:rsidP="00496DC7">
            <w:pPr>
              <w:jc w:val="both"/>
              <w:rPr>
                <w:rFonts w:eastAsia="Calibri"/>
                <w:sz w:val="20"/>
                <w:lang w:val="fr-CA"/>
              </w:rPr>
            </w:pPr>
            <w:r w:rsidRPr="00DF0A0A">
              <w:rPr>
                <w:rFonts w:eastAsia="Calibri"/>
                <w:sz w:val="20"/>
                <w:lang w:val="fr-CA"/>
              </w:rPr>
              <w:t xml:space="preserve">(juge </w:t>
            </w:r>
            <w:proofErr w:type="spellStart"/>
            <w:r w:rsidRPr="00DF0A0A">
              <w:rPr>
                <w:rFonts w:eastAsia="Calibri"/>
                <w:sz w:val="20"/>
                <w:lang w:val="fr-CA"/>
              </w:rPr>
              <w:t>Marrocco</w:t>
            </w:r>
            <w:proofErr w:type="spellEnd"/>
            <w:r w:rsidRPr="00DF0A0A">
              <w:rPr>
                <w:rFonts w:eastAsia="Calibri"/>
                <w:sz w:val="20"/>
                <w:lang w:val="fr-CA"/>
              </w:rPr>
              <w:t>)</w:t>
            </w:r>
          </w:p>
          <w:p w:rsidR="00496DC7" w:rsidRPr="00DF0A0A" w:rsidRDefault="00496DC7" w:rsidP="00496DC7">
            <w:pPr>
              <w:jc w:val="both"/>
              <w:rPr>
                <w:rFonts w:eastAsia="Calibri"/>
                <w:sz w:val="20"/>
                <w:lang w:val="fr-CA"/>
              </w:rPr>
            </w:pPr>
            <w:r w:rsidRPr="00DF0A0A">
              <w:rPr>
                <w:rFonts w:eastAsia="Calibri"/>
                <w:sz w:val="20"/>
                <w:lang w:val="fr-CA"/>
              </w:rPr>
              <w:t>Non publiée</w:t>
            </w:r>
          </w:p>
          <w:p w:rsidR="00496DC7" w:rsidRPr="00DF0A0A" w:rsidRDefault="00496DC7" w:rsidP="00496DC7">
            <w:pPr>
              <w:jc w:val="both"/>
              <w:rPr>
                <w:rFonts w:eastAsia="Calibri"/>
                <w:sz w:val="20"/>
                <w:lang w:val="fr-CA"/>
              </w:rPr>
            </w:pPr>
          </w:p>
        </w:tc>
        <w:tc>
          <w:tcPr>
            <w:tcW w:w="243" w:type="pct"/>
          </w:tcPr>
          <w:p w:rsidR="00496DC7" w:rsidRPr="00DF0A0A" w:rsidRDefault="00496DC7" w:rsidP="00496DC7">
            <w:pPr>
              <w:jc w:val="both"/>
              <w:rPr>
                <w:rFonts w:eastAsia="Calibri"/>
                <w:sz w:val="20"/>
                <w:lang w:val="fr-CA"/>
              </w:rPr>
            </w:pPr>
          </w:p>
        </w:tc>
        <w:tc>
          <w:tcPr>
            <w:tcW w:w="2330" w:type="pct"/>
          </w:tcPr>
          <w:p w:rsidR="00496DC7" w:rsidRPr="00DF0A0A" w:rsidRDefault="00496DC7" w:rsidP="00496DC7">
            <w:pPr>
              <w:jc w:val="both"/>
              <w:rPr>
                <w:rFonts w:eastAsia="Calibri"/>
                <w:sz w:val="20"/>
                <w:lang w:val="fr-CA"/>
              </w:rPr>
            </w:pPr>
            <w:r w:rsidRPr="00DF0A0A">
              <w:rPr>
                <w:rFonts w:eastAsia="Calibri"/>
                <w:sz w:val="20"/>
                <w:lang w:val="fr-CA"/>
              </w:rPr>
              <w:t xml:space="preserve">L’ordonnance du juge ayant présidé l’enquête préliminaire enjoignant à N.S. de retirer son </w:t>
            </w:r>
            <w:proofErr w:type="spellStart"/>
            <w:r w:rsidRPr="00DF0A0A">
              <w:rPr>
                <w:rFonts w:eastAsia="Calibri"/>
                <w:sz w:val="20"/>
                <w:lang w:val="fr-CA"/>
              </w:rPr>
              <w:t>niqab</w:t>
            </w:r>
            <w:proofErr w:type="spellEnd"/>
            <w:r w:rsidRPr="00DF0A0A">
              <w:rPr>
                <w:rFonts w:eastAsia="Calibri"/>
                <w:sz w:val="20"/>
                <w:lang w:val="fr-CA"/>
              </w:rPr>
              <w:t xml:space="preserve"> pendant son témoignage à l’enquête préliminaire est annulée; la demande que N.S. soit autorisée à témoigner à l’enquête préliminaire avec son </w:t>
            </w:r>
            <w:proofErr w:type="spellStart"/>
            <w:r w:rsidRPr="00DF0A0A">
              <w:rPr>
                <w:rFonts w:eastAsia="Calibri"/>
                <w:sz w:val="20"/>
                <w:lang w:val="fr-CA"/>
              </w:rPr>
              <w:t>niqab</w:t>
            </w:r>
            <w:proofErr w:type="spellEnd"/>
            <w:r w:rsidRPr="00DF0A0A">
              <w:rPr>
                <w:rFonts w:eastAsia="Calibri"/>
                <w:sz w:val="20"/>
                <w:lang w:val="fr-CA"/>
              </w:rPr>
              <w:t xml:space="preserve"> est refusée. </w:t>
            </w:r>
          </w:p>
          <w:p w:rsidR="00496DC7" w:rsidRPr="00DF0A0A" w:rsidRDefault="00496DC7" w:rsidP="00496DC7">
            <w:pPr>
              <w:jc w:val="both"/>
              <w:rPr>
                <w:rFonts w:eastAsia="Calibri"/>
                <w:sz w:val="20"/>
                <w:lang w:val="fr-CA"/>
              </w:rPr>
            </w:pPr>
          </w:p>
        </w:tc>
      </w:tr>
      <w:tr w:rsidR="00496DC7" w:rsidRPr="00406D3C" w:rsidTr="00496DC7">
        <w:tc>
          <w:tcPr>
            <w:tcW w:w="2427" w:type="pct"/>
          </w:tcPr>
          <w:p w:rsidR="00496DC7" w:rsidRPr="00DF0A0A" w:rsidRDefault="00496DC7" w:rsidP="00496DC7">
            <w:pPr>
              <w:jc w:val="both"/>
              <w:rPr>
                <w:rFonts w:eastAsia="Calibri"/>
                <w:sz w:val="20"/>
                <w:lang w:val="fr-CA"/>
              </w:rPr>
            </w:pPr>
            <w:r w:rsidRPr="00DF0A0A">
              <w:rPr>
                <w:rFonts w:eastAsia="Calibri"/>
                <w:sz w:val="20"/>
                <w:lang w:val="fr-CA"/>
              </w:rPr>
              <w:t>13 octobre 2010</w:t>
            </w:r>
          </w:p>
          <w:p w:rsidR="00496DC7" w:rsidRPr="00DF0A0A" w:rsidRDefault="00496DC7" w:rsidP="00496DC7">
            <w:pPr>
              <w:jc w:val="both"/>
              <w:rPr>
                <w:rFonts w:eastAsia="Calibri"/>
                <w:sz w:val="20"/>
                <w:lang w:val="fr-CA"/>
              </w:rPr>
            </w:pPr>
            <w:r w:rsidRPr="00DF0A0A">
              <w:rPr>
                <w:rFonts w:eastAsia="Calibri"/>
                <w:sz w:val="20"/>
                <w:lang w:val="fr-CA"/>
              </w:rPr>
              <w:t>Cour d’appel de l’Ontario</w:t>
            </w:r>
          </w:p>
          <w:p w:rsidR="00496DC7" w:rsidRPr="00DF0A0A" w:rsidRDefault="00496DC7" w:rsidP="00496DC7">
            <w:pPr>
              <w:jc w:val="both"/>
              <w:rPr>
                <w:rFonts w:eastAsia="Calibri"/>
                <w:sz w:val="20"/>
                <w:lang w:val="fr-CA"/>
              </w:rPr>
            </w:pPr>
            <w:r w:rsidRPr="00DF0A0A">
              <w:rPr>
                <w:rFonts w:eastAsia="Calibri"/>
                <w:sz w:val="20"/>
                <w:lang w:val="fr-CA"/>
              </w:rPr>
              <w:t xml:space="preserve">(juges Doherty, </w:t>
            </w:r>
            <w:proofErr w:type="spellStart"/>
            <w:r w:rsidRPr="00DF0A0A">
              <w:rPr>
                <w:rFonts w:eastAsia="Calibri"/>
                <w:sz w:val="20"/>
                <w:lang w:val="fr-CA"/>
              </w:rPr>
              <w:t>Moldaver</w:t>
            </w:r>
            <w:proofErr w:type="spellEnd"/>
            <w:r w:rsidRPr="00DF0A0A">
              <w:rPr>
                <w:rFonts w:eastAsia="Calibri"/>
                <w:sz w:val="20"/>
                <w:lang w:val="fr-CA"/>
              </w:rPr>
              <w:t xml:space="preserve"> et Sharpe)</w:t>
            </w:r>
          </w:p>
          <w:p w:rsidR="00496DC7" w:rsidRPr="00DF0A0A" w:rsidRDefault="00496DC7" w:rsidP="00496DC7">
            <w:pPr>
              <w:jc w:val="both"/>
              <w:rPr>
                <w:rFonts w:eastAsia="Calibri"/>
                <w:sz w:val="20"/>
                <w:lang w:val="fr-CA"/>
              </w:rPr>
            </w:pPr>
            <w:r w:rsidRPr="00DF0A0A">
              <w:rPr>
                <w:rFonts w:eastAsia="Calibri"/>
                <w:sz w:val="20"/>
                <w:lang w:val="fr-CA"/>
              </w:rPr>
              <w:t>Référence neutre : 2010 ONCA 670</w:t>
            </w:r>
          </w:p>
          <w:p w:rsidR="00496DC7" w:rsidRPr="00DF0A0A" w:rsidRDefault="00496DC7" w:rsidP="00496DC7">
            <w:pPr>
              <w:jc w:val="both"/>
              <w:rPr>
                <w:rFonts w:eastAsia="Calibri"/>
                <w:sz w:val="20"/>
                <w:lang w:val="fr-CA"/>
              </w:rPr>
            </w:pPr>
          </w:p>
        </w:tc>
        <w:tc>
          <w:tcPr>
            <w:tcW w:w="243" w:type="pct"/>
          </w:tcPr>
          <w:p w:rsidR="00496DC7" w:rsidRPr="00DF0A0A" w:rsidRDefault="00496DC7" w:rsidP="00496DC7">
            <w:pPr>
              <w:jc w:val="both"/>
              <w:rPr>
                <w:rFonts w:eastAsia="Calibri"/>
                <w:sz w:val="20"/>
                <w:lang w:val="fr-CA"/>
              </w:rPr>
            </w:pPr>
          </w:p>
        </w:tc>
        <w:tc>
          <w:tcPr>
            <w:tcW w:w="2330" w:type="pct"/>
          </w:tcPr>
          <w:p w:rsidR="00496DC7" w:rsidRPr="00DF0A0A" w:rsidRDefault="00496DC7" w:rsidP="00496DC7">
            <w:pPr>
              <w:jc w:val="both"/>
              <w:rPr>
                <w:rFonts w:eastAsia="Calibri"/>
                <w:sz w:val="20"/>
                <w:lang w:val="fr-CA"/>
              </w:rPr>
            </w:pPr>
            <w:r w:rsidRPr="00DF0A0A">
              <w:rPr>
                <w:rFonts w:eastAsia="Calibri"/>
                <w:sz w:val="20"/>
                <w:lang w:val="fr-CA"/>
              </w:rPr>
              <w:t>Appel accueilli en partie; appel incident rejeté</w:t>
            </w:r>
          </w:p>
        </w:tc>
      </w:tr>
      <w:tr w:rsidR="00496DC7" w:rsidRPr="00406D3C" w:rsidTr="00496DC7">
        <w:tc>
          <w:tcPr>
            <w:tcW w:w="2427" w:type="pct"/>
          </w:tcPr>
          <w:p w:rsidR="00496DC7" w:rsidRPr="00DF0A0A" w:rsidRDefault="00496DC7" w:rsidP="00496DC7">
            <w:pPr>
              <w:jc w:val="both"/>
              <w:rPr>
                <w:rFonts w:eastAsia="Calibri"/>
                <w:sz w:val="20"/>
                <w:lang w:val="fr-CA"/>
              </w:rPr>
            </w:pPr>
            <w:r w:rsidRPr="00DF0A0A">
              <w:rPr>
                <w:rFonts w:eastAsia="Calibri"/>
                <w:sz w:val="20"/>
                <w:lang w:val="fr-CA"/>
              </w:rPr>
              <w:t>13 décembre 2010</w:t>
            </w:r>
          </w:p>
          <w:p w:rsidR="00496DC7" w:rsidRPr="00DF0A0A" w:rsidRDefault="00496DC7" w:rsidP="00496DC7">
            <w:pPr>
              <w:jc w:val="both"/>
              <w:rPr>
                <w:rFonts w:eastAsia="Calibri"/>
                <w:sz w:val="20"/>
                <w:lang w:val="fr-CA"/>
              </w:rPr>
            </w:pPr>
            <w:r w:rsidRPr="00DF0A0A">
              <w:rPr>
                <w:rFonts w:eastAsia="Calibri"/>
                <w:sz w:val="20"/>
                <w:lang w:val="fr-CA"/>
              </w:rPr>
              <w:t>Cour suprême du Canada</w:t>
            </w:r>
          </w:p>
        </w:tc>
        <w:tc>
          <w:tcPr>
            <w:tcW w:w="243" w:type="pct"/>
          </w:tcPr>
          <w:p w:rsidR="00496DC7" w:rsidRPr="00DF0A0A" w:rsidRDefault="00496DC7" w:rsidP="00496DC7">
            <w:pPr>
              <w:jc w:val="both"/>
              <w:rPr>
                <w:rFonts w:eastAsia="Calibri"/>
                <w:sz w:val="20"/>
                <w:lang w:val="fr-CA"/>
              </w:rPr>
            </w:pPr>
          </w:p>
        </w:tc>
        <w:tc>
          <w:tcPr>
            <w:tcW w:w="2330" w:type="pct"/>
          </w:tcPr>
          <w:p w:rsidR="00496DC7" w:rsidRPr="00DF0A0A" w:rsidRDefault="00496DC7" w:rsidP="00496DC7">
            <w:pPr>
              <w:jc w:val="both"/>
              <w:rPr>
                <w:rFonts w:eastAsia="Calibri"/>
                <w:sz w:val="20"/>
                <w:lang w:val="fr-CA"/>
              </w:rPr>
            </w:pPr>
            <w:r w:rsidRPr="00DF0A0A">
              <w:rPr>
                <w:rFonts w:eastAsia="Calibri"/>
                <w:sz w:val="20"/>
                <w:lang w:val="fr-CA"/>
              </w:rPr>
              <w:t xml:space="preserve">Demande d’autorisation d’appel et requête en prorogation de délai de </w:t>
            </w:r>
            <w:proofErr w:type="gramStart"/>
            <w:r w:rsidRPr="00DF0A0A">
              <w:rPr>
                <w:rFonts w:eastAsia="Calibri"/>
                <w:sz w:val="20"/>
                <w:lang w:val="fr-CA"/>
              </w:rPr>
              <w:t>signification déposées</w:t>
            </w:r>
            <w:proofErr w:type="gramEnd"/>
            <w:r w:rsidRPr="00DF0A0A">
              <w:rPr>
                <w:rFonts w:eastAsia="Calibri"/>
                <w:sz w:val="20"/>
                <w:lang w:val="fr-CA"/>
              </w:rPr>
              <w:t>.</w:t>
            </w:r>
          </w:p>
        </w:tc>
      </w:tr>
    </w:tbl>
    <w:p w:rsidR="00610966" w:rsidRPr="00496DC7" w:rsidRDefault="00610966" w:rsidP="00610966">
      <w:pPr>
        <w:rPr>
          <w:b/>
          <w:sz w:val="20"/>
          <w:szCs w:val="20"/>
          <w:lang w:val="fr-CA"/>
        </w:rPr>
      </w:pPr>
    </w:p>
    <w:p w:rsidR="00610966" w:rsidRDefault="00C478F8" w:rsidP="00610966">
      <w:pPr>
        <w:rPr>
          <w:b/>
          <w:sz w:val="20"/>
          <w:szCs w:val="20"/>
        </w:rPr>
      </w:pPr>
      <w:r w:rsidRPr="00C478F8">
        <w:rPr>
          <w:sz w:val="20"/>
          <w:szCs w:val="20"/>
          <w:lang w:val="fr-CA"/>
        </w:rPr>
        <w:pict>
          <v:rect id="_x0000_i1046" style="width:2in;height:1pt" o:hrpct="0" o:hralign="center" o:hrstd="t" o:hrnoshade="t" o:hr="t" fillcolor="black [3213]" stroked="f"/>
        </w:pict>
      </w:r>
    </w:p>
    <w:p w:rsidR="00610966" w:rsidRPr="00C50A5C" w:rsidRDefault="00610966" w:rsidP="00610966">
      <w:pPr>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7596E" w:rsidRPr="0027596E" w:rsidTr="0027596E">
        <w:trPr>
          <w:cantSplit/>
        </w:trPr>
        <w:tc>
          <w:tcPr>
            <w:tcW w:w="1458" w:type="dxa"/>
          </w:tcPr>
          <w:p w:rsidR="0027596E" w:rsidRPr="0027596E" w:rsidRDefault="0027596E" w:rsidP="0027596E">
            <w:pPr>
              <w:rPr>
                <w:sz w:val="20"/>
                <w:szCs w:val="20"/>
              </w:rPr>
            </w:pPr>
            <w:r w:rsidRPr="0027596E">
              <w:rPr>
                <w:rStyle w:val="SCCFileNumberChar"/>
                <w:sz w:val="20"/>
                <w:szCs w:val="20"/>
              </w:rPr>
              <w:t>33993</w:t>
            </w:r>
          </w:p>
          <w:p w:rsidR="0027596E" w:rsidRPr="0027596E" w:rsidRDefault="0027596E" w:rsidP="0027596E">
            <w:pPr>
              <w:rPr>
                <w:b/>
                <w:sz w:val="20"/>
                <w:szCs w:val="20"/>
                <w:lang w:val="fr-CA"/>
              </w:rPr>
            </w:pPr>
          </w:p>
        </w:tc>
        <w:tc>
          <w:tcPr>
            <w:tcW w:w="8118" w:type="dxa"/>
          </w:tcPr>
          <w:p w:rsidR="0027596E" w:rsidRPr="0027596E" w:rsidRDefault="0027596E" w:rsidP="009349BD">
            <w:pPr>
              <w:jc w:val="both"/>
              <w:rPr>
                <w:sz w:val="20"/>
                <w:szCs w:val="20"/>
              </w:rPr>
            </w:pPr>
            <w:r w:rsidRPr="0027596E">
              <w:rPr>
                <w:rStyle w:val="SCCLsocChar"/>
                <w:sz w:val="20"/>
                <w:szCs w:val="20"/>
                <w:lang w:val="en-CA"/>
              </w:rPr>
              <w:t xml:space="preserve">Deborah J. Kelly, formerly Deborah J. </w:t>
            </w:r>
            <w:proofErr w:type="spellStart"/>
            <w:r w:rsidRPr="0027596E">
              <w:rPr>
                <w:rStyle w:val="SCCLsocChar"/>
                <w:sz w:val="20"/>
                <w:szCs w:val="20"/>
                <w:lang w:val="en-CA"/>
              </w:rPr>
              <w:t>Hawkes</w:t>
            </w:r>
            <w:proofErr w:type="spellEnd"/>
            <w:r w:rsidRPr="0027596E">
              <w:rPr>
                <w:rStyle w:val="SCCLsocChar"/>
                <w:sz w:val="20"/>
                <w:szCs w:val="20"/>
                <w:lang w:val="en-CA"/>
              </w:rPr>
              <w:t xml:space="preserve"> v. Her Majesty the Queen in Right of the Government of Canada the Attorney General of Canada, Governor General, Her Majesty the Queen by Right of the Government of Prince Edward Island the Attorney General of PEI, Lieutenant Governor of Prince Edward Island, PEI Minister of Health and Social Services, Shirley </w:t>
            </w:r>
            <w:proofErr w:type="spellStart"/>
            <w:r w:rsidRPr="0027596E">
              <w:rPr>
                <w:rStyle w:val="SCCLsocChar"/>
                <w:sz w:val="20"/>
                <w:szCs w:val="20"/>
                <w:lang w:val="en-CA"/>
              </w:rPr>
              <w:t>Clory</w:t>
            </w:r>
            <w:proofErr w:type="spellEnd"/>
            <w:r w:rsidRPr="0027596E">
              <w:rPr>
                <w:rStyle w:val="SCCLsocChar"/>
                <w:sz w:val="20"/>
                <w:szCs w:val="20"/>
                <w:lang w:val="en-CA"/>
              </w:rPr>
              <w:t xml:space="preserve">, Justice of the Peace, George MacMillan, Justice of the Peace (retired), Sgt. Robert C. Thorne, RCMP (retired), Cpl. David L. George, RCMP, then </w:t>
            </w:r>
            <w:proofErr w:type="spellStart"/>
            <w:r w:rsidRPr="0027596E">
              <w:rPr>
                <w:rStyle w:val="SCCLsocChar"/>
                <w:sz w:val="20"/>
                <w:szCs w:val="20"/>
                <w:lang w:val="en-CA"/>
              </w:rPr>
              <w:t>Cst</w:t>
            </w:r>
            <w:proofErr w:type="spellEnd"/>
            <w:r w:rsidRPr="0027596E">
              <w:rPr>
                <w:rStyle w:val="SCCLsocChar"/>
                <w:sz w:val="20"/>
                <w:szCs w:val="20"/>
                <w:lang w:val="en-CA"/>
              </w:rPr>
              <w:t xml:space="preserve">. Dana </w:t>
            </w:r>
            <w:proofErr w:type="spellStart"/>
            <w:r w:rsidRPr="0027596E">
              <w:rPr>
                <w:rStyle w:val="SCCLsocChar"/>
                <w:sz w:val="20"/>
                <w:szCs w:val="20"/>
                <w:lang w:val="en-CA"/>
              </w:rPr>
              <w:t>Dickieson</w:t>
            </w:r>
            <w:proofErr w:type="spellEnd"/>
            <w:r w:rsidRPr="0027596E">
              <w:rPr>
                <w:rStyle w:val="SCCLsocChar"/>
                <w:sz w:val="20"/>
                <w:szCs w:val="20"/>
                <w:lang w:val="en-CA"/>
              </w:rPr>
              <w:t xml:space="preserve">, RCMP, </w:t>
            </w:r>
            <w:proofErr w:type="spellStart"/>
            <w:r w:rsidRPr="0027596E">
              <w:rPr>
                <w:rStyle w:val="SCCLsocChar"/>
                <w:sz w:val="20"/>
                <w:szCs w:val="20"/>
                <w:lang w:val="en-CA"/>
              </w:rPr>
              <w:t>Cst</w:t>
            </w:r>
            <w:proofErr w:type="spellEnd"/>
            <w:r w:rsidRPr="0027596E">
              <w:rPr>
                <w:rStyle w:val="SCCLsocChar"/>
                <w:sz w:val="20"/>
                <w:szCs w:val="20"/>
                <w:lang w:val="en-CA"/>
              </w:rPr>
              <w:t xml:space="preserve">. M.J. Tardif, RCMP, Cpl. Alexis </w:t>
            </w:r>
            <w:proofErr w:type="spellStart"/>
            <w:r w:rsidRPr="0027596E">
              <w:rPr>
                <w:rStyle w:val="SCCLsocChar"/>
                <w:sz w:val="20"/>
                <w:szCs w:val="20"/>
                <w:lang w:val="en-CA"/>
              </w:rPr>
              <w:t>Triantafilou</w:t>
            </w:r>
            <w:proofErr w:type="spellEnd"/>
            <w:r w:rsidRPr="0027596E">
              <w:rPr>
                <w:rStyle w:val="SCCLsocChar"/>
                <w:sz w:val="20"/>
                <w:szCs w:val="20"/>
                <w:lang w:val="en-CA"/>
              </w:rPr>
              <w:t>, RCMP, Sgt. Gerry A. MacDonald, RCMP, Internal Services NCO ''L'' Division, Elsie MacKinnon</w:t>
            </w:r>
            <w:r w:rsidR="00517D8A">
              <w:rPr>
                <w:rStyle w:val="SCCLsocChar"/>
                <w:sz w:val="20"/>
                <w:szCs w:val="20"/>
                <w:lang w:val="en-CA"/>
              </w:rPr>
              <w:t>,</w:t>
            </w:r>
            <w:r w:rsidRPr="0027596E">
              <w:rPr>
                <w:rStyle w:val="SCCLsocChar"/>
                <w:sz w:val="20"/>
                <w:szCs w:val="20"/>
                <w:lang w:val="en-CA"/>
              </w:rPr>
              <w:t xml:space="preserve"> (retired)</w:t>
            </w:r>
            <w:r w:rsidR="009349BD">
              <w:rPr>
                <w:rStyle w:val="SCCLsocChar"/>
                <w:sz w:val="20"/>
                <w:szCs w:val="20"/>
                <w:lang w:val="en-CA"/>
              </w:rPr>
              <w:t xml:space="preserve"> and</w:t>
            </w:r>
            <w:r w:rsidRPr="0027596E">
              <w:rPr>
                <w:rStyle w:val="SCCLsocChar"/>
                <w:sz w:val="20"/>
                <w:szCs w:val="20"/>
                <w:lang w:val="en-CA"/>
              </w:rPr>
              <w:t xml:space="preserve"> Unit Supervisor Provincial Correctional Centre Carol </w:t>
            </w:r>
            <w:proofErr w:type="spellStart"/>
            <w:r w:rsidRPr="0027596E">
              <w:rPr>
                <w:rStyle w:val="SCCLsocChar"/>
                <w:sz w:val="20"/>
                <w:szCs w:val="20"/>
                <w:lang w:val="en-CA"/>
              </w:rPr>
              <w:t>Mayne</w:t>
            </w:r>
            <w:proofErr w:type="spellEnd"/>
            <w:r w:rsidRPr="0027596E">
              <w:rPr>
                <w:rStyle w:val="SCCLsocChar"/>
                <w:sz w:val="20"/>
                <w:szCs w:val="20"/>
                <w:lang w:val="en-CA"/>
              </w:rPr>
              <w:t>, then Director of Access Sites, at Access PEI, Montague, PEI</w:t>
            </w:r>
            <w:r w:rsidRPr="0027596E">
              <w:rPr>
                <w:sz w:val="20"/>
                <w:szCs w:val="20"/>
              </w:rPr>
              <w:t xml:space="preserve"> (P.E.I.) (Civil) (By Leave)</w:t>
            </w:r>
          </w:p>
          <w:p w:rsidR="0027596E" w:rsidRPr="0027596E" w:rsidRDefault="0027596E" w:rsidP="0027596E">
            <w:pPr>
              <w:rPr>
                <w:sz w:val="20"/>
                <w:szCs w:val="20"/>
              </w:rPr>
            </w:pPr>
          </w:p>
        </w:tc>
      </w:tr>
      <w:tr w:rsidR="0027596E" w:rsidRPr="0027596E" w:rsidTr="0027596E">
        <w:trPr>
          <w:cantSplit/>
        </w:trPr>
        <w:tc>
          <w:tcPr>
            <w:tcW w:w="1458" w:type="dxa"/>
          </w:tcPr>
          <w:p w:rsidR="0027596E" w:rsidRPr="0027596E" w:rsidRDefault="0027596E" w:rsidP="0027596E">
            <w:pPr>
              <w:rPr>
                <w:sz w:val="20"/>
                <w:szCs w:val="20"/>
              </w:rPr>
            </w:pPr>
            <w:r w:rsidRPr="0027596E">
              <w:rPr>
                <w:sz w:val="20"/>
                <w:szCs w:val="20"/>
              </w:rPr>
              <w:t>Coram :</w:t>
            </w:r>
          </w:p>
        </w:tc>
        <w:tc>
          <w:tcPr>
            <w:tcW w:w="8118" w:type="dxa"/>
          </w:tcPr>
          <w:p w:rsidR="0027596E" w:rsidRPr="0027596E" w:rsidRDefault="0027596E" w:rsidP="0027596E">
            <w:pPr>
              <w:rPr>
                <w:sz w:val="20"/>
                <w:szCs w:val="20"/>
              </w:rPr>
            </w:pPr>
            <w:proofErr w:type="spellStart"/>
            <w:r w:rsidRPr="0027596E">
              <w:rPr>
                <w:rStyle w:val="SCCCoramChar"/>
                <w:sz w:val="20"/>
                <w:szCs w:val="20"/>
                <w:lang w:val="en-CA"/>
              </w:rPr>
              <w:t>LeBel</w:t>
            </w:r>
            <w:proofErr w:type="spellEnd"/>
            <w:r w:rsidRPr="0027596E">
              <w:rPr>
                <w:rStyle w:val="SCCCoramChar"/>
                <w:sz w:val="20"/>
                <w:szCs w:val="20"/>
                <w:lang w:val="en-CA"/>
              </w:rPr>
              <w:t xml:space="preserve">, </w:t>
            </w:r>
            <w:proofErr w:type="spellStart"/>
            <w:r w:rsidRPr="0027596E">
              <w:rPr>
                <w:rStyle w:val="SCCCoramChar"/>
                <w:sz w:val="20"/>
                <w:szCs w:val="20"/>
                <w:lang w:val="en-CA"/>
              </w:rPr>
              <w:t>Deschamps</w:t>
            </w:r>
            <w:proofErr w:type="spellEnd"/>
            <w:r w:rsidRPr="0027596E">
              <w:rPr>
                <w:rStyle w:val="SCCCoramChar"/>
                <w:sz w:val="20"/>
                <w:szCs w:val="20"/>
                <w:lang w:val="en-CA"/>
              </w:rPr>
              <w:t xml:space="preserve"> and </w:t>
            </w:r>
            <w:proofErr w:type="spellStart"/>
            <w:r w:rsidRPr="0027596E">
              <w:rPr>
                <w:rStyle w:val="SCCCoramChar"/>
                <w:sz w:val="20"/>
                <w:szCs w:val="20"/>
                <w:lang w:val="en-CA"/>
              </w:rPr>
              <w:t>Charron</w:t>
            </w:r>
            <w:proofErr w:type="spellEnd"/>
            <w:r w:rsidRPr="0027596E">
              <w:rPr>
                <w:rStyle w:val="SCCCoramChar"/>
                <w:sz w:val="20"/>
                <w:szCs w:val="20"/>
                <w:lang w:val="en-CA"/>
              </w:rPr>
              <w:t> JJ.</w:t>
            </w:r>
          </w:p>
          <w:p w:rsidR="0027596E" w:rsidRPr="0027596E" w:rsidRDefault="0027596E" w:rsidP="0027596E">
            <w:pPr>
              <w:rPr>
                <w:sz w:val="20"/>
                <w:szCs w:val="20"/>
                <w:u w:val="single"/>
              </w:rPr>
            </w:pPr>
          </w:p>
        </w:tc>
      </w:tr>
      <w:tr w:rsidR="0027596E" w:rsidRPr="00406D3C" w:rsidTr="0027596E">
        <w:trPr>
          <w:cantSplit/>
        </w:trPr>
        <w:tc>
          <w:tcPr>
            <w:tcW w:w="9576" w:type="dxa"/>
            <w:gridSpan w:val="2"/>
          </w:tcPr>
          <w:p w:rsidR="0027596E" w:rsidRPr="0027596E" w:rsidRDefault="0027596E" w:rsidP="0027596E">
            <w:pPr>
              <w:pStyle w:val="SCCShortJudgment"/>
              <w:rPr>
                <w:szCs w:val="20"/>
              </w:rPr>
            </w:pPr>
            <w:r w:rsidRPr="0027596E">
              <w:rPr>
                <w:szCs w:val="20"/>
              </w:rPr>
              <w:t>The application for leave to appeal from the judgment of the Supreme Court of Prince Edward Island, Appeal Division, Number 2010 PECA 17, S1-CA-1194, dated September 29, 2010, is dismissed with costs to the respondent Attorney General of Canada.</w:t>
            </w:r>
          </w:p>
          <w:p w:rsidR="0027596E" w:rsidRPr="0027596E" w:rsidRDefault="0027596E" w:rsidP="0027596E">
            <w:pPr>
              <w:pStyle w:val="SCCShortJudgment"/>
              <w:ind w:firstLine="0"/>
              <w:rPr>
                <w:szCs w:val="20"/>
              </w:rPr>
            </w:pPr>
          </w:p>
          <w:p w:rsidR="0027596E" w:rsidRPr="0027596E" w:rsidRDefault="0027596E" w:rsidP="0027596E">
            <w:pPr>
              <w:pStyle w:val="SCCShortJudgment"/>
              <w:rPr>
                <w:szCs w:val="20"/>
                <w:lang w:val="fr-CA"/>
              </w:rPr>
            </w:pPr>
            <w:r w:rsidRPr="0027596E">
              <w:rPr>
                <w:szCs w:val="20"/>
                <w:lang w:val="fr-CA"/>
              </w:rPr>
              <w:t>La demande d’autorisation d’appel de l’arrêt de la Cour suprême de l’Île-du-Prince-Édouard, Section d’appel, numéro 2010 PECA 17, S1-CA-1194, daté du 29 septembre 2010, est rejetée avec dépens en faveur de l’intimé Procureur général du Canada.</w:t>
            </w:r>
          </w:p>
        </w:tc>
      </w:tr>
    </w:tbl>
    <w:p w:rsidR="00610966" w:rsidRPr="0027596E" w:rsidRDefault="00610966" w:rsidP="00610966">
      <w:pPr>
        <w:rPr>
          <w:b/>
          <w:sz w:val="20"/>
          <w:szCs w:val="20"/>
          <w:lang w:val="fr-CA"/>
        </w:rPr>
      </w:pPr>
    </w:p>
    <w:p w:rsidR="00610966" w:rsidRDefault="00610966" w:rsidP="00610966">
      <w:pPr>
        <w:rPr>
          <w:sz w:val="20"/>
          <w:szCs w:val="20"/>
        </w:rPr>
      </w:pPr>
      <w:r>
        <w:rPr>
          <w:sz w:val="20"/>
          <w:szCs w:val="20"/>
          <w:u w:val="single"/>
        </w:rPr>
        <w:t>CASE SUMMARY</w:t>
      </w:r>
    </w:p>
    <w:p w:rsidR="00610966" w:rsidRDefault="00610966" w:rsidP="00610966">
      <w:pPr>
        <w:rPr>
          <w:sz w:val="20"/>
          <w:szCs w:val="20"/>
        </w:rPr>
      </w:pPr>
    </w:p>
    <w:tbl>
      <w:tblPr>
        <w:tblW w:w="4952" w:type="pct"/>
        <w:tblLayout w:type="fixed"/>
        <w:tblCellMar>
          <w:left w:w="0" w:type="dxa"/>
          <w:bottom w:w="99" w:type="dxa"/>
          <w:right w:w="0" w:type="dxa"/>
        </w:tblCellMar>
        <w:tblLook w:val="04A0"/>
      </w:tblPr>
      <w:tblGrid>
        <w:gridCol w:w="9527"/>
      </w:tblGrid>
      <w:tr w:rsidR="00496DC7" w:rsidRPr="00DF0A0A" w:rsidTr="00496DC7">
        <w:tc>
          <w:tcPr>
            <w:tcW w:w="5000" w:type="pct"/>
          </w:tcPr>
          <w:p w:rsidR="00496DC7" w:rsidRPr="00DF0A0A" w:rsidRDefault="00496DC7" w:rsidP="00496DC7">
            <w:pPr>
              <w:jc w:val="both"/>
              <w:rPr>
                <w:rFonts w:eastAsia="Calibri"/>
                <w:sz w:val="20"/>
              </w:rPr>
            </w:pPr>
            <w:r w:rsidRPr="00DF0A0A">
              <w:rPr>
                <w:rFonts w:eastAsia="Calibri"/>
                <w:sz w:val="20"/>
              </w:rPr>
              <w:t xml:space="preserve">Courts – Procedure – Limitation period – Motion to strike pleadings and dismiss action –   Statement of claim alleging several torts – Incident giving rise to alleged torts occurring on May 8, 2003 – Action commenced May 21, 2009 – Pleadings struck and action dismissed – Whether or not </w:t>
            </w:r>
            <w:r w:rsidRPr="00DF0A0A">
              <w:rPr>
                <w:rFonts w:eastAsia="Calibri"/>
                <w:i/>
                <w:sz w:val="20"/>
              </w:rPr>
              <w:t>Statute of Limitations</w:t>
            </w:r>
            <w:r w:rsidRPr="00DF0A0A">
              <w:rPr>
                <w:rFonts w:eastAsia="Calibri"/>
                <w:sz w:val="20"/>
              </w:rPr>
              <w:t xml:space="preserve"> without application as applicant, as a member of the lower class, has been denied access to justice by abusive provincial and federal governments “since Canada became a Republic” – Why applicant forced to use basic needs income to fit into limitation period when there are no effective legal aid counsel.</w:t>
            </w:r>
          </w:p>
          <w:p w:rsidR="00496DC7" w:rsidRPr="00DF0A0A" w:rsidRDefault="00496DC7" w:rsidP="00496DC7">
            <w:pPr>
              <w:jc w:val="both"/>
              <w:rPr>
                <w:rFonts w:eastAsia="Calibri"/>
                <w:sz w:val="20"/>
              </w:rPr>
            </w:pPr>
            <w:r w:rsidRPr="00DF0A0A">
              <w:rPr>
                <w:rFonts w:eastAsia="Calibri"/>
                <w:sz w:val="20"/>
              </w:rPr>
              <w:t xml:space="preserve"> </w:t>
            </w:r>
          </w:p>
        </w:tc>
      </w:tr>
      <w:tr w:rsidR="00496DC7" w:rsidRPr="00DF0A0A" w:rsidTr="00496DC7">
        <w:tc>
          <w:tcPr>
            <w:tcW w:w="5000" w:type="pct"/>
          </w:tcPr>
          <w:p w:rsidR="00496DC7" w:rsidRPr="00DF0A0A" w:rsidRDefault="00496DC7" w:rsidP="00496DC7">
            <w:pPr>
              <w:jc w:val="both"/>
              <w:rPr>
                <w:rFonts w:eastAsia="Calibri"/>
                <w:sz w:val="20"/>
              </w:rPr>
            </w:pPr>
            <w:r w:rsidRPr="00DF0A0A">
              <w:rPr>
                <w:rFonts w:eastAsia="Calibri"/>
                <w:sz w:val="20"/>
              </w:rPr>
              <w:t xml:space="preserve">The application filed a statement of claim against several respondents who might be categorized as federal government representatives or employees and provincial government representatives or employees.  Each group filed a motion to strike the pleadings and dismiss the action.  The applicant had been arrested on May 8, 2003, at a provincial government office where she had insisted on receiving financial assistance directly from the public.  She claimed that </w:t>
            </w:r>
            <w:r w:rsidRPr="00DF0A0A">
              <w:rPr>
                <w:rFonts w:eastAsia="Calibri"/>
                <w:sz w:val="20"/>
              </w:rPr>
              <w:lastRenderedPageBreak/>
              <w:t>she was expressing herself because her request for government assistance had been denied.  She was arrested, charged with loitering.  The Crown stayed the loitering charges on May 29, 2003.  Her statement of claim was filed May 21, 2009.</w:t>
            </w:r>
          </w:p>
          <w:p w:rsidR="00496DC7" w:rsidRPr="00DF0A0A" w:rsidRDefault="00496DC7" w:rsidP="00496DC7">
            <w:pPr>
              <w:jc w:val="both"/>
              <w:rPr>
                <w:rFonts w:eastAsia="Calibri"/>
                <w:sz w:val="20"/>
              </w:rPr>
            </w:pPr>
          </w:p>
          <w:tbl>
            <w:tblPr>
              <w:tblW w:w="5000" w:type="pct"/>
              <w:tblLayout w:type="fixed"/>
              <w:tblCellMar>
                <w:left w:w="0" w:type="dxa"/>
                <w:right w:w="0" w:type="dxa"/>
              </w:tblCellMar>
              <w:tblLook w:val="04A0"/>
            </w:tblPr>
            <w:tblGrid>
              <w:gridCol w:w="4718"/>
              <w:gridCol w:w="301"/>
              <w:gridCol w:w="4508"/>
            </w:tblGrid>
            <w:tr w:rsidR="00496DC7" w:rsidRPr="00DF0A0A" w:rsidTr="00496DC7">
              <w:tc>
                <w:tcPr>
                  <w:tcW w:w="2476" w:type="pct"/>
                </w:tcPr>
                <w:p w:rsidR="00496DC7" w:rsidRPr="00DF0A0A" w:rsidRDefault="00496DC7" w:rsidP="00496DC7">
                  <w:pPr>
                    <w:jc w:val="both"/>
                    <w:rPr>
                      <w:rFonts w:eastAsia="Calibri"/>
                      <w:sz w:val="20"/>
                    </w:rPr>
                  </w:pPr>
                  <w:r w:rsidRPr="00DF0A0A">
                    <w:rPr>
                      <w:rFonts w:eastAsia="Calibri"/>
                      <w:sz w:val="20"/>
                    </w:rPr>
                    <w:t>December 14, 2009</w:t>
                  </w:r>
                </w:p>
                <w:p w:rsidR="00496DC7" w:rsidRPr="00DF0A0A" w:rsidRDefault="00496DC7" w:rsidP="00496DC7">
                  <w:pPr>
                    <w:jc w:val="both"/>
                    <w:rPr>
                      <w:rFonts w:eastAsia="Calibri"/>
                      <w:sz w:val="20"/>
                    </w:rPr>
                  </w:pPr>
                  <w:r w:rsidRPr="00DF0A0A">
                    <w:rPr>
                      <w:rFonts w:eastAsia="Calibri"/>
                      <w:sz w:val="20"/>
                    </w:rPr>
                    <w:t xml:space="preserve">Supreme Court of Prince Edward Island, </w:t>
                  </w:r>
                </w:p>
                <w:p w:rsidR="00496DC7" w:rsidRPr="00DF0A0A" w:rsidRDefault="00496DC7" w:rsidP="00496DC7">
                  <w:pPr>
                    <w:jc w:val="both"/>
                    <w:rPr>
                      <w:rFonts w:eastAsia="Calibri"/>
                      <w:sz w:val="20"/>
                    </w:rPr>
                  </w:pPr>
                  <w:r w:rsidRPr="00DF0A0A">
                    <w:rPr>
                      <w:rFonts w:eastAsia="Calibri"/>
                      <w:sz w:val="20"/>
                    </w:rPr>
                    <w:t>Trial Division</w:t>
                  </w:r>
                </w:p>
                <w:p w:rsidR="00496DC7" w:rsidRPr="00DF0A0A" w:rsidRDefault="00496DC7" w:rsidP="00496DC7">
                  <w:pPr>
                    <w:jc w:val="both"/>
                    <w:rPr>
                      <w:rFonts w:eastAsia="Calibri"/>
                      <w:sz w:val="20"/>
                    </w:rPr>
                  </w:pPr>
                  <w:r w:rsidRPr="00DF0A0A">
                    <w:rPr>
                      <w:rFonts w:eastAsia="Calibri"/>
                      <w:sz w:val="20"/>
                    </w:rPr>
                    <w:t>(</w:t>
                  </w:r>
                  <w:proofErr w:type="spellStart"/>
                  <w:r w:rsidRPr="00DF0A0A">
                    <w:rPr>
                      <w:rFonts w:eastAsia="Calibri"/>
                      <w:sz w:val="20"/>
                    </w:rPr>
                    <w:t>Cheverie</w:t>
                  </w:r>
                  <w:proofErr w:type="spellEnd"/>
                  <w:r w:rsidRPr="00DF0A0A">
                    <w:rPr>
                      <w:rFonts w:eastAsia="Calibri"/>
                      <w:sz w:val="20"/>
                    </w:rPr>
                    <w:t xml:space="preserve"> J.)</w:t>
                  </w:r>
                </w:p>
                <w:p w:rsidR="00496DC7" w:rsidRPr="00DF0A0A" w:rsidRDefault="00496DC7" w:rsidP="00496DC7">
                  <w:pPr>
                    <w:jc w:val="both"/>
                    <w:rPr>
                      <w:rFonts w:eastAsia="Calibri"/>
                      <w:sz w:val="20"/>
                    </w:rPr>
                  </w:pPr>
                  <w:r w:rsidRPr="00DF0A0A">
                    <w:rPr>
                      <w:rFonts w:eastAsia="Calibri"/>
                      <w:sz w:val="20"/>
                    </w:rPr>
                    <w:t>Neutral citation:  2009 RESCTD 41</w:t>
                  </w:r>
                </w:p>
                <w:p w:rsidR="00496DC7" w:rsidRPr="00DF0A0A" w:rsidRDefault="00496DC7" w:rsidP="00496DC7">
                  <w:pPr>
                    <w:jc w:val="both"/>
                    <w:rPr>
                      <w:rFonts w:eastAsia="Calibri"/>
                      <w:sz w:val="20"/>
                    </w:rPr>
                  </w:pPr>
                </w:p>
              </w:tc>
              <w:tc>
                <w:tcPr>
                  <w:tcW w:w="158" w:type="pct"/>
                </w:tcPr>
                <w:p w:rsidR="00496DC7" w:rsidRPr="00DF0A0A" w:rsidRDefault="00496DC7" w:rsidP="00496DC7">
                  <w:pPr>
                    <w:jc w:val="both"/>
                    <w:rPr>
                      <w:rFonts w:eastAsia="Calibri"/>
                      <w:sz w:val="20"/>
                    </w:rPr>
                  </w:pPr>
                </w:p>
              </w:tc>
              <w:tc>
                <w:tcPr>
                  <w:tcW w:w="2366" w:type="pct"/>
                </w:tcPr>
                <w:p w:rsidR="00496DC7" w:rsidRPr="00DF0A0A" w:rsidRDefault="00496DC7" w:rsidP="00496DC7">
                  <w:pPr>
                    <w:jc w:val="both"/>
                    <w:rPr>
                      <w:rFonts w:eastAsia="Calibri"/>
                      <w:sz w:val="20"/>
                    </w:rPr>
                  </w:pPr>
                  <w:r w:rsidRPr="00DF0A0A">
                    <w:rPr>
                      <w:rFonts w:eastAsia="Calibri"/>
                      <w:sz w:val="20"/>
                    </w:rPr>
                    <w:t>Motions to strike granted, action dismissed and pleadings struck.</w:t>
                  </w:r>
                </w:p>
                <w:p w:rsidR="00496DC7" w:rsidRPr="00DF0A0A" w:rsidRDefault="00496DC7" w:rsidP="00496DC7">
                  <w:pPr>
                    <w:jc w:val="both"/>
                    <w:rPr>
                      <w:rFonts w:eastAsia="Calibri"/>
                      <w:sz w:val="20"/>
                    </w:rPr>
                  </w:pPr>
                </w:p>
              </w:tc>
            </w:tr>
            <w:tr w:rsidR="00496DC7" w:rsidRPr="00DF0A0A" w:rsidTr="00496DC7">
              <w:tc>
                <w:tcPr>
                  <w:tcW w:w="2476" w:type="pct"/>
                </w:tcPr>
                <w:p w:rsidR="00496DC7" w:rsidRPr="00DF0A0A" w:rsidRDefault="00496DC7" w:rsidP="00496DC7">
                  <w:pPr>
                    <w:jc w:val="both"/>
                    <w:rPr>
                      <w:rFonts w:eastAsia="Calibri"/>
                      <w:sz w:val="20"/>
                    </w:rPr>
                  </w:pPr>
                  <w:r w:rsidRPr="00DF0A0A">
                    <w:rPr>
                      <w:rFonts w:eastAsia="Calibri"/>
                      <w:sz w:val="20"/>
                    </w:rPr>
                    <w:t>September 29, 2010</w:t>
                  </w:r>
                </w:p>
                <w:p w:rsidR="00496DC7" w:rsidRPr="00DF0A0A" w:rsidRDefault="00496DC7" w:rsidP="00496DC7">
                  <w:pPr>
                    <w:jc w:val="both"/>
                    <w:rPr>
                      <w:rFonts w:eastAsia="Calibri"/>
                      <w:sz w:val="20"/>
                    </w:rPr>
                  </w:pPr>
                  <w:r w:rsidRPr="00DF0A0A">
                    <w:rPr>
                      <w:rFonts w:eastAsia="Calibri"/>
                      <w:sz w:val="20"/>
                    </w:rPr>
                    <w:t xml:space="preserve">Supreme Court of Prince Edward Island, </w:t>
                  </w:r>
                </w:p>
                <w:p w:rsidR="00496DC7" w:rsidRPr="00DF0A0A" w:rsidRDefault="00496DC7" w:rsidP="00496DC7">
                  <w:pPr>
                    <w:jc w:val="both"/>
                    <w:rPr>
                      <w:rFonts w:eastAsia="Calibri"/>
                      <w:sz w:val="20"/>
                    </w:rPr>
                  </w:pPr>
                  <w:r w:rsidRPr="00DF0A0A">
                    <w:rPr>
                      <w:rFonts w:eastAsia="Calibri"/>
                      <w:sz w:val="20"/>
                    </w:rPr>
                    <w:t>Appeal Division</w:t>
                  </w:r>
                </w:p>
                <w:p w:rsidR="00496DC7" w:rsidRPr="00DF0A0A" w:rsidRDefault="00496DC7" w:rsidP="00496DC7">
                  <w:pPr>
                    <w:jc w:val="both"/>
                    <w:rPr>
                      <w:rFonts w:eastAsia="Calibri"/>
                      <w:sz w:val="20"/>
                    </w:rPr>
                  </w:pPr>
                  <w:r w:rsidRPr="00DF0A0A">
                    <w:rPr>
                      <w:rFonts w:eastAsia="Calibri"/>
                      <w:sz w:val="20"/>
                    </w:rPr>
                    <w:t xml:space="preserve">(Jenkins C.J. and </w:t>
                  </w:r>
                  <w:proofErr w:type="spellStart"/>
                  <w:r w:rsidRPr="00DF0A0A">
                    <w:rPr>
                      <w:rFonts w:eastAsia="Calibri"/>
                      <w:sz w:val="20"/>
                    </w:rPr>
                    <w:t>McQuaid</w:t>
                  </w:r>
                  <w:proofErr w:type="spellEnd"/>
                  <w:r w:rsidRPr="00DF0A0A">
                    <w:rPr>
                      <w:rFonts w:eastAsia="Calibri"/>
                      <w:sz w:val="20"/>
                    </w:rPr>
                    <w:t xml:space="preserve"> and Murphy JJ.A.)</w:t>
                  </w:r>
                </w:p>
                <w:p w:rsidR="00496DC7" w:rsidRPr="00DF0A0A" w:rsidRDefault="00496DC7" w:rsidP="00496DC7">
                  <w:pPr>
                    <w:jc w:val="both"/>
                    <w:rPr>
                      <w:rFonts w:eastAsia="Calibri"/>
                      <w:sz w:val="20"/>
                    </w:rPr>
                  </w:pPr>
                  <w:r w:rsidRPr="00DF0A0A">
                    <w:rPr>
                      <w:rFonts w:eastAsia="Calibri"/>
                      <w:sz w:val="20"/>
                    </w:rPr>
                    <w:t>Neutral citation:  2010 PECA 17</w:t>
                  </w:r>
                </w:p>
                <w:p w:rsidR="00496DC7" w:rsidRPr="00DF0A0A" w:rsidRDefault="00496DC7" w:rsidP="00496DC7">
                  <w:pPr>
                    <w:jc w:val="both"/>
                    <w:rPr>
                      <w:rFonts w:eastAsia="Calibri"/>
                      <w:sz w:val="20"/>
                    </w:rPr>
                  </w:pPr>
                </w:p>
              </w:tc>
              <w:tc>
                <w:tcPr>
                  <w:tcW w:w="158" w:type="pct"/>
                </w:tcPr>
                <w:p w:rsidR="00496DC7" w:rsidRPr="00DF0A0A" w:rsidRDefault="00496DC7" w:rsidP="00496DC7">
                  <w:pPr>
                    <w:jc w:val="both"/>
                    <w:rPr>
                      <w:rFonts w:eastAsia="Calibri"/>
                      <w:sz w:val="20"/>
                    </w:rPr>
                  </w:pPr>
                </w:p>
              </w:tc>
              <w:tc>
                <w:tcPr>
                  <w:tcW w:w="2366" w:type="pct"/>
                </w:tcPr>
                <w:p w:rsidR="00496DC7" w:rsidRPr="00DF0A0A" w:rsidRDefault="00496DC7" w:rsidP="00496DC7">
                  <w:pPr>
                    <w:jc w:val="both"/>
                    <w:rPr>
                      <w:rFonts w:eastAsia="Calibri"/>
                      <w:sz w:val="20"/>
                    </w:rPr>
                  </w:pPr>
                  <w:r w:rsidRPr="00DF0A0A">
                    <w:rPr>
                      <w:rFonts w:eastAsia="Calibri"/>
                      <w:sz w:val="20"/>
                    </w:rPr>
                    <w:t>Appeal dismissed.</w:t>
                  </w:r>
                </w:p>
                <w:p w:rsidR="00496DC7" w:rsidRPr="00DF0A0A" w:rsidRDefault="00496DC7" w:rsidP="00496DC7">
                  <w:pPr>
                    <w:jc w:val="both"/>
                    <w:rPr>
                      <w:rFonts w:eastAsia="Calibri"/>
                      <w:sz w:val="20"/>
                    </w:rPr>
                  </w:pPr>
                </w:p>
              </w:tc>
            </w:tr>
            <w:tr w:rsidR="00496DC7" w:rsidRPr="00DF0A0A" w:rsidTr="00496DC7">
              <w:tc>
                <w:tcPr>
                  <w:tcW w:w="2476" w:type="pct"/>
                </w:tcPr>
                <w:p w:rsidR="00496DC7" w:rsidRPr="00DF0A0A" w:rsidRDefault="00496DC7" w:rsidP="00496DC7">
                  <w:pPr>
                    <w:jc w:val="both"/>
                    <w:rPr>
                      <w:rFonts w:eastAsia="Calibri"/>
                      <w:sz w:val="20"/>
                    </w:rPr>
                  </w:pPr>
                  <w:r w:rsidRPr="00DF0A0A">
                    <w:rPr>
                      <w:rFonts w:eastAsia="Calibri"/>
                      <w:sz w:val="20"/>
                    </w:rPr>
                    <w:t>November 29, 2010</w:t>
                  </w:r>
                </w:p>
                <w:p w:rsidR="00496DC7" w:rsidRPr="00DF0A0A" w:rsidRDefault="00496DC7" w:rsidP="00496DC7">
                  <w:pPr>
                    <w:jc w:val="both"/>
                    <w:rPr>
                      <w:rFonts w:eastAsia="Calibri"/>
                      <w:sz w:val="20"/>
                    </w:rPr>
                  </w:pPr>
                  <w:r w:rsidRPr="00DF0A0A">
                    <w:rPr>
                      <w:rFonts w:eastAsia="Calibri"/>
                      <w:sz w:val="20"/>
                    </w:rPr>
                    <w:t>Supreme Court of Canada</w:t>
                  </w:r>
                </w:p>
              </w:tc>
              <w:tc>
                <w:tcPr>
                  <w:tcW w:w="158" w:type="pct"/>
                </w:tcPr>
                <w:p w:rsidR="00496DC7" w:rsidRPr="00DF0A0A" w:rsidRDefault="00496DC7" w:rsidP="00496DC7">
                  <w:pPr>
                    <w:jc w:val="both"/>
                    <w:rPr>
                      <w:rFonts w:eastAsia="Calibri"/>
                      <w:sz w:val="20"/>
                    </w:rPr>
                  </w:pPr>
                </w:p>
              </w:tc>
              <w:tc>
                <w:tcPr>
                  <w:tcW w:w="2366" w:type="pct"/>
                </w:tcPr>
                <w:p w:rsidR="00496DC7" w:rsidRPr="00DF0A0A" w:rsidRDefault="00496DC7" w:rsidP="00496DC7">
                  <w:pPr>
                    <w:jc w:val="both"/>
                    <w:rPr>
                      <w:rFonts w:eastAsia="Calibri"/>
                      <w:sz w:val="20"/>
                    </w:rPr>
                  </w:pPr>
                  <w:r w:rsidRPr="00DF0A0A">
                    <w:rPr>
                      <w:rFonts w:eastAsia="Calibri"/>
                      <w:sz w:val="20"/>
                    </w:rPr>
                    <w:t>Application for leave to appeal filed</w:t>
                  </w:r>
                </w:p>
                <w:p w:rsidR="00496DC7" w:rsidRPr="00DF0A0A" w:rsidRDefault="00496DC7" w:rsidP="00496DC7">
                  <w:pPr>
                    <w:jc w:val="both"/>
                    <w:rPr>
                      <w:rFonts w:eastAsia="Calibri"/>
                      <w:sz w:val="20"/>
                    </w:rPr>
                  </w:pPr>
                </w:p>
              </w:tc>
            </w:tr>
          </w:tbl>
          <w:p w:rsidR="00496DC7" w:rsidRPr="00DF0A0A" w:rsidRDefault="00496DC7" w:rsidP="00496DC7">
            <w:pPr>
              <w:jc w:val="both"/>
              <w:rPr>
                <w:rFonts w:eastAsia="Calibri"/>
                <w:sz w:val="20"/>
              </w:rPr>
            </w:pPr>
          </w:p>
        </w:tc>
      </w:tr>
    </w:tbl>
    <w:p w:rsidR="00610966" w:rsidRDefault="00610966" w:rsidP="00610966">
      <w:pPr>
        <w:rPr>
          <w:sz w:val="20"/>
          <w:szCs w:val="20"/>
        </w:rPr>
      </w:pPr>
    </w:p>
    <w:p w:rsidR="00610966" w:rsidRDefault="00C478F8" w:rsidP="00610966">
      <w:pPr>
        <w:rPr>
          <w:sz w:val="20"/>
          <w:szCs w:val="20"/>
        </w:rPr>
      </w:pPr>
      <w:r w:rsidRPr="00C478F8">
        <w:rPr>
          <w:sz w:val="20"/>
          <w:szCs w:val="20"/>
          <w:lang w:val="fr-CA"/>
        </w:rPr>
        <w:pict>
          <v:rect id="_x0000_i1047" style="width:2in;height:1pt" o:hrpct="0" o:hralign="center" o:hrstd="t" o:hrnoshade="t" o:hr="t" fillcolor="black [3213]" stroked="f"/>
        </w:pict>
      </w:r>
    </w:p>
    <w:p w:rsidR="00610966" w:rsidRDefault="00610966" w:rsidP="00610966">
      <w:pPr>
        <w:rPr>
          <w:sz w:val="20"/>
          <w:szCs w:val="20"/>
        </w:rPr>
      </w:pPr>
    </w:p>
    <w:p w:rsidR="00610966" w:rsidRPr="00610966" w:rsidRDefault="00610966" w:rsidP="00610966">
      <w:pPr>
        <w:rPr>
          <w:sz w:val="20"/>
          <w:szCs w:val="20"/>
          <w:u w:val="single"/>
        </w:rPr>
      </w:pPr>
      <w:r w:rsidRPr="00610966">
        <w:rPr>
          <w:sz w:val="20"/>
          <w:szCs w:val="20"/>
          <w:u w:val="single"/>
        </w:rPr>
        <w:t>RÉSUMÉ DE L’AFFAIRE</w:t>
      </w:r>
    </w:p>
    <w:p w:rsidR="00610966" w:rsidRDefault="00610966" w:rsidP="00610966">
      <w:pPr>
        <w:rPr>
          <w:b/>
          <w:sz w:val="20"/>
          <w:szCs w:val="20"/>
        </w:rPr>
      </w:pPr>
    </w:p>
    <w:tbl>
      <w:tblPr>
        <w:tblW w:w="4952" w:type="pct"/>
        <w:tblInd w:w="2" w:type="dxa"/>
        <w:tblLayout w:type="fixed"/>
        <w:tblCellMar>
          <w:left w:w="0" w:type="dxa"/>
          <w:bottom w:w="99" w:type="dxa"/>
          <w:right w:w="0" w:type="dxa"/>
        </w:tblCellMar>
        <w:tblLook w:val="00A0"/>
      </w:tblPr>
      <w:tblGrid>
        <w:gridCol w:w="9527"/>
      </w:tblGrid>
      <w:tr w:rsidR="00496DC7" w:rsidRPr="00406D3C" w:rsidTr="00496DC7">
        <w:tc>
          <w:tcPr>
            <w:tcW w:w="5000" w:type="pct"/>
          </w:tcPr>
          <w:p w:rsidR="00496DC7" w:rsidRPr="00DF0A0A" w:rsidRDefault="00496DC7" w:rsidP="00496DC7">
            <w:pPr>
              <w:jc w:val="both"/>
              <w:rPr>
                <w:rFonts w:eastAsia="Calibri"/>
                <w:sz w:val="20"/>
                <w:lang w:val="fr-CA"/>
              </w:rPr>
            </w:pPr>
            <w:r w:rsidRPr="00DF0A0A">
              <w:rPr>
                <w:rFonts w:eastAsia="Calibri"/>
                <w:sz w:val="20"/>
                <w:lang w:val="fr-CA"/>
              </w:rPr>
              <w:t xml:space="preserve">Tribunaux – Procédure – Prescription – Requête en radiation des actes de procédure et en rejet de l'action – Déclaration alléguant plusieurs délits civils – L'incident qui a donné lieu aux délits civils allégués s'est produit le 8 mai 2003 – Action intentée le 21 mai 2009 – Actes de procédure radiés et action rejetée – Les lois sur la prescription sont-elles inopérantes du fait que la demanderesse, en tant que membre de la classe inférieure, s'est vu nier l'accès à la justice par des gouvernements provincial et fédéral abusifs </w:t>
            </w:r>
            <w:r w:rsidRPr="00DF0A0A">
              <w:rPr>
                <w:rFonts w:eastAsia="Calibri"/>
                <w:smallCaps/>
                <w:sz w:val="20"/>
                <w:lang w:val="fr-CA"/>
              </w:rPr>
              <w:t>[traduction]</w:t>
            </w:r>
            <w:r w:rsidRPr="00DF0A0A">
              <w:rPr>
                <w:rFonts w:eastAsia="Calibri"/>
                <w:sz w:val="20"/>
                <w:lang w:val="fr-CA"/>
              </w:rPr>
              <w:t xml:space="preserve"> « depuis que le Canada est devenu une république » – Pourquoi la demanderesse a-t-elle été obligée d'avoir recours à son revenu de subsistance pour respecter le délai de prescription alors qu'il n'y a pas d'avocats efficaces de l’aide juridique? </w:t>
            </w:r>
          </w:p>
          <w:p w:rsidR="00496DC7" w:rsidRPr="00DF0A0A" w:rsidRDefault="00496DC7" w:rsidP="00496DC7">
            <w:pPr>
              <w:jc w:val="both"/>
              <w:rPr>
                <w:rFonts w:eastAsia="Calibri"/>
                <w:sz w:val="20"/>
                <w:lang w:val="fr-CA"/>
              </w:rPr>
            </w:pPr>
          </w:p>
        </w:tc>
      </w:tr>
      <w:tr w:rsidR="00496DC7" w:rsidRPr="00DF0A0A" w:rsidTr="00496DC7">
        <w:tc>
          <w:tcPr>
            <w:tcW w:w="5000" w:type="pct"/>
          </w:tcPr>
          <w:p w:rsidR="00496DC7" w:rsidRPr="00DF0A0A" w:rsidRDefault="00496DC7" w:rsidP="00496DC7">
            <w:pPr>
              <w:jc w:val="both"/>
              <w:rPr>
                <w:rFonts w:eastAsia="Calibri"/>
                <w:sz w:val="20"/>
                <w:lang w:val="fr-CA"/>
              </w:rPr>
            </w:pPr>
            <w:r w:rsidRPr="00DF0A0A">
              <w:rPr>
                <w:rFonts w:eastAsia="Calibri"/>
                <w:sz w:val="20"/>
                <w:lang w:val="fr-CA"/>
              </w:rPr>
              <w:t>La demanderesse a déposé une déclaration contre plusieurs intimés qui peuvent être qualifiés de représentants ou d'employés du gouvernement fédéral et du gouvernement provincial. Chaque groupe a déposé une requête en radiation des actes de procédure et en rejet de l'action. La demanderesse avait été arrêtée le 8 mai 2003 à un bureau du gouvernement provincial alors qu'elle insistait pour recevoir de l'aide financière directement du public. Elle a prétendu qu’elle s’était exprimée parce que sa demande d'aide gouvernementale avait été refusée. Elle a été arrêtée et accusée de flânerie. Le ministère public a suspendu les accusations de flânerie le 29 mai 2003. Sa déclaration a été déposée le 21 mai 2009.</w:t>
            </w:r>
          </w:p>
          <w:p w:rsidR="00496DC7" w:rsidRPr="00DF0A0A" w:rsidRDefault="00496DC7" w:rsidP="00496DC7">
            <w:pPr>
              <w:jc w:val="both"/>
              <w:rPr>
                <w:rFonts w:eastAsia="Calibri"/>
                <w:sz w:val="20"/>
                <w:lang w:val="fr-CA"/>
              </w:rPr>
            </w:pPr>
          </w:p>
          <w:tbl>
            <w:tblPr>
              <w:tblW w:w="5000" w:type="pct"/>
              <w:tblLayout w:type="fixed"/>
              <w:tblCellMar>
                <w:left w:w="0" w:type="dxa"/>
                <w:right w:w="0" w:type="dxa"/>
              </w:tblCellMar>
              <w:tblLook w:val="00A0"/>
            </w:tblPr>
            <w:tblGrid>
              <w:gridCol w:w="4718"/>
              <w:gridCol w:w="301"/>
              <w:gridCol w:w="4508"/>
            </w:tblGrid>
            <w:tr w:rsidR="00496DC7" w:rsidRPr="00406D3C" w:rsidTr="00496DC7">
              <w:tc>
                <w:tcPr>
                  <w:tcW w:w="2476" w:type="pct"/>
                </w:tcPr>
                <w:p w:rsidR="00496DC7" w:rsidRPr="00DF0A0A" w:rsidRDefault="00496DC7" w:rsidP="00496DC7">
                  <w:pPr>
                    <w:jc w:val="both"/>
                    <w:rPr>
                      <w:rFonts w:eastAsia="Calibri"/>
                      <w:sz w:val="20"/>
                      <w:lang w:val="fr-CA"/>
                    </w:rPr>
                  </w:pPr>
                  <w:r w:rsidRPr="00DF0A0A">
                    <w:rPr>
                      <w:rFonts w:eastAsia="Calibri"/>
                      <w:sz w:val="20"/>
                      <w:lang w:val="fr-CA"/>
                    </w:rPr>
                    <w:t>14 décembre 2009</w:t>
                  </w:r>
                </w:p>
                <w:p w:rsidR="00496DC7" w:rsidRPr="00DF0A0A" w:rsidRDefault="00496DC7" w:rsidP="00496DC7">
                  <w:pPr>
                    <w:jc w:val="both"/>
                    <w:rPr>
                      <w:rFonts w:eastAsia="Calibri"/>
                      <w:sz w:val="20"/>
                      <w:lang w:val="fr-CA"/>
                    </w:rPr>
                  </w:pPr>
                  <w:r w:rsidRPr="00DF0A0A">
                    <w:rPr>
                      <w:rFonts w:eastAsia="Calibri"/>
                      <w:sz w:val="20"/>
                      <w:lang w:val="fr-CA"/>
                    </w:rPr>
                    <w:t xml:space="preserve">Cour suprême de l'Île-du-Prince-Édouard, </w:t>
                  </w:r>
                </w:p>
                <w:p w:rsidR="00496DC7" w:rsidRPr="00DF0A0A" w:rsidRDefault="00496DC7" w:rsidP="00496DC7">
                  <w:pPr>
                    <w:jc w:val="both"/>
                    <w:rPr>
                      <w:rFonts w:eastAsia="Calibri"/>
                      <w:sz w:val="20"/>
                      <w:lang w:val="fr-CA"/>
                    </w:rPr>
                  </w:pPr>
                  <w:r w:rsidRPr="00DF0A0A">
                    <w:rPr>
                      <w:rFonts w:eastAsia="Calibri"/>
                      <w:sz w:val="20"/>
                      <w:lang w:val="fr-CA"/>
                    </w:rPr>
                    <w:t xml:space="preserve">Section de première instance </w:t>
                  </w:r>
                </w:p>
                <w:p w:rsidR="00496DC7" w:rsidRPr="00DF0A0A" w:rsidRDefault="00496DC7" w:rsidP="00496DC7">
                  <w:pPr>
                    <w:jc w:val="both"/>
                    <w:rPr>
                      <w:rFonts w:eastAsia="Calibri"/>
                      <w:sz w:val="20"/>
                      <w:lang w:val="fr-CA"/>
                    </w:rPr>
                  </w:pPr>
                  <w:r w:rsidRPr="00DF0A0A">
                    <w:rPr>
                      <w:rFonts w:eastAsia="Calibri"/>
                      <w:sz w:val="20"/>
                      <w:lang w:val="fr-CA"/>
                    </w:rPr>
                    <w:t xml:space="preserve">(Juge </w:t>
                  </w:r>
                  <w:proofErr w:type="spellStart"/>
                  <w:r w:rsidRPr="00DF0A0A">
                    <w:rPr>
                      <w:rFonts w:eastAsia="Calibri"/>
                      <w:sz w:val="20"/>
                      <w:lang w:val="fr-CA"/>
                    </w:rPr>
                    <w:t>Cheverie</w:t>
                  </w:r>
                  <w:proofErr w:type="spellEnd"/>
                  <w:r w:rsidRPr="00DF0A0A">
                    <w:rPr>
                      <w:rFonts w:eastAsia="Calibri"/>
                      <w:sz w:val="20"/>
                      <w:lang w:val="fr-CA"/>
                    </w:rPr>
                    <w:t>)</w:t>
                  </w:r>
                </w:p>
                <w:p w:rsidR="00496DC7" w:rsidRPr="00DF0A0A" w:rsidRDefault="00496DC7" w:rsidP="00496DC7">
                  <w:pPr>
                    <w:jc w:val="both"/>
                    <w:rPr>
                      <w:rFonts w:eastAsia="Calibri"/>
                      <w:sz w:val="20"/>
                      <w:lang w:val="fr-CA"/>
                    </w:rPr>
                  </w:pPr>
                  <w:r w:rsidRPr="00DF0A0A">
                    <w:rPr>
                      <w:rFonts w:eastAsia="Calibri"/>
                      <w:sz w:val="20"/>
                      <w:lang w:val="fr-CA"/>
                    </w:rPr>
                    <w:t xml:space="preserve">Référence neutre </w:t>
                  </w:r>
                  <w:proofErr w:type="gramStart"/>
                  <w:r w:rsidRPr="00DF0A0A">
                    <w:rPr>
                      <w:rFonts w:eastAsia="Calibri"/>
                      <w:sz w:val="20"/>
                      <w:lang w:val="fr-CA"/>
                    </w:rPr>
                    <w:t>:  2009</w:t>
                  </w:r>
                  <w:proofErr w:type="gramEnd"/>
                  <w:r w:rsidRPr="00DF0A0A">
                    <w:rPr>
                      <w:rFonts w:eastAsia="Calibri"/>
                      <w:sz w:val="20"/>
                      <w:lang w:val="fr-CA"/>
                    </w:rPr>
                    <w:t xml:space="preserve"> RESCTD 41</w:t>
                  </w:r>
                </w:p>
                <w:p w:rsidR="00496DC7" w:rsidRPr="00DF0A0A" w:rsidRDefault="00496DC7" w:rsidP="00496DC7">
                  <w:pPr>
                    <w:jc w:val="both"/>
                    <w:rPr>
                      <w:rFonts w:eastAsia="Calibri"/>
                      <w:sz w:val="20"/>
                      <w:lang w:val="fr-CA"/>
                    </w:rPr>
                  </w:pPr>
                </w:p>
              </w:tc>
              <w:tc>
                <w:tcPr>
                  <w:tcW w:w="158" w:type="pct"/>
                </w:tcPr>
                <w:p w:rsidR="00496DC7" w:rsidRPr="00DF0A0A" w:rsidRDefault="00496DC7" w:rsidP="00496DC7">
                  <w:pPr>
                    <w:jc w:val="both"/>
                    <w:rPr>
                      <w:rFonts w:eastAsia="Calibri"/>
                      <w:sz w:val="20"/>
                      <w:lang w:val="fr-CA"/>
                    </w:rPr>
                  </w:pPr>
                </w:p>
              </w:tc>
              <w:tc>
                <w:tcPr>
                  <w:tcW w:w="2366" w:type="pct"/>
                </w:tcPr>
                <w:p w:rsidR="00496DC7" w:rsidRPr="00DF0A0A" w:rsidRDefault="00496DC7" w:rsidP="00496DC7">
                  <w:pPr>
                    <w:jc w:val="both"/>
                    <w:rPr>
                      <w:rFonts w:eastAsia="Calibri"/>
                      <w:sz w:val="20"/>
                      <w:lang w:val="fr-CA"/>
                    </w:rPr>
                  </w:pPr>
                  <w:r w:rsidRPr="00DF0A0A">
                    <w:rPr>
                      <w:rFonts w:eastAsia="Calibri"/>
                      <w:sz w:val="20"/>
                      <w:lang w:val="fr-CA"/>
                    </w:rPr>
                    <w:t>Requête en radiation accueillie, action rejetée et actes de procédure radiés.</w:t>
                  </w:r>
                </w:p>
                <w:p w:rsidR="00496DC7" w:rsidRPr="00DF0A0A" w:rsidRDefault="00496DC7" w:rsidP="00496DC7">
                  <w:pPr>
                    <w:jc w:val="both"/>
                    <w:rPr>
                      <w:rFonts w:eastAsia="Calibri"/>
                      <w:sz w:val="20"/>
                      <w:lang w:val="fr-CA"/>
                    </w:rPr>
                  </w:pPr>
                </w:p>
              </w:tc>
            </w:tr>
            <w:tr w:rsidR="00496DC7" w:rsidRPr="00DF0A0A" w:rsidTr="00496DC7">
              <w:tc>
                <w:tcPr>
                  <w:tcW w:w="2476" w:type="pct"/>
                </w:tcPr>
                <w:p w:rsidR="00496DC7" w:rsidRPr="00DF0A0A" w:rsidRDefault="00496DC7" w:rsidP="00496DC7">
                  <w:pPr>
                    <w:jc w:val="both"/>
                    <w:rPr>
                      <w:rFonts w:eastAsia="Calibri"/>
                      <w:sz w:val="20"/>
                      <w:lang w:val="fr-CA"/>
                    </w:rPr>
                  </w:pPr>
                  <w:r w:rsidRPr="00DF0A0A">
                    <w:rPr>
                      <w:rFonts w:eastAsia="Calibri"/>
                      <w:sz w:val="20"/>
                      <w:lang w:val="fr-CA"/>
                    </w:rPr>
                    <w:t>29 septembre 2010</w:t>
                  </w:r>
                </w:p>
                <w:p w:rsidR="00496DC7" w:rsidRPr="00DF0A0A" w:rsidRDefault="00496DC7" w:rsidP="00496DC7">
                  <w:pPr>
                    <w:jc w:val="both"/>
                    <w:rPr>
                      <w:rFonts w:eastAsia="Calibri"/>
                      <w:sz w:val="20"/>
                      <w:lang w:val="fr-CA"/>
                    </w:rPr>
                  </w:pPr>
                  <w:r w:rsidRPr="00DF0A0A">
                    <w:rPr>
                      <w:rFonts w:eastAsia="Calibri"/>
                      <w:sz w:val="20"/>
                      <w:lang w:val="fr-CA"/>
                    </w:rPr>
                    <w:t xml:space="preserve">Cour suprême de l'Île-du-Prince-Édouard, </w:t>
                  </w:r>
                </w:p>
                <w:p w:rsidR="00496DC7" w:rsidRPr="00DF0A0A" w:rsidRDefault="00496DC7" w:rsidP="00496DC7">
                  <w:pPr>
                    <w:jc w:val="both"/>
                    <w:rPr>
                      <w:rFonts w:eastAsia="Calibri"/>
                      <w:sz w:val="20"/>
                      <w:lang w:val="fr-CA"/>
                    </w:rPr>
                  </w:pPr>
                  <w:r w:rsidRPr="00DF0A0A">
                    <w:rPr>
                      <w:rFonts w:eastAsia="Calibri"/>
                      <w:sz w:val="20"/>
                      <w:lang w:val="fr-CA"/>
                    </w:rPr>
                    <w:t xml:space="preserve">Section d'appel </w:t>
                  </w:r>
                </w:p>
                <w:p w:rsidR="00496DC7" w:rsidRPr="00DF0A0A" w:rsidRDefault="00496DC7" w:rsidP="00496DC7">
                  <w:pPr>
                    <w:jc w:val="both"/>
                    <w:rPr>
                      <w:rFonts w:eastAsia="Calibri"/>
                      <w:sz w:val="20"/>
                      <w:lang w:val="fr-CA"/>
                    </w:rPr>
                  </w:pPr>
                  <w:r w:rsidRPr="00DF0A0A">
                    <w:rPr>
                      <w:rFonts w:eastAsia="Calibri"/>
                      <w:sz w:val="20"/>
                      <w:lang w:val="fr-CA"/>
                    </w:rPr>
                    <w:t xml:space="preserve">(Juge en chef Jenkins et juges </w:t>
                  </w:r>
                  <w:proofErr w:type="spellStart"/>
                  <w:r w:rsidRPr="00DF0A0A">
                    <w:rPr>
                      <w:rFonts w:eastAsia="Calibri"/>
                      <w:sz w:val="20"/>
                      <w:lang w:val="fr-CA"/>
                    </w:rPr>
                    <w:t>McQuaid</w:t>
                  </w:r>
                  <w:proofErr w:type="spellEnd"/>
                  <w:r w:rsidRPr="00DF0A0A">
                    <w:rPr>
                      <w:rFonts w:eastAsia="Calibri"/>
                      <w:sz w:val="20"/>
                      <w:lang w:val="fr-CA"/>
                    </w:rPr>
                    <w:t xml:space="preserve"> et Murphy)</w:t>
                  </w:r>
                </w:p>
                <w:p w:rsidR="00496DC7" w:rsidRPr="00DF0A0A" w:rsidRDefault="00496DC7" w:rsidP="00496DC7">
                  <w:pPr>
                    <w:jc w:val="both"/>
                    <w:rPr>
                      <w:rFonts w:eastAsia="Calibri"/>
                      <w:sz w:val="20"/>
                      <w:lang w:val="fr-CA"/>
                    </w:rPr>
                  </w:pPr>
                  <w:r w:rsidRPr="00DF0A0A">
                    <w:rPr>
                      <w:rFonts w:eastAsia="Calibri"/>
                      <w:sz w:val="20"/>
                      <w:lang w:val="fr-CA"/>
                    </w:rPr>
                    <w:t xml:space="preserve">Référence neutre </w:t>
                  </w:r>
                  <w:proofErr w:type="gramStart"/>
                  <w:r w:rsidRPr="00DF0A0A">
                    <w:rPr>
                      <w:rFonts w:eastAsia="Calibri"/>
                      <w:sz w:val="20"/>
                      <w:lang w:val="fr-CA"/>
                    </w:rPr>
                    <w:t>:  2010</w:t>
                  </w:r>
                  <w:proofErr w:type="gramEnd"/>
                  <w:r w:rsidRPr="00DF0A0A">
                    <w:rPr>
                      <w:rFonts w:eastAsia="Calibri"/>
                      <w:sz w:val="20"/>
                      <w:lang w:val="fr-CA"/>
                    </w:rPr>
                    <w:t xml:space="preserve"> PECA 17</w:t>
                  </w:r>
                </w:p>
                <w:p w:rsidR="00496DC7" w:rsidRPr="00DF0A0A" w:rsidRDefault="00496DC7" w:rsidP="00496DC7">
                  <w:pPr>
                    <w:jc w:val="both"/>
                    <w:rPr>
                      <w:rFonts w:eastAsia="Calibri"/>
                      <w:sz w:val="20"/>
                      <w:lang w:val="fr-CA"/>
                    </w:rPr>
                  </w:pPr>
                </w:p>
              </w:tc>
              <w:tc>
                <w:tcPr>
                  <w:tcW w:w="158" w:type="pct"/>
                </w:tcPr>
                <w:p w:rsidR="00496DC7" w:rsidRPr="00DF0A0A" w:rsidRDefault="00496DC7" w:rsidP="00496DC7">
                  <w:pPr>
                    <w:jc w:val="both"/>
                    <w:rPr>
                      <w:rFonts w:eastAsia="Calibri"/>
                      <w:sz w:val="20"/>
                      <w:lang w:val="fr-CA"/>
                    </w:rPr>
                  </w:pPr>
                </w:p>
              </w:tc>
              <w:tc>
                <w:tcPr>
                  <w:tcW w:w="2366" w:type="pct"/>
                </w:tcPr>
                <w:p w:rsidR="00496DC7" w:rsidRPr="00DF0A0A" w:rsidRDefault="00496DC7" w:rsidP="00496DC7">
                  <w:pPr>
                    <w:jc w:val="both"/>
                    <w:rPr>
                      <w:rFonts w:eastAsia="Calibri"/>
                      <w:sz w:val="20"/>
                      <w:lang w:val="fr-CA"/>
                    </w:rPr>
                  </w:pPr>
                  <w:r w:rsidRPr="00DF0A0A">
                    <w:rPr>
                      <w:rFonts w:eastAsia="Calibri"/>
                      <w:sz w:val="20"/>
                      <w:lang w:val="fr-CA"/>
                    </w:rPr>
                    <w:t>Appel rejeté.</w:t>
                  </w:r>
                </w:p>
                <w:p w:rsidR="00496DC7" w:rsidRPr="00DF0A0A" w:rsidRDefault="00496DC7" w:rsidP="00496DC7">
                  <w:pPr>
                    <w:jc w:val="both"/>
                    <w:rPr>
                      <w:rFonts w:eastAsia="Calibri"/>
                      <w:sz w:val="20"/>
                      <w:lang w:val="fr-CA"/>
                    </w:rPr>
                  </w:pPr>
                </w:p>
              </w:tc>
            </w:tr>
          </w:tbl>
          <w:p w:rsidR="0027596E" w:rsidRDefault="0027596E"/>
          <w:tbl>
            <w:tblPr>
              <w:tblW w:w="5000" w:type="pct"/>
              <w:tblLayout w:type="fixed"/>
              <w:tblCellMar>
                <w:left w:w="0" w:type="dxa"/>
                <w:right w:w="0" w:type="dxa"/>
              </w:tblCellMar>
              <w:tblLook w:val="00A0"/>
            </w:tblPr>
            <w:tblGrid>
              <w:gridCol w:w="4718"/>
              <w:gridCol w:w="301"/>
              <w:gridCol w:w="4508"/>
            </w:tblGrid>
            <w:tr w:rsidR="00496DC7" w:rsidRPr="00DF0A0A" w:rsidTr="0027596E">
              <w:trPr>
                <w:cantSplit/>
              </w:trPr>
              <w:tc>
                <w:tcPr>
                  <w:tcW w:w="2476" w:type="pct"/>
                </w:tcPr>
                <w:p w:rsidR="00496DC7" w:rsidRPr="00DF0A0A" w:rsidRDefault="00496DC7" w:rsidP="00496DC7">
                  <w:pPr>
                    <w:jc w:val="both"/>
                    <w:rPr>
                      <w:rFonts w:eastAsia="Calibri"/>
                      <w:sz w:val="20"/>
                      <w:lang w:val="fr-CA"/>
                    </w:rPr>
                  </w:pPr>
                  <w:r w:rsidRPr="00DF0A0A">
                    <w:rPr>
                      <w:rFonts w:eastAsia="Calibri"/>
                      <w:sz w:val="20"/>
                      <w:lang w:val="fr-CA"/>
                    </w:rPr>
                    <w:lastRenderedPageBreak/>
                    <w:t>29 novembre 2010</w:t>
                  </w:r>
                </w:p>
                <w:p w:rsidR="00496DC7" w:rsidRPr="00DF0A0A" w:rsidRDefault="00496DC7" w:rsidP="0027596E">
                  <w:pPr>
                    <w:jc w:val="both"/>
                    <w:rPr>
                      <w:rFonts w:eastAsia="Calibri"/>
                      <w:sz w:val="20"/>
                      <w:lang w:val="fr-CA"/>
                    </w:rPr>
                  </w:pPr>
                  <w:r w:rsidRPr="00DF0A0A">
                    <w:rPr>
                      <w:rFonts w:eastAsia="Calibri"/>
                      <w:sz w:val="20"/>
                      <w:lang w:val="fr-CA"/>
                    </w:rPr>
                    <w:t>cour suprême du Canada</w:t>
                  </w:r>
                </w:p>
              </w:tc>
              <w:tc>
                <w:tcPr>
                  <w:tcW w:w="158" w:type="pct"/>
                </w:tcPr>
                <w:p w:rsidR="00496DC7" w:rsidRPr="00DF0A0A" w:rsidRDefault="00496DC7" w:rsidP="00496DC7">
                  <w:pPr>
                    <w:jc w:val="both"/>
                    <w:rPr>
                      <w:rFonts w:eastAsia="Calibri"/>
                      <w:sz w:val="20"/>
                      <w:lang w:val="fr-CA"/>
                    </w:rPr>
                  </w:pPr>
                </w:p>
              </w:tc>
              <w:tc>
                <w:tcPr>
                  <w:tcW w:w="2366" w:type="pct"/>
                </w:tcPr>
                <w:p w:rsidR="00496DC7" w:rsidRPr="00DF0A0A" w:rsidRDefault="00496DC7" w:rsidP="00496DC7">
                  <w:pPr>
                    <w:jc w:val="both"/>
                    <w:rPr>
                      <w:rFonts w:eastAsia="Calibri"/>
                      <w:sz w:val="20"/>
                      <w:lang w:val="fr-CA"/>
                    </w:rPr>
                  </w:pPr>
                  <w:r w:rsidRPr="00DF0A0A">
                    <w:rPr>
                      <w:rFonts w:eastAsia="Calibri"/>
                      <w:sz w:val="20"/>
                      <w:lang w:val="fr-CA"/>
                    </w:rPr>
                    <w:t>Demande d'autorisation d'appel, déposée</w:t>
                  </w:r>
                </w:p>
                <w:p w:rsidR="00496DC7" w:rsidRPr="00DF0A0A" w:rsidRDefault="00496DC7" w:rsidP="00496DC7">
                  <w:pPr>
                    <w:jc w:val="both"/>
                    <w:rPr>
                      <w:rFonts w:eastAsia="Calibri"/>
                      <w:sz w:val="20"/>
                      <w:lang w:val="fr-CA"/>
                    </w:rPr>
                  </w:pPr>
                </w:p>
              </w:tc>
            </w:tr>
          </w:tbl>
          <w:p w:rsidR="00496DC7" w:rsidRPr="00DF0A0A" w:rsidRDefault="00496DC7" w:rsidP="00496DC7">
            <w:pPr>
              <w:jc w:val="both"/>
              <w:rPr>
                <w:rFonts w:eastAsia="Calibri"/>
                <w:sz w:val="20"/>
                <w:lang w:val="fr-CA"/>
              </w:rPr>
            </w:pPr>
          </w:p>
        </w:tc>
      </w:tr>
    </w:tbl>
    <w:p w:rsidR="00610966" w:rsidRDefault="00610966" w:rsidP="00610966">
      <w:pPr>
        <w:rPr>
          <w:b/>
          <w:sz w:val="20"/>
          <w:szCs w:val="20"/>
        </w:rPr>
      </w:pPr>
    </w:p>
    <w:p w:rsidR="00610966" w:rsidRDefault="00C478F8" w:rsidP="00610966">
      <w:pPr>
        <w:rPr>
          <w:b/>
          <w:sz w:val="20"/>
          <w:szCs w:val="20"/>
        </w:rPr>
      </w:pPr>
      <w:r w:rsidRPr="00C478F8">
        <w:rPr>
          <w:sz w:val="20"/>
          <w:szCs w:val="20"/>
          <w:lang w:val="fr-CA"/>
        </w:rPr>
        <w:pict>
          <v:rect id="_x0000_i1048" style="width:2in;height:1pt" o:hrpct="0" o:hralign="center" o:hrstd="t" o:hrnoshade="t" o:hr="t" fillcolor="black [3213]" stroked="f"/>
        </w:pict>
      </w:r>
    </w:p>
    <w:p w:rsidR="00610966" w:rsidRPr="00C50A5C" w:rsidRDefault="00610966" w:rsidP="00610966">
      <w:pPr>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7596E" w:rsidRPr="0027596E" w:rsidTr="0027596E">
        <w:trPr>
          <w:cantSplit/>
        </w:trPr>
        <w:tc>
          <w:tcPr>
            <w:tcW w:w="1458" w:type="dxa"/>
          </w:tcPr>
          <w:p w:rsidR="0027596E" w:rsidRPr="0027596E" w:rsidRDefault="0027596E" w:rsidP="0027596E">
            <w:pPr>
              <w:rPr>
                <w:sz w:val="20"/>
                <w:szCs w:val="20"/>
              </w:rPr>
            </w:pPr>
            <w:r w:rsidRPr="0027596E">
              <w:rPr>
                <w:rStyle w:val="SCCFileNumberChar"/>
                <w:sz w:val="20"/>
                <w:szCs w:val="20"/>
              </w:rPr>
              <w:t>34010</w:t>
            </w:r>
          </w:p>
          <w:p w:rsidR="0027596E" w:rsidRPr="0027596E" w:rsidRDefault="0027596E" w:rsidP="0027596E">
            <w:pPr>
              <w:rPr>
                <w:b/>
                <w:sz w:val="20"/>
                <w:szCs w:val="20"/>
                <w:lang w:val="fr-CA"/>
              </w:rPr>
            </w:pPr>
          </w:p>
        </w:tc>
        <w:tc>
          <w:tcPr>
            <w:tcW w:w="8118" w:type="dxa"/>
          </w:tcPr>
          <w:p w:rsidR="0027596E" w:rsidRPr="0027596E" w:rsidRDefault="0027596E" w:rsidP="0027596E">
            <w:pPr>
              <w:rPr>
                <w:sz w:val="20"/>
                <w:szCs w:val="20"/>
              </w:rPr>
            </w:pPr>
            <w:r w:rsidRPr="0027596E">
              <w:rPr>
                <w:rStyle w:val="SCCLsocChar"/>
                <w:sz w:val="20"/>
                <w:szCs w:val="20"/>
                <w:lang w:val="en-CA"/>
              </w:rPr>
              <w:t>Bryan Ralston Latham v. Her Majesty the Queen</w:t>
            </w:r>
            <w:r w:rsidRPr="0027596E">
              <w:rPr>
                <w:sz w:val="20"/>
                <w:szCs w:val="20"/>
              </w:rPr>
              <w:t xml:space="preserve"> (Sask.) (Criminal) (By Leave)</w:t>
            </w:r>
          </w:p>
          <w:p w:rsidR="0027596E" w:rsidRPr="0027596E" w:rsidRDefault="0027596E" w:rsidP="0027596E">
            <w:pPr>
              <w:rPr>
                <w:sz w:val="20"/>
                <w:szCs w:val="20"/>
              </w:rPr>
            </w:pPr>
          </w:p>
        </w:tc>
      </w:tr>
      <w:tr w:rsidR="0027596E" w:rsidRPr="0027596E" w:rsidTr="0027596E">
        <w:trPr>
          <w:cantSplit/>
        </w:trPr>
        <w:tc>
          <w:tcPr>
            <w:tcW w:w="1458" w:type="dxa"/>
          </w:tcPr>
          <w:p w:rsidR="0027596E" w:rsidRPr="0027596E" w:rsidRDefault="0027596E" w:rsidP="0027596E">
            <w:pPr>
              <w:rPr>
                <w:sz w:val="20"/>
                <w:szCs w:val="20"/>
              </w:rPr>
            </w:pPr>
            <w:r w:rsidRPr="0027596E">
              <w:rPr>
                <w:sz w:val="20"/>
                <w:szCs w:val="20"/>
              </w:rPr>
              <w:t>Coram :</w:t>
            </w:r>
          </w:p>
        </w:tc>
        <w:tc>
          <w:tcPr>
            <w:tcW w:w="8118" w:type="dxa"/>
          </w:tcPr>
          <w:p w:rsidR="0027596E" w:rsidRPr="0027596E" w:rsidRDefault="0027596E" w:rsidP="0027596E">
            <w:pPr>
              <w:rPr>
                <w:sz w:val="20"/>
                <w:szCs w:val="20"/>
              </w:rPr>
            </w:pPr>
            <w:proofErr w:type="spellStart"/>
            <w:r w:rsidRPr="0027596E">
              <w:rPr>
                <w:rStyle w:val="SCCCoramChar"/>
                <w:sz w:val="20"/>
                <w:szCs w:val="20"/>
                <w:lang w:val="en-CA"/>
              </w:rPr>
              <w:t>LeBel</w:t>
            </w:r>
            <w:proofErr w:type="spellEnd"/>
            <w:r w:rsidRPr="0027596E">
              <w:rPr>
                <w:rStyle w:val="SCCCoramChar"/>
                <w:sz w:val="20"/>
                <w:szCs w:val="20"/>
                <w:lang w:val="en-CA"/>
              </w:rPr>
              <w:t xml:space="preserve">, </w:t>
            </w:r>
            <w:proofErr w:type="spellStart"/>
            <w:r w:rsidRPr="0027596E">
              <w:rPr>
                <w:rStyle w:val="SCCCoramChar"/>
                <w:sz w:val="20"/>
                <w:szCs w:val="20"/>
                <w:lang w:val="en-CA"/>
              </w:rPr>
              <w:t>Deschamps</w:t>
            </w:r>
            <w:proofErr w:type="spellEnd"/>
            <w:r w:rsidRPr="0027596E">
              <w:rPr>
                <w:rStyle w:val="SCCCoramChar"/>
                <w:sz w:val="20"/>
                <w:szCs w:val="20"/>
                <w:lang w:val="en-CA"/>
              </w:rPr>
              <w:t xml:space="preserve"> and </w:t>
            </w:r>
            <w:proofErr w:type="spellStart"/>
            <w:r w:rsidRPr="0027596E">
              <w:rPr>
                <w:rStyle w:val="SCCCoramChar"/>
                <w:sz w:val="20"/>
                <w:szCs w:val="20"/>
                <w:lang w:val="en-CA"/>
              </w:rPr>
              <w:t>Charron</w:t>
            </w:r>
            <w:proofErr w:type="spellEnd"/>
            <w:r w:rsidRPr="0027596E">
              <w:rPr>
                <w:rStyle w:val="SCCCoramChar"/>
                <w:sz w:val="20"/>
                <w:szCs w:val="20"/>
                <w:lang w:val="en-CA"/>
              </w:rPr>
              <w:t> JJ.</w:t>
            </w:r>
          </w:p>
          <w:p w:rsidR="0027596E" w:rsidRPr="0027596E" w:rsidRDefault="0027596E" w:rsidP="0027596E">
            <w:pPr>
              <w:rPr>
                <w:sz w:val="20"/>
                <w:szCs w:val="20"/>
                <w:u w:val="single"/>
              </w:rPr>
            </w:pPr>
          </w:p>
        </w:tc>
      </w:tr>
      <w:tr w:rsidR="0027596E" w:rsidRPr="00406D3C" w:rsidTr="0027596E">
        <w:trPr>
          <w:cantSplit/>
        </w:trPr>
        <w:tc>
          <w:tcPr>
            <w:tcW w:w="9576" w:type="dxa"/>
            <w:gridSpan w:val="2"/>
          </w:tcPr>
          <w:p w:rsidR="0027596E" w:rsidRPr="0027596E" w:rsidRDefault="0027596E" w:rsidP="0027596E">
            <w:pPr>
              <w:pStyle w:val="SCCShortJudgment"/>
              <w:rPr>
                <w:szCs w:val="20"/>
              </w:rPr>
            </w:pPr>
            <w:r w:rsidRPr="0027596E">
              <w:rPr>
                <w:szCs w:val="20"/>
              </w:rPr>
              <w:t>The motion for an extension of time to serve and file the application for leave to appeal is granted. The motion to adduce new evidence is dismissed. The application for leave to appeal from the judgment of the Court of Appeal for Saskatchewan, Number 1845, 2010 SKCA 108, dated September 8, 2010, is dismissed without costs.</w:t>
            </w:r>
          </w:p>
          <w:p w:rsidR="0027596E" w:rsidRPr="0027596E" w:rsidRDefault="0027596E" w:rsidP="0027596E">
            <w:pPr>
              <w:pStyle w:val="SCCShortJudgment"/>
              <w:ind w:firstLine="0"/>
              <w:rPr>
                <w:szCs w:val="20"/>
              </w:rPr>
            </w:pPr>
          </w:p>
          <w:p w:rsidR="0027596E" w:rsidRPr="0027596E" w:rsidRDefault="0027596E" w:rsidP="0027596E">
            <w:pPr>
              <w:pStyle w:val="SCCShortJudgment"/>
              <w:rPr>
                <w:szCs w:val="20"/>
                <w:lang w:val="fr-CA"/>
              </w:rPr>
            </w:pPr>
            <w:r w:rsidRPr="0027596E">
              <w:rPr>
                <w:szCs w:val="20"/>
                <w:lang w:val="fr-CA"/>
              </w:rPr>
              <w:t>La requête en prorogation du délai de signification et de dépôt de la demande d’autorisation d’appel est accordée. La requête en vue de produire de nouveaux éléments de preuve est rejetée. La demande d’autorisation d’appel de l’arrêt de la Cour d’appel de la Saskatchewan, numéro 1845, 2010 SKCA 108, daté du 8 septembre 2010, est rejetée sans dépens.</w:t>
            </w:r>
          </w:p>
        </w:tc>
      </w:tr>
    </w:tbl>
    <w:p w:rsidR="00610966" w:rsidRPr="0027596E" w:rsidRDefault="00610966" w:rsidP="00610966">
      <w:pPr>
        <w:rPr>
          <w:b/>
          <w:sz w:val="20"/>
          <w:szCs w:val="20"/>
          <w:lang w:val="fr-CA"/>
        </w:rPr>
      </w:pPr>
    </w:p>
    <w:p w:rsidR="00610966" w:rsidRDefault="00610966" w:rsidP="00610966">
      <w:pPr>
        <w:rPr>
          <w:sz w:val="20"/>
          <w:szCs w:val="20"/>
        </w:rPr>
      </w:pPr>
      <w:r>
        <w:rPr>
          <w:sz w:val="20"/>
          <w:szCs w:val="20"/>
          <w:u w:val="single"/>
        </w:rPr>
        <w:t>CASE SUMMARY</w:t>
      </w:r>
    </w:p>
    <w:p w:rsidR="00610966" w:rsidRDefault="00610966" w:rsidP="00610966">
      <w:pPr>
        <w:rPr>
          <w:sz w:val="20"/>
          <w:szCs w:val="20"/>
        </w:rPr>
      </w:pPr>
    </w:p>
    <w:tbl>
      <w:tblPr>
        <w:tblW w:w="4952" w:type="pct"/>
        <w:tblLayout w:type="fixed"/>
        <w:tblCellMar>
          <w:left w:w="0" w:type="dxa"/>
          <w:bottom w:w="99" w:type="dxa"/>
          <w:right w:w="0" w:type="dxa"/>
        </w:tblCellMar>
        <w:tblLook w:val="04A0"/>
      </w:tblPr>
      <w:tblGrid>
        <w:gridCol w:w="4622"/>
        <w:gridCol w:w="465"/>
        <w:gridCol w:w="4440"/>
      </w:tblGrid>
      <w:tr w:rsidR="00496DC7" w:rsidRPr="00DF0A0A" w:rsidTr="00496DC7">
        <w:tc>
          <w:tcPr>
            <w:tcW w:w="5000" w:type="pct"/>
            <w:gridSpan w:val="3"/>
          </w:tcPr>
          <w:p w:rsidR="00496DC7" w:rsidRPr="00DF0A0A" w:rsidRDefault="00496DC7" w:rsidP="00496DC7">
            <w:pPr>
              <w:jc w:val="both"/>
              <w:rPr>
                <w:rFonts w:eastAsia="Calibri"/>
                <w:sz w:val="20"/>
              </w:rPr>
            </w:pPr>
            <w:r w:rsidRPr="00DF0A0A">
              <w:rPr>
                <w:rFonts w:eastAsia="Calibri"/>
                <w:i/>
                <w:sz w:val="20"/>
              </w:rPr>
              <w:t>Charter of Rights and Freedoms</w:t>
            </w:r>
            <w:r w:rsidRPr="00DF0A0A">
              <w:rPr>
                <w:rFonts w:eastAsia="Calibri"/>
                <w:sz w:val="20"/>
              </w:rPr>
              <w:t xml:space="preserve"> –  Life, liberty and security of the person – Criminal Law – Procedure – Administrative law – Judicial review – Whether courts should decline to review warden’s suspensions of unescorted temporary absences in light of a decision of the National Parole Board – Whether Crown counsel withheld  information on judicial review that shows warden failed to follow required procedure in suspending unescorted temporary absences and a failure to  allow an opportunity to make answer to allegations used to take away liberty – Whether National Parole Board reviews are complete, comprehensive and expert.</w:t>
            </w:r>
          </w:p>
          <w:p w:rsidR="00496DC7" w:rsidRPr="00DF0A0A" w:rsidRDefault="00496DC7" w:rsidP="00496DC7">
            <w:pPr>
              <w:jc w:val="both"/>
              <w:rPr>
                <w:rFonts w:eastAsia="Calibri"/>
                <w:sz w:val="20"/>
              </w:rPr>
            </w:pPr>
          </w:p>
        </w:tc>
      </w:tr>
      <w:tr w:rsidR="00496DC7" w:rsidRPr="00DF0A0A" w:rsidTr="00496DC7">
        <w:tc>
          <w:tcPr>
            <w:tcW w:w="5000" w:type="pct"/>
            <w:gridSpan w:val="3"/>
          </w:tcPr>
          <w:p w:rsidR="00496DC7" w:rsidRPr="00DF0A0A" w:rsidRDefault="00496DC7" w:rsidP="00496DC7">
            <w:pPr>
              <w:jc w:val="both"/>
              <w:rPr>
                <w:rFonts w:eastAsia="Calibri"/>
                <w:sz w:val="20"/>
              </w:rPr>
            </w:pPr>
            <w:r w:rsidRPr="00DF0A0A">
              <w:rPr>
                <w:rFonts w:eastAsia="Calibri"/>
                <w:sz w:val="20"/>
              </w:rPr>
              <w:t>The applicant was sentenced and declared a dangerous offender.  While incarcerated in a minimum security institution, he was granted unescorted temporary absences to attend AA meetings.  The warden of the institution suspended his absences on the basis that he had breached the conditions of the absences.  The applicant was transferred to a medium security institution and reassessed as medium security risk.  The warden referred her decisions to the National Parole Board for review.  The National Parole Board upheld the warden’s decisions and cancelled the applicant’s unescorted temporary absences.  The National Parole Board Appeal Division upheld the Board’s decision.</w:t>
            </w:r>
          </w:p>
          <w:p w:rsidR="00496DC7" w:rsidRPr="00DF0A0A" w:rsidRDefault="00496DC7" w:rsidP="00496DC7">
            <w:pPr>
              <w:jc w:val="both"/>
              <w:rPr>
                <w:rFonts w:eastAsia="Calibri"/>
                <w:sz w:val="20"/>
              </w:rPr>
            </w:pPr>
          </w:p>
        </w:tc>
      </w:tr>
      <w:tr w:rsidR="00496DC7" w:rsidRPr="00DF0A0A" w:rsidTr="00496DC7">
        <w:tc>
          <w:tcPr>
            <w:tcW w:w="2426" w:type="pct"/>
          </w:tcPr>
          <w:p w:rsidR="00496DC7" w:rsidRPr="00DF0A0A" w:rsidRDefault="00496DC7" w:rsidP="00496DC7">
            <w:pPr>
              <w:jc w:val="both"/>
              <w:rPr>
                <w:rFonts w:eastAsia="Calibri"/>
                <w:sz w:val="20"/>
              </w:rPr>
            </w:pPr>
            <w:r w:rsidRPr="00DF0A0A">
              <w:rPr>
                <w:rFonts w:eastAsia="Calibri"/>
                <w:sz w:val="20"/>
              </w:rPr>
              <w:t>August 8, 2007</w:t>
            </w:r>
          </w:p>
          <w:p w:rsidR="00496DC7" w:rsidRPr="00DF0A0A" w:rsidRDefault="00496DC7" w:rsidP="00496DC7">
            <w:pPr>
              <w:jc w:val="both"/>
              <w:rPr>
                <w:rFonts w:eastAsia="Calibri"/>
                <w:sz w:val="20"/>
              </w:rPr>
            </w:pPr>
            <w:r w:rsidRPr="00DF0A0A">
              <w:rPr>
                <w:rFonts w:eastAsia="Calibri"/>
                <w:sz w:val="20"/>
              </w:rPr>
              <w:t>Court of Queen’s Bench of Saskatchewan</w:t>
            </w:r>
          </w:p>
          <w:p w:rsidR="00496DC7" w:rsidRPr="00DF0A0A" w:rsidRDefault="00496DC7" w:rsidP="00496DC7">
            <w:pPr>
              <w:jc w:val="both"/>
              <w:rPr>
                <w:rFonts w:eastAsia="Calibri"/>
                <w:sz w:val="20"/>
              </w:rPr>
            </w:pPr>
            <w:r w:rsidRPr="00DF0A0A">
              <w:rPr>
                <w:rFonts w:eastAsia="Calibri"/>
                <w:sz w:val="20"/>
              </w:rPr>
              <w:t xml:space="preserve">(Acton J.) </w:t>
            </w:r>
          </w:p>
          <w:p w:rsidR="00496DC7" w:rsidRPr="00DF0A0A" w:rsidRDefault="00496DC7" w:rsidP="00496DC7">
            <w:pPr>
              <w:jc w:val="both"/>
              <w:rPr>
                <w:rFonts w:eastAsia="Calibri"/>
                <w:sz w:val="20"/>
              </w:rPr>
            </w:pPr>
            <w:r w:rsidRPr="00DF0A0A">
              <w:rPr>
                <w:rFonts w:eastAsia="Calibri"/>
                <w:sz w:val="20"/>
              </w:rPr>
              <w:t>2007 SKQB 281</w:t>
            </w:r>
          </w:p>
          <w:p w:rsidR="00496DC7" w:rsidRPr="00DF0A0A" w:rsidRDefault="00496DC7" w:rsidP="00496DC7">
            <w:pPr>
              <w:jc w:val="both"/>
              <w:rPr>
                <w:rFonts w:eastAsia="Calibri"/>
                <w:sz w:val="20"/>
              </w:rPr>
            </w:pPr>
          </w:p>
        </w:tc>
        <w:tc>
          <w:tcPr>
            <w:tcW w:w="244" w:type="pct"/>
          </w:tcPr>
          <w:p w:rsidR="00496DC7" w:rsidRPr="00DF0A0A" w:rsidRDefault="00496DC7" w:rsidP="00496DC7">
            <w:pPr>
              <w:jc w:val="both"/>
              <w:rPr>
                <w:rFonts w:eastAsia="Calibri"/>
                <w:sz w:val="20"/>
              </w:rPr>
            </w:pPr>
          </w:p>
        </w:tc>
        <w:tc>
          <w:tcPr>
            <w:tcW w:w="2330" w:type="pct"/>
          </w:tcPr>
          <w:p w:rsidR="00496DC7" w:rsidRPr="00DF0A0A" w:rsidRDefault="00496DC7" w:rsidP="00496DC7">
            <w:pPr>
              <w:jc w:val="both"/>
              <w:rPr>
                <w:rFonts w:eastAsia="Calibri"/>
                <w:sz w:val="20"/>
              </w:rPr>
            </w:pPr>
            <w:r w:rsidRPr="00DF0A0A">
              <w:rPr>
                <w:rFonts w:eastAsia="Calibri"/>
                <w:sz w:val="20"/>
              </w:rPr>
              <w:t xml:space="preserve">Application for </w:t>
            </w:r>
            <w:proofErr w:type="spellStart"/>
            <w:r w:rsidRPr="00DF0A0A">
              <w:rPr>
                <w:rFonts w:eastAsia="Calibri"/>
                <w:i/>
                <w:sz w:val="20"/>
              </w:rPr>
              <w:t>habeus</w:t>
            </w:r>
            <w:proofErr w:type="spellEnd"/>
            <w:r w:rsidRPr="00DF0A0A">
              <w:rPr>
                <w:rFonts w:eastAsia="Calibri"/>
                <w:i/>
                <w:sz w:val="20"/>
              </w:rPr>
              <w:t xml:space="preserve"> corpus</w:t>
            </w:r>
            <w:r w:rsidRPr="00DF0A0A">
              <w:rPr>
                <w:rFonts w:eastAsia="Calibri"/>
                <w:sz w:val="20"/>
              </w:rPr>
              <w:t xml:space="preserve"> seeking to quash warden’s decision dismissed</w:t>
            </w:r>
          </w:p>
        </w:tc>
      </w:tr>
      <w:tr w:rsidR="00496DC7" w:rsidRPr="00DF0A0A" w:rsidTr="00496DC7">
        <w:tc>
          <w:tcPr>
            <w:tcW w:w="2426" w:type="pct"/>
          </w:tcPr>
          <w:p w:rsidR="00496DC7" w:rsidRPr="00DF0A0A" w:rsidRDefault="00496DC7" w:rsidP="00496DC7">
            <w:pPr>
              <w:jc w:val="both"/>
              <w:rPr>
                <w:rFonts w:eastAsia="Calibri"/>
                <w:sz w:val="20"/>
              </w:rPr>
            </w:pPr>
            <w:r w:rsidRPr="00DF0A0A">
              <w:rPr>
                <w:rFonts w:eastAsia="Calibri"/>
                <w:sz w:val="20"/>
              </w:rPr>
              <w:t>August 8, 2007</w:t>
            </w:r>
          </w:p>
          <w:p w:rsidR="00496DC7" w:rsidRPr="00DF0A0A" w:rsidRDefault="00496DC7" w:rsidP="00496DC7">
            <w:pPr>
              <w:jc w:val="both"/>
              <w:rPr>
                <w:rFonts w:eastAsia="Calibri"/>
                <w:sz w:val="20"/>
              </w:rPr>
            </w:pPr>
            <w:r w:rsidRPr="00DF0A0A">
              <w:rPr>
                <w:rFonts w:eastAsia="Calibri"/>
                <w:sz w:val="20"/>
              </w:rPr>
              <w:t>Court of Queen’s Bench of Saskatchewan</w:t>
            </w:r>
          </w:p>
          <w:p w:rsidR="00496DC7" w:rsidRPr="00DF0A0A" w:rsidRDefault="00496DC7" w:rsidP="00496DC7">
            <w:pPr>
              <w:jc w:val="both"/>
              <w:rPr>
                <w:rFonts w:eastAsia="Calibri"/>
                <w:sz w:val="20"/>
              </w:rPr>
            </w:pPr>
            <w:r w:rsidRPr="00DF0A0A">
              <w:rPr>
                <w:rFonts w:eastAsia="Calibri"/>
                <w:sz w:val="20"/>
              </w:rPr>
              <w:t>(</w:t>
            </w:r>
            <w:proofErr w:type="spellStart"/>
            <w:r w:rsidRPr="00DF0A0A">
              <w:rPr>
                <w:rFonts w:eastAsia="Calibri"/>
                <w:sz w:val="20"/>
              </w:rPr>
              <w:t>Allbright</w:t>
            </w:r>
            <w:proofErr w:type="spellEnd"/>
            <w:r w:rsidRPr="00DF0A0A">
              <w:rPr>
                <w:rFonts w:eastAsia="Calibri"/>
                <w:sz w:val="20"/>
              </w:rPr>
              <w:t xml:space="preserve"> J.) </w:t>
            </w:r>
          </w:p>
          <w:p w:rsidR="00496DC7" w:rsidRPr="00DF0A0A" w:rsidRDefault="00496DC7" w:rsidP="00496DC7">
            <w:pPr>
              <w:jc w:val="both"/>
              <w:rPr>
                <w:rFonts w:eastAsia="Calibri"/>
                <w:sz w:val="20"/>
              </w:rPr>
            </w:pPr>
          </w:p>
        </w:tc>
        <w:tc>
          <w:tcPr>
            <w:tcW w:w="244" w:type="pct"/>
          </w:tcPr>
          <w:p w:rsidR="00496DC7" w:rsidRPr="00DF0A0A" w:rsidRDefault="00496DC7" w:rsidP="00496DC7">
            <w:pPr>
              <w:jc w:val="both"/>
              <w:rPr>
                <w:rFonts w:eastAsia="Calibri"/>
                <w:sz w:val="20"/>
              </w:rPr>
            </w:pPr>
          </w:p>
        </w:tc>
        <w:tc>
          <w:tcPr>
            <w:tcW w:w="2330" w:type="pct"/>
          </w:tcPr>
          <w:p w:rsidR="00496DC7" w:rsidRPr="00DF0A0A" w:rsidRDefault="00496DC7" w:rsidP="00496DC7">
            <w:pPr>
              <w:jc w:val="both"/>
              <w:rPr>
                <w:rFonts w:eastAsia="Calibri"/>
                <w:sz w:val="20"/>
              </w:rPr>
            </w:pPr>
            <w:r w:rsidRPr="00DF0A0A">
              <w:rPr>
                <w:rFonts w:eastAsia="Calibri"/>
                <w:sz w:val="20"/>
              </w:rPr>
              <w:t xml:space="preserve">Application for </w:t>
            </w:r>
            <w:proofErr w:type="spellStart"/>
            <w:r w:rsidRPr="00DF0A0A">
              <w:rPr>
                <w:rFonts w:eastAsia="Calibri"/>
                <w:i/>
                <w:sz w:val="20"/>
              </w:rPr>
              <w:t>habeus</w:t>
            </w:r>
            <w:proofErr w:type="spellEnd"/>
            <w:r w:rsidRPr="00DF0A0A">
              <w:rPr>
                <w:rFonts w:eastAsia="Calibri"/>
                <w:i/>
                <w:sz w:val="20"/>
              </w:rPr>
              <w:t xml:space="preserve"> corpus</w:t>
            </w:r>
            <w:r w:rsidRPr="00DF0A0A">
              <w:rPr>
                <w:rFonts w:eastAsia="Calibri"/>
                <w:sz w:val="20"/>
              </w:rPr>
              <w:t xml:space="preserve">  seeking to set aside National Parole Board’s decision   dismissed</w:t>
            </w:r>
          </w:p>
        </w:tc>
      </w:tr>
      <w:tr w:rsidR="00496DC7" w:rsidRPr="00DF0A0A" w:rsidTr="00496DC7">
        <w:tc>
          <w:tcPr>
            <w:tcW w:w="2426" w:type="pct"/>
          </w:tcPr>
          <w:p w:rsidR="00496DC7" w:rsidRPr="00DF0A0A" w:rsidRDefault="00496DC7" w:rsidP="00496DC7">
            <w:pPr>
              <w:jc w:val="both"/>
              <w:rPr>
                <w:rFonts w:eastAsia="Calibri"/>
                <w:sz w:val="20"/>
              </w:rPr>
            </w:pPr>
            <w:r w:rsidRPr="00DF0A0A">
              <w:rPr>
                <w:rFonts w:eastAsia="Calibri"/>
                <w:sz w:val="20"/>
              </w:rPr>
              <w:t>February 19, 2009</w:t>
            </w:r>
          </w:p>
          <w:p w:rsidR="00496DC7" w:rsidRPr="00DF0A0A" w:rsidRDefault="00496DC7" w:rsidP="00496DC7">
            <w:pPr>
              <w:jc w:val="both"/>
              <w:rPr>
                <w:rFonts w:eastAsia="Calibri"/>
                <w:sz w:val="20"/>
              </w:rPr>
            </w:pPr>
            <w:r w:rsidRPr="00DF0A0A">
              <w:rPr>
                <w:rFonts w:eastAsia="Calibri"/>
                <w:sz w:val="20"/>
              </w:rPr>
              <w:t>Court of Appeal for Saskatchewan</w:t>
            </w:r>
          </w:p>
          <w:p w:rsidR="00496DC7" w:rsidRPr="00DF0A0A" w:rsidRDefault="00496DC7" w:rsidP="00496DC7">
            <w:pPr>
              <w:jc w:val="both"/>
              <w:rPr>
                <w:rFonts w:eastAsia="Calibri"/>
                <w:sz w:val="20"/>
              </w:rPr>
            </w:pPr>
            <w:r w:rsidRPr="00DF0A0A">
              <w:rPr>
                <w:rFonts w:eastAsia="Calibri"/>
                <w:sz w:val="20"/>
              </w:rPr>
              <w:t>(Lane, Richards, Hunter JJ.A.)</w:t>
            </w:r>
          </w:p>
          <w:p w:rsidR="00496DC7" w:rsidRPr="00DF0A0A" w:rsidRDefault="00496DC7" w:rsidP="00496DC7">
            <w:pPr>
              <w:jc w:val="both"/>
              <w:rPr>
                <w:rFonts w:eastAsia="Calibri"/>
                <w:sz w:val="20"/>
              </w:rPr>
            </w:pPr>
            <w:r w:rsidRPr="00DF0A0A">
              <w:rPr>
                <w:rFonts w:eastAsia="Calibri"/>
                <w:sz w:val="20"/>
              </w:rPr>
              <w:t>2009 SKCA 25; 2009 SKCA 26</w:t>
            </w:r>
          </w:p>
          <w:p w:rsidR="00496DC7" w:rsidRPr="00DF0A0A" w:rsidRDefault="00496DC7" w:rsidP="00496DC7">
            <w:pPr>
              <w:jc w:val="both"/>
              <w:rPr>
                <w:rFonts w:eastAsia="Calibri"/>
                <w:sz w:val="20"/>
              </w:rPr>
            </w:pPr>
          </w:p>
        </w:tc>
        <w:tc>
          <w:tcPr>
            <w:tcW w:w="244" w:type="pct"/>
          </w:tcPr>
          <w:p w:rsidR="00496DC7" w:rsidRPr="00DF0A0A" w:rsidRDefault="00496DC7" w:rsidP="00496DC7">
            <w:pPr>
              <w:jc w:val="both"/>
              <w:rPr>
                <w:rFonts w:eastAsia="Calibri"/>
                <w:sz w:val="20"/>
              </w:rPr>
            </w:pPr>
          </w:p>
        </w:tc>
        <w:tc>
          <w:tcPr>
            <w:tcW w:w="2330" w:type="pct"/>
          </w:tcPr>
          <w:p w:rsidR="00496DC7" w:rsidRPr="00DF0A0A" w:rsidRDefault="00496DC7" w:rsidP="00496DC7">
            <w:pPr>
              <w:jc w:val="both"/>
              <w:rPr>
                <w:rFonts w:eastAsia="Calibri"/>
                <w:sz w:val="20"/>
              </w:rPr>
            </w:pPr>
            <w:r w:rsidRPr="00DF0A0A">
              <w:rPr>
                <w:rFonts w:eastAsia="Calibri"/>
                <w:sz w:val="20"/>
              </w:rPr>
              <w:t>Appeal  from Acton J.’s decision dismissed</w:t>
            </w:r>
          </w:p>
        </w:tc>
      </w:tr>
    </w:tbl>
    <w:p w:rsidR="0027596E" w:rsidRDefault="0027596E"/>
    <w:tbl>
      <w:tblPr>
        <w:tblW w:w="4952" w:type="pct"/>
        <w:tblLayout w:type="fixed"/>
        <w:tblCellMar>
          <w:left w:w="0" w:type="dxa"/>
          <w:bottom w:w="99" w:type="dxa"/>
          <w:right w:w="0" w:type="dxa"/>
        </w:tblCellMar>
        <w:tblLook w:val="04A0"/>
      </w:tblPr>
      <w:tblGrid>
        <w:gridCol w:w="4622"/>
        <w:gridCol w:w="465"/>
        <w:gridCol w:w="4440"/>
      </w:tblGrid>
      <w:tr w:rsidR="00496DC7" w:rsidRPr="00DF0A0A" w:rsidTr="0027596E">
        <w:trPr>
          <w:cantSplit/>
        </w:trPr>
        <w:tc>
          <w:tcPr>
            <w:tcW w:w="2426" w:type="pct"/>
          </w:tcPr>
          <w:p w:rsidR="00496DC7" w:rsidRPr="00DF0A0A" w:rsidRDefault="00496DC7" w:rsidP="00496DC7">
            <w:pPr>
              <w:jc w:val="both"/>
              <w:rPr>
                <w:rFonts w:eastAsia="Calibri"/>
                <w:sz w:val="20"/>
              </w:rPr>
            </w:pPr>
            <w:r w:rsidRPr="00DF0A0A">
              <w:rPr>
                <w:rFonts w:eastAsia="Calibri"/>
                <w:sz w:val="20"/>
              </w:rPr>
              <w:lastRenderedPageBreak/>
              <w:t>February 19, 2009</w:t>
            </w:r>
          </w:p>
          <w:p w:rsidR="00496DC7" w:rsidRPr="00DF0A0A" w:rsidRDefault="00496DC7" w:rsidP="00496DC7">
            <w:pPr>
              <w:jc w:val="both"/>
              <w:rPr>
                <w:rFonts w:eastAsia="Calibri"/>
                <w:sz w:val="20"/>
              </w:rPr>
            </w:pPr>
            <w:r w:rsidRPr="00DF0A0A">
              <w:rPr>
                <w:rFonts w:eastAsia="Calibri"/>
                <w:sz w:val="20"/>
              </w:rPr>
              <w:t>Court of Appeal for Saskatchewan</w:t>
            </w:r>
          </w:p>
          <w:p w:rsidR="00496DC7" w:rsidRPr="00DF0A0A" w:rsidRDefault="00496DC7" w:rsidP="00496DC7">
            <w:pPr>
              <w:jc w:val="both"/>
              <w:rPr>
                <w:rFonts w:eastAsia="Calibri"/>
                <w:sz w:val="20"/>
              </w:rPr>
            </w:pPr>
            <w:r w:rsidRPr="00DF0A0A">
              <w:rPr>
                <w:rFonts w:eastAsia="Calibri"/>
                <w:sz w:val="20"/>
              </w:rPr>
              <w:t>(Lane, Richards, Hunter JJ.A.)</w:t>
            </w:r>
          </w:p>
          <w:p w:rsidR="00496DC7" w:rsidRPr="00DF0A0A" w:rsidRDefault="00496DC7" w:rsidP="00496DC7">
            <w:pPr>
              <w:jc w:val="both"/>
              <w:rPr>
                <w:rFonts w:eastAsia="Calibri"/>
                <w:sz w:val="20"/>
              </w:rPr>
            </w:pPr>
            <w:r w:rsidRPr="00DF0A0A">
              <w:rPr>
                <w:rFonts w:eastAsia="Calibri"/>
                <w:sz w:val="20"/>
              </w:rPr>
              <w:t>2009 SKCA 25; 2009 SKCA 26</w:t>
            </w:r>
          </w:p>
          <w:p w:rsidR="00496DC7" w:rsidRPr="00DF0A0A" w:rsidRDefault="00496DC7" w:rsidP="00496DC7">
            <w:pPr>
              <w:jc w:val="both"/>
              <w:rPr>
                <w:rFonts w:eastAsia="Calibri"/>
                <w:sz w:val="20"/>
              </w:rPr>
            </w:pPr>
          </w:p>
        </w:tc>
        <w:tc>
          <w:tcPr>
            <w:tcW w:w="244" w:type="pct"/>
          </w:tcPr>
          <w:p w:rsidR="00496DC7" w:rsidRPr="00DF0A0A" w:rsidRDefault="00496DC7" w:rsidP="00496DC7">
            <w:pPr>
              <w:jc w:val="both"/>
              <w:rPr>
                <w:rFonts w:eastAsia="Calibri"/>
                <w:sz w:val="20"/>
              </w:rPr>
            </w:pPr>
          </w:p>
        </w:tc>
        <w:tc>
          <w:tcPr>
            <w:tcW w:w="2330" w:type="pct"/>
          </w:tcPr>
          <w:p w:rsidR="00496DC7" w:rsidRPr="00DF0A0A" w:rsidRDefault="00496DC7" w:rsidP="00496DC7">
            <w:pPr>
              <w:jc w:val="both"/>
              <w:rPr>
                <w:rFonts w:eastAsia="Calibri"/>
                <w:sz w:val="20"/>
              </w:rPr>
            </w:pPr>
            <w:r w:rsidRPr="00DF0A0A">
              <w:rPr>
                <w:rFonts w:eastAsia="Calibri"/>
                <w:sz w:val="20"/>
              </w:rPr>
              <w:t xml:space="preserve">Appeal from </w:t>
            </w:r>
            <w:proofErr w:type="spellStart"/>
            <w:r w:rsidRPr="00DF0A0A">
              <w:rPr>
                <w:rFonts w:eastAsia="Calibri"/>
                <w:sz w:val="20"/>
              </w:rPr>
              <w:t>Allbright</w:t>
            </w:r>
            <w:proofErr w:type="spellEnd"/>
            <w:r w:rsidRPr="00DF0A0A">
              <w:rPr>
                <w:rFonts w:eastAsia="Calibri"/>
                <w:sz w:val="20"/>
              </w:rPr>
              <w:t xml:space="preserve"> J.’s decision dismissed</w:t>
            </w:r>
          </w:p>
        </w:tc>
      </w:tr>
      <w:tr w:rsidR="00496DC7" w:rsidRPr="00DF0A0A" w:rsidTr="0027596E">
        <w:trPr>
          <w:cantSplit/>
        </w:trPr>
        <w:tc>
          <w:tcPr>
            <w:tcW w:w="2426" w:type="pct"/>
          </w:tcPr>
          <w:p w:rsidR="00496DC7" w:rsidRPr="00DF0A0A" w:rsidRDefault="00496DC7" w:rsidP="00496DC7">
            <w:pPr>
              <w:jc w:val="both"/>
              <w:rPr>
                <w:rFonts w:eastAsia="Calibri"/>
                <w:sz w:val="20"/>
              </w:rPr>
            </w:pPr>
            <w:r w:rsidRPr="00DF0A0A">
              <w:rPr>
                <w:rFonts w:eastAsia="Calibri"/>
                <w:sz w:val="20"/>
              </w:rPr>
              <w:t>May 11, 2010</w:t>
            </w:r>
          </w:p>
          <w:p w:rsidR="00496DC7" w:rsidRPr="00DF0A0A" w:rsidRDefault="00496DC7" w:rsidP="00496DC7">
            <w:pPr>
              <w:jc w:val="both"/>
              <w:rPr>
                <w:rFonts w:eastAsia="Calibri"/>
                <w:sz w:val="20"/>
              </w:rPr>
            </w:pPr>
            <w:r w:rsidRPr="00DF0A0A">
              <w:rPr>
                <w:rFonts w:eastAsia="Calibri"/>
                <w:sz w:val="20"/>
              </w:rPr>
              <w:t>Court of Queen’s Bench of Saskatchewan</w:t>
            </w:r>
          </w:p>
          <w:p w:rsidR="00496DC7" w:rsidRPr="00DF0A0A" w:rsidRDefault="00496DC7" w:rsidP="00496DC7">
            <w:pPr>
              <w:jc w:val="both"/>
              <w:rPr>
                <w:rFonts w:eastAsia="Calibri"/>
                <w:sz w:val="20"/>
              </w:rPr>
            </w:pPr>
            <w:r w:rsidRPr="00DF0A0A">
              <w:rPr>
                <w:rFonts w:eastAsia="Calibri"/>
                <w:sz w:val="20"/>
              </w:rPr>
              <w:t xml:space="preserve">(Currie J.) </w:t>
            </w:r>
          </w:p>
          <w:p w:rsidR="00496DC7" w:rsidRPr="00DF0A0A" w:rsidRDefault="00496DC7" w:rsidP="00496DC7">
            <w:pPr>
              <w:jc w:val="both"/>
              <w:rPr>
                <w:rFonts w:eastAsia="Calibri"/>
                <w:sz w:val="20"/>
              </w:rPr>
            </w:pPr>
          </w:p>
        </w:tc>
        <w:tc>
          <w:tcPr>
            <w:tcW w:w="244" w:type="pct"/>
          </w:tcPr>
          <w:p w:rsidR="00496DC7" w:rsidRPr="00DF0A0A" w:rsidRDefault="00496DC7" w:rsidP="00496DC7">
            <w:pPr>
              <w:jc w:val="both"/>
              <w:rPr>
                <w:rFonts w:eastAsia="Calibri"/>
                <w:sz w:val="20"/>
              </w:rPr>
            </w:pPr>
          </w:p>
        </w:tc>
        <w:tc>
          <w:tcPr>
            <w:tcW w:w="2330" w:type="pct"/>
          </w:tcPr>
          <w:p w:rsidR="00496DC7" w:rsidRPr="00DF0A0A" w:rsidRDefault="00496DC7" w:rsidP="00496DC7">
            <w:pPr>
              <w:jc w:val="both"/>
              <w:rPr>
                <w:rFonts w:eastAsia="Calibri"/>
                <w:sz w:val="20"/>
              </w:rPr>
            </w:pPr>
            <w:r w:rsidRPr="00DF0A0A">
              <w:rPr>
                <w:rFonts w:eastAsia="Calibri"/>
                <w:color w:val="000000"/>
                <w:sz w:val="20"/>
              </w:rPr>
              <w:t xml:space="preserve">Second application for </w:t>
            </w:r>
            <w:r w:rsidRPr="00DF0A0A">
              <w:rPr>
                <w:rFonts w:eastAsia="Calibri"/>
                <w:i/>
                <w:iCs/>
                <w:color w:val="000000"/>
                <w:sz w:val="20"/>
              </w:rPr>
              <w:t>habeas corpus</w:t>
            </w:r>
            <w:r w:rsidRPr="00DF0A0A">
              <w:rPr>
                <w:rFonts w:eastAsia="Calibri"/>
                <w:sz w:val="20"/>
              </w:rPr>
              <w:t xml:space="preserve"> seeking to quash warden’s decisions </w:t>
            </w:r>
            <w:r w:rsidRPr="00DF0A0A">
              <w:rPr>
                <w:rFonts w:eastAsia="Calibri"/>
                <w:color w:val="000000"/>
                <w:sz w:val="20"/>
              </w:rPr>
              <w:t xml:space="preserve">dismissed  </w:t>
            </w:r>
          </w:p>
        </w:tc>
      </w:tr>
      <w:tr w:rsidR="00496DC7" w:rsidRPr="00DF0A0A" w:rsidTr="0027596E">
        <w:trPr>
          <w:cantSplit/>
        </w:trPr>
        <w:tc>
          <w:tcPr>
            <w:tcW w:w="2426" w:type="pct"/>
          </w:tcPr>
          <w:p w:rsidR="00496DC7" w:rsidRPr="00DF0A0A" w:rsidRDefault="00496DC7" w:rsidP="00496DC7">
            <w:pPr>
              <w:jc w:val="both"/>
              <w:rPr>
                <w:rFonts w:eastAsia="Calibri"/>
                <w:sz w:val="20"/>
              </w:rPr>
            </w:pPr>
            <w:r w:rsidRPr="00DF0A0A">
              <w:rPr>
                <w:rFonts w:eastAsia="Calibri"/>
                <w:sz w:val="20"/>
              </w:rPr>
              <w:t>September 8, 2010</w:t>
            </w:r>
          </w:p>
          <w:p w:rsidR="00496DC7" w:rsidRPr="00DF0A0A" w:rsidRDefault="00496DC7" w:rsidP="00496DC7">
            <w:pPr>
              <w:jc w:val="both"/>
              <w:rPr>
                <w:rFonts w:eastAsia="Calibri"/>
                <w:sz w:val="20"/>
              </w:rPr>
            </w:pPr>
            <w:r w:rsidRPr="00DF0A0A">
              <w:rPr>
                <w:rFonts w:eastAsia="Calibri"/>
                <w:sz w:val="20"/>
              </w:rPr>
              <w:t>Court of Appeal for Saskatchewan</w:t>
            </w:r>
          </w:p>
          <w:p w:rsidR="00496DC7" w:rsidRPr="00DF0A0A" w:rsidRDefault="00496DC7" w:rsidP="00496DC7">
            <w:pPr>
              <w:jc w:val="both"/>
              <w:rPr>
                <w:rFonts w:eastAsia="Calibri"/>
                <w:sz w:val="20"/>
              </w:rPr>
            </w:pPr>
            <w:r w:rsidRPr="00DF0A0A">
              <w:rPr>
                <w:rFonts w:eastAsia="Calibri"/>
                <w:sz w:val="20"/>
              </w:rPr>
              <w:t>(</w:t>
            </w:r>
            <w:proofErr w:type="spellStart"/>
            <w:r w:rsidRPr="00DF0A0A">
              <w:rPr>
                <w:rFonts w:eastAsia="Calibri"/>
                <w:sz w:val="20"/>
              </w:rPr>
              <w:t>Klebuc</w:t>
            </w:r>
            <w:proofErr w:type="spellEnd"/>
            <w:r w:rsidRPr="00DF0A0A">
              <w:rPr>
                <w:rFonts w:eastAsia="Calibri"/>
                <w:sz w:val="20"/>
              </w:rPr>
              <w:t xml:space="preserve">, Smith, </w:t>
            </w:r>
            <w:proofErr w:type="spellStart"/>
            <w:r w:rsidRPr="00DF0A0A">
              <w:rPr>
                <w:rFonts w:eastAsia="Calibri"/>
                <w:sz w:val="20"/>
              </w:rPr>
              <w:t>Gerwing</w:t>
            </w:r>
            <w:proofErr w:type="spellEnd"/>
            <w:r w:rsidRPr="00DF0A0A">
              <w:rPr>
                <w:rFonts w:eastAsia="Calibri"/>
                <w:sz w:val="20"/>
              </w:rPr>
              <w:t xml:space="preserve"> JJ.A.)</w:t>
            </w:r>
          </w:p>
          <w:p w:rsidR="00496DC7" w:rsidRPr="00DF0A0A" w:rsidRDefault="00496DC7" w:rsidP="00496DC7">
            <w:pPr>
              <w:jc w:val="both"/>
              <w:rPr>
                <w:rFonts w:eastAsia="Calibri"/>
                <w:sz w:val="20"/>
              </w:rPr>
            </w:pPr>
            <w:r w:rsidRPr="00DF0A0A">
              <w:rPr>
                <w:rFonts w:eastAsia="Calibri"/>
                <w:sz w:val="20"/>
              </w:rPr>
              <w:t>2010 SKCA 108</w:t>
            </w:r>
          </w:p>
          <w:p w:rsidR="00496DC7" w:rsidRPr="00DF0A0A" w:rsidRDefault="00496DC7" w:rsidP="00496DC7">
            <w:pPr>
              <w:jc w:val="both"/>
              <w:rPr>
                <w:rFonts w:eastAsia="Calibri"/>
                <w:sz w:val="20"/>
              </w:rPr>
            </w:pPr>
          </w:p>
        </w:tc>
        <w:tc>
          <w:tcPr>
            <w:tcW w:w="244" w:type="pct"/>
          </w:tcPr>
          <w:p w:rsidR="00496DC7" w:rsidRPr="00DF0A0A" w:rsidRDefault="00496DC7" w:rsidP="00496DC7">
            <w:pPr>
              <w:jc w:val="both"/>
              <w:rPr>
                <w:rFonts w:eastAsia="Calibri"/>
                <w:sz w:val="20"/>
              </w:rPr>
            </w:pPr>
          </w:p>
        </w:tc>
        <w:tc>
          <w:tcPr>
            <w:tcW w:w="2330" w:type="pct"/>
          </w:tcPr>
          <w:p w:rsidR="00496DC7" w:rsidRPr="00DF0A0A" w:rsidRDefault="00496DC7" w:rsidP="00496DC7">
            <w:pPr>
              <w:jc w:val="both"/>
              <w:rPr>
                <w:rFonts w:eastAsia="Calibri"/>
                <w:sz w:val="20"/>
              </w:rPr>
            </w:pPr>
            <w:r w:rsidRPr="00DF0A0A">
              <w:rPr>
                <w:rFonts w:eastAsia="Calibri"/>
                <w:sz w:val="20"/>
              </w:rPr>
              <w:t>Appeal dismissed</w:t>
            </w:r>
          </w:p>
        </w:tc>
      </w:tr>
      <w:tr w:rsidR="00496DC7" w:rsidRPr="00DF0A0A" w:rsidTr="0027596E">
        <w:trPr>
          <w:cantSplit/>
        </w:trPr>
        <w:tc>
          <w:tcPr>
            <w:tcW w:w="2426" w:type="pct"/>
          </w:tcPr>
          <w:p w:rsidR="00496DC7" w:rsidRPr="00DF0A0A" w:rsidRDefault="00496DC7" w:rsidP="00496DC7">
            <w:pPr>
              <w:jc w:val="both"/>
              <w:rPr>
                <w:rFonts w:eastAsia="Calibri"/>
                <w:sz w:val="20"/>
              </w:rPr>
            </w:pPr>
            <w:r w:rsidRPr="00DF0A0A">
              <w:rPr>
                <w:rFonts w:eastAsia="Calibri"/>
                <w:sz w:val="20"/>
              </w:rPr>
              <w:t>November 24, 2010</w:t>
            </w:r>
          </w:p>
          <w:p w:rsidR="00496DC7" w:rsidRPr="00DF0A0A" w:rsidRDefault="00496DC7" w:rsidP="00496DC7">
            <w:pPr>
              <w:jc w:val="both"/>
              <w:rPr>
                <w:rFonts w:eastAsia="Calibri"/>
                <w:sz w:val="20"/>
              </w:rPr>
            </w:pPr>
            <w:r w:rsidRPr="00DF0A0A">
              <w:rPr>
                <w:rFonts w:eastAsia="Calibri"/>
                <w:sz w:val="20"/>
              </w:rPr>
              <w:t>Supreme Court of Canada</w:t>
            </w:r>
          </w:p>
        </w:tc>
        <w:tc>
          <w:tcPr>
            <w:tcW w:w="244" w:type="pct"/>
          </w:tcPr>
          <w:p w:rsidR="00496DC7" w:rsidRPr="00DF0A0A" w:rsidRDefault="00496DC7" w:rsidP="00496DC7">
            <w:pPr>
              <w:jc w:val="both"/>
              <w:rPr>
                <w:rFonts w:eastAsia="Calibri"/>
                <w:sz w:val="20"/>
              </w:rPr>
            </w:pPr>
          </w:p>
        </w:tc>
        <w:tc>
          <w:tcPr>
            <w:tcW w:w="2330" w:type="pct"/>
          </w:tcPr>
          <w:p w:rsidR="00496DC7" w:rsidRPr="00DF0A0A" w:rsidRDefault="00496DC7" w:rsidP="00496DC7">
            <w:pPr>
              <w:jc w:val="both"/>
              <w:rPr>
                <w:rFonts w:eastAsia="Calibri"/>
                <w:sz w:val="20"/>
              </w:rPr>
            </w:pPr>
            <w:r w:rsidRPr="00DF0A0A">
              <w:rPr>
                <w:rFonts w:eastAsia="Calibri"/>
                <w:sz w:val="20"/>
              </w:rPr>
              <w:t>Applications for extension of time to serve and file application for leave to appeal and for leave to appeal and motion to adduce new evidence filed</w:t>
            </w:r>
          </w:p>
        </w:tc>
      </w:tr>
    </w:tbl>
    <w:p w:rsidR="00610966" w:rsidRDefault="00610966" w:rsidP="00610966">
      <w:pPr>
        <w:rPr>
          <w:sz w:val="20"/>
          <w:szCs w:val="20"/>
        </w:rPr>
      </w:pPr>
    </w:p>
    <w:p w:rsidR="00610966" w:rsidRDefault="00C478F8" w:rsidP="00610966">
      <w:pPr>
        <w:rPr>
          <w:sz w:val="20"/>
          <w:szCs w:val="20"/>
        </w:rPr>
      </w:pPr>
      <w:r w:rsidRPr="00C478F8">
        <w:rPr>
          <w:sz w:val="20"/>
          <w:szCs w:val="20"/>
          <w:lang w:val="fr-CA"/>
        </w:rPr>
        <w:pict>
          <v:rect id="_x0000_i1049" style="width:2in;height:1pt" o:hrpct="0" o:hralign="center" o:hrstd="t" o:hrnoshade="t" o:hr="t" fillcolor="black [3213]" stroked="f"/>
        </w:pict>
      </w:r>
    </w:p>
    <w:p w:rsidR="00610966" w:rsidRDefault="00610966" w:rsidP="00610966">
      <w:pPr>
        <w:rPr>
          <w:sz w:val="20"/>
          <w:szCs w:val="20"/>
        </w:rPr>
      </w:pPr>
    </w:p>
    <w:p w:rsidR="00610966" w:rsidRPr="00610966" w:rsidRDefault="00610966" w:rsidP="00610966">
      <w:pPr>
        <w:rPr>
          <w:sz w:val="20"/>
          <w:szCs w:val="20"/>
          <w:u w:val="single"/>
        </w:rPr>
      </w:pPr>
      <w:r w:rsidRPr="00610966">
        <w:rPr>
          <w:sz w:val="20"/>
          <w:szCs w:val="20"/>
          <w:u w:val="single"/>
        </w:rPr>
        <w:t>RÉSUMÉ DE L’AFFAIRE</w:t>
      </w:r>
    </w:p>
    <w:p w:rsidR="00610966" w:rsidRDefault="00610966" w:rsidP="00610966">
      <w:pPr>
        <w:rPr>
          <w:b/>
          <w:sz w:val="20"/>
          <w:szCs w:val="20"/>
        </w:rPr>
      </w:pPr>
    </w:p>
    <w:tbl>
      <w:tblPr>
        <w:tblW w:w="4808" w:type="pct"/>
        <w:tblInd w:w="2" w:type="dxa"/>
        <w:tblLayout w:type="fixed"/>
        <w:tblCellMar>
          <w:left w:w="0" w:type="dxa"/>
          <w:bottom w:w="99" w:type="dxa"/>
          <w:right w:w="0" w:type="dxa"/>
        </w:tblCellMar>
        <w:tblLook w:val="00A0"/>
      </w:tblPr>
      <w:tblGrid>
        <w:gridCol w:w="4346"/>
        <w:gridCol w:w="464"/>
        <w:gridCol w:w="4440"/>
      </w:tblGrid>
      <w:tr w:rsidR="00496DC7" w:rsidRPr="00406D3C" w:rsidTr="00496DC7">
        <w:tc>
          <w:tcPr>
            <w:tcW w:w="5000" w:type="pct"/>
            <w:gridSpan w:val="3"/>
          </w:tcPr>
          <w:p w:rsidR="00496DC7" w:rsidRPr="00DF0A0A" w:rsidRDefault="00496DC7" w:rsidP="00496DC7">
            <w:pPr>
              <w:jc w:val="both"/>
              <w:rPr>
                <w:rFonts w:eastAsia="Calibri"/>
                <w:sz w:val="20"/>
                <w:lang w:val="fr-CA"/>
              </w:rPr>
            </w:pPr>
            <w:r w:rsidRPr="00DF0A0A">
              <w:rPr>
                <w:rFonts w:eastAsia="Calibri"/>
                <w:i/>
                <w:iCs/>
                <w:sz w:val="20"/>
                <w:lang w:val="fr-CA"/>
              </w:rPr>
              <w:t xml:space="preserve">Charte des droits et libertés </w:t>
            </w:r>
            <w:r w:rsidRPr="00DF0A0A">
              <w:rPr>
                <w:rFonts w:eastAsia="Calibri"/>
                <w:sz w:val="20"/>
                <w:lang w:val="fr-CA"/>
              </w:rPr>
              <w:t>– Vie, liberté et sécurité de la personne – Droit criminel – Procédure – Droit administratif – Contrôle judiciaire – Les tribunaux devraient-ils refuser de contrôler les suspensions ordonnées par un directeur de permissions de sortir sans escorte à la lumière d'une décision de la Commission nationale des libérations conditionnelles? – L'avocat du ministère public a-t-il retenu des renseignements lors du contrôle judiciaire qui indiquent que le directeur avait omis de respecter la procédure obligatoire en suspendant les permissions de sortir sans escorte et omis de donner une occasion de répondre aux allégations employées pour priver l'intéressé de sa liberté? – Les examens de la commission nationale des libérations conditionnelles sont-ils complets, exhaustifs et spécialisés?</w:t>
            </w:r>
          </w:p>
          <w:p w:rsidR="00496DC7" w:rsidRPr="00DF0A0A" w:rsidRDefault="00496DC7" w:rsidP="00496DC7">
            <w:pPr>
              <w:jc w:val="both"/>
              <w:rPr>
                <w:rFonts w:eastAsia="Calibri"/>
                <w:sz w:val="20"/>
                <w:lang w:val="fr-CA"/>
              </w:rPr>
            </w:pPr>
          </w:p>
        </w:tc>
      </w:tr>
      <w:tr w:rsidR="00496DC7" w:rsidRPr="00406D3C" w:rsidTr="00496DC7">
        <w:tc>
          <w:tcPr>
            <w:tcW w:w="5000" w:type="pct"/>
            <w:gridSpan w:val="3"/>
          </w:tcPr>
          <w:p w:rsidR="00496DC7" w:rsidRPr="00DF0A0A" w:rsidRDefault="00496DC7" w:rsidP="00496DC7">
            <w:pPr>
              <w:jc w:val="both"/>
              <w:rPr>
                <w:rFonts w:eastAsia="Calibri"/>
                <w:sz w:val="20"/>
                <w:lang w:val="fr-CA"/>
              </w:rPr>
            </w:pPr>
            <w:r w:rsidRPr="00DF0A0A">
              <w:rPr>
                <w:rFonts w:eastAsia="Calibri"/>
                <w:sz w:val="20"/>
                <w:lang w:val="fr-CA"/>
              </w:rPr>
              <w:t>Le demandeur a été condamné et déclaré délinquant dangereux. Alors qu'il était incarcéré dans un établissement à sécurité minimale, il s'est vu accorder des permissions de sortir sans escorte pour assister à des réunions des AA. La directrice de l'établissement a suspendu ses permissions de sortir parce qu'il en avait violé les conditions. Le demandeur a été transféré à un établissement à sécurité moyenne et réévalué comme un risque à sécurité moyenne. La directrice a renvoyé ses décisions à la Commission nationale des libérations conditionnelles pour examen. La Commission nationale des libérations conditionnelles a confirmé les décisions de la directrice et annulé les permissions de sortir sans escorte du demandeur. La section d'appel de la Commission nationale des libérations conditionnelles a confirmé la décision de la Commission.</w:t>
            </w:r>
          </w:p>
          <w:p w:rsidR="00496DC7" w:rsidRPr="00DF0A0A" w:rsidRDefault="00496DC7" w:rsidP="00496DC7">
            <w:pPr>
              <w:jc w:val="both"/>
              <w:rPr>
                <w:rFonts w:eastAsia="Calibri"/>
                <w:sz w:val="20"/>
                <w:lang w:val="fr-CA"/>
              </w:rPr>
            </w:pPr>
          </w:p>
        </w:tc>
      </w:tr>
      <w:tr w:rsidR="00496DC7" w:rsidRPr="00406D3C" w:rsidTr="00496DC7">
        <w:tc>
          <w:tcPr>
            <w:tcW w:w="2349" w:type="pct"/>
          </w:tcPr>
          <w:p w:rsidR="00496DC7" w:rsidRPr="00DF0A0A" w:rsidRDefault="00496DC7" w:rsidP="00496DC7">
            <w:pPr>
              <w:jc w:val="both"/>
              <w:rPr>
                <w:rFonts w:eastAsia="Calibri"/>
                <w:sz w:val="20"/>
                <w:lang w:val="fr-CA"/>
              </w:rPr>
            </w:pPr>
            <w:r w:rsidRPr="00DF0A0A">
              <w:rPr>
                <w:rFonts w:eastAsia="Calibri"/>
                <w:sz w:val="20"/>
                <w:lang w:val="fr-CA"/>
              </w:rPr>
              <w:t>8 août 2007</w:t>
            </w:r>
          </w:p>
          <w:p w:rsidR="00496DC7" w:rsidRPr="00DF0A0A" w:rsidRDefault="00496DC7" w:rsidP="00496DC7">
            <w:pPr>
              <w:jc w:val="both"/>
              <w:rPr>
                <w:rFonts w:eastAsia="Calibri"/>
                <w:sz w:val="20"/>
                <w:lang w:val="fr-CA"/>
              </w:rPr>
            </w:pPr>
            <w:r w:rsidRPr="00DF0A0A">
              <w:rPr>
                <w:rFonts w:eastAsia="Calibri"/>
                <w:sz w:val="20"/>
                <w:lang w:val="fr-CA"/>
              </w:rPr>
              <w:t>Cour du Banc de la Reine de la Saskatchewan</w:t>
            </w:r>
          </w:p>
          <w:p w:rsidR="00496DC7" w:rsidRPr="00DF0A0A" w:rsidRDefault="00496DC7" w:rsidP="00496DC7">
            <w:pPr>
              <w:jc w:val="both"/>
              <w:rPr>
                <w:rFonts w:eastAsia="Calibri"/>
                <w:sz w:val="20"/>
                <w:lang w:val="fr-CA"/>
              </w:rPr>
            </w:pPr>
            <w:r w:rsidRPr="00DF0A0A">
              <w:rPr>
                <w:rFonts w:eastAsia="Calibri"/>
                <w:sz w:val="20"/>
                <w:lang w:val="fr-CA"/>
              </w:rPr>
              <w:t xml:space="preserve">(Juge Acton) </w:t>
            </w:r>
          </w:p>
          <w:p w:rsidR="00496DC7" w:rsidRPr="00DF0A0A" w:rsidRDefault="00496DC7" w:rsidP="00496DC7">
            <w:pPr>
              <w:jc w:val="both"/>
              <w:rPr>
                <w:rFonts w:eastAsia="Calibri"/>
                <w:sz w:val="20"/>
                <w:lang w:val="fr-CA"/>
              </w:rPr>
            </w:pPr>
            <w:r w:rsidRPr="00DF0A0A">
              <w:rPr>
                <w:rFonts w:eastAsia="Calibri"/>
                <w:sz w:val="20"/>
                <w:lang w:val="fr-CA"/>
              </w:rPr>
              <w:t>2007 SKQB 281</w:t>
            </w:r>
          </w:p>
          <w:p w:rsidR="00496DC7" w:rsidRPr="00DF0A0A" w:rsidRDefault="00496DC7" w:rsidP="00496DC7">
            <w:pPr>
              <w:jc w:val="both"/>
              <w:rPr>
                <w:rFonts w:eastAsia="Calibri"/>
                <w:sz w:val="20"/>
                <w:lang w:val="fr-CA"/>
              </w:rPr>
            </w:pPr>
          </w:p>
        </w:tc>
        <w:tc>
          <w:tcPr>
            <w:tcW w:w="251" w:type="pct"/>
          </w:tcPr>
          <w:p w:rsidR="00496DC7" w:rsidRPr="00DF0A0A" w:rsidRDefault="00496DC7" w:rsidP="00496DC7">
            <w:pPr>
              <w:jc w:val="both"/>
              <w:rPr>
                <w:rFonts w:eastAsia="Calibri"/>
                <w:sz w:val="20"/>
                <w:lang w:val="fr-CA"/>
              </w:rPr>
            </w:pPr>
          </w:p>
        </w:tc>
        <w:tc>
          <w:tcPr>
            <w:tcW w:w="2400" w:type="pct"/>
          </w:tcPr>
          <w:p w:rsidR="00496DC7" w:rsidRPr="00DF0A0A" w:rsidRDefault="00496DC7" w:rsidP="00496DC7">
            <w:pPr>
              <w:jc w:val="both"/>
              <w:rPr>
                <w:rFonts w:eastAsia="Calibri"/>
                <w:sz w:val="20"/>
                <w:lang w:val="fr-CA"/>
              </w:rPr>
            </w:pPr>
            <w:r w:rsidRPr="00DF0A0A">
              <w:rPr>
                <w:rFonts w:eastAsia="Calibri"/>
                <w:sz w:val="20"/>
                <w:lang w:val="fr-CA"/>
              </w:rPr>
              <w:t>Demande d’</w:t>
            </w:r>
            <w:proofErr w:type="spellStart"/>
            <w:r w:rsidRPr="00DF0A0A">
              <w:rPr>
                <w:rFonts w:eastAsia="Calibri"/>
                <w:i/>
                <w:iCs/>
                <w:sz w:val="20"/>
                <w:lang w:val="fr-CA"/>
              </w:rPr>
              <w:t>habeus</w:t>
            </w:r>
            <w:proofErr w:type="spellEnd"/>
            <w:r w:rsidRPr="00DF0A0A">
              <w:rPr>
                <w:rFonts w:eastAsia="Calibri"/>
                <w:i/>
                <w:iCs/>
                <w:sz w:val="20"/>
                <w:lang w:val="fr-CA"/>
              </w:rPr>
              <w:t xml:space="preserve"> corpus</w:t>
            </w:r>
            <w:r w:rsidRPr="00DF0A0A">
              <w:rPr>
                <w:rFonts w:eastAsia="Calibri"/>
                <w:sz w:val="20"/>
                <w:lang w:val="fr-CA"/>
              </w:rPr>
              <w:t xml:space="preserve"> en annulation de la décision de la directrice, rejetée</w:t>
            </w:r>
          </w:p>
        </w:tc>
      </w:tr>
      <w:tr w:rsidR="00496DC7" w:rsidRPr="00406D3C" w:rsidTr="00496DC7">
        <w:tc>
          <w:tcPr>
            <w:tcW w:w="2349" w:type="pct"/>
          </w:tcPr>
          <w:p w:rsidR="00496DC7" w:rsidRPr="00DF0A0A" w:rsidRDefault="00496DC7" w:rsidP="00496DC7">
            <w:pPr>
              <w:jc w:val="both"/>
              <w:rPr>
                <w:rFonts w:eastAsia="Calibri"/>
                <w:sz w:val="20"/>
                <w:lang w:val="fr-CA"/>
              </w:rPr>
            </w:pPr>
            <w:r w:rsidRPr="00DF0A0A">
              <w:rPr>
                <w:rFonts w:eastAsia="Calibri"/>
                <w:sz w:val="20"/>
                <w:lang w:val="fr-CA"/>
              </w:rPr>
              <w:t>8 août 2007</w:t>
            </w:r>
          </w:p>
          <w:p w:rsidR="00496DC7" w:rsidRPr="00DF0A0A" w:rsidRDefault="00496DC7" w:rsidP="00496DC7">
            <w:pPr>
              <w:jc w:val="both"/>
              <w:rPr>
                <w:rFonts w:eastAsia="Calibri"/>
                <w:sz w:val="20"/>
                <w:lang w:val="fr-CA"/>
              </w:rPr>
            </w:pPr>
            <w:r w:rsidRPr="00DF0A0A">
              <w:rPr>
                <w:rFonts w:eastAsia="Calibri"/>
                <w:sz w:val="20"/>
                <w:lang w:val="fr-CA"/>
              </w:rPr>
              <w:t>Cour du Banc de la Reine de la Saskatchewan</w:t>
            </w:r>
          </w:p>
          <w:p w:rsidR="00496DC7" w:rsidRPr="00DF0A0A" w:rsidRDefault="00496DC7" w:rsidP="00496DC7">
            <w:pPr>
              <w:jc w:val="both"/>
              <w:rPr>
                <w:rFonts w:eastAsia="Calibri"/>
                <w:sz w:val="20"/>
                <w:lang w:val="fr-CA"/>
              </w:rPr>
            </w:pPr>
            <w:r w:rsidRPr="00DF0A0A">
              <w:rPr>
                <w:rFonts w:eastAsia="Calibri"/>
                <w:sz w:val="20"/>
                <w:lang w:val="fr-CA"/>
              </w:rPr>
              <w:t xml:space="preserve">(Juge </w:t>
            </w:r>
            <w:proofErr w:type="spellStart"/>
            <w:r w:rsidRPr="00DF0A0A">
              <w:rPr>
                <w:rFonts w:eastAsia="Calibri"/>
                <w:sz w:val="20"/>
                <w:lang w:val="fr-CA"/>
              </w:rPr>
              <w:t>Allbright</w:t>
            </w:r>
            <w:proofErr w:type="spellEnd"/>
            <w:r w:rsidRPr="00DF0A0A">
              <w:rPr>
                <w:rFonts w:eastAsia="Calibri"/>
                <w:sz w:val="20"/>
                <w:lang w:val="fr-CA"/>
              </w:rPr>
              <w:t xml:space="preserve">) </w:t>
            </w:r>
          </w:p>
          <w:p w:rsidR="00496DC7" w:rsidRPr="00DF0A0A" w:rsidRDefault="00496DC7" w:rsidP="00496DC7">
            <w:pPr>
              <w:jc w:val="both"/>
              <w:rPr>
                <w:rFonts w:eastAsia="Calibri"/>
                <w:sz w:val="20"/>
                <w:lang w:val="fr-CA"/>
              </w:rPr>
            </w:pPr>
          </w:p>
        </w:tc>
        <w:tc>
          <w:tcPr>
            <w:tcW w:w="251" w:type="pct"/>
          </w:tcPr>
          <w:p w:rsidR="00496DC7" w:rsidRPr="00DF0A0A" w:rsidRDefault="00496DC7" w:rsidP="00496DC7">
            <w:pPr>
              <w:jc w:val="both"/>
              <w:rPr>
                <w:rFonts w:eastAsia="Calibri"/>
                <w:sz w:val="20"/>
                <w:lang w:val="fr-CA"/>
              </w:rPr>
            </w:pPr>
          </w:p>
        </w:tc>
        <w:tc>
          <w:tcPr>
            <w:tcW w:w="2400" w:type="pct"/>
          </w:tcPr>
          <w:p w:rsidR="00496DC7" w:rsidRPr="00DF0A0A" w:rsidRDefault="00496DC7" w:rsidP="00496DC7">
            <w:pPr>
              <w:jc w:val="both"/>
              <w:rPr>
                <w:rFonts w:eastAsia="Calibri"/>
                <w:sz w:val="20"/>
                <w:lang w:val="fr-CA"/>
              </w:rPr>
            </w:pPr>
            <w:r w:rsidRPr="00DF0A0A">
              <w:rPr>
                <w:rFonts w:eastAsia="Calibri"/>
                <w:sz w:val="20"/>
                <w:lang w:val="fr-CA"/>
              </w:rPr>
              <w:t>Demande d’</w:t>
            </w:r>
            <w:proofErr w:type="spellStart"/>
            <w:r w:rsidRPr="00DF0A0A">
              <w:rPr>
                <w:rFonts w:eastAsia="Calibri"/>
                <w:i/>
                <w:iCs/>
                <w:sz w:val="20"/>
                <w:lang w:val="fr-CA"/>
              </w:rPr>
              <w:t>habeus</w:t>
            </w:r>
            <w:proofErr w:type="spellEnd"/>
            <w:r w:rsidRPr="00DF0A0A">
              <w:rPr>
                <w:rFonts w:eastAsia="Calibri"/>
                <w:i/>
                <w:iCs/>
                <w:sz w:val="20"/>
                <w:lang w:val="fr-CA"/>
              </w:rPr>
              <w:t xml:space="preserve"> corpus</w:t>
            </w:r>
            <w:r w:rsidRPr="00DF0A0A">
              <w:rPr>
                <w:rFonts w:eastAsia="Calibri"/>
                <w:sz w:val="20"/>
                <w:lang w:val="fr-CA"/>
              </w:rPr>
              <w:t xml:space="preserve"> en annulation de la décision de la Commission nationale des libérations conditionnelles, rejetée</w:t>
            </w:r>
          </w:p>
        </w:tc>
      </w:tr>
    </w:tbl>
    <w:p w:rsidR="0027596E" w:rsidRPr="00F74132" w:rsidRDefault="0027596E">
      <w:pPr>
        <w:rPr>
          <w:lang w:val="fr-CA"/>
        </w:rPr>
      </w:pPr>
    </w:p>
    <w:tbl>
      <w:tblPr>
        <w:tblW w:w="4808" w:type="pct"/>
        <w:tblInd w:w="2" w:type="dxa"/>
        <w:tblLayout w:type="fixed"/>
        <w:tblCellMar>
          <w:left w:w="0" w:type="dxa"/>
          <w:bottom w:w="99" w:type="dxa"/>
          <w:right w:w="0" w:type="dxa"/>
        </w:tblCellMar>
        <w:tblLook w:val="00A0"/>
      </w:tblPr>
      <w:tblGrid>
        <w:gridCol w:w="4346"/>
        <w:gridCol w:w="464"/>
        <w:gridCol w:w="4440"/>
      </w:tblGrid>
      <w:tr w:rsidR="00496DC7" w:rsidRPr="00406D3C" w:rsidTr="0027596E">
        <w:trPr>
          <w:cantSplit/>
        </w:trPr>
        <w:tc>
          <w:tcPr>
            <w:tcW w:w="2349" w:type="pct"/>
          </w:tcPr>
          <w:p w:rsidR="00496DC7" w:rsidRPr="00DF0A0A" w:rsidRDefault="00496DC7" w:rsidP="00496DC7">
            <w:pPr>
              <w:jc w:val="both"/>
              <w:rPr>
                <w:rFonts w:eastAsia="Calibri"/>
                <w:sz w:val="20"/>
                <w:lang w:val="fr-CA"/>
              </w:rPr>
            </w:pPr>
            <w:r w:rsidRPr="00DF0A0A">
              <w:rPr>
                <w:rFonts w:eastAsia="Calibri"/>
                <w:sz w:val="20"/>
                <w:lang w:val="fr-CA"/>
              </w:rPr>
              <w:lastRenderedPageBreak/>
              <w:t>19 février 2009</w:t>
            </w:r>
          </w:p>
          <w:p w:rsidR="00496DC7" w:rsidRPr="00DF0A0A" w:rsidRDefault="00496DC7" w:rsidP="00496DC7">
            <w:pPr>
              <w:jc w:val="both"/>
              <w:rPr>
                <w:rFonts w:eastAsia="Calibri"/>
                <w:sz w:val="20"/>
                <w:lang w:val="fr-CA"/>
              </w:rPr>
            </w:pPr>
            <w:r w:rsidRPr="00DF0A0A">
              <w:rPr>
                <w:rFonts w:eastAsia="Calibri"/>
                <w:sz w:val="20"/>
                <w:lang w:val="fr-CA"/>
              </w:rPr>
              <w:t>Cour d'appel de la Saskatchewan</w:t>
            </w:r>
          </w:p>
          <w:p w:rsidR="00496DC7" w:rsidRPr="00DF0A0A" w:rsidRDefault="00496DC7" w:rsidP="00496DC7">
            <w:pPr>
              <w:jc w:val="both"/>
              <w:rPr>
                <w:rFonts w:eastAsia="Calibri"/>
                <w:sz w:val="20"/>
                <w:lang w:val="fr-CA"/>
              </w:rPr>
            </w:pPr>
            <w:r w:rsidRPr="00DF0A0A">
              <w:rPr>
                <w:rFonts w:eastAsia="Calibri"/>
                <w:sz w:val="20"/>
                <w:lang w:val="fr-CA"/>
              </w:rPr>
              <w:t xml:space="preserve">(Juges </w:t>
            </w:r>
            <w:proofErr w:type="spellStart"/>
            <w:r w:rsidRPr="00DF0A0A">
              <w:rPr>
                <w:rFonts w:eastAsia="Calibri"/>
                <w:sz w:val="20"/>
                <w:lang w:val="fr-CA"/>
              </w:rPr>
              <w:t>Lane</w:t>
            </w:r>
            <w:proofErr w:type="spellEnd"/>
            <w:r w:rsidRPr="00DF0A0A">
              <w:rPr>
                <w:rFonts w:eastAsia="Calibri"/>
                <w:sz w:val="20"/>
                <w:lang w:val="fr-CA"/>
              </w:rPr>
              <w:t>, Richards et Hunter)</w:t>
            </w:r>
          </w:p>
          <w:p w:rsidR="00496DC7" w:rsidRPr="00DF0A0A" w:rsidRDefault="00496DC7" w:rsidP="00496DC7">
            <w:pPr>
              <w:jc w:val="both"/>
              <w:rPr>
                <w:rFonts w:eastAsia="Calibri"/>
                <w:sz w:val="20"/>
                <w:lang w:val="fr-CA"/>
              </w:rPr>
            </w:pPr>
            <w:r w:rsidRPr="00DF0A0A">
              <w:rPr>
                <w:rFonts w:eastAsia="Calibri"/>
                <w:sz w:val="20"/>
                <w:lang w:val="fr-CA"/>
              </w:rPr>
              <w:t>2009 SKCA 25; 2009 SKCA 26</w:t>
            </w:r>
          </w:p>
          <w:p w:rsidR="00496DC7" w:rsidRPr="00DF0A0A" w:rsidRDefault="00496DC7" w:rsidP="00496DC7">
            <w:pPr>
              <w:jc w:val="both"/>
              <w:rPr>
                <w:rFonts w:eastAsia="Calibri"/>
                <w:sz w:val="20"/>
                <w:lang w:val="fr-CA"/>
              </w:rPr>
            </w:pPr>
          </w:p>
        </w:tc>
        <w:tc>
          <w:tcPr>
            <w:tcW w:w="251" w:type="pct"/>
          </w:tcPr>
          <w:p w:rsidR="00496DC7" w:rsidRPr="00DF0A0A" w:rsidRDefault="00496DC7" w:rsidP="00496DC7">
            <w:pPr>
              <w:jc w:val="both"/>
              <w:rPr>
                <w:rFonts w:eastAsia="Calibri"/>
                <w:sz w:val="20"/>
                <w:lang w:val="fr-CA"/>
              </w:rPr>
            </w:pPr>
          </w:p>
        </w:tc>
        <w:tc>
          <w:tcPr>
            <w:tcW w:w="2400" w:type="pct"/>
          </w:tcPr>
          <w:p w:rsidR="00496DC7" w:rsidRPr="00DF0A0A" w:rsidRDefault="00496DC7" w:rsidP="00496DC7">
            <w:pPr>
              <w:jc w:val="both"/>
              <w:rPr>
                <w:rFonts w:eastAsia="Calibri"/>
                <w:sz w:val="20"/>
                <w:lang w:val="fr-CA"/>
              </w:rPr>
            </w:pPr>
            <w:r w:rsidRPr="00DF0A0A">
              <w:rPr>
                <w:rFonts w:eastAsia="Calibri"/>
                <w:sz w:val="20"/>
                <w:lang w:val="fr-CA"/>
              </w:rPr>
              <w:t>Appel de la décision du juge Acton, rejeté</w:t>
            </w:r>
          </w:p>
        </w:tc>
      </w:tr>
      <w:tr w:rsidR="00496DC7" w:rsidRPr="00406D3C" w:rsidTr="0027596E">
        <w:trPr>
          <w:cantSplit/>
        </w:trPr>
        <w:tc>
          <w:tcPr>
            <w:tcW w:w="2349" w:type="pct"/>
          </w:tcPr>
          <w:p w:rsidR="00496DC7" w:rsidRPr="00DF0A0A" w:rsidRDefault="00496DC7" w:rsidP="00496DC7">
            <w:pPr>
              <w:jc w:val="both"/>
              <w:rPr>
                <w:rFonts w:eastAsia="Calibri"/>
                <w:sz w:val="20"/>
                <w:lang w:val="fr-CA"/>
              </w:rPr>
            </w:pPr>
            <w:r w:rsidRPr="00DF0A0A">
              <w:rPr>
                <w:rFonts w:eastAsia="Calibri"/>
                <w:sz w:val="20"/>
                <w:lang w:val="fr-CA"/>
              </w:rPr>
              <w:t>19 février 2009</w:t>
            </w:r>
          </w:p>
          <w:p w:rsidR="00496DC7" w:rsidRPr="00DF0A0A" w:rsidRDefault="00496DC7" w:rsidP="00496DC7">
            <w:pPr>
              <w:jc w:val="both"/>
              <w:rPr>
                <w:rFonts w:eastAsia="Calibri"/>
                <w:sz w:val="20"/>
                <w:lang w:val="fr-CA"/>
              </w:rPr>
            </w:pPr>
            <w:r w:rsidRPr="00DF0A0A">
              <w:rPr>
                <w:rFonts w:eastAsia="Calibri"/>
                <w:sz w:val="20"/>
                <w:lang w:val="fr-CA"/>
              </w:rPr>
              <w:t>Cour d'appel de la Saskatchewan</w:t>
            </w:r>
          </w:p>
          <w:p w:rsidR="00496DC7" w:rsidRPr="00DF0A0A" w:rsidRDefault="00496DC7" w:rsidP="00496DC7">
            <w:pPr>
              <w:jc w:val="both"/>
              <w:rPr>
                <w:rFonts w:eastAsia="Calibri"/>
                <w:sz w:val="20"/>
                <w:lang w:val="fr-CA"/>
              </w:rPr>
            </w:pPr>
            <w:r w:rsidRPr="00DF0A0A">
              <w:rPr>
                <w:rFonts w:eastAsia="Calibri"/>
                <w:sz w:val="20"/>
                <w:lang w:val="fr-CA"/>
              </w:rPr>
              <w:t xml:space="preserve">(Juges </w:t>
            </w:r>
            <w:proofErr w:type="spellStart"/>
            <w:r w:rsidRPr="00DF0A0A">
              <w:rPr>
                <w:rFonts w:eastAsia="Calibri"/>
                <w:sz w:val="20"/>
                <w:lang w:val="fr-CA"/>
              </w:rPr>
              <w:t>Lane</w:t>
            </w:r>
            <w:proofErr w:type="spellEnd"/>
            <w:r w:rsidRPr="00DF0A0A">
              <w:rPr>
                <w:rFonts w:eastAsia="Calibri"/>
                <w:sz w:val="20"/>
                <w:lang w:val="fr-CA"/>
              </w:rPr>
              <w:t>, Richards et Hunter)</w:t>
            </w:r>
          </w:p>
          <w:p w:rsidR="00496DC7" w:rsidRPr="00DF0A0A" w:rsidRDefault="00496DC7" w:rsidP="00496DC7">
            <w:pPr>
              <w:jc w:val="both"/>
              <w:rPr>
                <w:rFonts w:eastAsia="Calibri"/>
                <w:sz w:val="20"/>
                <w:lang w:val="fr-CA"/>
              </w:rPr>
            </w:pPr>
            <w:r w:rsidRPr="00DF0A0A">
              <w:rPr>
                <w:rFonts w:eastAsia="Calibri"/>
                <w:sz w:val="20"/>
                <w:lang w:val="fr-CA"/>
              </w:rPr>
              <w:t>2009 SKCA 25; 2009 SKCA 26</w:t>
            </w:r>
          </w:p>
          <w:p w:rsidR="00496DC7" w:rsidRPr="00DF0A0A" w:rsidRDefault="00496DC7" w:rsidP="00496DC7">
            <w:pPr>
              <w:jc w:val="both"/>
              <w:rPr>
                <w:rFonts w:eastAsia="Calibri"/>
                <w:sz w:val="20"/>
                <w:lang w:val="fr-CA"/>
              </w:rPr>
            </w:pPr>
          </w:p>
        </w:tc>
        <w:tc>
          <w:tcPr>
            <w:tcW w:w="251" w:type="pct"/>
          </w:tcPr>
          <w:p w:rsidR="00496DC7" w:rsidRPr="00DF0A0A" w:rsidRDefault="00496DC7" w:rsidP="00496DC7">
            <w:pPr>
              <w:jc w:val="both"/>
              <w:rPr>
                <w:rFonts w:eastAsia="Calibri"/>
                <w:sz w:val="20"/>
                <w:lang w:val="fr-CA"/>
              </w:rPr>
            </w:pPr>
          </w:p>
        </w:tc>
        <w:tc>
          <w:tcPr>
            <w:tcW w:w="2400" w:type="pct"/>
          </w:tcPr>
          <w:p w:rsidR="00496DC7" w:rsidRPr="00DF0A0A" w:rsidRDefault="00496DC7" w:rsidP="00496DC7">
            <w:pPr>
              <w:jc w:val="both"/>
              <w:rPr>
                <w:rFonts w:eastAsia="Calibri"/>
                <w:sz w:val="20"/>
                <w:lang w:val="fr-CA"/>
              </w:rPr>
            </w:pPr>
            <w:r w:rsidRPr="00DF0A0A">
              <w:rPr>
                <w:rFonts w:eastAsia="Calibri"/>
                <w:sz w:val="20"/>
                <w:lang w:val="fr-CA"/>
              </w:rPr>
              <w:t xml:space="preserve">Appel de la décision du juge </w:t>
            </w:r>
            <w:proofErr w:type="spellStart"/>
            <w:r w:rsidRPr="00DF0A0A">
              <w:rPr>
                <w:rFonts w:eastAsia="Calibri"/>
                <w:sz w:val="20"/>
                <w:lang w:val="fr-CA"/>
              </w:rPr>
              <w:t>Allbright</w:t>
            </w:r>
            <w:proofErr w:type="spellEnd"/>
            <w:r w:rsidRPr="00DF0A0A">
              <w:rPr>
                <w:rFonts w:eastAsia="Calibri"/>
                <w:sz w:val="20"/>
                <w:lang w:val="fr-CA"/>
              </w:rPr>
              <w:t>, rejeté</w:t>
            </w:r>
          </w:p>
        </w:tc>
      </w:tr>
      <w:tr w:rsidR="00496DC7" w:rsidRPr="00406D3C" w:rsidTr="0027596E">
        <w:trPr>
          <w:cantSplit/>
        </w:trPr>
        <w:tc>
          <w:tcPr>
            <w:tcW w:w="2349" w:type="pct"/>
          </w:tcPr>
          <w:p w:rsidR="00496DC7" w:rsidRPr="00DF0A0A" w:rsidRDefault="00496DC7" w:rsidP="00496DC7">
            <w:pPr>
              <w:jc w:val="both"/>
              <w:rPr>
                <w:rFonts w:eastAsia="Calibri"/>
                <w:sz w:val="20"/>
                <w:lang w:val="fr-CA"/>
              </w:rPr>
            </w:pPr>
            <w:r w:rsidRPr="00DF0A0A">
              <w:rPr>
                <w:rFonts w:eastAsia="Calibri"/>
                <w:sz w:val="20"/>
                <w:lang w:val="fr-CA"/>
              </w:rPr>
              <w:t>11 mai 2010</w:t>
            </w:r>
          </w:p>
          <w:p w:rsidR="00496DC7" w:rsidRPr="00DF0A0A" w:rsidRDefault="00496DC7" w:rsidP="00496DC7">
            <w:pPr>
              <w:jc w:val="both"/>
              <w:rPr>
                <w:rFonts w:eastAsia="Calibri"/>
                <w:sz w:val="20"/>
                <w:lang w:val="fr-CA"/>
              </w:rPr>
            </w:pPr>
            <w:r w:rsidRPr="00DF0A0A">
              <w:rPr>
                <w:rFonts w:eastAsia="Calibri"/>
                <w:sz w:val="20"/>
                <w:lang w:val="fr-CA"/>
              </w:rPr>
              <w:t>Cour du Banc de la Reine de la Saskatchewan</w:t>
            </w:r>
          </w:p>
          <w:p w:rsidR="00496DC7" w:rsidRPr="00DF0A0A" w:rsidRDefault="00496DC7" w:rsidP="00496DC7">
            <w:pPr>
              <w:jc w:val="both"/>
              <w:rPr>
                <w:rFonts w:eastAsia="Calibri"/>
                <w:sz w:val="20"/>
                <w:lang w:val="fr-CA"/>
              </w:rPr>
            </w:pPr>
            <w:r w:rsidRPr="00DF0A0A">
              <w:rPr>
                <w:rFonts w:eastAsia="Calibri"/>
                <w:sz w:val="20"/>
                <w:lang w:val="fr-CA"/>
              </w:rPr>
              <w:t xml:space="preserve">(Juge </w:t>
            </w:r>
            <w:proofErr w:type="spellStart"/>
            <w:r w:rsidRPr="00DF0A0A">
              <w:rPr>
                <w:rFonts w:eastAsia="Calibri"/>
                <w:sz w:val="20"/>
                <w:lang w:val="fr-CA"/>
              </w:rPr>
              <w:t>Currie</w:t>
            </w:r>
            <w:proofErr w:type="spellEnd"/>
            <w:r w:rsidRPr="00DF0A0A">
              <w:rPr>
                <w:rFonts w:eastAsia="Calibri"/>
                <w:sz w:val="20"/>
                <w:lang w:val="fr-CA"/>
              </w:rPr>
              <w:t xml:space="preserve">) </w:t>
            </w:r>
          </w:p>
          <w:p w:rsidR="00496DC7" w:rsidRPr="00DF0A0A" w:rsidRDefault="00496DC7" w:rsidP="00496DC7">
            <w:pPr>
              <w:jc w:val="both"/>
              <w:rPr>
                <w:rFonts w:eastAsia="Calibri"/>
                <w:sz w:val="20"/>
                <w:lang w:val="fr-CA"/>
              </w:rPr>
            </w:pPr>
          </w:p>
        </w:tc>
        <w:tc>
          <w:tcPr>
            <w:tcW w:w="251" w:type="pct"/>
          </w:tcPr>
          <w:p w:rsidR="00496DC7" w:rsidRPr="00DF0A0A" w:rsidRDefault="00496DC7" w:rsidP="00496DC7">
            <w:pPr>
              <w:jc w:val="both"/>
              <w:rPr>
                <w:rFonts w:eastAsia="Calibri"/>
                <w:sz w:val="20"/>
                <w:lang w:val="fr-CA"/>
              </w:rPr>
            </w:pPr>
          </w:p>
        </w:tc>
        <w:tc>
          <w:tcPr>
            <w:tcW w:w="2400" w:type="pct"/>
          </w:tcPr>
          <w:p w:rsidR="00496DC7" w:rsidRPr="00DF0A0A" w:rsidRDefault="00496DC7" w:rsidP="00496DC7">
            <w:pPr>
              <w:jc w:val="both"/>
              <w:rPr>
                <w:rFonts w:eastAsia="Calibri"/>
                <w:sz w:val="20"/>
                <w:lang w:val="fr-CA"/>
              </w:rPr>
            </w:pPr>
            <w:r w:rsidRPr="00DF0A0A">
              <w:rPr>
                <w:rFonts w:eastAsia="Calibri"/>
                <w:color w:val="000000"/>
                <w:sz w:val="20"/>
                <w:lang w:val="fr-CA"/>
              </w:rPr>
              <w:t>Deuxième demande d’</w:t>
            </w:r>
            <w:r w:rsidRPr="00DF0A0A">
              <w:rPr>
                <w:rFonts w:eastAsia="Calibri"/>
                <w:i/>
                <w:iCs/>
                <w:color w:val="000000"/>
                <w:sz w:val="20"/>
                <w:lang w:val="fr-CA"/>
              </w:rPr>
              <w:t>habeas corpus</w:t>
            </w:r>
            <w:r w:rsidRPr="00DF0A0A">
              <w:rPr>
                <w:rFonts w:eastAsia="Calibri"/>
                <w:sz w:val="20"/>
                <w:lang w:val="fr-CA"/>
              </w:rPr>
              <w:t xml:space="preserve"> en rejet des décisions de la directrice, rejetée</w:t>
            </w:r>
          </w:p>
        </w:tc>
      </w:tr>
      <w:tr w:rsidR="00496DC7" w:rsidRPr="00DF0A0A" w:rsidTr="0027596E">
        <w:trPr>
          <w:cantSplit/>
        </w:trPr>
        <w:tc>
          <w:tcPr>
            <w:tcW w:w="2349" w:type="pct"/>
          </w:tcPr>
          <w:p w:rsidR="00496DC7" w:rsidRPr="00DF0A0A" w:rsidRDefault="00496DC7" w:rsidP="00496DC7">
            <w:pPr>
              <w:jc w:val="both"/>
              <w:rPr>
                <w:rFonts w:eastAsia="Calibri"/>
                <w:sz w:val="20"/>
                <w:lang w:val="fr-CA"/>
              </w:rPr>
            </w:pPr>
            <w:r w:rsidRPr="00DF0A0A">
              <w:rPr>
                <w:rFonts w:eastAsia="Calibri"/>
                <w:sz w:val="20"/>
                <w:lang w:val="fr-CA"/>
              </w:rPr>
              <w:t>8 septembre 2010</w:t>
            </w:r>
          </w:p>
          <w:p w:rsidR="00496DC7" w:rsidRPr="00DF0A0A" w:rsidRDefault="00496DC7" w:rsidP="00496DC7">
            <w:pPr>
              <w:jc w:val="both"/>
              <w:rPr>
                <w:rFonts w:eastAsia="Calibri"/>
                <w:sz w:val="20"/>
                <w:lang w:val="fr-CA"/>
              </w:rPr>
            </w:pPr>
            <w:r w:rsidRPr="00DF0A0A">
              <w:rPr>
                <w:rFonts w:eastAsia="Calibri"/>
                <w:sz w:val="20"/>
                <w:lang w:val="fr-CA"/>
              </w:rPr>
              <w:t>Cour d'appel de la Saskatchewan</w:t>
            </w:r>
          </w:p>
          <w:p w:rsidR="00496DC7" w:rsidRPr="00DF0A0A" w:rsidRDefault="00496DC7" w:rsidP="00496DC7">
            <w:pPr>
              <w:jc w:val="both"/>
              <w:rPr>
                <w:rFonts w:eastAsia="Calibri"/>
                <w:sz w:val="20"/>
              </w:rPr>
            </w:pPr>
            <w:r w:rsidRPr="00DF0A0A">
              <w:rPr>
                <w:rFonts w:eastAsia="Calibri"/>
                <w:sz w:val="20"/>
              </w:rPr>
              <w:t>(</w:t>
            </w:r>
            <w:proofErr w:type="spellStart"/>
            <w:r w:rsidRPr="00DF0A0A">
              <w:rPr>
                <w:rFonts w:eastAsia="Calibri"/>
                <w:sz w:val="20"/>
              </w:rPr>
              <w:t>Juges</w:t>
            </w:r>
            <w:proofErr w:type="spellEnd"/>
            <w:r w:rsidRPr="00DF0A0A">
              <w:rPr>
                <w:rFonts w:eastAsia="Calibri"/>
                <w:sz w:val="20"/>
              </w:rPr>
              <w:t xml:space="preserve"> </w:t>
            </w:r>
            <w:proofErr w:type="spellStart"/>
            <w:r w:rsidRPr="00DF0A0A">
              <w:rPr>
                <w:rFonts w:eastAsia="Calibri"/>
                <w:sz w:val="20"/>
              </w:rPr>
              <w:t>Klebuc</w:t>
            </w:r>
            <w:proofErr w:type="spellEnd"/>
            <w:r w:rsidRPr="00DF0A0A">
              <w:rPr>
                <w:rFonts w:eastAsia="Calibri"/>
                <w:sz w:val="20"/>
              </w:rPr>
              <w:t xml:space="preserve">, Smith et </w:t>
            </w:r>
            <w:proofErr w:type="spellStart"/>
            <w:r w:rsidRPr="00DF0A0A">
              <w:rPr>
                <w:rFonts w:eastAsia="Calibri"/>
                <w:sz w:val="20"/>
              </w:rPr>
              <w:t>Gerwing</w:t>
            </w:r>
            <w:proofErr w:type="spellEnd"/>
            <w:r w:rsidRPr="00DF0A0A">
              <w:rPr>
                <w:rFonts w:eastAsia="Calibri"/>
                <w:sz w:val="20"/>
              </w:rPr>
              <w:t>)</w:t>
            </w:r>
          </w:p>
          <w:p w:rsidR="00496DC7" w:rsidRPr="00DF0A0A" w:rsidRDefault="00496DC7" w:rsidP="00496DC7">
            <w:pPr>
              <w:jc w:val="both"/>
              <w:rPr>
                <w:rFonts w:eastAsia="Calibri"/>
                <w:sz w:val="20"/>
                <w:lang w:val="fr-CA"/>
              </w:rPr>
            </w:pPr>
            <w:r w:rsidRPr="00DF0A0A">
              <w:rPr>
                <w:rFonts w:eastAsia="Calibri"/>
                <w:sz w:val="20"/>
                <w:lang w:val="fr-CA"/>
              </w:rPr>
              <w:t>2010 SKCA 108</w:t>
            </w:r>
          </w:p>
          <w:p w:rsidR="00496DC7" w:rsidRPr="00DF0A0A" w:rsidRDefault="00496DC7" w:rsidP="00496DC7">
            <w:pPr>
              <w:jc w:val="both"/>
              <w:rPr>
                <w:rFonts w:eastAsia="Calibri"/>
                <w:sz w:val="20"/>
                <w:lang w:val="fr-CA"/>
              </w:rPr>
            </w:pPr>
          </w:p>
        </w:tc>
        <w:tc>
          <w:tcPr>
            <w:tcW w:w="251" w:type="pct"/>
          </w:tcPr>
          <w:p w:rsidR="00496DC7" w:rsidRPr="00DF0A0A" w:rsidRDefault="00496DC7" w:rsidP="00496DC7">
            <w:pPr>
              <w:jc w:val="both"/>
              <w:rPr>
                <w:rFonts w:eastAsia="Calibri"/>
                <w:sz w:val="20"/>
                <w:lang w:val="fr-CA"/>
              </w:rPr>
            </w:pPr>
          </w:p>
        </w:tc>
        <w:tc>
          <w:tcPr>
            <w:tcW w:w="2400" w:type="pct"/>
          </w:tcPr>
          <w:p w:rsidR="00496DC7" w:rsidRPr="00DF0A0A" w:rsidRDefault="00496DC7" w:rsidP="00496DC7">
            <w:pPr>
              <w:jc w:val="both"/>
              <w:rPr>
                <w:rFonts w:eastAsia="Calibri"/>
                <w:sz w:val="20"/>
                <w:lang w:val="fr-CA"/>
              </w:rPr>
            </w:pPr>
            <w:r w:rsidRPr="00DF0A0A">
              <w:rPr>
                <w:rFonts w:eastAsia="Calibri"/>
                <w:sz w:val="20"/>
                <w:lang w:val="fr-CA"/>
              </w:rPr>
              <w:t>Appel rejeté</w:t>
            </w:r>
          </w:p>
        </w:tc>
      </w:tr>
      <w:tr w:rsidR="00496DC7" w:rsidRPr="00406D3C" w:rsidTr="0027596E">
        <w:trPr>
          <w:cantSplit/>
        </w:trPr>
        <w:tc>
          <w:tcPr>
            <w:tcW w:w="2349" w:type="pct"/>
          </w:tcPr>
          <w:p w:rsidR="00496DC7" w:rsidRPr="00DF0A0A" w:rsidRDefault="00496DC7" w:rsidP="00496DC7">
            <w:pPr>
              <w:jc w:val="both"/>
              <w:rPr>
                <w:rFonts w:eastAsia="Calibri"/>
                <w:sz w:val="20"/>
                <w:lang w:val="fr-CA"/>
              </w:rPr>
            </w:pPr>
            <w:r w:rsidRPr="00DF0A0A">
              <w:rPr>
                <w:rFonts w:eastAsia="Calibri"/>
                <w:sz w:val="20"/>
                <w:lang w:val="fr-CA"/>
              </w:rPr>
              <w:t>24 novembre 2010</w:t>
            </w:r>
          </w:p>
          <w:p w:rsidR="00496DC7" w:rsidRPr="00DF0A0A" w:rsidRDefault="00496DC7" w:rsidP="00496DC7">
            <w:pPr>
              <w:jc w:val="both"/>
              <w:rPr>
                <w:rFonts w:eastAsia="Calibri"/>
                <w:sz w:val="20"/>
                <w:lang w:val="fr-CA"/>
              </w:rPr>
            </w:pPr>
            <w:r w:rsidRPr="00DF0A0A">
              <w:rPr>
                <w:rFonts w:eastAsia="Calibri"/>
                <w:sz w:val="20"/>
                <w:lang w:val="fr-CA"/>
              </w:rPr>
              <w:t>Cour suprême du Canada</w:t>
            </w:r>
          </w:p>
        </w:tc>
        <w:tc>
          <w:tcPr>
            <w:tcW w:w="251" w:type="pct"/>
          </w:tcPr>
          <w:p w:rsidR="00496DC7" w:rsidRPr="00DF0A0A" w:rsidRDefault="00496DC7" w:rsidP="00496DC7">
            <w:pPr>
              <w:jc w:val="both"/>
              <w:rPr>
                <w:rFonts w:eastAsia="Calibri"/>
                <w:sz w:val="20"/>
                <w:lang w:val="fr-CA"/>
              </w:rPr>
            </w:pPr>
          </w:p>
        </w:tc>
        <w:tc>
          <w:tcPr>
            <w:tcW w:w="2400" w:type="pct"/>
          </w:tcPr>
          <w:p w:rsidR="00496DC7" w:rsidRPr="00DF0A0A" w:rsidRDefault="00496DC7" w:rsidP="00496DC7">
            <w:pPr>
              <w:jc w:val="both"/>
              <w:rPr>
                <w:rFonts w:eastAsia="Calibri"/>
                <w:sz w:val="20"/>
                <w:lang w:val="fr-CA"/>
              </w:rPr>
            </w:pPr>
            <w:r w:rsidRPr="00DF0A0A">
              <w:rPr>
                <w:rFonts w:eastAsia="Calibri"/>
                <w:sz w:val="20"/>
                <w:lang w:val="fr-CA"/>
              </w:rPr>
              <w:t xml:space="preserve">Demande de prorogation du délai de signification et de dépôt de la demande d'autorisation d'appel, demande d'autorisation d'appel et requête en vue de produire de nouveaux éléments de preuve, déposées </w:t>
            </w:r>
          </w:p>
        </w:tc>
      </w:tr>
    </w:tbl>
    <w:p w:rsidR="00610966" w:rsidRPr="00496DC7" w:rsidRDefault="00610966" w:rsidP="00610966">
      <w:pPr>
        <w:rPr>
          <w:b/>
          <w:sz w:val="20"/>
          <w:szCs w:val="20"/>
          <w:lang w:val="fr-CA"/>
        </w:rPr>
      </w:pPr>
    </w:p>
    <w:p w:rsidR="00610966" w:rsidRDefault="00C478F8" w:rsidP="00610966">
      <w:pPr>
        <w:rPr>
          <w:b/>
          <w:sz w:val="20"/>
          <w:szCs w:val="20"/>
        </w:rPr>
      </w:pPr>
      <w:r w:rsidRPr="00C478F8">
        <w:rPr>
          <w:sz w:val="20"/>
          <w:szCs w:val="20"/>
          <w:lang w:val="fr-CA"/>
        </w:rPr>
        <w:pict>
          <v:rect id="_x0000_i1050" style="width:2in;height:1pt" o:hrpct="0" o:hralign="center" o:hrstd="t" o:hrnoshade="t" o:hr="t" fillcolor="black [3213]" stroked="f"/>
        </w:pict>
      </w:r>
    </w:p>
    <w:p w:rsidR="00610966" w:rsidRPr="00C50A5C" w:rsidRDefault="00610966" w:rsidP="00610966">
      <w:pPr>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56BD6" w:rsidRPr="00756BD6" w:rsidTr="000F7718">
        <w:trPr>
          <w:cantSplit/>
        </w:trPr>
        <w:tc>
          <w:tcPr>
            <w:tcW w:w="1458" w:type="dxa"/>
          </w:tcPr>
          <w:p w:rsidR="00756BD6" w:rsidRPr="00756BD6" w:rsidRDefault="00756BD6" w:rsidP="000F7718">
            <w:pPr>
              <w:rPr>
                <w:sz w:val="20"/>
                <w:szCs w:val="20"/>
              </w:rPr>
            </w:pPr>
            <w:r w:rsidRPr="00756BD6">
              <w:rPr>
                <w:rStyle w:val="SCCFileNumberChar"/>
                <w:sz w:val="20"/>
                <w:szCs w:val="20"/>
              </w:rPr>
              <w:t>34022</w:t>
            </w:r>
          </w:p>
          <w:p w:rsidR="00756BD6" w:rsidRPr="00756BD6" w:rsidRDefault="00756BD6" w:rsidP="000F7718">
            <w:pPr>
              <w:rPr>
                <w:b/>
                <w:sz w:val="20"/>
                <w:szCs w:val="20"/>
                <w:lang w:val="fr-CA"/>
              </w:rPr>
            </w:pPr>
          </w:p>
        </w:tc>
        <w:tc>
          <w:tcPr>
            <w:tcW w:w="8118" w:type="dxa"/>
          </w:tcPr>
          <w:p w:rsidR="00756BD6" w:rsidRPr="00756BD6" w:rsidRDefault="00756BD6" w:rsidP="000F7718">
            <w:pPr>
              <w:rPr>
                <w:sz w:val="20"/>
                <w:szCs w:val="20"/>
              </w:rPr>
            </w:pPr>
            <w:r w:rsidRPr="00756BD6">
              <w:rPr>
                <w:rStyle w:val="SCCLsocChar"/>
                <w:sz w:val="20"/>
                <w:szCs w:val="20"/>
              </w:rPr>
              <w:t xml:space="preserve">Lucien Roger </w:t>
            </w:r>
            <w:proofErr w:type="spellStart"/>
            <w:r w:rsidRPr="00756BD6">
              <w:rPr>
                <w:rStyle w:val="SCCLsocChar"/>
                <w:sz w:val="20"/>
                <w:szCs w:val="20"/>
              </w:rPr>
              <w:t>Khodeir</w:t>
            </w:r>
            <w:proofErr w:type="spellEnd"/>
            <w:r w:rsidRPr="00756BD6">
              <w:rPr>
                <w:rStyle w:val="SCCLsocChar"/>
                <w:sz w:val="20"/>
                <w:szCs w:val="20"/>
              </w:rPr>
              <w:t xml:space="preserve"> v. Nora Jane </w:t>
            </w:r>
            <w:proofErr w:type="spellStart"/>
            <w:r w:rsidRPr="00756BD6">
              <w:rPr>
                <w:rStyle w:val="SCCLsocChar"/>
                <w:sz w:val="20"/>
                <w:szCs w:val="20"/>
              </w:rPr>
              <w:t>Premi</w:t>
            </w:r>
            <w:proofErr w:type="spellEnd"/>
            <w:r w:rsidRPr="00756BD6">
              <w:rPr>
                <w:sz w:val="20"/>
                <w:szCs w:val="20"/>
                <w:lang w:val="fr-CA"/>
              </w:rPr>
              <w:t xml:space="preserve"> (Ont.) </w:t>
            </w:r>
            <w:r w:rsidRPr="00756BD6">
              <w:rPr>
                <w:sz w:val="20"/>
                <w:szCs w:val="20"/>
              </w:rPr>
              <w:t>(Civil) (By Leave)</w:t>
            </w:r>
          </w:p>
          <w:p w:rsidR="00756BD6" w:rsidRPr="00756BD6" w:rsidRDefault="00756BD6" w:rsidP="000F7718">
            <w:pPr>
              <w:rPr>
                <w:sz w:val="20"/>
                <w:szCs w:val="20"/>
              </w:rPr>
            </w:pPr>
          </w:p>
        </w:tc>
      </w:tr>
      <w:tr w:rsidR="00756BD6" w:rsidRPr="00756BD6" w:rsidTr="000F7718">
        <w:trPr>
          <w:cantSplit/>
        </w:trPr>
        <w:tc>
          <w:tcPr>
            <w:tcW w:w="1458" w:type="dxa"/>
          </w:tcPr>
          <w:p w:rsidR="00756BD6" w:rsidRPr="00756BD6" w:rsidRDefault="00756BD6" w:rsidP="000F7718">
            <w:pPr>
              <w:rPr>
                <w:sz w:val="20"/>
                <w:szCs w:val="20"/>
              </w:rPr>
            </w:pPr>
            <w:r w:rsidRPr="00756BD6">
              <w:rPr>
                <w:sz w:val="20"/>
                <w:szCs w:val="20"/>
              </w:rPr>
              <w:t>Coram :</w:t>
            </w:r>
          </w:p>
        </w:tc>
        <w:tc>
          <w:tcPr>
            <w:tcW w:w="8118" w:type="dxa"/>
          </w:tcPr>
          <w:p w:rsidR="00756BD6" w:rsidRPr="00756BD6" w:rsidRDefault="00756BD6" w:rsidP="000F7718">
            <w:pPr>
              <w:rPr>
                <w:sz w:val="20"/>
                <w:szCs w:val="20"/>
              </w:rPr>
            </w:pPr>
            <w:proofErr w:type="spellStart"/>
            <w:r w:rsidRPr="00756BD6">
              <w:rPr>
                <w:rStyle w:val="SCCCoramChar"/>
                <w:sz w:val="20"/>
                <w:szCs w:val="20"/>
                <w:lang w:val="en-CA"/>
              </w:rPr>
              <w:t>Binnie</w:t>
            </w:r>
            <w:proofErr w:type="spellEnd"/>
            <w:r w:rsidRPr="00756BD6">
              <w:rPr>
                <w:rStyle w:val="SCCCoramChar"/>
                <w:sz w:val="20"/>
                <w:szCs w:val="20"/>
                <w:lang w:val="en-CA"/>
              </w:rPr>
              <w:t>, Fish and Rothstein JJ.</w:t>
            </w:r>
          </w:p>
          <w:p w:rsidR="00756BD6" w:rsidRPr="00756BD6" w:rsidRDefault="00756BD6" w:rsidP="000F7718">
            <w:pPr>
              <w:rPr>
                <w:sz w:val="20"/>
                <w:szCs w:val="20"/>
                <w:u w:val="single"/>
              </w:rPr>
            </w:pPr>
          </w:p>
        </w:tc>
      </w:tr>
      <w:tr w:rsidR="00756BD6" w:rsidRPr="00406D3C" w:rsidTr="000F7718">
        <w:trPr>
          <w:cantSplit/>
        </w:trPr>
        <w:tc>
          <w:tcPr>
            <w:tcW w:w="9576" w:type="dxa"/>
            <w:gridSpan w:val="2"/>
          </w:tcPr>
          <w:p w:rsidR="00756BD6" w:rsidRPr="00756BD6" w:rsidRDefault="00756BD6" w:rsidP="000F7718">
            <w:pPr>
              <w:pStyle w:val="SCCShortJudgment"/>
              <w:rPr>
                <w:szCs w:val="20"/>
              </w:rPr>
            </w:pPr>
            <w:r w:rsidRPr="00756BD6">
              <w:rPr>
                <w:szCs w:val="20"/>
              </w:rPr>
              <w:t>The application for leave to appeal from the judgment of the Court of Appeal for Ontario, Number C51710, 2010 ONCA 721, dated October 22, 2010, is dismissed without costs.</w:t>
            </w:r>
          </w:p>
          <w:p w:rsidR="00756BD6" w:rsidRPr="00756BD6" w:rsidRDefault="00756BD6" w:rsidP="000F7718">
            <w:pPr>
              <w:pStyle w:val="SCCShortJudgment"/>
              <w:ind w:firstLine="0"/>
              <w:rPr>
                <w:szCs w:val="20"/>
              </w:rPr>
            </w:pPr>
          </w:p>
          <w:p w:rsidR="00756BD6" w:rsidRPr="00756BD6" w:rsidRDefault="00756BD6" w:rsidP="00756BD6">
            <w:pPr>
              <w:pStyle w:val="SCCShortJudgment"/>
              <w:rPr>
                <w:szCs w:val="20"/>
                <w:lang w:val="fr-CA"/>
              </w:rPr>
            </w:pPr>
            <w:r w:rsidRPr="00756BD6">
              <w:rPr>
                <w:szCs w:val="20"/>
                <w:lang w:val="fr-CA"/>
              </w:rPr>
              <w:t>La demande d’autorisation d’appel de l’arrêt de la Cour d’appel de l’Ontario, numéro C51710, 2010 ONCA 721, daté du 22 octobre 2010, est rejetée sans dépens.</w:t>
            </w:r>
          </w:p>
        </w:tc>
      </w:tr>
    </w:tbl>
    <w:p w:rsidR="00756BD6" w:rsidRPr="00756BD6" w:rsidRDefault="00756BD6" w:rsidP="00610966">
      <w:pPr>
        <w:rPr>
          <w:b/>
          <w:sz w:val="20"/>
          <w:szCs w:val="20"/>
          <w:lang w:val="fr-CA"/>
        </w:rPr>
      </w:pPr>
    </w:p>
    <w:p w:rsidR="00610966" w:rsidRDefault="00610966" w:rsidP="00610966">
      <w:pPr>
        <w:rPr>
          <w:sz w:val="20"/>
          <w:szCs w:val="20"/>
        </w:rPr>
      </w:pPr>
      <w:r>
        <w:rPr>
          <w:sz w:val="20"/>
          <w:szCs w:val="20"/>
          <w:u w:val="single"/>
        </w:rPr>
        <w:t>CASE SUMMARY</w:t>
      </w:r>
    </w:p>
    <w:p w:rsidR="00610966" w:rsidRDefault="00610966" w:rsidP="00610966">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96DC7" w:rsidRPr="00DF0A0A" w:rsidTr="00496DC7">
        <w:tc>
          <w:tcPr>
            <w:tcW w:w="5000" w:type="pct"/>
            <w:gridSpan w:val="3"/>
          </w:tcPr>
          <w:p w:rsidR="00496DC7" w:rsidRPr="00DF0A0A" w:rsidRDefault="00496DC7" w:rsidP="00496DC7">
            <w:pPr>
              <w:jc w:val="both"/>
              <w:rPr>
                <w:rFonts w:eastAsia="Calibri"/>
                <w:sz w:val="20"/>
              </w:rPr>
            </w:pPr>
            <w:r w:rsidRPr="00DF0A0A">
              <w:rPr>
                <w:rFonts w:eastAsia="Calibri"/>
                <w:sz w:val="20"/>
              </w:rPr>
              <w:t xml:space="preserve">Courts – Jurisdiction – Costs - Judgments and Orders – Amendments –  Motion judge twice amending certain provisions of  endorsement – Whether court of appeal erred in failing to resolve inconsistencies in jurisprudence - Whether court of appeal erred in finding that the motion judge had jurisdiction to hold the hearing with respect to the second amendment – Whether rescinding an amendment resulted in inconsistent findings – Whether court of appeal erred in finding that the motion judge had jurisdiction to decide the issues of costs - Whether mixed success of the parties was inconsistent with the award of costs on a substantial-indemnity basis. </w:t>
            </w:r>
          </w:p>
          <w:p w:rsidR="00496DC7" w:rsidRPr="00DF0A0A" w:rsidRDefault="00496DC7" w:rsidP="00496DC7">
            <w:pPr>
              <w:jc w:val="both"/>
              <w:rPr>
                <w:rFonts w:eastAsia="Calibri"/>
                <w:sz w:val="20"/>
              </w:rPr>
            </w:pPr>
          </w:p>
        </w:tc>
      </w:tr>
      <w:tr w:rsidR="00496DC7" w:rsidRPr="00DF0A0A" w:rsidTr="00496DC7">
        <w:tc>
          <w:tcPr>
            <w:tcW w:w="5000" w:type="pct"/>
            <w:gridSpan w:val="3"/>
          </w:tcPr>
          <w:p w:rsidR="00496DC7" w:rsidRPr="00DF0A0A" w:rsidRDefault="00496DC7" w:rsidP="00496DC7">
            <w:pPr>
              <w:jc w:val="both"/>
              <w:rPr>
                <w:rFonts w:eastAsia="Calibri"/>
                <w:sz w:val="20"/>
              </w:rPr>
            </w:pPr>
            <w:r w:rsidRPr="00DF0A0A">
              <w:rPr>
                <w:rFonts w:eastAsia="Calibri"/>
                <w:sz w:val="20"/>
              </w:rPr>
              <w:t xml:space="preserve">Mr. </w:t>
            </w:r>
            <w:proofErr w:type="spellStart"/>
            <w:r w:rsidRPr="00DF0A0A">
              <w:rPr>
                <w:rFonts w:eastAsia="Calibri"/>
                <w:sz w:val="20"/>
              </w:rPr>
              <w:t>Khodeir</w:t>
            </w:r>
            <w:proofErr w:type="spellEnd"/>
            <w:r w:rsidRPr="00DF0A0A">
              <w:rPr>
                <w:rFonts w:eastAsia="Calibri"/>
                <w:sz w:val="20"/>
              </w:rPr>
              <w:t xml:space="preserve"> and Ms. </w:t>
            </w:r>
            <w:proofErr w:type="spellStart"/>
            <w:r w:rsidRPr="00DF0A0A">
              <w:rPr>
                <w:rFonts w:eastAsia="Calibri"/>
                <w:sz w:val="20"/>
              </w:rPr>
              <w:t>Premi</w:t>
            </w:r>
            <w:proofErr w:type="spellEnd"/>
            <w:r w:rsidRPr="00DF0A0A">
              <w:rPr>
                <w:rFonts w:eastAsia="Calibri"/>
                <w:sz w:val="20"/>
              </w:rPr>
              <w:t xml:space="preserve"> were married in 1990, separated in 1999 and divorced in 2004.  They have two children who are presently 15 and 13 years of age and they have resided primarily with their mother since the separation. In 2003, Ms. </w:t>
            </w:r>
            <w:proofErr w:type="spellStart"/>
            <w:r w:rsidRPr="00DF0A0A">
              <w:rPr>
                <w:rFonts w:eastAsia="Calibri"/>
                <w:sz w:val="20"/>
              </w:rPr>
              <w:t>Premi</w:t>
            </w:r>
            <w:proofErr w:type="spellEnd"/>
            <w:r w:rsidRPr="00DF0A0A">
              <w:rPr>
                <w:rFonts w:eastAsia="Calibri"/>
                <w:sz w:val="20"/>
              </w:rPr>
              <w:t xml:space="preserve"> brought a motion for child support as Mr. </w:t>
            </w:r>
            <w:proofErr w:type="spellStart"/>
            <w:r w:rsidRPr="00DF0A0A">
              <w:rPr>
                <w:rFonts w:eastAsia="Calibri"/>
                <w:sz w:val="20"/>
              </w:rPr>
              <w:t>Khodeir</w:t>
            </w:r>
            <w:proofErr w:type="spellEnd"/>
            <w:r w:rsidRPr="00DF0A0A">
              <w:rPr>
                <w:rFonts w:eastAsia="Calibri"/>
                <w:sz w:val="20"/>
              </w:rPr>
              <w:t xml:space="preserve"> had fallen into arrears under the terms of their separation agreement.  The court imputed income of $60,000 per annum to Mr. </w:t>
            </w:r>
            <w:proofErr w:type="spellStart"/>
            <w:r w:rsidRPr="00DF0A0A">
              <w:rPr>
                <w:rFonts w:eastAsia="Calibri"/>
                <w:sz w:val="20"/>
              </w:rPr>
              <w:t>Khodeir</w:t>
            </w:r>
            <w:proofErr w:type="spellEnd"/>
            <w:r w:rsidRPr="00DF0A0A">
              <w:rPr>
                <w:rFonts w:eastAsia="Calibri"/>
                <w:sz w:val="20"/>
              </w:rPr>
              <w:t xml:space="preserve"> for the purposes of calculating child support.  He was also ordered to pay 40 per cent of certain extraordinary expenses.  Mr. </w:t>
            </w:r>
            <w:proofErr w:type="spellStart"/>
            <w:r w:rsidRPr="00DF0A0A">
              <w:rPr>
                <w:rFonts w:eastAsia="Calibri"/>
                <w:sz w:val="20"/>
              </w:rPr>
              <w:t>Khodeir’s</w:t>
            </w:r>
            <w:proofErr w:type="spellEnd"/>
            <w:r w:rsidRPr="00DF0A0A">
              <w:rPr>
                <w:rFonts w:eastAsia="Calibri"/>
                <w:sz w:val="20"/>
              </w:rPr>
              <w:t xml:space="preserve"> appeal from </w:t>
            </w:r>
            <w:r w:rsidRPr="00DF0A0A">
              <w:rPr>
                <w:rFonts w:eastAsia="Calibri"/>
                <w:sz w:val="20"/>
              </w:rPr>
              <w:lastRenderedPageBreak/>
              <w:t xml:space="preserve">that order was dismissed.  In 2009, Ms. </w:t>
            </w:r>
            <w:proofErr w:type="spellStart"/>
            <w:r w:rsidRPr="00DF0A0A">
              <w:rPr>
                <w:rFonts w:eastAsia="Calibri"/>
                <w:sz w:val="20"/>
              </w:rPr>
              <w:t>Premi</w:t>
            </w:r>
            <w:proofErr w:type="spellEnd"/>
            <w:r w:rsidRPr="00DF0A0A">
              <w:rPr>
                <w:rFonts w:eastAsia="Calibri"/>
                <w:sz w:val="20"/>
              </w:rPr>
              <w:t xml:space="preserve"> brought another motion for child support and extraordinary expenses both retroactively and prospectively.  Mr. </w:t>
            </w:r>
            <w:proofErr w:type="spellStart"/>
            <w:r w:rsidRPr="00DF0A0A">
              <w:rPr>
                <w:rFonts w:eastAsia="Calibri"/>
                <w:sz w:val="20"/>
              </w:rPr>
              <w:t>Khodeir</w:t>
            </w:r>
            <w:proofErr w:type="spellEnd"/>
            <w:r w:rsidRPr="00DF0A0A">
              <w:rPr>
                <w:rFonts w:eastAsia="Calibri"/>
                <w:sz w:val="20"/>
              </w:rPr>
              <w:t xml:space="preserve"> responded with four cross motions to reduce his child support obligations retrospectively and prospectively, to fix his child support obligation at nil, for a refund of his overpayment of child support and a fourth motion attacking the validity of the Federal </w:t>
            </w:r>
            <w:r w:rsidRPr="00DF0A0A">
              <w:rPr>
                <w:rFonts w:eastAsia="Calibri"/>
                <w:i/>
                <w:sz w:val="20"/>
              </w:rPr>
              <w:t>Child Support Guidelines</w:t>
            </w:r>
            <w:r w:rsidRPr="00DF0A0A">
              <w:rPr>
                <w:rFonts w:eastAsia="Calibri"/>
                <w:sz w:val="20"/>
              </w:rPr>
              <w:t xml:space="preserve">.  Following the release of his endorsement, the motion judge made two amendments and also ordered costs against Mr. </w:t>
            </w:r>
            <w:proofErr w:type="spellStart"/>
            <w:r w:rsidRPr="00DF0A0A">
              <w:rPr>
                <w:rFonts w:eastAsia="Calibri"/>
                <w:sz w:val="20"/>
              </w:rPr>
              <w:t>Khodeir</w:t>
            </w:r>
            <w:proofErr w:type="spellEnd"/>
            <w:r w:rsidRPr="00DF0A0A">
              <w:rPr>
                <w:rFonts w:eastAsia="Calibri"/>
                <w:sz w:val="20"/>
              </w:rPr>
              <w:t>.</w:t>
            </w:r>
          </w:p>
          <w:p w:rsidR="00496DC7" w:rsidRPr="00DF0A0A" w:rsidRDefault="00496DC7" w:rsidP="00496DC7">
            <w:pPr>
              <w:jc w:val="both"/>
              <w:rPr>
                <w:rFonts w:eastAsia="Calibri"/>
                <w:sz w:val="20"/>
              </w:rPr>
            </w:pPr>
          </w:p>
        </w:tc>
      </w:tr>
      <w:tr w:rsidR="00496DC7" w:rsidRPr="00DF0A0A" w:rsidTr="00496DC7">
        <w:tc>
          <w:tcPr>
            <w:tcW w:w="2427" w:type="pct"/>
          </w:tcPr>
          <w:p w:rsidR="00496DC7" w:rsidRPr="00DF0A0A" w:rsidRDefault="00496DC7" w:rsidP="00496DC7">
            <w:pPr>
              <w:jc w:val="both"/>
              <w:rPr>
                <w:rFonts w:eastAsia="Calibri"/>
                <w:sz w:val="20"/>
              </w:rPr>
            </w:pPr>
            <w:r w:rsidRPr="00DF0A0A">
              <w:rPr>
                <w:rFonts w:eastAsia="Calibri"/>
                <w:sz w:val="20"/>
              </w:rPr>
              <w:lastRenderedPageBreak/>
              <w:t>January 25, 2010</w:t>
            </w:r>
          </w:p>
          <w:p w:rsidR="00496DC7" w:rsidRPr="00DF0A0A" w:rsidRDefault="00496DC7" w:rsidP="00496DC7">
            <w:pPr>
              <w:jc w:val="both"/>
              <w:rPr>
                <w:rFonts w:eastAsia="Calibri"/>
                <w:sz w:val="20"/>
              </w:rPr>
            </w:pPr>
            <w:r w:rsidRPr="00DF0A0A">
              <w:rPr>
                <w:rFonts w:eastAsia="Calibri"/>
                <w:sz w:val="20"/>
              </w:rPr>
              <w:t>Ontario Superior Court of Justice</w:t>
            </w:r>
          </w:p>
          <w:p w:rsidR="00496DC7" w:rsidRPr="00DF0A0A" w:rsidRDefault="00496DC7" w:rsidP="00496DC7">
            <w:pPr>
              <w:jc w:val="both"/>
              <w:rPr>
                <w:rFonts w:eastAsia="Calibri"/>
                <w:sz w:val="20"/>
              </w:rPr>
            </w:pPr>
            <w:r w:rsidRPr="00DF0A0A">
              <w:rPr>
                <w:rFonts w:eastAsia="Calibri"/>
                <w:sz w:val="20"/>
              </w:rPr>
              <w:t>(Turnbull J.)</w:t>
            </w:r>
          </w:p>
          <w:p w:rsidR="00496DC7" w:rsidRPr="00DF0A0A" w:rsidRDefault="00496DC7" w:rsidP="00496DC7">
            <w:pPr>
              <w:jc w:val="both"/>
              <w:rPr>
                <w:rFonts w:eastAsia="Calibri"/>
                <w:sz w:val="20"/>
              </w:rPr>
            </w:pPr>
            <w:r w:rsidRPr="00DF0A0A">
              <w:rPr>
                <w:rFonts w:eastAsia="Calibri"/>
                <w:sz w:val="20"/>
              </w:rPr>
              <w:t xml:space="preserve">2009 </w:t>
            </w:r>
            <w:proofErr w:type="spellStart"/>
            <w:r w:rsidRPr="00DF0A0A">
              <w:rPr>
                <w:rFonts w:eastAsia="Calibri"/>
                <w:sz w:val="20"/>
              </w:rPr>
              <w:t>CanLII</w:t>
            </w:r>
            <w:proofErr w:type="spellEnd"/>
            <w:r w:rsidRPr="00DF0A0A">
              <w:rPr>
                <w:rFonts w:eastAsia="Calibri"/>
                <w:sz w:val="20"/>
              </w:rPr>
              <w:t xml:space="preserve"> 42307</w:t>
            </w:r>
          </w:p>
        </w:tc>
        <w:tc>
          <w:tcPr>
            <w:tcW w:w="243" w:type="pct"/>
          </w:tcPr>
          <w:p w:rsidR="00496DC7" w:rsidRPr="00DF0A0A" w:rsidRDefault="00496DC7" w:rsidP="00496DC7">
            <w:pPr>
              <w:jc w:val="both"/>
              <w:rPr>
                <w:rFonts w:eastAsia="Calibri"/>
                <w:sz w:val="20"/>
              </w:rPr>
            </w:pPr>
          </w:p>
        </w:tc>
        <w:tc>
          <w:tcPr>
            <w:tcW w:w="2330" w:type="pct"/>
          </w:tcPr>
          <w:p w:rsidR="00496DC7" w:rsidRPr="00DF0A0A" w:rsidRDefault="00496DC7" w:rsidP="00496DC7">
            <w:pPr>
              <w:jc w:val="both"/>
              <w:rPr>
                <w:rFonts w:eastAsia="Calibri"/>
                <w:sz w:val="20"/>
              </w:rPr>
            </w:pPr>
            <w:r w:rsidRPr="00DF0A0A">
              <w:rPr>
                <w:rFonts w:eastAsia="Calibri"/>
                <w:sz w:val="20"/>
              </w:rPr>
              <w:t xml:space="preserve">Variation of child support and division section 7 expenses ordered;  Federal </w:t>
            </w:r>
            <w:r w:rsidRPr="00DF0A0A">
              <w:rPr>
                <w:rFonts w:eastAsia="Calibri"/>
                <w:i/>
                <w:sz w:val="20"/>
              </w:rPr>
              <w:t>Child Support Guidelines</w:t>
            </w:r>
            <w:r w:rsidRPr="00DF0A0A">
              <w:rPr>
                <w:rFonts w:eastAsia="Calibri"/>
                <w:sz w:val="20"/>
              </w:rPr>
              <w:t xml:space="preserve"> held to be constitutional;  Motion judge amending endorsement and making costs award</w:t>
            </w:r>
          </w:p>
          <w:p w:rsidR="00496DC7" w:rsidRPr="00DF0A0A" w:rsidRDefault="00496DC7" w:rsidP="00496DC7">
            <w:pPr>
              <w:jc w:val="both"/>
              <w:rPr>
                <w:rFonts w:eastAsia="Calibri"/>
                <w:sz w:val="20"/>
              </w:rPr>
            </w:pPr>
          </w:p>
        </w:tc>
      </w:tr>
      <w:tr w:rsidR="00496DC7" w:rsidRPr="00DF0A0A" w:rsidTr="00496DC7">
        <w:tc>
          <w:tcPr>
            <w:tcW w:w="2427" w:type="pct"/>
          </w:tcPr>
          <w:p w:rsidR="00496DC7" w:rsidRPr="00DF0A0A" w:rsidRDefault="00496DC7" w:rsidP="00496DC7">
            <w:pPr>
              <w:jc w:val="both"/>
              <w:rPr>
                <w:rFonts w:eastAsia="Calibri"/>
                <w:sz w:val="20"/>
              </w:rPr>
            </w:pPr>
            <w:r w:rsidRPr="00DF0A0A">
              <w:rPr>
                <w:rFonts w:eastAsia="Calibri"/>
                <w:sz w:val="20"/>
              </w:rPr>
              <w:t>November 22, 2010</w:t>
            </w:r>
          </w:p>
          <w:p w:rsidR="00496DC7" w:rsidRPr="00DF0A0A" w:rsidRDefault="00496DC7" w:rsidP="00496DC7">
            <w:pPr>
              <w:jc w:val="both"/>
              <w:rPr>
                <w:rFonts w:eastAsia="Calibri"/>
                <w:sz w:val="20"/>
              </w:rPr>
            </w:pPr>
            <w:r w:rsidRPr="00DF0A0A">
              <w:rPr>
                <w:rFonts w:eastAsia="Calibri"/>
                <w:sz w:val="20"/>
              </w:rPr>
              <w:t>Court of Appeal for Ontario</w:t>
            </w:r>
          </w:p>
          <w:p w:rsidR="00496DC7" w:rsidRPr="00DF0A0A" w:rsidRDefault="00496DC7" w:rsidP="00496DC7">
            <w:pPr>
              <w:jc w:val="both"/>
              <w:rPr>
                <w:rFonts w:eastAsia="Calibri"/>
                <w:sz w:val="20"/>
              </w:rPr>
            </w:pPr>
            <w:r w:rsidRPr="00DF0A0A">
              <w:rPr>
                <w:rFonts w:eastAsia="Calibri"/>
                <w:sz w:val="20"/>
              </w:rPr>
              <w:t xml:space="preserve">(Simmons, </w:t>
            </w:r>
            <w:proofErr w:type="spellStart"/>
            <w:r w:rsidRPr="00DF0A0A">
              <w:rPr>
                <w:rFonts w:eastAsia="Calibri"/>
                <w:sz w:val="20"/>
              </w:rPr>
              <w:t>Gillese</w:t>
            </w:r>
            <w:proofErr w:type="spellEnd"/>
            <w:r w:rsidRPr="00DF0A0A">
              <w:rPr>
                <w:rFonts w:eastAsia="Calibri"/>
                <w:sz w:val="20"/>
              </w:rPr>
              <w:t xml:space="preserve"> and </w:t>
            </w:r>
            <w:proofErr w:type="spellStart"/>
            <w:r w:rsidRPr="00DF0A0A">
              <w:rPr>
                <w:rFonts w:eastAsia="Calibri"/>
                <w:sz w:val="20"/>
              </w:rPr>
              <w:t>Karakatsanis</w:t>
            </w:r>
            <w:proofErr w:type="spellEnd"/>
            <w:r w:rsidRPr="00DF0A0A">
              <w:rPr>
                <w:rFonts w:eastAsia="Calibri"/>
                <w:sz w:val="20"/>
              </w:rPr>
              <w:t xml:space="preserve"> JJ.A.)</w:t>
            </w:r>
          </w:p>
          <w:p w:rsidR="00496DC7" w:rsidRPr="00DF0A0A" w:rsidRDefault="00496DC7" w:rsidP="00496DC7">
            <w:pPr>
              <w:jc w:val="both"/>
              <w:rPr>
                <w:rFonts w:eastAsia="Calibri"/>
                <w:sz w:val="20"/>
              </w:rPr>
            </w:pPr>
            <w:r w:rsidRPr="00DF0A0A">
              <w:rPr>
                <w:rFonts w:eastAsia="Calibri"/>
                <w:sz w:val="20"/>
              </w:rPr>
              <w:t>2010 ONCA 721</w:t>
            </w:r>
          </w:p>
          <w:p w:rsidR="00496DC7" w:rsidRPr="00DF0A0A" w:rsidRDefault="00496DC7" w:rsidP="00496DC7">
            <w:pPr>
              <w:jc w:val="both"/>
              <w:rPr>
                <w:rFonts w:eastAsia="Calibri"/>
                <w:sz w:val="20"/>
              </w:rPr>
            </w:pPr>
          </w:p>
        </w:tc>
        <w:tc>
          <w:tcPr>
            <w:tcW w:w="243" w:type="pct"/>
          </w:tcPr>
          <w:p w:rsidR="00496DC7" w:rsidRPr="00DF0A0A" w:rsidRDefault="00496DC7" w:rsidP="00496DC7">
            <w:pPr>
              <w:jc w:val="both"/>
              <w:rPr>
                <w:rFonts w:eastAsia="Calibri"/>
                <w:sz w:val="20"/>
              </w:rPr>
            </w:pPr>
          </w:p>
        </w:tc>
        <w:tc>
          <w:tcPr>
            <w:tcW w:w="2330" w:type="pct"/>
          </w:tcPr>
          <w:p w:rsidR="00496DC7" w:rsidRPr="00DF0A0A" w:rsidRDefault="00496DC7" w:rsidP="00496DC7">
            <w:pPr>
              <w:jc w:val="both"/>
              <w:rPr>
                <w:rFonts w:eastAsia="Calibri"/>
                <w:sz w:val="20"/>
              </w:rPr>
            </w:pPr>
            <w:r w:rsidRPr="00DF0A0A">
              <w:rPr>
                <w:rFonts w:eastAsia="Calibri"/>
                <w:sz w:val="20"/>
              </w:rPr>
              <w:t>Appeal dismissed</w:t>
            </w:r>
          </w:p>
          <w:p w:rsidR="00496DC7" w:rsidRPr="00DF0A0A" w:rsidRDefault="00496DC7" w:rsidP="00496DC7">
            <w:pPr>
              <w:jc w:val="both"/>
              <w:rPr>
                <w:rFonts w:eastAsia="Calibri"/>
                <w:sz w:val="20"/>
              </w:rPr>
            </w:pPr>
          </w:p>
        </w:tc>
      </w:tr>
      <w:tr w:rsidR="00496DC7" w:rsidRPr="00DF0A0A" w:rsidTr="00496DC7">
        <w:tc>
          <w:tcPr>
            <w:tcW w:w="2427" w:type="pct"/>
          </w:tcPr>
          <w:p w:rsidR="00496DC7" w:rsidRPr="00DF0A0A" w:rsidRDefault="00496DC7" w:rsidP="00496DC7">
            <w:pPr>
              <w:jc w:val="both"/>
              <w:rPr>
                <w:rFonts w:eastAsia="Calibri"/>
                <w:sz w:val="20"/>
              </w:rPr>
            </w:pPr>
            <w:r w:rsidRPr="00DF0A0A">
              <w:rPr>
                <w:rFonts w:eastAsia="Calibri"/>
                <w:sz w:val="20"/>
              </w:rPr>
              <w:t>December 17, 2010</w:t>
            </w:r>
          </w:p>
          <w:p w:rsidR="00496DC7" w:rsidRPr="00DF0A0A" w:rsidRDefault="00496DC7" w:rsidP="00496DC7">
            <w:pPr>
              <w:jc w:val="both"/>
              <w:rPr>
                <w:rFonts w:eastAsia="Calibri"/>
                <w:sz w:val="20"/>
              </w:rPr>
            </w:pPr>
            <w:r w:rsidRPr="00DF0A0A">
              <w:rPr>
                <w:rFonts w:eastAsia="Calibri"/>
                <w:sz w:val="20"/>
              </w:rPr>
              <w:t>Supreme Court of Canada</w:t>
            </w:r>
          </w:p>
        </w:tc>
        <w:tc>
          <w:tcPr>
            <w:tcW w:w="243" w:type="pct"/>
          </w:tcPr>
          <w:p w:rsidR="00496DC7" w:rsidRPr="00DF0A0A" w:rsidRDefault="00496DC7" w:rsidP="00496DC7">
            <w:pPr>
              <w:jc w:val="both"/>
              <w:rPr>
                <w:rFonts w:eastAsia="Calibri"/>
                <w:sz w:val="20"/>
              </w:rPr>
            </w:pPr>
          </w:p>
        </w:tc>
        <w:tc>
          <w:tcPr>
            <w:tcW w:w="2330" w:type="pct"/>
          </w:tcPr>
          <w:p w:rsidR="00496DC7" w:rsidRPr="00DF0A0A" w:rsidRDefault="00496DC7" w:rsidP="00496DC7">
            <w:pPr>
              <w:jc w:val="both"/>
              <w:rPr>
                <w:rFonts w:eastAsia="Calibri"/>
                <w:sz w:val="20"/>
              </w:rPr>
            </w:pPr>
            <w:r w:rsidRPr="00DF0A0A">
              <w:rPr>
                <w:rFonts w:eastAsia="Calibri"/>
                <w:sz w:val="20"/>
              </w:rPr>
              <w:t>Application for leave to appeal filed</w:t>
            </w:r>
          </w:p>
          <w:p w:rsidR="00496DC7" w:rsidRPr="00DF0A0A" w:rsidRDefault="00496DC7" w:rsidP="00496DC7">
            <w:pPr>
              <w:jc w:val="both"/>
              <w:rPr>
                <w:rFonts w:eastAsia="Calibri"/>
                <w:sz w:val="20"/>
              </w:rPr>
            </w:pPr>
          </w:p>
        </w:tc>
      </w:tr>
    </w:tbl>
    <w:p w:rsidR="00610966" w:rsidRDefault="00610966" w:rsidP="00610966">
      <w:pPr>
        <w:rPr>
          <w:sz w:val="20"/>
          <w:szCs w:val="20"/>
        </w:rPr>
      </w:pPr>
    </w:p>
    <w:p w:rsidR="00610966" w:rsidRDefault="00C478F8" w:rsidP="00610966">
      <w:pPr>
        <w:rPr>
          <w:sz w:val="20"/>
          <w:szCs w:val="20"/>
        </w:rPr>
      </w:pPr>
      <w:r w:rsidRPr="00C478F8">
        <w:rPr>
          <w:sz w:val="20"/>
          <w:szCs w:val="20"/>
          <w:lang w:val="fr-CA"/>
        </w:rPr>
        <w:pict>
          <v:rect id="_x0000_i1051" style="width:2in;height:1pt" o:hrpct="0" o:hralign="center" o:hrstd="t" o:hrnoshade="t" o:hr="t" fillcolor="black [3213]" stroked="f"/>
        </w:pict>
      </w:r>
    </w:p>
    <w:p w:rsidR="00610966" w:rsidRDefault="00610966" w:rsidP="00610966">
      <w:pPr>
        <w:rPr>
          <w:sz w:val="20"/>
          <w:szCs w:val="20"/>
        </w:rPr>
      </w:pPr>
    </w:p>
    <w:p w:rsidR="00610966" w:rsidRPr="00610966" w:rsidRDefault="00610966" w:rsidP="00610966">
      <w:pPr>
        <w:rPr>
          <w:sz w:val="20"/>
          <w:szCs w:val="20"/>
          <w:u w:val="single"/>
        </w:rPr>
      </w:pPr>
      <w:r w:rsidRPr="00610966">
        <w:rPr>
          <w:sz w:val="20"/>
          <w:szCs w:val="20"/>
          <w:u w:val="single"/>
        </w:rPr>
        <w:t>RÉSUMÉ DE L’AFFAIRE</w:t>
      </w:r>
    </w:p>
    <w:p w:rsidR="00610966" w:rsidRDefault="00610966" w:rsidP="00610966">
      <w:pPr>
        <w:rPr>
          <w:b/>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96DC7" w:rsidRPr="00406D3C" w:rsidTr="00496DC7">
        <w:tc>
          <w:tcPr>
            <w:tcW w:w="5000" w:type="pct"/>
            <w:gridSpan w:val="3"/>
          </w:tcPr>
          <w:p w:rsidR="00496DC7" w:rsidRPr="00DF0A0A" w:rsidRDefault="00496DC7" w:rsidP="00496DC7">
            <w:pPr>
              <w:jc w:val="both"/>
              <w:rPr>
                <w:rFonts w:eastAsia="Calibri"/>
                <w:sz w:val="20"/>
                <w:lang w:val="fr-CA"/>
              </w:rPr>
            </w:pPr>
            <w:r w:rsidRPr="00DF0A0A">
              <w:rPr>
                <w:rFonts w:eastAsia="Calibri"/>
                <w:sz w:val="20"/>
                <w:lang w:val="fr-CA"/>
              </w:rPr>
              <w:t xml:space="preserve">Tribunaux – Compétence – Dépens – Jugements et ordonnances – Modifications –  Le juge des requêtes modifie à deux reprises certaines dispositions de sa décision – La cour d’appel a-t-elle commis une erreur en ne réglant pas le problème des incohérences dans la jurisprudence? – La Cour d’appel a-t-elle commis une erreur en concluant que le juge des requêtes avait compétence pour tenir l’audience relative à la deuxième modification? – L’annulation d’une modification </w:t>
            </w:r>
            <w:proofErr w:type="spellStart"/>
            <w:r w:rsidRPr="00DF0A0A">
              <w:rPr>
                <w:rFonts w:eastAsia="Calibri"/>
                <w:sz w:val="20"/>
                <w:lang w:val="fr-CA"/>
              </w:rPr>
              <w:t>a</w:t>
            </w:r>
            <w:r w:rsidRPr="00DF0A0A">
              <w:rPr>
                <w:rFonts w:eastAsia="Calibri"/>
                <w:sz w:val="20"/>
                <w:lang w:val="fr-CA"/>
              </w:rPr>
              <w:noBreakHyphen/>
              <w:t>t-elle</w:t>
            </w:r>
            <w:proofErr w:type="spellEnd"/>
            <w:r w:rsidRPr="00DF0A0A">
              <w:rPr>
                <w:rFonts w:eastAsia="Calibri"/>
                <w:sz w:val="20"/>
                <w:lang w:val="fr-CA"/>
              </w:rPr>
              <w:t xml:space="preserve"> occasionné des conclusions contradictoires? – La Cour d’appel a-t-elle commis une erreur en concluant que le juge des requêtes avait compétence pour trancher la question des dépens? – Le succès mitigé qu’ont obtenu les parties est-il incompatible avec l’adjudication de dépens d’indemnisation substantielle? </w:t>
            </w:r>
          </w:p>
          <w:p w:rsidR="00496DC7" w:rsidRPr="00DF0A0A" w:rsidRDefault="00496DC7" w:rsidP="00496DC7">
            <w:pPr>
              <w:jc w:val="both"/>
              <w:rPr>
                <w:rFonts w:eastAsia="Calibri"/>
                <w:sz w:val="20"/>
                <w:lang w:val="fr-CA"/>
              </w:rPr>
            </w:pPr>
          </w:p>
        </w:tc>
      </w:tr>
      <w:tr w:rsidR="00496DC7" w:rsidRPr="00406D3C" w:rsidTr="00496DC7">
        <w:tc>
          <w:tcPr>
            <w:tcW w:w="5000" w:type="pct"/>
            <w:gridSpan w:val="3"/>
          </w:tcPr>
          <w:p w:rsidR="00496DC7" w:rsidRPr="00DF0A0A" w:rsidRDefault="00496DC7" w:rsidP="00496DC7">
            <w:pPr>
              <w:jc w:val="both"/>
              <w:rPr>
                <w:rFonts w:eastAsia="Calibri"/>
                <w:sz w:val="20"/>
                <w:lang w:val="fr-CA"/>
              </w:rPr>
            </w:pPr>
            <w:r w:rsidRPr="00DF0A0A">
              <w:rPr>
                <w:rFonts w:eastAsia="Calibri"/>
                <w:sz w:val="20"/>
                <w:lang w:val="fr-CA"/>
              </w:rPr>
              <w:t xml:space="preserve">Monsieur </w:t>
            </w:r>
            <w:proofErr w:type="spellStart"/>
            <w:r w:rsidRPr="00DF0A0A">
              <w:rPr>
                <w:rFonts w:eastAsia="Calibri"/>
                <w:sz w:val="20"/>
                <w:lang w:val="fr-CA"/>
              </w:rPr>
              <w:t>Khodeir</w:t>
            </w:r>
            <w:proofErr w:type="spellEnd"/>
            <w:r w:rsidRPr="00DF0A0A">
              <w:rPr>
                <w:rFonts w:eastAsia="Calibri"/>
                <w:sz w:val="20"/>
                <w:lang w:val="fr-CA"/>
              </w:rPr>
              <w:t xml:space="preserve"> et Madame </w:t>
            </w:r>
            <w:proofErr w:type="spellStart"/>
            <w:r w:rsidRPr="00DF0A0A">
              <w:rPr>
                <w:rFonts w:eastAsia="Calibri"/>
                <w:sz w:val="20"/>
                <w:lang w:val="fr-CA"/>
              </w:rPr>
              <w:t>Premi</w:t>
            </w:r>
            <w:proofErr w:type="spellEnd"/>
            <w:r w:rsidRPr="00DF0A0A">
              <w:rPr>
                <w:rFonts w:eastAsia="Calibri"/>
                <w:sz w:val="20"/>
                <w:lang w:val="fr-CA"/>
              </w:rPr>
              <w:t xml:space="preserve"> se sont mariés en 1990, ils se sont séparés en 1999 et ils ont divorcé en 2004.  Ils ont deux enfants qui sont présentement âgés de 15 et 13 ans.  Ceux-ci ont pri</w:t>
            </w:r>
            <w:r w:rsidR="004C5B42">
              <w:rPr>
                <w:rFonts w:eastAsia="Calibri"/>
                <w:sz w:val="20"/>
                <w:lang w:val="fr-CA"/>
              </w:rPr>
              <w:t>n</w:t>
            </w:r>
            <w:r w:rsidRPr="00DF0A0A">
              <w:rPr>
                <w:rFonts w:eastAsia="Calibri"/>
                <w:sz w:val="20"/>
                <w:lang w:val="fr-CA"/>
              </w:rPr>
              <w:t>cipale</w:t>
            </w:r>
            <w:r w:rsidR="004C5B42">
              <w:rPr>
                <w:rFonts w:eastAsia="Calibri"/>
                <w:sz w:val="20"/>
                <w:lang w:val="fr-CA"/>
              </w:rPr>
              <w:t>me</w:t>
            </w:r>
            <w:r w:rsidRPr="00DF0A0A">
              <w:rPr>
                <w:rFonts w:eastAsia="Calibri"/>
                <w:sz w:val="20"/>
                <w:lang w:val="fr-CA"/>
              </w:rPr>
              <w:t xml:space="preserve">nt résidé avec leur mère depuis la séparation.  En 2003, Mme </w:t>
            </w:r>
            <w:proofErr w:type="spellStart"/>
            <w:r w:rsidRPr="00DF0A0A">
              <w:rPr>
                <w:rFonts w:eastAsia="Calibri"/>
                <w:sz w:val="20"/>
                <w:lang w:val="fr-CA"/>
              </w:rPr>
              <w:t>Premi</w:t>
            </w:r>
            <w:proofErr w:type="spellEnd"/>
            <w:r w:rsidRPr="00DF0A0A">
              <w:rPr>
                <w:rFonts w:eastAsia="Calibri"/>
                <w:sz w:val="20"/>
                <w:lang w:val="fr-CA"/>
              </w:rPr>
              <w:t xml:space="preserve"> a présenté une motion de pension alimentaire car M. </w:t>
            </w:r>
            <w:proofErr w:type="spellStart"/>
            <w:r w:rsidRPr="00DF0A0A">
              <w:rPr>
                <w:rFonts w:eastAsia="Calibri"/>
                <w:sz w:val="20"/>
                <w:lang w:val="fr-CA"/>
              </w:rPr>
              <w:t>Khodeir</w:t>
            </w:r>
            <w:proofErr w:type="spellEnd"/>
            <w:r w:rsidRPr="00DF0A0A">
              <w:rPr>
                <w:rFonts w:eastAsia="Calibri"/>
                <w:sz w:val="20"/>
                <w:lang w:val="fr-CA"/>
              </w:rPr>
              <w:t xml:space="preserve"> était en retard quant aux conditions prévues dans leur entente de séparation.  La cour a attribué à M. </w:t>
            </w:r>
            <w:proofErr w:type="spellStart"/>
            <w:r w:rsidRPr="00DF0A0A">
              <w:rPr>
                <w:rFonts w:eastAsia="Calibri"/>
                <w:sz w:val="20"/>
                <w:lang w:val="fr-CA"/>
              </w:rPr>
              <w:t>Khodeir</w:t>
            </w:r>
            <w:proofErr w:type="spellEnd"/>
            <w:r w:rsidRPr="00DF0A0A">
              <w:rPr>
                <w:rFonts w:eastAsia="Calibri"/>
                <w:sz w:val="20"/>
                <w:lang w:val="fr-CA"/>
              </w:rPr>
              <w:t xml:space="preserve"> des revenus de 60 000 $ par année pour les besoins du calcul de la pension alimentaire.  La cour lui a ordonné de payer 40 p. 100 de certaines dépenses extraordinaires.  L’appel interjeté par M. </w:t>
            </w:r>
            <w:proofErr w:type="spellStart"/>
            <w:r w:rsidRPr="00DF0A0A">
              <w:rPr>
                <w:rFonts w:eastAsia="Calibri"/>
                <w:sz w:val="20"/>
                <w:lang w:val="fr-CA"/>
              </w:rPr>
              <w:t>Khodeir</w:t>
            </w:r>
            <w:proofErr w:type="spellEnd"/>
            <w:r w:rsidRPr="00DF0A0A">
              <w:rPr>
                <w:rFonts w:eastAsia="Calibri"/>
                <w:sz w:val="20"/>
                <w:lang w:val="fr-CA"/>
              </w:rPr>
              <w:t xml:space="preserve"> à l’encontre de cette ordonnance a été rejeté.  En 2009, Mme </w:t>
            </w:r>
            <w:proofErr w:type="spellStart"/>
            <w:r w:rsidRPr="00DF0A0A">
              <w:rPr>
                <w:rFonts w:eastAsia="Calibri"/>
                <w:sz w:val="20"/>
                <w:lang w:val="fr-CA"/>
              </w:rPr>
              <w:t>Premi</w:t>
            </w:r>
            <w:proofErr w:type="spellEnd"/>
            <w:r w:rsidRPr="00DF0A0A">
              <w:rPr>
                <w:rFonts w:eastAsia="Calibri"/>
                <w:sz w:val="20"/>
                <w:lang w:val="fr-CA"/>
              </w:rPr>
              <w:t xml:space="preserve"> a présenté une motion de pension alimentaire et de dépenses extraordinaires, rétroactivement et pour l’avenir.  M. </w:t>
            </w:r>
            <w:proofErr w:type="spellStart"/>
            <w:r w:rsidRPr="00DF0A0A">
              <w:rPr>
                <w:rFonts w:eastAsia="Calibri"/>
                <w:sz w:val="20"/>
                <w:lang w:val="fr-CA"/>
              </w:rPr>
              <w:t>Khodeir</w:t>
            </w:r>
            <w:proofErr w:type="spellEnd"/>
            <w:r w:rsidRPr="00DF0A0A">
              <w:rPr>
                <w:rFonts w:eastAsia="Calibri"/>
                <w:sz w:val="20"/>
                <w:lang w:val="fr-CA"/>
              </w:rPr>
              <w:t xml:space="preserve"> a répondu en déposant quatre motions incidentes; une motion visant à faire diminuer, rétroactivement et pour l’avenir, ses obligations alimentaires, une motion visant à faire établir le montant de son obligation alimentaire à zéro, une motion visant à obtenir un remboursement du montant qu’il avait payé en trop au titre de la pension alimentaire et une motion contestant la validité des </w:t>
            </w:r>
            <w:r w:rsidRPr="00DF0A0A">
              <w:rPr>
                <w:rFonts w:eastAsia="Calibri"/>
                <w:i/>
                <w:color w:val="000000"/>
                <w:sz w:val="20"/>
                <w:lang w:val="fr-FR"/>
              </w:rPr>
              <w:t>Lignes directrices fédérales sur les pensions alimentaires pour enfants</w:t>
            </w:r>
            <w:r w:rsidRPr="00DF0A0A">
              <w:rPr>
                <w:rFonts w:eastAsia="Calibri"/>
                <w:sz w:val="20"/>
                <w:lang w:val="fr-CA"/>
              </w:rPr>
              <w:t xml:space="preserve">.  À la suite de sa décision, le juge des requêtes a apporté deux modifications et a ordonné à M. </w:t>
            </w:r>
            <w:proofErr w:type="spellStart"/>
            <w:r w:rsidRPr="00DF0A0A">
              <w:rPr>
                <w:rFonts w:eastAsia="Calibri"/>
                <w:sz w:val="20"/>
                <w:lang w:val="fr-CA"/>
              </w:rPr>
              <w:t>Khodeir</w:t>
            </w:r>
            <w:proofErr w:type="spellEnd"/>
            <w:r w:rsidRPr="00DF0A0A">
              <w:rPr>
                <w:rFonts w:eastAsia="Calibri"/>
                <w:sz w:val="20"/>
                <w:lang w:val="fr-CA"/>
              </w:rPr>
              <w:t xml:space="preserve"> de payer les dépens.</w:t>
            </w:r>
          </w:p>
          <w:p w:rsidR="00496DC7" w:rsidRPr="00DF0A0A" w:rsidRDefault="00496DC7" w:rsidP="00496DC7">
            <w:pPr>
              <w:jc w:val="both"/>
              <w:rPr>
                <w:rFonts w:eastAsia="Calibri"/>
                <w:sz w:val="20"/>
                <w:lang w:val="fr-CA"/>
              </w:rPr>
            </w:pPr>
          </w:p>
        </w:tc>
      </w:tr>
      <w:tr w:rsidR="00496DC7" w:rsidRPr="00406D3C" w:rsidTr="00496DC7">
        <w:tc>
          <w:tcPr>
            <w:tcW w:w="2427" w:type="pct"/>
          </w:tcPr>
          <w:p w:rsidR="00496DC7" w:rsidRPr="00DF0A0A" w:rsidRDefault="00496DC7" w:rsidP="00496DC7">
            <w:pPr>
              <w:jc w:val="both"/>
              <w:rPr>
                <w:rFonts w:eastAsia="Calibri"/>
                <w:sz w:val="20"/>
                <w:lang w:val="fr-CA"/>
              </w:rPr>
            </w:pPr>
            <w:r w:rsidRPr="00DF0A0A">
              <w:rPr>
                <w:rFonts w:eastAsia="Calibri"/>
                <w:sz w:val="20"/>
                <w:lang w:val="fr-CA"/>
              </w:rPr>
              <w:t>Le 25 janvier 2010</w:t>
            </w:r>
          </w:p>
          <w:p w:rsidR="00496DC7" w:rsidRPr="00DF0A0A" w:rsidRDefault="00496DC7" w:rsidP="00496DC7">
            <w:pPr>
              <w:jc w:val="both"/>
              <w:rPr>
                <w:rFonts w:eastAsia="Calibri"/>
                <w:sz w:val="20"/>
                <w:lang w:val="fr-CA"/>
              </w:rPr>
            </w:pPr>
            <w:r w:rsidRPr="00DF0A0A">
              <w:rPr>
                <w:rFonts w:eastAsia="Calibri"/>
                <w:sz w:val="20"/>
                <w:lang w:val="fr-CA"/>
              </w:rPr>
              <w:t xml:space="preserve">Cour supérieure de justice de l’Ontario </w:t>
            </w:r>
          </w:p>
          <w:p w:rsidR="00496DC7" w:rsidRPr="00DF0A0A" w:rsidRDefault="00496DC7" w:rsidP="00496DC7">
            <w:pPr>
              <w:jc w:val="both"/>
              <w:rPr>
                <w:rFonts w:eastAsia="Calibri"/>
                <w:sz w:val="20"/>
                <w:lang w:val="fr-CA"/>
              </w:rPr>
            </w:pPr>
            <w:r w:rsidRPr="00DF0A0A">
              <w:rPr>
                <w:rFonts w:eastAsia="Calibri"/>
                <w:sz w:val="20"/>
                <w:lang w:val="fr-CA"/>
              </w:rPr>
              <w:t xml:space="preserve">(juge </w:t>
            </w:r>
            <w:proofErr w:type="spellStart"/>
            <w:r w:rsidRPr="00DF0A0A">
              <w:rPr>
                <w:rFonts w:eastAsia="Calibri"/>
                <w:sz w:val="20"/>
                <w:lang w:val="fr-CA"/>
              </w:rPr>
              <w:t>Turnbull</w:t>
            </w:r>
            <w:proofErr w:type="spellEnd"/>
            <w:r w:rsidRPr="00DF0A0A">
              <w:rPr>
                <w:rFonts w:eastAsia="Calibri"/>
                <w:sz w:val="20"/>
                <w:lang w:val="fr-CA"/>
              </w:rPr>
              <w:t>)</w:t>
            </w:r>
          </w:p>
          <w:p w:rsidR="00496DC7" w:rsidRPr="00DF0A0A" w:rsidRDefault="00496DC7" w:rsidP="00496DC7">
            <w:pPr>
              <w:jc w:val="both"/>
              <w:rPr>
                <w:rFonts w:eastAsia="Calibri"/>
                <w:sz w:val="20"/>
                <w:lang w:val="fr-CA"/>
              </w:rPr>
            </w:pPr>
            <w:r w:rsidRPr="00DF0A0A">
              <w:rPr>
                <w:rFonts w:eastAsia="Calibri"/>
                <w:sz w:val="20"/>
                <w:lang w:val="fr-CA"/>
              </w:rPr>
              <w:t xml:space="preserve">2009 </w:t>
            </w:r>
            <w:proofErr w:type="spellStart"/>
            <w:r w:rsidRPr="00DF0A0A">
              <w:rPr>
                <w:rFonts w:eastAsia="Calibri"/>
                <w:sz w:val="20"/>
                <w:lang w:val="fr-CA"/>
              </w:rPr>
              <w:t>CanLII</w:t>
            </w:r>
            <w:proofErr w:type="spellEnd"/>
            <w:r w:rsidRPr="00DF0A0A">
              <w:rPr>
                <w:rFonts w:eastAsia="Calibri"/>
                <w:sz w:val="20"/>
                <w:lang w:val="fr-CA"/>
              </w:rPr>
              <w:t xml:space="preserve"> 42307</w:t>
            </w:r>
          </w:p>
        </w:tc>
        <w:tc>
          <w:tcPr>
            <w:tcW w:w="243" w:type="pct"/>
          </w:tcPr>
          <w:p w:rsidR="00496DC7" w:rsidRPr="00DF0A0A" w:rsidRDefault="00496DC7" w:rsidP="00496DC7">
            <w:pPr>
              <w:jc w:val="both"/>
              <w:rPr>
                <w:rFonts w:eastAsia="Calibri"/>
                <w:sz w:val="20"/>
                <w:lang w:val="fr-CA"/>
              </w:rPr>
            </w:pPr>
          </w:p>
        </w:tc>
        <w:tc>
          <w:tcPr>
            <w:tcW w:w="2330" w:type="pct"/>
          </w:tcPr>
          <w:p w:rsidR="00496DC7" w:rsidRPr="00DF0A0A" w:rsidRDefault="00496DC7" w:rsidP="00756BD6">
            <w:pPr>
              <w:jc w:val="both"/>
              <w:rPr>
                <w:rFonts w:eastAsia="Calibri"/>
                <w:sz w:val="20"/>
                <w:lang w:val="fr-CA"/>
              </w:rPr>
            </w:pPr>
            <w:r w:rsidRPr="00DF0A0A">
              <w:rPr>
                <w:rFonts w:eastAsia="Calibri"/>
                <w:sz w:val="20"/>
                <w:lang w:val="fr-CA"/>
              </w:rPr>
              <w:t xml:space="preserve">Modification de l’ordonnance alimentaire  et ordonnance de partage des dépenses visées par l’article 7;  Les </w:t>
            </w:r>
            <w:r w:rsidRPr="00DF0A0A">
              <w:rPr>
                <w:rFonts w:eastAsia="Calibri"/>
                <w:i/>
                <w:color w:val="000000"/>
                <w:sz w:val="20"/>
                <w:lang w:val="fr-FR"/>
              </w:rPr>
              <w:t>Lignes directrices fédérales sur les pensions alimentaires pour enfants</w:t>
            </w:r>
            <w:r w:rsidRPr="00DF0A0A">
              <w:rPr>
                <w:rFonts w:eastAsia="Calibri"/>
                <w:sz w:val="20"/>
                <w:lang w:val="fr-CA"/>
              </w:rPr>
              <w:t xml:space="preserve"> jugées constitutionnelles;  juge des requêtes modifie la décision et adjuge des dépens</w:t>
            </w:r>
          </w:p>
        </w:tc>
      </w:tr>
    </w:tbl>
    <w:p w:rsidR="00756BD6" w:rsidRPr="00F74132" w:rsidRDefault="00756BD6">
      <w:pPr>
        <w:rPr>
          <w:lang w:val="fr-CA"/>
        </w:rPr>
      </w:pPr>
    </w:p>
    <w:tbl>
      <w:tblPr>
        <w:tblW w:w="4952" w:type="pct"/>
        <w:tblLayout w:type="fixed"/>
        <w:tblCellMar>
          <w:left w:w="0" w:type="dxa"/>
          <w:bottom w:w="99" w:type="dxa"/>
          <w:right w:w="0" w:type="dxa"/>
        </w:tblCellMar>
        <w:tblLook w:val="04A0"/>
      </w:tblPr>
      <w:tblGrid>
        <w:gridCol w:w="4624"/>
        <w:gridCol w:w="463"/>
        <w:gridCol w:w="4440"/>
      </w:tblGrid>
      <w:tr w:rsidR="00496DC7" w:rsidRPr="00DF0A0A" w:rsidTr="00756BD6">
        <w:trPr>
          <w:cantSplit/>
        </w:trPr>
        <w:tc>
          <w:tcPr>
            <w:tcW w:w="2427" w:type="pct"/>
          </w:tcPr>
          <w:p w:rsidR="00496DC7" w:rsidRPr="00DF0A0A" w:rsidRDefault="00496DC7" w:rsidP="00496DC7">
            <w:pPr>
              <w:jc w:val="both"/>
              <w:rPr>
                <w:rFonts w:eastAsia="Calibri"/>
                <w:sz w:val="20"/>
                <w:lang w:val="fr-CA"/>
              </w:rPr>
            </w:pPr>
            <w:r w:rsidRPr="00DF0A0A">
              <w:rPr>
                <w:rFonts w:eastAsia="Calibri"/>
                <w:sz w:val="20"/>
                <w:lang w:val="fr-CA"/>
              </w:rPr>
              <w:t>Le 22 novembre 2010</w:t>
            </w:r>
          </w:p>
          <w:p w:rsidR="00496DC7" w:rsidRPr="00DF0A0A" w:rsidRDefault="00496DC7" w:rsidP="00496DC7">
            <w:pPr>
              <w:jc w:val="both"/>
              <w:rPr>
                <w:rFonts w:eastAsia="Calibri"/>
                <w:sz w:val="20"/>
                <w:lang w:val="fr-CA"/>
              </w:rPr>
            </w:pPr>
            <w:r w:rsidRPr="00DF0A0A">
              <w:rPr>
                <w:rFonts w:eastAsia="Calibri"/>
                <w:sz w:val="20"/>
                <w:lang w:val="fr-CA"/>
              </w:rPr>
              <w:t>Cour d’appel de l’Ontario</w:t>
            </w:r>
          </w:p>
          <w:p w:rsidR="00496DC7" w:rsidRPr="00DF0A0A" w:rsidRDefault="00496DC7" w:rsidP="00496DC7">
            <w:pPr>
              <w:jc w:val="both"/>
              <w:rPr>
                <w:rFonts w:eastAsia="Calibri"/>
                <w:sz w:val="20"/>
                <w:lang w:val="fr-CA"/>
              </w:rPr>
            </w:pPr>
            <w:r w:rsidRPr="00DF0A0A">
              <w:rPr>
                <w:rFonts w:eastAsia="Calibri"/>
                <w:sz w:val="20"/>
                <w:lang w:val="fr-CA"/>
              </w:rPr>
              <w:t xml:space="preserve">(juges Simmons, </w:t>
            </w:r>
            <w:proofErr w:type="spellStart"/>
            <w:r w:rsidRPr="00DF0A0A">
              <w:rPr>
                <w:rFonts w:eastAsia="Calibri"/>
                <w:sz w:val="20"/>
                <w:lang w:val="fr-CA"/>
              </w:rPr>
              <w:t>Gillese</w:t>
            </w:r>
            <w:proofErr w:type="spellEnd"/>
            <w:r w:rsidRPr="00DF0A0A">
              <w:rPr>
                <w:rFonts w:eastAsia="Calibri"/>
                <w:sz w:val="20"/>
                <w:lang w:val="fr-CA"/>
              </w:rPr>
              <w:t xml:space="preserve"> et </w:t>
            </w:r>
            <w:proofErr w:type="spellStart"/>
            <w:r w:rsidRPr="00DF0A0A">
              <w:rPr>
                <w:rFonts w:eastAsia="Calibri"/>
                <w:sz w:val="20"/>
                <w:lang w:val="fr-CA"/>
              </w:rPr>
              <w:t>Karakatsanis</w:t>
            </w:r>
            <w:proofErr w:type="spellEnd"/>
            <w:r w:rsidRPr="00DF0A0A">
              <w:rPr>
                <w:rFonts w:eastAsia="Calibri"/>
                <w:sz w:val="20"/>
                <w:lang w:val="fr-CA"/>
              </w:rPr>
              <w:t>)</w:t>
            </w:r>
          </w:p>
          <w:p w:rsidR="00496DC7" w:rsidRPr="00DF0A0A" w:rsidRDefault="00496DC7" w:rsidP="00496DC7">
            <w:pPr>
              <w:jc w:val="both"/>
              <w:rPr>
                <w:rFonts w:eastAsia="Calibri"/>
                <w:sz w:val="20"/>
                <w:lang w:val="fr-CA"/>
              </w:rPr>
            </w:pPr>
            <w:r w:rsidRPr="00DF0A0A">
              <w:rPr>
                <w:rFonts w:eastAsia="Calibri"/>
                <w:sz w:val="20"/>
                <w:lang w:val="fr-CA"/>
              </w:rPr>
              <w:t>2010 ONCA 721</w:t>
            </w:r>
          </w:p>
          <w:p w:rsidR="00496DC7" w:rsidRPr="00DF0A0A" w:rsidRDefault="00496DC7" w:rsidP="00496DC7">
            <w:pPr>
              <w:jc w:val="both"/>
              <w:rPr>
                <w:rFonts w:eastAsia="Calibri"/>
                <w:sz w:val="20"/>
                <w:lang w:val="fr-CA"/>
              </w:rPr>
            </w:pPr>
          </w:p>
        </w:tc>
        <w:tc>
          <w:tcPr>
            <w:tcW w:w="243" w:type="pct"/>
          </w:tcPr>
          <w:p w:rsidR="00496DC7" w:rsidRPr="00DF0A0A" w:rsidRDefault="00496DC7" w:rsidP="00496DC7">
            <w:pPr>
              <w:jc w:val="both"/>
              <w:rPr>
                <w:rFonts w:eastAsia="Calibri"/>
                <w:sz w:val="20"/>
                <w:lang w:val="fr-CA"/>
              </w:rPr>
            </w:pPr>
          </w:p>
        </w:tc>
        <w:tc>
          <w:tcPr>
            <w:tcW w:w="2330" w:type="pct"/>
          </w:tcPr>
          <w:p w:rsidR="00496DC7" w:rsidRPr="00DF0A0A" w:rsidRDefault="00496DC7" w:rsidP="00496DC7">
            <w:pPr>
              <w:jc w:val="both"/>
              <w:rPr>
                <w:rFonts w:eastAsia="Calibri"/>
                <w:sz w:val="20"/>
                <w:lang w:val="fr-CA"/>
              </w:rPr>
            </w:pPr>
            <w:r w:rsidRPr="00DF0A0A">
              <w:rPr>
                <w:rFonts w:eastAsia="Calibri"/>
                <w:sz w:val="20"/>
                <w:lang w:val="fr-CA"/>
              </w:rPr>
              <w:t>Appel rejeté</w:t>
            </w:r>
          </w:p>
          <w:p w:rsidR="00496DC7" w:rsidRPr="00DF0A0A" w:rsidRDefault="00496DC7" w:rsidP="00496DC7">
            <w:pPr>
              <w:jc w:val="both"/>
              <w:rPr>
                <w:rFonts w:eastAsia="Calibri"/>
                <w:sz w:val="20"/>
                <w:lang w:val="fr-CA"/>
              </w:rPr>
            </w:pPr>
          </w:p>
        </w:tc>
      </w:tr>
      <w:tr w:rsidR="00496DC7" w:rsidRPr="00DF0A0A" w:rsidTr="00756BD6">
        <w:trPr>
          <w:cantSplit/>
        </w:trPr>
        <w:tc>
          <w:tcPr>
            <w:tcW w:w="2427" w:type="pct"/>
          </w:tcPr>
          <w:p w:rsidR="00496DC7" w:rsidRPr="00DF0A0A" w:rsidRDefault="00496DC7" w:rsidP="00496DC7">
            <w:pPr>
              <w:jc w:val="both"/>
              <w:rPr>
                <w:rFonts w:eastAsia="Calibri"/>
                <w:sz w:val="20"/>
                <w:lang w:val="fr-CA"/>
              </w:rPr>
            </w:pPr>
            <w:r w:rsidRPr="00DF0A0A">
              <w:rPr>
                <w:rFonts w:eastAsia="Calibri"/>
                <w:sz w:val="20"/>
                <w:lang w:val="fr-CA"/>
              </w:rPr>
              <w:t>Le 17 décembre 2010</w:t>
            </w:r>
          </w:p>
          <w:p w:rsidR="00496DC7" w:rsidRPr="00DF0A0A" w:rsidRDefault="00496DC7" w:rsidP="00496DC7">
            <w:pPr>
              <w:jc w:val="both"/>
              <w:rPr>
                <w:rFonts w:eastAsia="Calibri"/>
                <w:sz w:val="20"/>
                <w:lang w:val="fr-CA"/>
              </w:rPr>
            </w:pPr>
            <w:r w:rsidRPr="00DF0A0A">
              <w:rPr>
                <w:rFonts w:eastAsia="Calibri"/>
                <w:sz w:val="20"/>
                <w:lang w:val="fr-CA"/>
              </w:rPr>
              <w:t>Cour suprême du Canada</w:t>
            </w:r>
          </w:p>
        </w:tc>
        <w:tc>
          <w:tcPr>
            <w:tcW w:w="243" w:type="pct"/>
          </w:tcPr>
          <w:p w:rsidR="00496DC7" w:rsidRPr="00DF0A0A" w:rsidRDefault="00496DC7" w:rsidP="00496DC7">
            <w:pPr>
              <w:jc w:val="both"/>
              <w:rPr>
                <w:rFonts w:eastAsia="Calibri"/>
                <w:sz w:val="20"/>
                <w:lang w:val="fr-CA"/>
              </w:rPr>
            </w:pPr>
          </w:p>
        </w:tc>
        <w:tc>
          <w:tcPr>
            <w:tcW w:w="2330" w:type="pct"/>
          </w:tcPr>
          <w:p w:rsidR="00496DC7" w:rsidRPr="00DF0A0A" w:rsidRDefault="00496DC7" w:rsidP="00496DC7">
            <w:pPr>
              <w:jc w:val="both"/>
              <w:rPr>
                <w:rFonts w:eastAsia="Calibri"/>
                <w:sz w:val="20"/>
                <w:lang w:val="fr-CA"/>
              </w:rPr>
            </w:pPr>
            <w:r w:rsidRPr="00DF0A0A">
              <w:rPr>
                <w:rFonts w:eastAsia="Calibri"/>
                <w:sz w:val="20"/>
                <w:lang w:val="fr-CA"/>
              </w:rPr>
              <w:t>Demande d’autorisation d’appel déposée</w:t>
            </w:r>
          </w:p>
        </w:tc>
      </w:tr>
    </w:tbl>
    <w:p w:rsidR="00610966" w:rsidRDefault="00610966" w:rsidP="00610966">
      <w:pPr>
        <w:rPr>
          <w:b/>
          <w:sz w:val="20"/>
          <w:szCs w:val="20"/>
        </w:rPr>
      </w:pPr>
    </w:p>
    <w:p w:rsidR="00610966" w:rsidRDefault="00C478F8" w:rsidP="00610966">
      <w:pPr>
        <w:rPr>
          <w:b/>
          <w:sz w:val="20"/>
          <w:szCs w:val="20"/>
        </w:rPr>
      </w:pPr>
      <w:r w:rsidRPr="00C478F8">
        <w:rPr>
          <w:sz w:val="20"/>
          <w:szCs w:val="20"/>
          <w:lang w:val="fr-CA"/>
        </w:rPr>
        <w:pict>
          <v:rect id="_x0000_i1052" style="width:2in;height:1pt" o:hrpct="0" o:hralign="center" o:hrstd="t" o:hrnoshade="t" o:hr="t" fillcolor="black [3213]" stroked="f"/>
        </w:pict>
      </w:r>
    </w:p>
    <w:p w:rsidR="00610966" w:rsidRPr="00C50A5C" w:rsidRDefault="00610966" w:rsidP="00610966">
      <w:pPr>
        <w:rPr>
          <w:b/>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9E6B0E" w:rsidRPr="009E6B0E" w:rsidRDefault="009E6B0E" w:rsidP="009E6B0E">
      <w:pPr>
        <w:tabs>
          <w:tab w:val="left" w:pos="-1440"/>
          <w:tab w:val="left" w:pos="-720"/>
        </w:tabs>
        <w:jc w:val="both"/>
        <w:rPr>
          <w:sz w:val="20"/>
          <w:szCs w:val="20"/>
        </w:rPr>
      </w:pPr>
      <w:r w:rsidRPr="009E6B0E">
        <w:rPr>
          <w:sz w:val="20"/>
          <w:szCs w:val="20"/>
        </w:rPr>
        <w:t>03.03.2011</w:t>
      </w:r>
    </w:p>
    <w:p w:rsidR="009E6B0E" w:rsidRPr="009E6B0E" w:rsidRDefault="009E6B0E" w:rsidP="009E6B0E">
      <w:pPr>
        <w:tabs>
          <w:tab w:val="left" w:pos="-1440"/>
          <w:tab w:val="left" w:pos="-720"/>
        </w:tabs>
        <w:jc w:val="both"/>
        <w:rPr>
          <w:sz w:val="20"/>
          <w:szCs w:val="20"/>
        </w:rPr>
      </w:pPr>
    </w:p>
    <w:p w:rsidR="009E6B0E" w:rsidRPr="009E6B0E" w:rsidRDefault="009E6B0E" w:rsidP="009E6B0E">
      <w:pPr>
        <w:jc w:val="both"/>
        <w:rPr>
          <w:sz w:val="20"/>
          <w:szCs w:val="20"/>
          <w:lang w:val="fr-CA"/>
        </w:rPr>
      </w:pPr>
      <w:proofErr w:type="spellStart"/>
      <w:r w:rsidRPr="009E6B0E">
        <w:rPr>
          <w:sz w:val="20"/>
          <w:szCs w:val="20"/>
          <w:lang w:val="fr-CA"/>
        </w:rPr>
        <w:t>Before</w:t>
      </w:r>
      <w:proofErr w:type="spellEnd"/>
      <w:r w:rsidRPr="009E6B0E">
        <w:rPr>
          <w:sz w:val="20"/>
          <w:szCs w:val="20"/>
          <w:lang w:val="fr-CA"/>
        </w:rPr>
        <w:t xml:space="preserve"> / Devant:   THE REGISTRAR / LE REGISTRAIRE</w:t>
      </w:r>
    </w:p>
    <w:p w:rsidR="009E6B0E" w:rsidRPr="009E6B0E" w:rsidRDefault="009E6B0E" w:rsidP="009E6B0E">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E6B0E" w:rsidRPr="00406D3C" w:rsidTr="009E6B0E">
        <w:trPr>
          <w:trHeight w:val="151"/>
        </w:trPr>
        <w:tc>
          <w:tcPr>
            <w:tcW w:w="4338" w:type="dxa"/>
          </w:tcPr>
          <w:p w:rsidR="009E6B0E" w:rsidRPr="009E6B0E" w:rsidRDefault="00C478F8" w:rsidP="009E6B0E">
            <w:pPr>
              <w:tabs>
                <w:tab w:val="left" w:pos="-1440"/>
                <w:tab w:val="left" w:pos="-720"/>
              </w:tabs>
              <w:jc w:val="both"/>
              <w:rPr>
                <w:sz w:val="20"/>
                <w:szCs w:val="20"/>
              </w:rPr>
            </w:pPr>
            <w:r w:rsidRPr="009E6B0E">
              <w:rPr>
                <w:sz w:val="20"/>
                <w:szCs w:val="20"/>
              </w:rPr>
              <w:fldChar w:fldCharType="begin"/>
            </w:r>
            <w:r w:rsidR="009E6B0E" w:rsidRPr="009E6B0E">
              <w:rPr>
                <w:sz w:val="20"/>
                <w:szCs w:val="20"/>
              </w:rPr>
              <w:instrText xml:space="preserve"> SEQ CHAPTER \h \r 1</w:instrText>
            </w:r>
            <w:r w:rsidRPr="009E6B0E">
              <w:rPr>
                <w:sz w:val="20"/>
                <w:szCs w:val="20"/>
              </w:rPr>
              <w:fldChar w:fldCharType="end"/>
            </w:r>
            <w:r w:rsidR="009E6B0E" w:rsidRPr="009E6B0E">
              <w:rPr>
                <w:b/>
                <w:bCs/>
                <w:sz w:val="20"/>
                <w:szCs w:val="20"/>
              </w:rPr>
              <w:t>Motion to extend the time to serve and file the respondent’s response</w:t>
            </w:r>
          </w:p>
        </w:tc>
        <w:tc>
          <w:tcPr>
            <w:tcW w:w="1170" w:type="dxa"/>
          </w:tcPr>
          <w:p w:rsidR="009E6B0E" w:rsidRPr="009E6B0E" w:rsidRDefault="009E6B0E" w:rsidP="009E6B0E">
            <w:pPr>
              <w:jc w:val="both"/>
              <w:rPr>
                <w:sz w:val="20"/>
                <w:szCs w:val="20"/>
              </w:rPr>
            </w:pPr>
          </w:p>
          <w:p w:rsidR="009E6B0E" w:rsidRPr="009E6B0E" w:rsidRDefault="009E6B0E" w:rsidP="009E6B0E">
            <w:pPr>
              <w:jc w:val="both"/>
              <w:rPr>
                <w:sz w:val="20"/>
                <w:szCs w:val="20"/>
              </w:rPr>
            </w:pPr>
          </w:p>
          <w:p w:rsidR="009E6B0E" w:rsidRPr="009E6B0E" w:rsidRDefault="009E6B0E" w:rsidP="009E6B0E">
            <w:pPr>
              <w:jc w:val="both"/>
              <w:rPr>
                <w:sz w:val="20"/>
                <w:szCs w:val="20"/>
              </w:rPr>
            </w:pPr>
          </w:p>
        </w:tc>
        <w:tc>
          <w:tcPr>
            <w:tcW w:w="4327" w:type="dxa"/>
          </w:tcPr>
          <w:p w:rsidR="009E6B0E" w:rsidRPr="009E6B0E" w:rsidRDefault="009E6B0E" w:rsidP="009E6B0E">
            <w:pPr>
              <w:jc w:val="both"/>
              <w:rPr>
                <w:b/>
                <w:sz w:val="20"/>
                <w:szCs w:val="20"/>
                <w:lang w:val="fr-CA"/>
              </w:rPr>
            </w:pPr>
            <w:r w:rsidRPr="009E6B0E">
              <w:rPr>
                <w:b/>
                <w:bCs/>
                <w:sz w:val="20"/>
                <w:szCs w:val="20"/>
                <w:lang w:val="fr-CA"/>
              </w:rPr>
              <w:t>Requête en prorogation du délai de signification et de dépôt de la réponse des intimés</w:t>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p>
        </w:tc>
      </w:tr>
      <w:tr w:rsidR="009E6B0E" w:rsidRPr="00406D3C" w:rsidTr="009E6B0E">
        <w:trPr>
          <w:trHeight w:val="150"/>
        </w:trPr>
        <w:tc>
          <w:tcPr>
            <w:tcW w:w="4338" w:type="dxa"/>
          </w:tcPr>
          <w:p w:rsidR="009E6B0E" w:rsidRPr="009E6B0E" w:rsidRDefault="009E6B0E" w:rsidP="009E6B0E">
            <w:pPr>
              <w:tabs>
                <w:tab w:val="left" w:pos="-1440"/>
                <w:tab w:val="left" w:pos="-720"/>
              </w:tabs>
              <w:jc w:val="both"/>
              <w:rPr>
                <w:sz w:val="20"/>
                <w:szCs w:val="20"/>
                <w:lang w:val="fr-CA"/>
              </w:rPr>
            </w:pPr>
            <w:r w:rsidRPr="009E6B0E">
              <w:rPr>
                <w:sz w:val="20"/>
                <w:szCs w:val="20"/>
                <w:lang w:val="fr-CA"/>
              </w:rPr>
              <w:t>Ville de Westmount</w:t>
            </w:r>
          </w:p>
          <w:p w:rsidR="009E6B0E" w:rsidRPr="009E6B0E" w:rsidRDefault="009E6B0E" w:rsidP="009E6B0E">
            <w:pPr>
              <w:tabs>
                <w:tab w:val="left" w:pos="-1440"/>
                <w:tab w:val="left" w:pos="-720"/>
              </w:tabs>
              <w:jc w:val="both"/>
              <w:rPr>
                <w:sz w:val="20"/>
                <w:szCs w:val="20"/>
                <w:lang w:val="fr-CA"/>
              </w:rPr>
            </w:pPr>
          </w:p>
          <w:p w:rsidR="009E6B0E" w:rsidRPr="009E6B0E" w:rsidRDefault="009E6B0E" w:rsidP="009E6B0E">
            <w:pPr>
              <w:tabs>
                <w:tab w:val="left" w:pos="-1440"/>
                <w:tab w:val="left" w:pos="-720"/>
              </w:tabs>
              <w:jc w:val="both"/>
              <w:rPr>
                <w:sz w:val="20"/>
                <w:szCs w:val="20"/>
                <w:lang w:val="fr-CA"/>
              </w:rPr>
            </w:pPr>
            <w:r w:rsidRPr="009E6B0E">
              <w:rPr>
                <w:sz w:val="20"/>
                <w:szCs w:val="20"/>
                <w:lang w:val="fr-CA"/>
              </w:rPr>
              <w:tab/>
              <w:t>c. (34060)</w:t>
            </w:r>
          </w:p>
          <w:p w:rsidR="009E6B0E" w:rsidRPr="009E6B0E" w:rsidRDefault="009E6B0E" w:rsidP="009E6B0E">
            <w:pPr>
              <w:tabs>
                <w:tab w:val="left" w:pos="-1440"/>
                <w:tab w:val="left" w:pos="-720"/>
              </w:tabs>
              <w:jc w:val="both"/>
              <w:rPr>
                <w:sz w:val="20"/>
                <w:szCs w:val="20"/>
                <w:lang w:val="fr-CA"/>
              </w:rPr>
            </w:pPr>
          </w:p>
          <w:p w:rsidR="009E6B0E" w:rsidRPr="009E6B0E" w:rsidRDefault="009E6B0E" w:rsidP="009E6B0E">
            <w:pPr>
              <w:tabs>
                <w:tab w:val="left" w:pos="-1440"/>
                <w:tab w:val="left" w:pos="-720"/>
              </w:tabs>
              <w:jc w:val="both"/>
              <w:rPr>
                <w:sz w:val="20"/>
                <w:szCs w:val="20"/>
                <w:lang w:val="fr-CA"/>
              </w:rPr>
            </w:pPr>
            <w:r w:rsidRPr="009E6B0E">
              <w:rPr>
                <w:sz w:val="20"/>
                <w:szCs w:val="20"/>
                <w:lang w:val="fr-CA"/>
              </w:rPr>
              <w:t xml:space="preserve">Richard </w:t>
            </w:r>
            <w:proofErr w:type="spellStart"/>
            <w:r w:rsidRPr="009E6B0E">
              <w:rPr>
                <w:sz w:val="20"/>
                <w:szCs w:val="20"/>
                <w:lang w:val="fr-CA"/>
              </w:rPr>
              <w:t>Rossy</w:t>
            </w:r>
            <w:proofErr w:type="spellEnd"/>
            <w:r w:rsidRPr="009E6B0E">
              <w:rPr>
                <w:sz w:val="20"/>
                <w:szCs w:val="20"/>
                <w:lang w:val="fr-CA"/>
              </w:rPr>
              <w:t xml:space="preserve"> et autres (</w:t>
            </w:r>
            <w:proofErr w:type="spellStart"/>
            <w:r w:rsidRPr="009E6B0E">
              <w:rPr>
                <w:sz w:val="20"/>
                <w:szCs w:val="20"/>
                <w:lang w:val="fr-CA"/>
              </w:rPr>
              <w:t>Qc</w:t>
            </w:r>
            <w:proofErr w:type="spellEnd"/>
            <w:r w:rsidRPr="009E6B0E">
              <w:rPr>
                <w:sz w:val="20"/>
                <w:szCs w:val="20"/>
                <w:lang w:val="fr-CA"/>
              </w:rPr>
              <w:t>)</w:t>
            </w:r>
          </w:p>
        </w:tc>
        <w:tc>
          <w:tcPr>
            <w:tcW w:w="1170" w:type="dxa"/>
          </w:tcPr>
          <w:p w:rsidR="009E6B0E" w:rsidRPr="009E6B0E" w:rsidRDefault="009E6B0E" w:rsidP="009E6B0E">
            <w:pPr>
              <w:jc w:val="both"/>
              <w:rPr>
                <w:sz w:val="20"/>
                <w:szCs w:val="20"/>
                <w:lang w:val="fr-CA"/>
              </w:rPr>
            </w:pPr>
          </w:p>
        </w:tc>
        <w:tc>
          <w:tcPr>
            <w:tcW w:w="4327" w:type="dxa"/>
          </w:tcPr>
          <w:p w:rsidR="009E6B0E" w:rsidRPr="009E6B0E" w:rsidRDefault="009E6B0E" w:rsidP="009E6B0E">
            <w:pPr>
              <w:jc w:val="both"/>
              <w:rPr>
                <w:sz w:val="20"/>
                <w:szCs w:val="20"/>
                <w:lang w:val="fr-CA"/>
              </w:rPr>
            </w:pPr>
          </w:p>
        </w:tc>
      </w:tr>
    </w:tbl>
    <w:p w:rsidR="009E6B0E" w:rsidRPr="009E6B0E" w:rsidRDefault="009E6B0E" w:rsidP="009E6B0E">
      <w:pPr>
        <w:tabs>
          <w:tab w:val="left" w:pos="-1440"/>
          <w:tab w:val="left" w:pos="-720"/>
        </w:tabs>
        <w:jc w:val="both"/>
        <w:rPr>
          <w:sz w:val="20"/>
          <w:szCs w:val="20"/>
          <w:lang w:val="fr-CA"/>
        </w:rPr>
      </w:pPr>
    </w:p>
    <w:p w:rsidR="009E6B0E" w:rsidRPr="009E6B0E" w:rsidRDefault="009E6B0E" w:rsidP="009E6B0E">
      <w:pPr>
        <w:tabs>
          <w:tab w:val="left" w:pos="-1440"/>
          <w:tab w:val="left" w:pos="-720"/>
        </w:tabs>
        <w:jc w:val="both"/>
        <w:rPr>
          <w:sz w:val="20"/>
          <w:szCs w:val="20"/>
        </w:rPr>
      </w:pPr>
      <w:r w:rsidRPr="009E6B0E">
        <w:rPr>
          <w:b/>
          <w:sz w:val="20"/>
          <w:szCs w:val="20"/>
        </w:rPr>
        <w:t>GRANTED / ACCORDÉE</w:t>
      </w: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spacing w:line="-19" w:lineRule="auto"/>
        <w:jc w:val="both"/>
        <w:rPr>
          <w:sz w:val="20"/>
          <w:szCs w:val="20"/>
        </w:rPr>
      </w:pPr>
    </w:p>
    <w:p w:rsidR="009E6B0E" w:rsidRPr="009E6B0E" w:rsidRDefault="00C478F8" w:rsidP="009E6B0E">
      <w:pPr>
        <w:tabs>
          <w:tab w:val="left" w:pos="-1440"/>
          <w:tab w:val="left" w:pos="-720"/>
        </w:tabs>
        <w:jc w:val="both"/>
        <w:rPr>
          <w:sz w:val="20"/>
          <w:szCs w:val="20"/>
        </w:rPr>
      </w:pPr>
      <w:r w:rsidRPr="00C478F8">
        <w:rPr>
          <w:sz w:val="20"/>
          <w:szCs w:val="20"/>
          <w:lang w:val="fr-CA"/>
        </w:rPr>
        <w:pict>
          <v:rect id="_x0000_i1055" style="width:2in;height:1pt" o:hrpct="0" o:hralign="center" o:hrstd="t" o:hrnoshade="t" o:hr="t" fillcolor="black [3213]" stroked="f"/>
        </w:pict>
      </w:r>
    </w:p>
    <w:p w:rsidR="009E6B0E" w:rsidRPr="009E6B0E" w:rsidRDefault="009E6B0E" w:rsidP="009E6B0E">
      <w:pPr>
        <w:rPr>
          <w:sz w:val="20"/>
          <w:szCs w:val="20"/>
          <w:lang w:val="fr-CA"/>
        </w:rPr>
      </w:pPr>
    </w:p>
    <w:p w:rsidR="009E6B0E" w:rsidRPr="009E6B0E" w:rsidRDefault="009E6B0E" w:rsidP="009E6B0E">
      <w:pPr>
        <w:tabs>
          <w:tab w:val="left" w:pos="-1440"/>
          <w:tab w:val="left" w:pos="-720"/>
        </w:tabs>
        <w:jc w:val="both"/>
        <w:rPr>
          <w:sz w:val="20"/>
          <w:szCs w:val="20"/>
        </w:rPr>
      </w:pPr>
      <w:r w:rsidRPr="009E6B0E">
        <w:rPr>
          <w:sz w:val="20"/>
          <w:szCs w:val="20"/>
        </w:rPr>
        <w:t>07.03.2011</w:t>
      </w:r>
    </w:p>
    <w:p w:rsidR="009E6B0E" w:rsidRPr="009E6B0E" w:rsidRDefault="009E6B0E" w:rsidP="009E6B0E">
      <w:pPr>
        <w:tabs>
          <w:tab w:val="left" w:pos="-1440"/>
          <w:tab w:val="left" w:pos="-720"/>
        </w:tabs>
        <w:jc w:val="both"/>
        <w:rPr>
          <w:sz w:val="20"/>
          <w:szCs w:val="20"/>
        </w:rPr>
      </w:pPr>
    </w:p>
    <w:p w:rsidR="009E6B0E" w:rsidRPr="009E6B0E" w:rsidRDefault="009E6B0E" w:rsidP="009E6B0E">
      <w:pPr>
        <w:jc w:val="both"/>
        <w:rPr>
          <w:sz w:val="20"/>
          <w:szCs w:val="20"/>
          <w:lang w:val="fr-CA"/>
        </w:rPr>
      </w:pPr>
      <w:proofErr w:type="spellStart"/>
      <w:r w:rsidRPr="009E6B0E">
        <w:rPr>
          <w:sz w:val="20"/>
          <w:szCs w:val="20"/>
          <w:lang w:val="fr-CA"/>
        </w:rPr>
        <w:t>Before</w:t>
      </w:r>
      <w:proofErr w:type="spellEnd"/>
      <w:r w:rsidRPr="009E6B0E">
        <w:rPr>
          <w:sz w:val="20"/>
          <w:szCs w:val="20"/>
          <w:lang w:val="fr-CA"/>
        </w:rPr>
        <w:t xml:space="preserve"> / Devant:   THE REGISTRAR / LE REGISTRAIRE</w:t>
      </w:r>
    </w:p>
    <w:p w:rsidR="009E6B0E" w:rsidRPr="009E6B0E" w:rsidRDefault="009E6B0E" w:rsidP="009E6B0E">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E6B0E" w:rsidRPr="00406D3C" w:rsidTr="009E6B0E">
        <w:trPr>
          <w:trHeight w:val="151"/>
        </w:trPr>
        <w:tc>
          <w:tcPr>
            <w:tcW w:w="4338" w:type="dxa"/>
          </w:tcPr>
          <w:p w:rsidR="009E6B0E" w:rsidRPr="009E6B0E" w:rsidRDefault="00C478F8" w:rsidP="009E6B0E">
            <w:pPr>
              <w:tabs>
                <w:tab w:val="left" w:pos="-1440"/>
                <w:tab w:val="left" w:pos="-720"/>
              </w:tabs>
              <w:jc w:val="both"/>
              <w:rPr>
                <w:sz w:val="20"/>
                <w:szCs w:val="20"/>
              </w:rPr>
            </w:pPr>
            <w:r w:rsidRPr="009E6B0E">
              <w:rPr>
                <w:sz w:val="20"/>
                <w:szCs w:val="20"/>
              </w:rPr>
              <w:fldChar w:fldCharType="begin"/>
            </w:r>
            <w:r w:rsidR="009E6B0E" w:rsidRPr="009E6B0E">
              <w:rPr>
                <w:sz w:val="20"/>
                <w:szCs w:val="20"/>
              </w:rPr>
              <w:instrText xml:space="preserve"> SEQ CHAPTER \h \r 1</w:instrText>
            </w:r>
            <w:r w:rsidRPr="009E6B0E">
              <w:rPr>
                <w:sz w:val="20"/>
                <w:szCs w:val="20"/>
              </w:rPr>
              <w:fldChar w:fldCharType="end"/>
            </w:r>
            <w:r w:rsidR="009E6B0E" w:rsidRPr="009E6B0E">
              <w:rPr>
                <w:b/>
                <w:bCs/>
                <w:sz w:val="20"/>
                <w:szCs w:val="20"/>
              </w:rPr>
              <w:t>Motion to extend the time to serve and file the respondent’s response</w:t>
            </w:r>
          </w:p>
        </w:tc>
        <w:tc>
          <w:tcPr>
            <w:tcW w:w="1170" w:type="dxa"/>
          </w:tcPr>
          <w:p w:rsidR="009E6B0E" w:rsidRPr="009E6B0E" w:rsidRDefault="009E6B0E" w:rsidP="009E6B0E">
            <w:pPr>
              <w:jc w:val="both"/>
              <w:rPr>
                <w:sz w:val="20"/>
                <w:szCs w:val="20"/>
              </w:rPr>
            </w:pPr>
          </w:p>
          <w:p w:rsidR="009E6B0E" w:rsidRPr="009E6B0E" w:rsidRDefault="009E6B0E" w:rsidP="009E6B0E">
            <w:pPr>
              <w:jc w:val="both"/>
              <w:rPr>
                <w:sz w:val="20"/>
                <w:szCs w:val="20"/>
              </w:rPr>
            </w:pPr>
          </w:p>
          <w:p w:rsidR="009E6B0E" w:rsidRPr="009E6B0E" w:rsidRDefault="009E6B0E" w:rsidP="009E6B0E">
            <w:pPr>
              <w:jc w:val="both"/>
              <w:rPr>
                <w:sz w:val="20"/>
                <w:szCs w:val="20"/>
              </w:rPr>
            </w:pPr>
          </w:p>
        </w:tc>
        <w:tc>
          <w:tcPr>
            <w:tcW w:w="4327" w:type="dxa"/>
          </w:tcPr>
          <w:p w:rsidR="009E6B0E" w:rsidRPr="009E6B0E" w:rsidRDefault="009E6B0E" w:rsidP="009E6B0E">
            <w:pPr>
              <w:jc w:val="both"/>
              <w:rPr>
                <w:b/>
                <w:sz w:val="20"/>
                <w:szCs w:val="20"/>
                <w:lang w:val="fr-CA"/>
              </w:rPr>
            </w:pPr>
            <w:r w:rsidRPr="009E6B0E">
              <w:rPr>
                <w:b/>
                <w:bCs/>
                <w:sz w:val="20"/>
                <w:szCs w:val="20"/>
                <w:lang w:val="fr-CA"/>
              </w:rPr>
              <w:t>Requête en prorogation du délai de signification et de dépôt de la réponse de l’intimée</w:t>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p>
        </w:tc>
      </w:tr>
      <w:tr w:rsidR="009E6B0E" w:rsidRPr="009E6B0E" w:rsidTr="009E6B0E">
        <w:trPr>
          <w:trHeight w:val="150"/>
        </w:trPr>
        <w:tc>
          <w:tcPr>
            <w:tcW w:w="4338" w:type="dxa"/>
          </w:tcPr>
          <w:p w:rsidR="009E6B0E" w:rsidRPr="009E6B0E" w:rsidRDefault="009E6B0E" w:rsidP="009E6B0E">
            <w:pPr>
              <w:tabs>
                <w:tab w:val="left" w:pos="-1440"/>
                <w:tab w:val="left" w:pos="-720"/>
              </w:tabs>
              <w:jc w:val="both"/>
              <w:rPr>
                <w:sz w:val="20"/>
                <w:szCs w:val="20"/>
              </w:rPr>
            </w:pPr>
            <w:proofErr w:type="spellStart"/>
            <w:r w:rsidRPr="009E6B0E">
              <w:rPr>
                <w:sz w:val="20"/>
                <w:szCs w:val="20"/>
              </w:rPr>
              <w:t>Allister</w:t>
            </w:r>
            <w:proofErr w:type="spellEnd"/>
            <w:r w:rsidRPr="009E6B0E">
              <w:rPr>
                <w:sz w:val="20"/>
                <w:szCs w:val="20"/>
              </w:rPr>
              <w:t xml:space="preserve"> Derrick Simon</w:t>
            </w: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rPr>
            </w:pPr>
            <w:r w:rsidRPr="009E6B0E">
              <w:rPr>
                <w:sz w:val="20"/>
                <w:szCs w:val="20"/>
              </w:rPr>
              <w:tab/>
              <w:t>v. (33983)</w:t>
            </w: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lang w:val="fr-CA"/>
              </w:rPr>
            </w:pPr>
            <w:r w:rsidRPr="009E6B0E">
              <w:rPr>
                <w:sz w:val="20"/>
                <w:szCs w:val="20"/>
              </w:rPr>
              <w:t xml:space="preserve">Her Majesty the Queen (Crim.) </w:t>
            </w:r>
            <w:r w:rsidRPr="009E6B0E">
              <w:rPr>
                <w:sz w:val="20"/>
                <w:szCs w:val="20"/>
                <w:lang w:val="fr-CA"/>
              </w:rPr>
              <w:t>(Ont.)</w:t>
            </w:r>
          </w:p>
        </w:tc>
        <w:tc>
          <w:tcPr>
            <w:tcW w:w="1170" w:type="dxa"/>
          </w:tcPr>
          <w:p w:rsidR="009E6B0E" w:rsidRPr="009E6B0E" w:rsidRDefault="009E6B0E" w:rsidP="009E6B0E">
            <w:pPr>
              <w:jc w:val="both"/>
              <w:rPr>
                <w:sz w:val="20"/>
                <w:szCs w:val="20"/>
                <w:lang w:val="fr-CA"/>
              </w:rPr>
            </w:pPr>
          </w:p>
        </w:tc>
        <w:tc>
          <w:tcPr>
            <w:tcW w:w="4327" w:type="dxa"/>
          </w:tcPr>
          <w:p w:rsidR="009E6B0E" w:rsidRPr="009E6B0E" w:rsidRDefault="009E6B0E" w:rsidP="009E6B0E">
            <w:pPr>
              <w:jc w:val="both"/>
              <w:rPr>
                <w:sz w:val="20"/>
                <w:szCs w:val="20"/>
                <w:lang w:val="fr-CA"/>
              </w:rPr>
            </w:pPr>
          </w:p>
        </w:tc>
      </w:tr>
    </w:tbl>
    <w:p w:rsidR="009E6B0E" w:rsidRPr="009E6B0E" w:rsidRDefault="009E6B0E" w:rsidP="009E6B0E">
      <w:pPr>
        <w:tabs>
          <w:tab w:val="left" w:pos="-1440"/>
          <w:tab w:val="left" w:pos="-720"/>
        </w:tabs>
        <w:jc w:val="both"/>
        <w:rPr>
          <w:sz w:val="20"/>
          <w:szCs w:val="20"/>
          <w:lang w:val="fr-CA"/>
        </w:rPr>
      </w:pPr>
    </w:p>
    <w:p w:rsidR="009E6B0E" w:rsidRPr="009E6B0E" w:rsidRDefault="009E6B0E" w:rsidP="009E6B0E">
      <w:pPr>
        <w:tabs>
          <w:tab w:val="left" w:pos="-1440"/>
          <w:tab w:val="left" w:pos="-720"/>
        </w:tabs>
        <w:jc w:val="both"/>
        <w:rPr>
          <w:sz w:val="20"/>
          <w:szCs w:val="20"/>
        </w:rPr>
      </w:pPr>
      <w:r w:rsidRPr="009E6B0E">
        <w:rPr>
          <w:b/>
          <w:sz w:val="20"/>
          <w:szCs w:val="20"/>
        </w:rPr>
        <w:t>GRANTED / ACCORDÉE</w:t>
      </w:r>
    </w:p>
    <w:p w:rsidR="009E6B0E" w:rsidRPr="009E6B0E" w:rsidRDefault="009E6B0E" w:rsidP="009E6B0E">
      <w:pPr>
        <w:rPr>
          <w:sz w:val="20"/>
          <w:szCs w:val="20"/>
          <w:lang w:val="fr-CA"/>
        </w:rPr>
      </w:pPr>
    </w:p>
    <w:p w:rsidR="009E6B0E" w:rsidRPr="009E6B0E" w:rsidRDefault="00C478F8" w:rsidP="009E6B0E">
      <w:pPr>
        <w:rPr>
          <w:sz w:val="20"/>
          <w:szCs w:val="20"/>
          <w:lang w:val="fr-CA"/>
        </w:rPr>
      </w:pPr>
      <w:r w:rsidRPr="00C478F8">
        <w:rPr>
          <w:sz w:val="20"/>
          <w:szCs w:val="20"/>
          <w:lang w:val="fr-CA"/>
        </w:rPr>
        <w:pict>
          <v:rect id="_x0000_i1056" style="width:2in;height:1pt" o:hrpct="0" o:hralign="center" o:hrstd="t" o:hrnoshade="t" o:hr="t" fillcolor="black [3213]" stroked="f"/>
        </w:pict>
      </w:r>
    </w:p>
    <w:p w:rsidR="009E6B0E" w:rsidRPr="009E6B0E" w:rsidRDefault="009E6B0E" w:rsidP="009E6B0E">
      <w:pPr>
        <w:rPr>
          <w:sz w:val="20"/>
          <w:szCs w:val="20"/>
          <w:lang w:val="fr-CA"/>
        </w:rPr>
      </w:pPr>
    </w:p>
    <w:p w:rsidR="009E6B0E" w:rsidRPr="009E6B0E" w:rsidRDefault="009E6B0E" w:rsidP="009E6B0E">
      <w:pPr>
        <w:tabs>
          <w:tab w:val="left" w:pos="-1440"/>
          <w:tab w:val="left" w:pos="-720"/>
        </w:tabs>
        <w:jc w:val="both"/>
        <w:rPr>
          <w:sz w:val="20"/>
          <w:szCs w:val="20"/>
        </w:rPr>
      </w:pPr>
      <w:r w:rsidRPr="009E6B0E">
        <w:rPr>
          <w:sz w:val="20"/>
          <w:szCs w:val="20"/>
        </w:rPr>
        <w:t>07.03.2011</w:t>
      </w:r>
    </w:p>
    <w:p w:rsidR="009E6B0E" w:rsidRPr="009E6B0E" w:rsidRDefault="009E6B0E" w:rsidP="009E6B0E">
      <w:pPr>
        <w:tabs>
          <w:tab w:val="left" w:pos="-1440"/>
          <w:tab w:val="left" w:pos="-720"/>
        </w:tabs>
        <w:jc w:val="both"/>
        <w:rPr>
          <w:sz w:val="20"/>
          <w:szCs w:val="20"/>
        </w:rPr>
      </w:pPr>
    </w:p>
    <w:p w:rsidR="009E6B0E" w:rsidRPr="009E6B0E" w:rsidRDefault="009E6B0E" w:rsidP="009E6B0E">
      <w:pPr>
        <w:jc w:val="both"/>
        <w:rPr>
          <w:sz w:val="20"/>
          <w:szCs w:val="20"/>
          <w:lang w:val="fr-CA"/>
        </w:rPr>
      </w:pPr>
      <w:proofErr w:type="spellStart"/>
      <w:r w:rsidRPr="009E6B0E">
        <w:rPr>
          <w:sz w:val="20"/>
          <w:szCs w:val="20"/>
          <w:lang w:val="fr-CA"/>
        </w:rPr>
        <w:t>Before</w:t>
      </w:r>
      <w:proofErr w:type="spellEnd"/>
      <w:r w:rsidRPr="009E6B0E">
        <w:rPr>
          <w:sz w:val="20"/>
          <w:szCs w:val="20"/>
          <w:lang w:val="fr-CA"/>
        </w:rPr>
        <w:t xml:space="preserve"> / Devant:   THE REGISTRAR / LE REGISTRAIRE</w:t>
      </w:r>
    </w:p>
    <w:p w:rsidR="009E6B0E" w:rsidRPr="009E6B0E" w:rsidRDefault="009E6B0E" w:rsidP="009E6B0E">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E6B0E" w:rsidRPr="00406D3C" w:rsidTr="009E6B0E">
        <w:trPr>
          <w:trHeight w:val="151"/>
        </w:trPr>
        <w:tc>
          <w:tcPr>
            <w:tcW w:w="4338" w:type="dxa"/>
          </w:tcPr>
          <w:p w:rsidR="009E6B0E" w:rsidRPr="009E6B0E" w:rsidRDefault="00C478F8" w:rsidP="009E6B0E">
            <w:pPr>
              <w:tabs>
                <w:tab w:val="left" w:pos="-1440"/>
                <w:tab w:val="left" w:pos="-720"/>
              </w:tabs>
              <w:jc w:val="both"/>
              <w:rPr>
                <w:sz w:val="20"/>
                <w:szCs w:val="20"/>
              </w:rPr>
            </w:pPr>
            <w:r w:rsidRPr="009E6B0E">
              <w:rPr>
                <w:sz w:val="20"/>
                <w:szCs w:val="20"/>
              </w:rPr>
              <w:fldChar w:fldCharType="begin"/>
            </w:r>
            <w:r w:rsidR="009E6B0E" w:rsidRPr="009E6B0E">
              <w:rPr>
                <w:sz w:val="20"/>
                <w:szCs w:val="20"/>
              </w:rPr>
              <w:instrText xml:space="preserve"> SEQ CHAPTER \h \r 1</w:instrText>
            </w:r>
            <w:r w:rsidRPr="009E6B0E">
              <w:rPr>
                <w:sz w:val="20"/>
                <w:szCs w:val="20"/>
              </w:rPr>
              <w:fldChar w:fldCharType="end"/>
            </w:r>
            <w:r w:rsidR="009E6B0E" w:rsidRPr="009E6B0E">
              <w:rPr>
                <w:b/>
                <w:bCs/>
                <w:sz w:val="20"/>
                <w:szCs w:val="20"/>
              </w:rPr>
              <w:t>Motion to extend the time to serve and file the respondent’s response</w:t>
            </w:r>
          </w:p>
        </w:tc>
        <w:tc>
          <w:tcPr>
            <w:tcW w:w="1170" w:type="dxa"/>
          </w:tcPr>
          <w:p w:rsidR="009E6B0E" w:rsidRPr="009E6B0E" w:rsidRDefault="009E6B0E" w:rsidP="009E6B0E">
            <w:pPr>
              <w:jc w:val="both"/>
              <w:rPr>
                <w:sz w:val="20"/>
                <w:szCs w:val="20"/>
              </w:rPr>
            </w:pPr>
          </w:p>
          <w:p w:rsidR="009E6B0E" w:rsidRPr="009E6B0E" w:rsidRDefault="009E6B0E" w:rsidP="009E6B0E">
            <w:pPr>
              <w:jc w:val="both"/>
              <w:rPr>
                <w:sz w:val="20"/>
                <w:szCs w:val="20"/>
              </w:rPr>
            </w:pPr>
          </w:p>
          <w:p w:rsidR="009E6B0E" w:rsidRPr="009E6B0E" w:rsidRDefault="009E6B0E" w:rsidP="009E6B0E">
            <w:pPr>
              <w:jc w:val="both"/>
              <w:rPr>
                <w:sz w:val="20"/>
                <w:szCs w:val="20"/>
              </w:rPr>
            </w:pPr>
          </w:p>
        </w:tc>
        <w:tc>
          <w:tcPr>
            <w:tcW w:w="4327" w:type="dxa"/>
          </w:tcPr>
          <w:p w:rsidR="009E6B0E" w:rsidRPr="009E6B0E" w:rsidRDefault="009E6B0E" w:rsidP="009E6B0E">
            <w:pPr>
              <w:jc w:val="both"/>
              <w:rPr>
                <w:b/>
                <w:sz w:val="20"/>
                <w:szCs w:val="20"/>
                <w:lang w:val="fr-CA"/>
              </w:rPr>
            </w:pPr>
            <w:r w:rsidRPr="009E6B0E">
              <w:rPr>
                <w:b/>
                <w:bCs/>
                <w:sz w:val="20"/>
                <w:szCs w:val="20"/>
                <w:lang w:val="fr-CA"/>
              </w:rPr>
              <w:t>Requête en prorogation du délai de signification et de dépôt de la réponse de l’intimée</w:t>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p>
        </w:tc>
      </w:tr>
      <w:tr w:rsidR="009E6B0E" w:rsidRPr="009E6B0E" w:rsidTr="009E6B0E">
        <w:trPr>
          <w:trHeight w:val="150"/>
        </w:trPr>
        <w:tc>
          <w:tcPr>
            <w:tcW w:w="4338" w:type="dxa"/>
          </w:tcPr>
          <w:p w:rsidR="009E6B0E" w:rsidRPr="009E6B0E" w:rsidRDefault="009E6B0E" w:rsidP="009E6B0E">
            <w:pPr>
              <w:tabs>
                <w:tab w:val="left" w:pos="-1440"/>
                <w:tab w:val="left" w:pos="-720"/>
              </w:tabs>
              <w:jc w:val="both"/>
              <w:rPr>
                <w:sz w:val="20"/>
                <w:szCs w:val="20"/>
              </w:rPr>
            </w:pPr>
            <w:r w:rsidRPr="009E6B0E">
              <w:rPr>
                <w:sz w:val="20"/>
                <w:szCs w:val="20"/>
              </w:rPr>
              <w:t xml:space="preserve">Karl </w:t>
            </w:r>
            <w:proofErr w:type="spellStart"/>
            <w:r w:rsidRPr="009E6B0E">
              <w:rPr>
                <w:sz w:val="20"/>
                <w:szCs w:val="20"/>
              </w:rPr>
              <w:t>Largie</w:t>
            </w:r>
            <w:proofErr w:type="spellEnd"/>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rPr>
            </w:pPr>
            <w:r w:rsidRPr="009E6B0E">
              <w:rPr>
                <w:sz w:val="20"/>
                <w:szCs w:val="20"/>
              </w:rPr>
              <w:tab/>
              <w:t>v. (33982)</w:t>
            </w: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lang w:val="fr-CA"/>
              </w:rPr>
            </w:pPr>
            <w:r w:rsidRPr="009E6B0E">
              <w:rPr>
                <w:sz w:val="20"/>
                <w:szCs w:val="20"/>
              </w:rPr>
              <w:t xml:space="preserve">Her Majesty the Queen (Crim.) </w:t>
            </w:r>
            <w:r w:rsidRPr="009E6B0E">
              <w:rPr>
                <w:sz w:val="20"/>
                <w:szCs w:val="20"/>
                <w:lang w:val="fr-CA"/>
              </w:rPr>
              <w:t>(Ont.)</w:t>
            </w:r>
          </w:p>
        </w:tc>
        <w:tc>
          <w:tcPr>
            <w:tcW w:w="1170" w:type="dxa"/>
          </w:tcPr>
          <w:p w:rsidR="009E6B0E" w:rsidRPr="009E6B0E" w:rsidRDefault="009E6B0E" w:rsidP="009E6B0E">
            <w:pPr>
              <w:jc w:val="both"/>
              <w:rPr>
                <w:sz w:val="20"/>
                <w:szCs w:val="20"/>
                <w:lang w:val="fr-CA"/>
              </w:rPr>
            </w:pPr>
          </w:p>
        </w:tc>
        <w:tc>
          <w:tcPr>
            <w:tcW w:w="4327" w:type="dxa"/>
          </w:tcPr>
          <w:p w:rsidR="009E6B0E" w:rsidRPr="009E6B0E" w:rsidRDefault="009E6B0E" w:rsidP="009E6B0E">
            <w:pPr>
              <w:jc w:val="both"/>
              <w:rPr>
                <w:sz w:val="20"/>
                <w:szCs w:val="20"/>
                <w:lang w:val="fr-CA"/>
              </w:rPr>
            </w:pPr>
          </w:p>
        </w:tc>
      </w:tr>
    </w:tbl>
    <w:p w:rsidR="009E6B0E" w:rsidRPr="009E6B0E" w:rsidRDefault="009E6B0E" w:rsidP="009E6B0E">
      <w:pPr>
        <w:tabs>
          <w:tab w:val="left" w:pos="-1440"/>
          <w:tab w:val="left" w:pos="-720"/>
        </w:tabs>
        <w:jc w:val="both"/>
        <w:rPr>
          <w:sz w:val="20"/>
          <w:szCs w:val="20"/>
          <w:lang w:val="fr-CA"/>
        </w:rPr>
      </w:pPr>
    </w:p>
    <w:p w:rsidR="009E6B0E" w:rsidRPr="009E6B0E" w:rsidRDefault="009E6B0E" w:rsidP="009E6B0E">
      <w:pPr>
        <w:tabs>
          <w:tab w:val="left" w:pos="-1440"/>
          <w:tab w:val="left" w:pos="-720"/>
        </w:tabs>
        <w:jc w:val="both"/>
        <w:rPr>
          <w:sz w:val="20"/>
          <w:szCs w:val="20"/>
        </w:rPr>
      </w:pPr>
      <w:r w:rsidRPr="009E6B0E">
        <w:rPr>
          <w:b/>
          <w:sz w:val="20"/>
          <w:szCs w:val="20"/>
        </w:rPr>
        <w:t>GRANTED / ACCORDÉE</w:t>
      </w:r>
    </w:p>
    <w:p w:rsidR="009E6B0E" w:rsidRPr="009E6B0E" w:rsidRDefault="009E6B0E" w:rsidP="009E6B0E">
      <w:pPr>
        <w:rPr>
          <w:sz w:val="20"/>
          <w:szCs w:val="20"/>
          <w:lang w:val="fr-CA"/>
        </w:rPr>
      </w:pPr>
    </w:p>
    <w:p w:rsidR="009E6B0E" w:rsidRPr="009E6B0E" w:rsidRDefault="00C478F8" w:rsidP="009E6B0E">
      <w:pPr>
        <w:rPr>
          <w:sz w:val="20"/>
          <w:szCs w:val="20"/>
          <w:lang w:val="fr-CA"/>
        </w:rPr>
      </w:pPr>
      <w:r w:rsidRPr="00C478F8">
        <w:rPr>
          <w:sz w:val="20"/>
          <w:szCs w:val="20"/>
          <w:lang w:val="fr-CA"/>
        </w:rPr>
        <w:pict>
          <v:rect id="_x0000_i1057" style="width:2in;height:1pt" o:hrpct="0" o:hralign="center" o:hrstd="t" o:hrnoshade="t" o:hr="t" fillcolor="black [3213]" stroked="f"/>
        </w:pict>
      </w:r>
    </w:p>
    <w:p w:rsidR="009E6B0E" w:rsidRPr="009E6B0E" w:rsidRDefault="009E6B0E" w:rsidP="009E6B0E">
      <w:pPr>
        <w:rPr>
          <w:sz w:val="20"/>
          <w:szCs w:val="20"/>
          <w:lang w:val="fr-CA"/>
        </w:rPr>
      </w:pPr>
      <w:r w:rsidRPr="009E6B0E">
        <w:rPr>
          <w:sz w:val="20"/>
          <w:szCs w:val="20"/>
          <w:lang w:val="fr-CA"/>
        </w:rPr>
        <w:br w:type="page"/>
      </w:r>
    </w:p>
    <w:p w:rsidR="009E6B0E" w:rsidRPr="009E6B0E" w:rsidRDefault="009E6B0E" w:rsidP="009E6B0E">
      <w:pPr>
        <w:rPr>
          <w:sz w:val="20"/>
          <w:szCs w:val="20"/>
          <w:lang w:val="fr-CA"/>
        </w:rPr>
      </w:pPr>
      <w:r w:rsidRPr="009E6B0E">
        <w:rPr>
          <w:sz w:val="20"/>
          <w:szCs w:val="20"/>
          <w:lang w:val="fr-CA"/>
        </w:rPr>
        <w:lastRenderedPageBreak/>
        <w:t>07.03.2011</w:t>
      </w:r>
    </w:p>
    <w:p w:rsidR="009E6B0E" w:rsidRPr="009E6B0E" w:rsidRDefault="009E6B0E" w:rsidP="009E6B0E">
      <w:pPr>
        <w:rPr>
          <w:sz w:val="20"/>
          <w:szCs w:val="20"/>
          <w:lang w:val="fr-CA"/>
        </w:rPr>
      </w:pPr>
    </w:p>
    <w:p w:rsidR="009E6B0E" w:rsidRPr="009E6B0E" w:rsidRDefault="009E6B0E" w:rsidP="009E6B0E">
      <w:pPr>
        <w:tabs>
          <w:tab w:val="left" w:pos="-1440"/>
          <w:tab w:val="left" w:pos="-720"/>
        </w:tabs>
        <w:jc w:val="both"/>
        <w:rPr>
          <w:sz w:val="20"/>
          <w:szCs w:val="20"/>
          <w:lang w:val="fr-CA"/>
        </w:rPr>
      </w:pPr>
      <w:proofErr w:type="spellStart"/>
      <w:r w:rsidRPr="009E6B0E">
        <w:rPr>
          <w:sz w:val="20"/>
          <w:szCs w:val="20"/>
          <w:lang w:val="fr-CA"/>
        </w:rPr>
        <w:t>Before</w:t>
      </w:r>
      <w:proofErr w:type="spellEnd"/>
      <w:r w:rsidRPr="009E6B0E">
        <w:rPr>
          <w:sz w:val="20"/>
          <w:szCs w:val="20"/>
          <w:lang w:val="fr-CA"/>
        </w:rPr>
        <w:t xml:space="preserve"> / Devant :   THE CHIEF JUSTICE / LA JUGE EN CHEF</w:t>
      </w:r>
    </w:p>
    <w:p w:rsidR="009E6B0E" w:rsidRPr="009E6B0E" w:rsidRDefault="009E6B0E" w:rsidP="009E6B0E">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E6B0E" w:rsidRPr="00406D3C" w:rsidTr="009E6B0E">
        <w:trPr>
          <w:trHeight w:val="151"/>
        </w:trPr>
        <w:tc>
          <w:tcPr>
            <w:tcW w:w="4338" w:type="dxa"/>
          </w:tcPr>
          <w:p w:rsidR="009E6B0E" w:rsidRPr="009E6B0E" w:rsidRDefault="009E6B0E" w:rsidP="009E6B0E">
            <w:pPr>
              <w:tabs>
                <w:tab w:val="left" w:pos="-1440"/>
                <w:tab w:val="left" w:pos="-720"/>
              </w:tabs>
              <w:jc w:val="both"/>
              <w:rPr>
                <w:sz w:val="20"/>
                <w:szCs w:val="20"/>
              </w:rPr>
            </w:pPr>
            <w:r w:rsidRPr="009E6B0E">
              <w:rPr>
                <w:b/>
                <w:sz w:val="20"/>
                <w:szCs w:val="20"/>
              </w:rPr>
              <w:t>Motion to state constitutional questions</w:t>
            </w:r>
            <w:r w:rsidRPr="009E6B0E">
              <w:rPr>
                <w:sz w:val="20"/>
                <w:szCs w:val="20"/>
              </w:rPr>
              <w:t xml:space="preserve"> </w:t>
            </w:r>
            <w:r w:rsidR="00C478F8" w:rsidRPr="009E6B0E">
              <w:rPr>
                <w:sz w:val="20"/>
                <w:szCs w:val="20"/>
              </w:rPr>
              <w:fldChar w:fldCharType="begin"/>
            </w:r>
            <w:r w:rsidRPr="009E6B0E">
              <w:rPr>
                <w:sz w:val="20"/>
                <w:szCs w:val="20"/>
              </w:rPr>
              <w:instrText xml:space="preserve"> SEQ CHAPTER \h \r 1</w:instrText>
            </w:r>
            <w:r w:rsidR="00C478F8" w:rsidRPr="009E6B0E">
              <w:rPr>
                <w:sz w:val="20"/>
                <w:szCs w:val="20"/>
              </w:rPr>
              <w:fldChar w:fldCharType="end"/>
            </w:r>
          </w:p>
        </w:tc>
        <w:tc>
          <w:tcPr>
            <w:tcW w:w="1170" w:type="dxa"/>
          </w:tcPr>
          <w:p w:rsidR="009E6B0E" w:rsidRPr="009E6B0E" w:rsidRDefault="009E6B0E" w:rsidP="009E6B0E">
            <w:pPr>
              <w:jc w:val="both"/>
              <w:rPr>
                <w:sz w:val="20"/>
                <w:szCs w:val="20"/>
              </w:rPr>
            </w:pPr>
          </w:p>
          <w:p w:rsidR="009E6B0E" w:rsidRPr="009E6B0E" w:rsidRDefault="009E6B0E" w:rsidP="009E6B0E">
            <w:pPr>
              <w:jc w:val="both"/>
              <w:rPr>
                <w:sz w:val="20"/>
                <w:szCs w:val="20"/>
              </w:rPr>
            </w:pPr>
          </w:p>
        </w:tc>
        <w:tc>
          <w:tcPr>
            <w:tcW w:w="4327" w:type="dxa"/>
          </w:tcPr>
          <w:p w:rsidR="009E6B0E" w:rsidRPr="009E6B0E" w:rsidRDefault="009E6B0E" w:rsidP="009E6B0E">
            <w:pPr>
              <w:jc w:val="both"/>
              <w:rPr>
                <w:b/>
                <w:sz w:val="20"/>
                <w:szCs w:val="20"/>
                <w:lang w:val="fr-CA"/>
              </w:rPr>
            </w:pPr>
            <w:r w:rsidRPr="009E6B0E">
              <w:rPr>
                <w:b/>
                <w:sz w:val="20"/>
                <w:szCs w:val="20"/>
                <w:lang w:val="fr-CA"/>
              </w:rPr>
              <w:t xml:space="preserve">Requête en formulation de questions constitutionnelles </w:t>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p>
        </w:tc>
      </w:tr>
      <w:tr w:rsidR="009E6B0E" w:rsidRPr="009E6B0E" w:rsidTr="009E6B0E">
        <w:trPr>
          <w:trHeight w:val="150"/>
        </w:trPr>
        <w:tc>
          <w:tcPr>
            <w:tcW w:w="4338" w:type="dxa"/>
          </w:tcPr>
          <w:p w:rsidR="009E6B0E" w:rsidRPr="009E6B0E" w:rsidRDefault="009E6B0E" w:rsidP="009E6B0E">
            <w:pPr>
              <w:tabs>
                <w:tab w:val="left" w:pos="-1440"/>
                <w:tab w:val="left" w:pos="-720"/>
              </w:tabs>
              <w:jc w:val="both"/>
              <w:rPr>
                <w:sz w:val="20"/>
                <w:szCs w:val="20"/>
              </w:rPr>
            </w:pPr>
            <w:proofErr w:type="spellStart"/>
            <w:r w:rsidRPr="009E6B0E">
              <w:rPr>
                <w:sz w:val="20"/>
                <w:szCs w:val="20"/>
              </w:rPr>
              <w:t>Ewaryst</w:t>
            </w:r>
            <w:proofErr w:type="spellEnd"/>
            <w:r w:rsidRPr="009E6B0E">
              <w:rPr>
                <w:sz w:val="20"/>
                <w:szCs w:val="20"/>
              </w:rPr>
              <w:t xml:space="preserve"> </w:t>
            </w:r>
            <w:proofErr w:type="spellStart"/>
            <w:r w:rsidRPr="009E6B0E">
              <w:rPr>
                <w:sz w:val="20"/>
                <w:szCs w:val="20"/>
              </w:rPr>
              <w:t>Prokoview</w:t>
            </w:r>
            <w:proofErr w:type="spellEnd"/>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rPr>
            </w:pPr>
            <w:r w:rsidRPr="009E6B0E">
              <w:rPr>
                <w:sz w:val="20"/>
                <w:szCs w:val="20"/>
              </w:rPr>
              <w:tab/>
              <w:t>v. (33754)</w:t>
            </w: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rPr>
            </w:pPr>
            <w:r w:rsidRPr="009E6B0E">
              <w:rPr>
                <w:sz w:val="20"/>
                <w:szCs w:val="20"/>
              </w:rPr>
              <w:t>Her Majesty the Queen (Crim.) (Ont.)</w:t>
            </w:r>
          </w:p>
        </w:tc>
        <w:tc>
          <w:tcPr>
            <w:tcW w:w="1170" w:type="dxa"/>
          </w:tcPr>
          <w:p w:rsidR="009E6B0E" w:rsidRPr="009E6B0E" w:rsidRDefault="009E6B0E" w:rsidP="009E6B0E">
            <w:pPr>
              <w:jc w:val="both"/>
              <w:rPr>
                <w:sz w:val="20"/>
                <w:szCs w:val="20"/>
              </w:rPr>
            </w:pPr>
          </w:p>
        </w:tc>
        <w:tc>
          <w:tcPr>
            <w:tcW w:w="4327" w:type="dxa"/>
          </w:tcPr>
          <w:p w:rsidR="009E6B0E" w:rsidRPr="009E6B0E" w:rsidRDefault="009E6B0E" w:rsidP="009E6B0E">
            <w:pPr>
              <w:jc w:val="both"/>
              <w:rPr>
                <w:sz w:val="20"/>
                <w:szCs w:val="20"/>
              </w:rPr>
            </w:pPr>
          </w:p>
        </w:tc>
      </w:tr>
    </w:tbl>
    <w:p w:rsidR="009E6B0E" w:rsidRPr="009E6B0E" w:rsidRDefault="009E6B0E" w:rsidP="009E6B0E">
      <w:pPr>
        <w:rPr>
          <w:sz w:val="20"/>
          <w:szCs w:val="20"/>
        </w:rPr>
      </w:pPr>
    </w:p>
    <w:p w:rsidR="009E6B0E" w:rsidRPr="009E6B0E" w:rsidRDefault="009E6B0E" w:rsidP="009E6B0E">
      <w:pPr>
        <w:tabs>
          <w:tab w:val="left" w:pos="-1440"/>
          <w:tab w:val="left" w:pos="-720"/>
        </w:tabs>
        <w:jc w:val="both"/>
        <w:rPr>
          <w:sz w:val="20"/>
          <w:szCs w:val="20"/>
        </w:rPr>
      </w:pPr>
      <w:r w:rsidRPr="009E6B0E">
        <w:rPr>
          <w:b/>
          <w:sz w:val="20"/>
          <w:szCs w:val="20"/>
        </w:rPr>
        <w:t>GRANTED / ACCORDÉE</w:t>
      </w:r>
    </w:p>
    <w:p w:rsidR="009E6B0E" w:rsidRPr="009E6B0E" w:rsidRDefault="009E6B0E" w:rsidP="009E6B0E">
      <w:pPr>
        <w:rPr>
          <w:sz w:val="20"/>
          <w:szCs w:val="20"/>
        </w:rPr>
      </w:pPr>
    </w:p>
    <w:p w:rsidR="009E6B0E" w:rsidRPr="009E6B0E" w:rsidRDefault="009E6B0E" w:rsidP="009E6B0E">
      <w:pPr>
        <w:rPr>
          <w:sz w:val="20"/>
          <w:szCs w:val="20"/>
        </w:rPr>
      </w:pPr>
      <w:r w:rsidRPr="009E6B0E">
        <w:rPr>
          <w:b/>
          <w:bCs/>
          <w:sz w:val="20"/>
          <w:szCs w:val="20"/>
        </w:rPr>
        <w:t>UPON APPLICATION</w:t>
      </w:r>
      <w:r w:rsidRPr="009E6B0E">
        <w:rPr>
          <w:sz w:val="20"/>
          <w:szCs w:val="20"/>
        </w:rPr>
        <w:t xml:space="preserve"> by the appellant for an order stating constitutional questions in the above appeal;</w:t>
      </w:r>
    </w:p>
    <w:p w:rsidR="009E6B0E" w:rsidRPr="009E6B0E" w:rsidRDefault="009E6B0E" w:rsidP="009E6B0E">
      <w:pPr>
        <w:rPr>
          <w:sz w:val="20"/>
          <w:szCs w:val="20"/>
        </w:rPr>
      </w:pPr>
    </w:p>
    <w:p w:rsidR="009E6B0E" w:rsidRPr="009E6B0E" w:rsidRDefault="009E6B0E" w:rsidP="009E6B0E">
      <w:pPr>
        <w:rPr>
          <w:sz w:val="20"/>
          <w:szCs w:val="20"/>
        </w:rPr>
      </w:pPr>
      <w:r w:rsidRPr="009E6B0E">
        <w:rPr>
          <w:b/>
          <w:bCs/>
          <w:sz w:val="20"/>
          <w:szCs w:val="20"/>
        </w:rPr>
        <w:t>AND THE MATERIAL FILED</w:t>
      </w:r>
      <w:r w:rsidRPr="009E6B0E">
        <w:rPr>
          <w:sz w:val="20"/>
          <w:szCs w:val="20"/>
        </w:rPr>
        <w:t xml:space="preserve"> having been read;</w:t>
      </w:r>
    </w:p>
    <w:p w:rsidR="009E6B0E" w:rsidRPr="009E6B0E" w:rsidRDefault="009E6B0E" w:rsidP="009E6B0E">
      <w:pPr>
        <w:rPr>
          <w:sz w:val="20"/>
          <w:szCs w:val="20"/>
        </w:rPr>
      </w:pPr>
    </w:p>
    <w:p w:rsidR="009E6B0E" w:rsidRPr="009E6B0E" w:rsidRDefault="009E6B0E" w:rsidP="009E6B0E">
      <w:pPr>
        <w:rPr>
          <w:sz w:val="20"/>
          <w:szCs w:val="20"/>
        </w:rPr>
      </w:pPr>
      <w:r w:rsidRPr="009E6B0E">
        <w:rPr>
          <w:b/>
          <w:bCs/>
          <w:sz w:val="20"/>
          <w:szCs w:val="20"/>
        </w:rPr>
        <w:t>IT IS HEREBY ORDERED THAT THE CONSTITUTIONAL QUESTIONS BE STATED AS FOLLOW:</w:t>
      </w:r>
    </w:p>
    <w:p w:rsidR="009E6B0E" w:rsidRPr="009E6B0E" w:rsidRDefault="009E6B0E" w:rsidP="009E6B0E">
      <w:pPr>
        <w:rPr>
          <w:sz w:val="20"/>
          <w:szCs w:val="20"/>
        </w:rPr>
      </w:pPr>
    </w:p>
    <w:p w:rsidR="009E6B0E" w:rsidRPr="009E6B0E" w:rsidRDefault="009E6B0E" w:rsidP="009E6B0E">
      <w:pPr>
        <w:pStyle w:val="ListParagraph"/>
        <w:numPr>
          <w:ilvl w:val="0"/>
          <w:numId w:val="2"/>
        </w:numPr>
        <w:contextualSpacing w:val="0"/>
        <w:jc w:val="both"/>
        <w:rPr>
          <w:sz w:val="20"/>
          <w:szCs w:val="20"/>
        </w:rPr>
      </w:pPr>
      <w:proofErr w:type="gramStart"/>
      <w:r w:rsidRPr="009E6B0E">
        <w:rPr>
          <w:sz w:val="20"/>
          <w:szCs w:val="20"/>
        </w:rPr>
        <w:t>Does</w:t>
      </w:r>
      <w:proofErr w:type="gramEnd"/>
      <w:r w:rsidRPr="009E6B0E">
        <w:rPr>
          <w:sz w:val="20"/>
          <w:szCs w:val="20"/>
        </w:rPr>
        <w:t xml:space="preserve"> s. 4(6) of the </w:t>
      </w:r>
      <w:r w:rsidRPr="009E6B0E">
        <w:rPr>
          <w:i/>
          <w:iCs/>
          <w:sz w:val="20"/>
          <w:szCs w:val="20"/>
        </w:rPr>
        <w:t>Canada Evidence Act</w:t>
      </w:r>
      <w:r w:rsidRPr="009E6B0E">
        <w:rPr>
          <w:sz w:val="20"/>
          <w:szCs w:val="20"/>
        </w:rPr>
        <w:t xml:space="preserve">, R.S.C. 1985, chap. C-5, infringe s. 7 of the </w:t>
      </w:r>
      <w:r w:rsidRPr="009E6B0E">
        <w:rPr>
          <w:i/>
          <w:iCs/>
          <w:sz w:val="20"/>
          <w:szCs w:val="20"/>
        </w:rPr>
        <w:t>Canadian Charter of Rights and Freedoms</w:t>
      </w:r>
      <w:r w:rsidRPr="009E6B0E">
        <w:rPr>
          <w:sz w:val="20"/>
          <w:szCs w:val="20"/>
        </w:rPr>
        <w:t>?</w:t>
      </w:r>
    </w:p>
    <w:p w:rsidR="009E6B0E" w:rsidRPr="009E6B0E" w:rsidRDefault="009E6B0E" w:rsidP="009E6B0E">
      <w:pPr>
        <w:rPr>
          <w:sz w:val="20"/>
          <w:szCs w:val="20"/>
        </w:rPr>
      </w:pPr>
    </w:p>
    <w:p w:rsidR="009E6B0E" w:rsidRPr="009E6B0E" w:rsidRDefault="009E6B0E" w:rsidP="009E6B0E">
      <w:pPr>
        <w:pStyle w:val="ListParagraph"/>
        <w:numPr>
          <w:ilvl w:val="0"/>
          <w:numId w:val="2"/>
        </w:numPr>
        <w:contextualSpacing w:val="0"/>
        <w:jc w:val="both"/>
        <w:rPr>
          <w:sz w:val="20"/>
          <w:szCs w:val="20"/>
        </w:rPr>
      </w:pPr>
      <w:r w:rsidRPr="009E6B0E">
        <w:rPr>
          <w:sz w:val="20"/>
          <w:szCs w:val="20"/>
        </w:rPr>
        <w:t xml:space="preserve">If so, is the infringement a reasonable limit prescribed by law as can be demonstrably justified in a free and democratic society under s. 1 of the </w:t>
      </w:r>
      <w:r w:rsidRPr="009E6B0E">
        <w:rPr>
          <w:i/>
          <w:iCs/>
          <w:sz w:val="20"/>
          <w:szCs w:val="20"/>
        </w:rPr>
        <w:t>Canadian Charter of Rights and Freedoms</w:t>
      </w:r>
      <w:r w:rsidRPr="009E6B0E">
        <w:rPr>
          <w:sz w:val="20"/>
          <w:szCs w:val="20"/>
        </w:rPr>
        <w:t>?</w:t>
      </w:r>
    </w:p>
    <w:p w:rsidR="009E6B0E" w:rsidRPr="009E6B0E" w:rsidRDefault="009E6B0E" w:rsidP="009E6B0E">
      <w:pPr>
        <w:rPr>
          <w:sz w:val="20"/>
          <w:szCs w:val="20"/>
        </w:rPr>
      </w:pPr>
    </w:p>
    <w:p w:rsidR="009E6B0E" w:rsidRPr="009E6B0E" w:rsidRDefault="009E6B0E" w:rsidP="009E6B0E">
      <w:pPr>
        <w:pStyle w:val="ListParagraph"/>
        <w:numPr>
          <w:ilvl w:val="0"/>
          <w:numId w:val="2"/>
        </w:numPr>
        <w:contextualSpacing w:val="0"/>
        <w:jc w:val="both"/>
        <w:rPr>
          <w:sz w:val="20"/>
          <w:szCs w:val="20"/>
        </w:rPr>
      </w:pPr>
      <w:proofErr w:type="gramStart"/>
      <w:r w:rsidRPr="009E6B0E">
        <w:rPr>
          <w:sz w:val="20"/>
          <w:szCs w:val="20"/>
        </w:rPr>
        <w:t>Does</w:t>
      </w:r>
      <w:proofErr w:type="gramEnd"/>
      <w:r w:rsidRPr="009E6B0E">
        <w:rPr>
          <w:sz w:val="20"/>
          <w:szCs w:val="20"/>
        </w:rPr>
        <w:t xml:space="preserve"> s. 4(6) of the </w:t>
      </w:r>
      <w:r w:rsidRPr="009E6B0E">
        <w:rPr>
          <w:i/>
          <w:iCs/>
          <w:sz w:val="20"/>
          <w:szCs w:val="20"/>
        </w:rPr>
        <w:t>Canada Evidence Act</w:t>
      </w:r>
      <w:r w:rsidRPr="009E6B0E">
        <w:rPr>
          <w:sz w:val="20"/>
          <w:szCs w:val="20"/>
        </w:rPr>
        <w:t>, R.S.C. 1985, chap. C-5, infringe s. 11(</w:t>
      </w:r>
      <w:r w:rsidRPr="009E6B0E">
        <w:rPr>
          <w:i/>
          <w:iCs/>
          <w:sz w:val="20"/>
          <w:szCs w:val="20"/>
        </w:rPr>
        <w:t>c</w:t>
      </w:r>
      <w:r w:rsidRPr="009E6B0E">
        <w:rPr>
          <w:sz w:val="20"/>
          <w:szCs w:val="20"/>
        </w:rPr>
        <w:t xml:space="preserve">) of the </w:t>
      </w:r>
      <w:r w:rsidRPr="009E6B0E">
        <w:rPr>
          <w:i/>
          <w:iCs/>
          <w:sz w:val="20"/>
          <w:szCs w:val="20"/>
        </w:rPr>
        <w:t>Canadian Charter of Rights and Freedoms</w:t>
      </w:r>
      <w:r w:rsidRPr="009E6B0E">
        <w:rPr>
          <w:sz w:val="20"/>
          <w:szCs w:val="20"/>
        </w:rPr>
        <w:t>?</w:t>
      </w:r>
    </w:p>
    <w:p w:rsidR="009E6B0E" w:rsidRPr="009E6B0E" w:rsidRDefault="009E6B0E" w:rsidP="009E6B0E">
      <w:pPr>
        <w:rPr>
          <w:sz w:val="20"/>
          <w:szCs w:val="20"/>
        </w:rPr>
      </w:pPr>
    </w:p>
    <w:p w:rsidR="009E6B0E" w:rsidRPr="009E6B0E" w:rsidRDefault="009E6B0E" w:rsidP="009E6B0E">
      <w:pPr>
        <w:pStyle w:val="ListParagraph"/>
        <w:numPr>
          <w:ilvl w:val="0"/>
          <w:numId w:val="2"/>
        </w:numPr>
        <w:contextualSpacing w:val="0"/>
        <w:jc w:val="both"/>
        <w:rPr>
          <w:sz w:val="20"/>
          <w:szCs w:val="20"/>
        </w:rPr>
      </w:pPr>
      <w:r w:rsidRPr="009E6B0E">
        <w:rPr>
          <w:sz w:val="20"/>
          <w:szCs w:val="20"/>
        </w:rPr>
        <w:t xml:space="preserve">If so, is the infringement a reasonable limit prescribed by law as can be demonstrably justified in a free and democratic society under s. 1 of the </w:t>
      </w:r>
      <w:r w:rsidRPr="009E6B0E">
        <w:rPr>
          <w:i/>
          <w:iCs/>
          <w:sz w:val="20"/>
          <w:szCs w:val="20"/>
        </w:rPr>
        <w:t>Canadian Charter of Rights and Freedoms</w:t>
      </w:r>
      <w:r w:rsidRPr="009E6B0E">
        <w:rPr>
          <w:sz w:val="20"/>
          <w:szCs w:val="20"/>
        </w:rPr>
        <w:t>?</w:t>
      </w:r>
    </w:p>
    <w:p w:rsidR="009E6B0E" w:rsidRPr="009E6B0E" w:rsidRDefault="009E6B0E" w:rsidP="009E6B0E">
      <w:pPr>
        <w:rPr>
          <w:sz w:val="20"/>
          <w:szCs w:val="20"/>
        </w:rPr>
      </w:pPr>
    </w:p>
    <w:p w:rsidR="009E6B0E" w:rsidRPr="009E6B0E" w:rsidRDefault="009E6B0E" w:rsidP="009E6B0E">
      <w:pPr>
        <w:pStyle w:val="ListParagraph"/>
        <w:numPr>
          <w:ilvl w:val="0"/>
          <w:numId w:val="2"/>
        </w:numPr>
        <w:contextualSpacing w:val="0"/>
        <w:jc w:val="both"/>
        <w:rPr>
          <w:sz w:val="20"/>
          <w:szCs w:val="20"/>
        </w:rPr>
      </w:pPr>
      <w:r w:rsidRPr="009E6B0E">
        <w:rPr>
          <w:sz w:val="20"/>
          <w:szCs w:val="20"/>
        </w:rPr>
        <w:t xml:space="preserve">Does s. 4(6) of the </w:t>
      </w:r>
      <w:r w:rsidRPr="009E6B0E">
        <w:rPr>
          <w:i/>
          <w:iCs/>
          <w:sz w:val="20"/>
          <w:szCs w:val="20"/>
        </w:rPr>
        <w:t>Canada Evidence Act</w:t>
      </w:r>
      <w:r w:rsidRPr="009E6B0E">
        <w:rPr>
          <w:sz w:val="20"/>
          <w:szCs w:val="20"/>
        </w:rPr>
        <w:t xml:space="preserve">, R.S.C. 1985, </w:t>
      </w:r>
      <w:proofErr w:type="gramStart"/>
      <w:r w:rsidRPr="009E6B0E">
        <w:rPr>
          <w:sz w:val="20"/>
          <w:szCs w:val="20"/>
        </w:rPr>
        <w:t>chap</w:t>
      </w:r>
      <w:proofErr w:type="gramEnd"/>
      <w:r w:rsidRPr="009E6B0E">
        <w:rPr>
          <w:sz w:val="20"/>
          <w:szCs w:val="20"/>
        </w:rPr>
        <w:t>. C-5, infringe s. 11(</w:t>
      </w:r>
      <w:r w:rsidRPr="009E6B0E">
        <w:rPr>
          <w:i/>
          <w:iCs/>
          <w:sz w:val="20"/>
          <w:szCs w:val="20"/>
        </w:rPr>
        <w:t>d</w:t>
      </w:r>
      <w:r w:rsidRPr="009E6B0E">
        <w:rPr>
          <w:sz w:val="20"/>
          <w:szCs w:val="20"/>
        </w:rPr>
        <w:t xml:space="preserve">) of the </w:t>
      </w:r>
      <w:r w:rsidRPr="009E6B0E">
        <w:rPr>
          <w:i/>
          <w:iCs/>
          <w:sz w:val="20"/>
          <w:szCs w:val="20"/>
        </w:rPr>
        <w:t>Canadian Charter of Rights and Freedoms</w:t>
      </w:r>
      <w:r w:rsidRPr="009E6B0E">
        <w:rPr>
          <w:sz w:val="20"/>
          <w:szCs w:val="20"/>
        </w:rPr>
        <w:t>?</w:t>
      </w:r>
    </w:p>
    <w:p w:rsidR="009E6B0E" w:rsidRPr="009E6B0E" w:rsidRDefault="009E6B0E" w:rsidP="009E6B0E">
      <w:pPr>
        <w:rPr>
          <w:sz w:val="20"/>
          <w:szCs w:val="20"/>
        </w:rPr>
      </w:pPr>
    </w:p>
    <w:p w:rsidR="009E6B0E" w:rsidRPr="009E6B0E" w:rsidRDefault="009E6B0E" w:rsidP="009E6B0E">
      <w:pPr>
        <w:pStyle w:val="ListParagraph"/>
        <w:numPr>
          <w:ilvl w:val="0"/>
          <w:numId w:val="2"/>
        </w:numPr>
        <w:contextualSpacing w:val="0"/>
        <w:jc w:val="both"/>
        <w:rPr>
          <w:sz w:val="20"/>
          <w:szCs w:val="20"/>
        </w:rPr>
      </w:pPr>
      <w:r w:rsidRPr="009E6B0E">
        <w:rPr>
          <w:sz w:val="20"/>
          <w:szCs w:val="20"/>
        </w:rPr>
        <w:t xml:space="preserve">If so, is the infringement a reasonable limit prescribed by law as can be demonstrably justified in a free and democratic society under s. 1 of the </w:t>
      </w:r>
      <w:r w:rsidRPr="009E6B0E">
        <w:rPr>
          <w:i/>
          <w:iCs/>
          <w:sz w:val="20"/>
          <w:szCs w:val="20"/>
        </w:rPr>
        <w:t>Canadian Charter of Rights and Freedoms</w:t>
      </w:r>
      <w:r w:rsidRPr="009E6B0E">
        <w:rPr>
          <w:sz w:val="20"/>
          <w:szCs w:val="20"/>
        </w:rPr>
        <w:t>?</w:t>
      </w:r>
    </w:p>
    <w:p w:rsidR="009E6B0E" w:rsidRPr="009E6B0E" w:rsidRDefault="009E6B0E" w:rsidP="009E6B0E">
      <w:pPr>
        <w:rPr>
          <w:sz w:val="20"/>
          <w:szCs w:val="20"/>
        </w:rPr>
      </w:pPr>
    </w:p>
    <w:p w:rsidR="009E6B0E" w:rsidRPr="009E6B0E" w:rsidRDefault="009E6B0E" w:rsidP="009E6B0E">
      <w:pPr>
        <w:rPr>
          <w:sz w:val="20"/>
          <w:szCs w:val="20"/>
        </w:rPr>
      </w:pPr>
    </w:p>
    <w:p w:rsidR="009E6B0E" w:rsidRPr="009E6B0E" w:rsidRDefault="009E6B0E" w:rsidP="009E6B0E">
      <w:pPr>
        <w:rPr>
          <w:sz w:val="20"/>
          <w:szCs w:val="20"/>
        </w:rPr>
      </w:pPr>
    </w:p>
    <w:p w:rsidR="009E6B0E" w:rsidRPr="009E6B0E" w:rsidRDefault="00C478F8" w:rsidP="009E6B0E">
      <w:pPr>
        <w:spacing w:line="233" w:lineRule="auto"/>
        <w:jc w:val="both"/>
        <w:rPr>
          <w:sz w:val="20"/>
          <w:szCs w:val="20"/>
          <w:lang w:val="fr-FR"/>
        </w:rPr>
      </w:pPr>
      <w:r w:rsidRPr="009E6B0E">
        <w:rPr>
          <w:sz w:val="20"/>
          <w:szCs w:val="20"/>
        </w:rPr>
        <w:fldChar w:fldCharType="begin"/>
      </w:r>
      <w:r w:rsidR="009E6B0E" w:rsidRPr="009E6B0E">
        <w:rPr>
          <w:sz w:val="20"/>
          <w:szCs w:val="20"/>
          <w:lang w:val="fr-FR"/>
        </w:rPr>
        <w:instrText xml:space="preserve"> SEQ CHAPTER \h \r 1</w:instrText>
      </w:r>
      <w:r w:rsidRPr="009E6B0E">
        <w:rPr>
          <w:sz w:val="20"/>
          <w:szCs w:val="20"/>
        </w:rPr>
        <w:fldChar w:fldCharType="end"/>
      </w:r>
      <w:r w:rsidR="009E6B0E" w:rsidRPr="009E6B0E">
        <w:rPr>
          <w:b/>
          <w:bCs/>
          <w:sz w:val="20"/>
          <w:szCs w:val="20"/>
          <w:lang w:val="fr-CA"/>
        </w:rPr>
        <w:t>À LA SUITE D’UNE DEMANDE</w:t>
      </w:r>
      <w:r w:rsidR="009E6B0E" w:rsidRPr="009E6B0E">
        <w:rPr>
          <w:sz w:val="20"/>
          <w:szCs w:val="20"/>
          <w:lang w:val="fr-CA"/>
        </w:rPr>
        <w:t xml:space="preserve"> de l’appelant visant à obtenir la formulation de questions constitutionnelles dans le pourvoi susmentio</w:t>
      </w:r>
      <w:r w:rsidR="00406D3C">
        <w:rPr>
          <w:sz w:val="20"/>
          <w:szCs w:val="20"/>
          <w:lang w:val="fr-CA"/>
        </w:rPr>
        <w:t>n</w:t>
      </w:r>
      <w:r w:rsidR="009E6B0E" w:rsidRPr="009E6B0E">
        <w:rPr>
          <w:sz w:val="20"/>
          <w:szCs w:val="20"/>
          <w:lang w:val="fr-CA"/>
        </w:rPr>
        <w:t>né;</w:t>
      </w:r>
    </w:p>
    <w:p w:rsidR="009E6B0E" w:rsidRPr="009E6B0E" w:rsidRDefault="009E6B0E" w:rsidP="009E6B0E">
      <w:pPr>
        <w:spacing w:line="233" w:lineRule="auto"/>
        <w:jc w:val="both"/>
        <w:rPr>
          <w:sz w:val="20"/>
          <w:szCs w:val="20"/>
          <w:lang w:val="fr-FR"/>
        </w:rPr>
      </w:pPr>
    </w:p>
    <w:p w:rsidR="009E6B0E" w:rsidRPr="009E6B0E" w:rsidRDefault="00C478F8" w:rsidP="009E6B0E">
      <w:pPr>
        <w:jc w:val="both"/>
        <w:rPr>
          <w:sz w:val="20"/>
          <w:szCs w:val="20"/>
          <w:lang w:val="fr-CA"/>
        </w:rPr>
      </w:pPr>
      <w:r w:rsidRPr="009E6B0E">
        <w:rPr>
          <w:sz w:val="20"/>
          <w:szCs w:val="20"/>
        </w:rPr>
        <w:fldChar w:fldCharType="begin"/>
      </w:r>
      <w:r w:rsidR="009E6B0E" w:rsidRPr="009E6B0E">
        <w:rPr>
          <w:sz w:val="20"/>
          <w:szCs w:val="20"/>
          <w:lang w:val="fr-FR"/>
        </w:rPr>
        <w:instrText xml:space="preserve"> SEQ CHAPTER \h \r 1</w:instrText>
      </w:r>
      <w:r w:rsidRPr="009E6B0E">
        <w:rPr>
          <w:sz w:val="20"/>
          <w:szCs w:val="20"/>
        </w:rPr>
        <w:fldChar w:fldCharType="end"/>
      </w:r>
      <w:r w:rsidR="009E6B0E" w:rsidRPr="009E6B0E">
        <w:rPr>
          <w:b/>
          <w:bCs/>
          <w:sz w:val="20"/>
          <w:szCs w:val="20"/>
          <w:lang w:val="fr-CA"/>
        </w:rPr>
        <w:t>APRÈS EXAMEN</w:t>
      </w:r>
      <w:r w:rsidR="009E6B0E" w:rsidRPr="009E6B0E">
        <w:rPr>
          <w:sz w:val="20"/>
          <w:szCs w:val="20"/>
          <w:lang w:val="fr-CA"/>
        </w:rPr>
        <w:t xml:space="preserve"> des documents déposés;</w:t>
      </w:r>
    </w:p>
    <w:p w:rsidR="009E6B0E" w:rsidRPr="009E6B0E" w:rsidRDefault="009E6B0E" w:rsidP="009E6B0E">
      <w:pPr>
        <w:spacing w:line="233" w:lineRule="auto"/>
        <w:jc w:val="both"/>
        <w:rPr>
          <w:b/>
          <w:bCs/>
          <w:sz w:val="20"/>
          <w:szCs w:val="20"/>
          <w:lang w:val="fr-CA"/>
        </w:rPr>
      </w:pPr>
    </w:p>
    <w:p w:rsidR="009E6B0E" w:rsidRPr="009E6B0E" w:rsidRDefault="009E6B0E" w:rsidP="009E6B0E">
      <w:pPr>
        <w:spacing w:line="233" w:lineRule="auto"/>
        <w:jc w:val="both"/>
        <w:rPr>
          <w:b/>
          <w:bCs/>
          <w:sz w:val="20"/>
          <w:szCs w:val="20"/>
          <w:lang w:val="fr-CA"/>
        </w:rPr>
      </w:pPr>
      <w:r w:rsidRPr="009E6B0E">
        <w:rPr>
          <w:b/>
          <w:bCs/>
          <w:sz w:val="20"/>
          <w:szCs w:val="20"/>
          <w:lang w:val="fr-FR"/>
        </w:rPr>
        <w:t xml:space="preserve">IL EST EN OUTRE ORDONNÉ QUE LES QUESTIONS CONSTITUTIONNELLES </w:t>
      </w:r>
      <w:proofErr w:type="gramStart"/>
      <w:r w:rsidRPr="009E6B0E">
        <w:rPr>
          <w:b/>
          <w:bCs/>
          <w:sz w:val="20"/>
          <w:szCs w:val="20"/>
          <w:lang w:val="fr-FR"/>
        </w:rPr>
        <w:t>SERONT</w:t>
      </w:r>
      <w:proofErr w:type="gramEnd"/>
      <w:r w:rsidRPr="009E6B0E">
        <w:rPr>
          <w:b/>
          <w:bCs/>
          <w:sz w:val="20"/>
          <w:szCs w:val="20"/>
          <w:lang w:val="fr-FR"/>
        </w:rPr>
        <w:t xml:space="preserve"> FORMULÉES AINSI :</w:t>
      </w:r>
      <w:r w:rsidRPr="009E6B0E">
        <w:rPr>
          <w:b/>
          <w:bCs/>
          <w:sz w:val="20"/>
          <w:szCs w:val="20"/>
          <w:lang w:val="fr-CA"/>
        </w:rPr>
        <w:t xml:space="preserve">  </w:t>
      </w:r>
    </w:p>
    <w:p w:rsidR="009E6B0E" w:rsidRPr="009E6B0E" w:rsidRDefault="009E6B0E" w:rsidP="009E6B0E">
      <w:pPr>
        <w:spacing w:line="233" w:lineRule="auto"/>
        <w:jc w:val="both"/>
        <w:rPr>
          <w:b/>
          <w:bCs/>
          <w:sz w:val="20"/>
          <w:szCs w:val="20"/>
          <w:lang w:val="fr-CA"/>
        </w:rPr>
      </w:pPr>
    </w:p>
    <w:p w:rsidR="009E6B0E" w:rsidRPr="009E6B0E" w:rsidRDefault="009E6B0E" w:rsidP="009E6B0E">
      <w:pPr>
        <w:pStyle w:val="ListParagraph"/>
        <w:numPr>
          <w:ilvl w:val="0"/>
          <w:numId w:val="3"/>
        </w:numPr>
        <w:contextualSpacing w:val="0"/>
        <w:jc w:val="both"/>
        <w:rPr>
          <w:sz w:val="20"/>
          <w:szCs w:val="20"/>
          <w:lang w:val="fr-CA"/>
        </w:rPr>
      </w:pPr>
      <w:r w:rsidRPr="009E6B0E">
        <w:rPr>
          <w:sz w:val="20"/>
          <w:szCs w:val="20"/>
          <w:lang w:val="fr-CA"/>
        </w:rPr>
        <w:t xml:space="preserve">Le par. 4(6) de la </w:t>
      </w:r>
      <w:r w:rsidRPr="009E6B0E">
        <w:rPr>
          <w:i/>
          <w:iCs/>
          <w:sz w:val="20"/>
          <w:szCs w:val="20"/>
          <w:lang w:val="fr-CA"/>
        </w:rPr>
        <w:t>Loi sur la preuve au Canada</w:t>
      </w:r>
      <w:r w:rsidRPr="009E6B0E">
        <w:rPr>
          <w:sz w:val="20"/>
          <w:szCs w:val="20"/>
          <w:lang w:val="fr-CA"/>
        </w:rPr>
        <w:t xml:space="preserve">,  L.R.C. 1985, ch. C-5, contrevient-il à l’art. 7 de la </w:t>
      </w:r>
      <w:r w:rsidRPr="009E6B0E">
        <w:rPr>
          <w:i/>
          <w:iCs/>
          <w:sz w:val="20"/>
          <w:szCs w:val="20"/>
          <w:lang w:val="fr-CA"/>
        </w:rPr>
        <w:t>Charte canadienne des droits et liberté</w:t>
      </w:r>
      <w:r w:rsidRPr="009E6B0E">
        <w:rPr>
          <w:sz w:val="20"/>
          <w:szCs w:val="20"/>
          <w:lang w:val="fr-CA"/>
        </w:rPr>
        <w:t>s?</w:t>
      </w:r>
    </w:p>
    <w:p w:rsidR="009E6B0E" w:rsidRPr="009E6B0E" w:rsidRDefault="009E6B0E" w:rsidP="009E6B0E">
      <w:pPr>
        <w:rPr>
          <w:sz w:val="20"/>
          <w:szCs w:val="20"/>
          <w:lang w:val="fr-FR"/>
        </w:rPr>
      </w:pPr>
    </w:p>
    <w:p w:rsidR="009E6B0E" w:rsidRPr="009E6B0E" w:rsidRDefault="009E6B0E" w:rsidP="009E6B0E">
      <w:pPr>
        <w:pStyle w:val="ListParagraph"/>
        <w:numPr>
          <w:ilvl w:val="0"/>
          <w:numId w:val="3"/>
        </w:numPr>
        <w:contextualSpacing w:val="0"/>
        <w:jc w:val="both"/>
        <w:rPr>
          <w:sz w:val="20"/>
          <w:szCs w:val="20"/>
          <w:lang w:val="fr-CA"/>
        </w:rPr>
      </w:pPr>
      <w:r w:rsidRPr="009E6B0E">
        <w:rPr>
          <w:sz w:val="20"/>
          <w:szCs w:val="20"/>
          <w:lang w:val="fr-CA"/>
        </w:rPr>
        <w:t xml:space="preserve">Dans l’affirmative, l’atteinte constitue-t-elle une limite raisonnable prescrite par une règle droit et dont la justification peut se démontrer dans le cadre d’une société libre et démocratique au sens de l’article premier de la </w:t>
      </w:r>
      <w:r w:rsidRPr="009E6B0E">
        <w:rPr>
          <w:i/>
          <w:iCs/>
          <w:sz w:val="20"/>
          <w:szCs w:val="20"/>
          <w:lang w:val="fr-CA"/>
        </w:rPr>
        <w:t>Charte canadienne des droits et liberté</w:t>
      </w:r>
      <w:r w:rsidRPr="009E6B0E">
        <w:rPr>
          <w:sz w:val="20"/>
          <w:szCs w:val="20"/>
          <w:lang w:val="fr-CA"/>
        </w:rPr>
        <w:t>s?</w:t>
      </w:r>
    </w:p>
    <w:p w:rsidR="009E6B0E" w:rsidRPr="009E6B0E" w:rsidRDefault="009E6B0E" w:rsidP="009E6B0E">
      <w:pPr>
        <w:rPr>
          <w:sz w:val="20"/>
          <w:szCs w:val="20"/>
          <w:lang w:val="fr-FR"/>
        </w:rPr>
      </w:pPr>
    </w:p>
    <w:p w:rsidR="009E6B0E" w:rsidRPr="009E6B0E" w:rsidRDefault="009E6B0E" w:rsidP="009E6B0E">
      <w:pPr>
        <w:pStyle w:val="ListParagraph"/>
        <w:numPr>
          <w:ilvl w:val="0"/>
          <w:numId w:val="3"/>
        </w:numPr>
        <w:contextualSpacing w:val="0"/>
        <w:jc w:val="both"/>
        <w:rPr>
          <w:sz w:val="20"/>
          <w:szCs w:val="20"/>
          <w:lang w:val="fr-CA"/>
        </w:rPr>
      </w:pPr>
      <w:r w:rsidRPr="009E6B0E">
        <w:rPr>
          <w:sz w:val="20"/>
          <w:szCs w:val="20"/>
          <w:lang w:val="fr-CA"/>
        </w:rPr>
        <w:lastRenderedPageBreak/>
        <w:t xml:space="preserve">Le par. 4(6) de la </w:t>
      </w:r>
      <w:r w:rsidRPr="009E6B0E">
        <w:rPr>
          <w:i/>
          <w:iCs/>
          <w:sz w:val="20"/>
          <w:szCs w:val="20"/>
          <w:lang w:val="fr-CA"/>
        </w:rPr>
        <w:t>Loi sur la preuve au Canada</w:t>
      </w:r>
      <w:r w:rsidRPr="009E6B0E">
        <w:rPr>
          <w:sz w:val="20"/>
          <w:szCs w:val="20"/>
          <w:lang w:val="fr-CA"/>
        </w:rPr>
        <w:t>,  L.R.C. 1985, ch. C-5, contrevient-il à l’al. 11</w:t>
      </w:r>
      <w:r w:rsidRPr="009E6B0E">
        <w:rPr>
          <w:i/>
          <w:iCs/>
          <w:sz w:val="20"/>
          <w:szCs w:val="20"/>
          <w:lang w:val="fr-CA"/>
        </w:rPr>
        <w:t>c</w:t>
      </w:r>
      <w:r w:rsidRPr="009E6B0E">
        <w:rPr>
          <w:sz w:val="20"/>
          <w:szCs w:val="20"/>
          <w:lang w:val="fr-CA"/>
        </w:rPr>
        <w:t xml:space="preserve">) de la </w:t>
      </w:r>
      <w:r w:rsidRPr="009E6B0E">
        <w:rPr>
          <w:i/>
          <w:iCs/>
          <w:sz w:val="20"/>
          <w:szCs w:val="20"/>
          <w:lang w:val="fr-CA"/>
        </w:rPr>
        <w:t>Charte canadienne des droits et liberté</w:t>
      </w:r>
      <w:r w:rsidRPr="009E6B0E">
        <w:rPr>
          <w:sz w:val="20"/>
          <w:szCs w:val="20"/>
          <w:lang w:val="fr-CA"/>
        </w:rPr>
        <w:t>s?</w:t>
      </w:r>
    </w:p>
    <w:p w:rsidR="009E6B0E" w:rsidRPr="009E6B0E" w:rsidRDefault="009E6B0E" w:rsidP="009E6B0E">
      <w:pPr>
        <w:rPr>
          <w:sz w:val="20"/>
          <w:szCs w:val="20"/>
          <w:lang w:val="fr-CA"/>
        </w:rPr>
      </w:pPr>
    </w:p>
    <w:p w:rsidR="009E6B0E" w:rsidRPr="009E6B0E" w:rsidRDefault="009E6B0E" w:rsidP="009E6B0E">
      <w:pPr>
        <w:pStyle w:val="ListParagraph"/>
        <w:numPr>
          <w:ilvl w:val="0"/>
          <w:numId w:val="3"/>
        </w:numPr>
        <w:contextualSpacing w:val="0"/>
        <w:jc w:val="both"/>
        <w:rPr>
          <w:sz w:val="20"/>
          <w:szCs w:val="20"/>
          <w:lang w:val="fr-CA"/>
        </w:rPr>
      </w:pPr>
      <w:r w:rsidRPr="009E6B0E">
        <w:rPr>
          <w:sz w:val="20"/>
          <w:szCs w:val="20"/>
          <w:lang w:val="fr-CA"/>
        </w:rPr>
        <w:t xml:space="preserve">Dans l’affirmative, l’atteinte constitue-t-elle une limite raisonnable prescrite par une règle droit et dont la justification peut se démontrer dans le cadre d’une société libre et démocratique au sens de l’article premier de la </w:t>
      </w:r>
      <w:r w:rsidRPr="009E6B0E">
        <w:rPr>
          <w:i/>
          <w:iCs/>
          <w:sz w:val="20"/>
          <w:szCs w:val="20"/>
          <w:lang w:val="fr-CA"/>
        </w:rPr>
        <w:t>Charte canadienne des droits et liberté</w:t>
      </w:r>
      <w:r w:rsidRPr="009E6B0E">
        <w:rPr>
          <w:sz w:val="20"/>
          <w:szCs w:val="20"/>
          <w:lang w:val="fr-CA"/>
        </w:rPr>
        <w:t>s?</w:t>
      </w:r>
    </w:p>
    <w:p w:rsidR="009E6B0E" w:rsidRPr="009E6B0E" w:rsidRDefault="009E6B0E" w:rsidP="009E6B0E">
      <w:pPr>
        <w:rPr>
          <w:sz w:val="20"/>
          <w:szCs w:val="20"/>
          <w:lang w:val="fr-FR"/>
        </w:rPr>
      </w:pPr>
    </w:p>
    <w:p w:rsidR="009E6B0E" w:rsidRPr="009E6B0E" w:rsidRDefault="009E6B0E" w:rsidP="009E6B0E">
      <w:pPr>
        <w:pStyle w:val="ListParagraph"/>
        <w:numPr>
          <w:ilvl w:val="0"/>
          <w:numId w:val="3"/>
        </w:numPr>
        <w:contextualSpacing w:val="0"/>
        <w:jc w:val="both"/>
        <w:rPr>
          <w:sz w:val="20"/>
          <w:szCs w:val="20"/>
          <w:lang w:val="fr-CA"/>
        </w:rPr>
      </w:pPr>
      <w:r w:rsidRPr="009E6B0E">
        <w:rPr>
          <w:sz w:val="20"/>
          <w:szCs w:val="20"/>
          <w:lang w:val="fr-CA"/>
        </w:rPr>
        <w:t xml:space="preserve">Le par. 4(6) de la </w:t>
      </w:r>
      <w:r w:rsidRPr="009E6B0E">
        <w:rPr>
          <w:i/>
          <w:iCs/>
          <w:sz w:val="20"/>
          <w:szCs w:val="20"/>
          <w:lang w:val="fr-CA"/>
        </w:rPr>
        <w:t>Loi sur la preuve au Canada</w:t>
      </w:r>
      <w:r w:rsidRPr="009E6B0E">
        <w:rPr>
          <w:sz w:val="20"/>
          <w:szCs w:val="20"/>
          <w:lang w:val="fr-CA"/>
        </w:rPr>
        <w:t>,  L.R.C. 1985, ch. C-5, contrevient-il à l’al. 11</w:t>
      </w:r>
      <w:r w:rsidRPr="009E6B0E">
        <w:rPr>
          <w:i/>
          <w:iCs/>
          <w:sz w:val="20"/>
          <w:szCs w:val="20"/>
          <w:lang w:val="fr-CA"/>
        </w:rPr>
        <w:t>d</w:t>
      </w:r>
      <w:r w:rsidRPr="009E6B0E">
        <w:rPr>
          <w:sz w:val="20"/>
          <w:szCs w:val="20"/>
          <w:lang w:val="fr-CA"/>
        </w:rPr>
        <w:t xml:space="preserve">) de la </w:t>
      </w:r>
      <w:r w:rsidRPr="009E6B0E">
        <w:rPr>
          <w:i/>
          <w:iCs/>
          <w:sz w:val="20"/>
          <w:szCs w:val="20"/>
          <w:lang w:val="fr-CA"/>
        </w:rPr>
        <w:t>Charte canadienne des droits et liberté</w:t>
      </w:r>
      <w:r w:rsidRPr="009E6B0E">
        <w:rPr>
          <w:sz w:val="20"/>
          <w:szCs w:val="20"/>
          <w:lang w:val="fr-CA"/>
        </w:rPr>
        <w:t>s?</w:t>
      </w:r>
    </w:p>
    <w:p w:rsidR="009E6B0E" w:rsidRPr="009E6B0E" w:rsidRDefault="009E6B0E" w:rsidP="009E6B0E">
      <w:pPr>
        <w:rPr>
          <w:sz w:val="20"/>
          <w:szCs w:val="20"/>
          <w:lang w:val="fr-FR"/>
        </w:rPr>
      </w:pPr>
    </w:p>
    <w:p w:rsidR="009E6B0E" w:rsidRPr="009E6B0E" w:rsidRDefault="009E6B0E" w:rsidP="009E6B0E">
      <w:pPr>
        <w:pStyle w:val="ListParagraph"/>
        <w:numPr>
          <w:ilvl w:val="0"/>
          <w:numId w:val="3"/>
        </w:numPr>
        <w:contextualSpacing w:val="0"/>
        <w:jc w:val="both"/>
        <w:rPr>
          <w:sz w:val="20"/>
          <w:szCs w:val="20"/>
          <w:lang w:val="fr-CA"/>
        </w:rPr>
      </w:pPr>
      <w:r w:rsidRPr="009E6B0E">
        <w:rPr>
          <w:sz w:val="20"/>
          <w:szCs w:val="20"/>
          <w:lang w:val="fr-CA"/>
        </w:rPr>
        <w:t xml:space="preserve">Dans l’affirmative, l’atteinte constitue-t-elle une limite raisonnable prescrite par une règle droit et dont la justification peut se démontrer dans le cadre d’une société libre et démocratique au sens de l’article premier de la </w:t>
      </w:r>
      <w:r w:rsidRPr="009E6B0E">
        <w:rPr>
          <w:i/>
          <w:iCs/>
          <w:sz w:val="20"/>
          <w:szCs w:val="20"/>
          <w:lang w:val="fr-CA"/>
        </w:rPr>
        <w:t>Charte canadienne des droits et liberté</w:t>
      </w:r>
      <w:r w:rsidRPr="009E6B0E">
        <w:rPr>
          <w:sz w:val="20"/>
          <w:szCs w:val="20"/>
          <w:lang w:val="fr-CA"/>
        </w:rPr>
        <w:t>s?</w:t>
      </w:r>
    </w:p>
    <w:p w:rsidR="009E6B0E" w:rsidRPr="009E6B0E" w:rsidRDefault="009E6B0E" w:rsidP="009E6B0E">
      <w:pPr>
        <w:rPr>
          <w:sz w:val="20"/>
          <w:szCs w:val="20"/>
          <w:lang w:val="fr-CA"/>
        </w:rPr>
      </w:pPr>
    </w:p>
    <w:p w:rsidR="009E6B0E" w:rsidRPr="009E6B0E" w:rsidRDefault="00C478F8" w:rsidP="009E6B0E">
      <w:pPr>
        <w:rPr>
          <w:sz w:val="20"/>
          <w:szCs w:val="20"/>
          <w:lang w:val="fr-CA"/>
        </w:rPr>
      </w:pPr>
      <w:r w:rsidRPr="00C478F8">
        <w:rPr>
          <w:sz w:val="20"/>
          <w:szCs w:val="20"/>
          <w:lang w:val="fr-CA"/>
        </w:rPr>
        <w:pict>
          <v:rect id="_x0000_i1058" style="width:2in;height:1pt" o:hrpct="0" o:hralign="center" o:hrstd="t" o:hrnoshade="t" o:hr="t" fillcolor="black [3213]" stroked="f"/>
        </w:pict>
      </w:r>
    </w:p>
    <w:p w:rsidR="009E6B0E" w:rsidRPr="009E6B0E" w:rsidRDefault="009E6B0E" w:rsidP="009E6B0E">
      <w:pPr>
        <w:rPr>
          <w:sz w:val="20"/>
          <w:szCs w:val="20"/>
          <w:lang w:val="fr-CA"/>
        </w:rPr>
      </w:pPr>
    </w:p>
    <w:p w:rsidR="009E6B0E" w:rsidRPr="009E6B0E" w:rsidRDefault="009E6B0E" w:rsidP="009E6B0E">
      <w:pPr>
        <w:rPr>
          <w:sz w:val="20"/>
          <w:szCs w:val="20"/>
          <w:lang w:val="fr-CA"/>
        </w:rPr>
      </w:pPr>
      <w:r w:rsidRPr="009E6B0E">
        <w:rPr>
          <w:sz w:val="20"/>
          <w:szCs w:val="20"/>
          <w:lang w:val="fr-CA"/>
        </w:rPr>
        <w:t>08.03.2011</w:t>
      </w:r>
    </w:p>
    <w:p w:rsidR="009E6B0E" w:rsidRPr="009E6B0E" w:rsidRDefault="009E6B0E" w:rsidP="009E6B0E">
      <w:pPr>
        <w:rPr>
          <w:sz w:val="20"/>
          <w:szCs w:val="20"/>
          <w:lang w:val="fr-CA"/>
        </w:rPr>
      </w:pPr>
    </w:p>
    <w:p w:rsidR="009E6B0E" w:rsidRPr="009E6B0E" w:rsidRDefault="009E6B0E" w:rsidP="009E6B0E">
      <w:pPr>
        <w:tabs>
          <w:tab w:val="left" w:pos="-1440"/>
          <w:tab w:val="left" w:pos="-720"/>
        </w:tabs>
        <w:jc w:val="both"/>
        <w:rPr>
          <w:sz w:val="20"/>
          <w:szCs w:val="20"/>
          <w:lang w:val="fr-CA"/>
        </w:rPr>
      </w:pPr>
      <w:proofErr w:type="spellStart"/>
      <w:r w:rsidRPr="009E6B0E">
        <w:rPr>
          <w:sz w:val="20"/>
          <w:szCs w:val="20"/>
          <w:lang w:val="fr-CA"/>
        </w:rPr>
        <w:t>Before</w:t>
      </w:r>
      <w:proofErr w:type="spellEnd"/>
      <w:r w:rsidRPr="009E6B0E">
        <w:rPr>
          <w:sz w:val="20"/>
          <w:szCs w:val="20"/>
          <w:lang w:val="fr-CA"/>
        </w:rPr>
        <w:t xml:space="preserve"> / Devant :   BINNIE J. / LE JUGE BINNIE</w:t>
      </w:r>
    </w:p>
    <w:p w:rsidR="009E6B0E" w:rsidRPr="009E6B0E" w:rsidRDefault="009E6B0E" w:rsidP="009E6B0E">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9E6B0E" w:rsidRPr="00406D3C" w:rsidTr="009E6B0E">
        <w:tc>
          <w:tcPr>
            <w:tcW w:w="4338" w:type="dxa"/>
            <w:gridSpan w:val="2"/>
          </w:tcPr>
          <w:p w:rsidR="009E6B0E" w:rsidRPr="009E6B0E" w:rsidRDefault="009E6B0E" w:rsidP="009E6B0E">
            <w:pPr>
              <w:rPr>
                <w:b/>
                <w:sz w:val="20"/>
                <w:szCs w:val="20"/>
              </w:rPr>
            </w:pPr>
            <w:r w:rsidRPr="009E6B0E">
              <w:rPr>
                <w:b/>
                <w:sz w:val="20"/>
                <w:szCs w:val="20"/>
              </w:rPr>
              <w:t xml:space="preserve">Order on intervention with respect to oral argument </w:t>
            </w:r>
            <w:r w:rsidR="00C478F8" w:rsidRPr="009E6B0E">
              <w:rPr>
                <w:b/>
                <w:sz w:val="20"/>
                <w:szCs w:val="20"/>
              </w:rPr>
              <w:fldChar w:fldCharType="begin"/>
            </w:r>
            <w:r w:rsidRPr="009E6B0E">
              <w:rPr>
                <w:b/>
                <w:sz w:val="20"/>
                <w:szCs w:val="20"/>
              </w:rPr>
              <w:instrText xml:space="preserve"> SEQ CHAPTER \h \r 1</w:instrText>
            </w:r>
            <w:r w:rsidR="00C478F8" w:rsidRPr="009E6B0E">
              <w:rPr>
                <w:b/>
                <w:sz w:val="20"/>
                <w:szCs w:val="20"/>
              </w:rPr>
              <w:fldChar w:fldCharType="end"/>
            </w:r>
          </w:p>
        </w:tc>
        <w:tc>
          <w:tcPr>
            <w:tcW w:w="1170" w:type="dxa"/>
          </w:tcPr>
          <w:p w:rsidR="009E6B0E" w:rsidRPr="009E6B0E" w:rsidRDefault="009E6B0E" w:rsidP="009E6B0E">
            <w:pPr>
              <w:rPr>
                <w:sz w:val="20"/>
                <w:szCs w:val="20"/>
              </w:rPr>
            </w:pPr>
          </w:p>
          <w:p w:rsidR="009E6B0E" w:rsidRPr="009E6B0E" w:rsidRDefault="009E6B0E" w:rsidP="009E6B0E">
            <w:pPr>
              <w:rPr>
                <w:sz w:val="20"/>
                <w:szCs w:val="20"/>
              </w:rPr>
            </w:pPr>
          </w:p>
          <w:p w:rsidR="009E6B0E" w:rsidRPr="009E6B0E" w:rsidRDefault="009E6B0E" w:rsidP="009E6B0E">
            <w:pPr>
              <w:rPr>
                <w:sz w:val="20"/>
                <w:szCs w:val="20"/>
              </w:rPr>
            </w:pPr>
          </w:p>
        </w:tc>
        <w:tc>
          <w:tcPr>
            <w:tcW w:w="4327" w:type="dxa"/>
          </w:tcPr>
          <w:p w:rsidR="009E6B0E" w:rsidRPr="009E6B0E" w:rsidRDefault="009E6B0E" w:rsidP="009E6B0E">
            <w:pPr>
              <w:rPr>
                <w:b/>
                <w:sz w:val="20"/>
                <w:szCs w:val="20"/>
                <w:lang w:val="fr-CA"/>
              </w:rPr>
            </w:pPr>
            <w:r w:rsidRPr="009E6B0E">
              <w:rPr>
                <w:b/>
                <w:sz w:val="20"/>
                <w:szCs w:val="20"/>
                <w:lang w:val="fr-CA"/>
              </w:rPr>
              <w:t>Ordonnance relative à la présentation d’une plaidoirie orale par l’intervenante</w:t>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p>
        </w:tc>
      </w:tr>
      <w:tr w:rsidR="009E6B0E" w:rsidRPr="009E6B0E" w:rsidTr="009E6B0E">
        <w:tc>
          <w:tcPr>
            <w:tcW w:w="1368" w:type="dxa"/>
          </w:tcPr>
          <w:p w:rsidR="009E6B0E" w:rsidRPr="009E6B0E" w:rsidRDefault="009E6B0E" w:rsidP="009E6B0E">
            <w:pPr>
              <w:rPr>
                <w:sz w:val="20"/>
                <w:szCs w:val="20"/>
              </w:rPr>
            </w:pPr>
            <w:r w:rsidRPr="009E6B0E">
              <w:rPr>
                <w:sz w:val="20"/>
                <w:szCs w:val="20"/>
              </w:rPr>
              <w:t>RE:</w:t>
            </w:r>
          </w:p>
        </w:tc>
        <w:tc>
          <w:tcPr>
            <w:tcW w:w="2970" w:type="dxa"/>
          </w:tcPr>
          <w:p w:rsidR="009E6B0E" w:rsidRPr="009E6B0E" w:rsidRDefault="009E6B0E" w:rsidP="009E6B0E">
            <w:pPr>
              <w:rPr>
                <w:sz w:val="20"/>
                <w:szCs w:val="20"/>
              </w:rPr>
            </w:pPr>
            <w:r w:rsidRPr="009E6B0E">
              <w:rPr>
                <w:sz w:val="20"/>
                <w:szCs w:val="20"/>
              </w:rPr>
              <w:t xml:space="preserve">Criminal </w:t>
            </w:r>
            <w:proofErr w:type="spellStart"/>
            <w:r w:rsidRPr="009E6B0E">
              <w:rPr>
                <w:sz w:val="20"/>
                <w:szCs w:val="20"/>
              </w:rPr>
              <w:t>Lawyers’s</w:t>
            </w:r>
            <w:proofErr w:type="spellEnd"/>
            <w:r w:rsidRPr="009E6B0E">
              <w:rPr>
                <w:sz w:val="20"/>
                <w:szCs w:val="20"/>
              </w:rPr>
              <w:t xml:space="preserve"> Association (Ontario)</w:t>
            </w:r>
          </w:p>
        </w:tc>
        <w:tc>
          <w:tcPr>
            <w:tcW w:w="117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368" w:type="dxa"/>
          </w:tcPr>
          <w:p w:rsidR="009E6B0E" w:rsidRPr="009E6B0E" w:rsidRDefault="009E6B0E" w:rsidP="009E6B0E">
            <w:pPr>
              <w:rPr>
                <w:sz w:val="20"/>
                <w:szCs w:val="20"/>
              </w:rPr>
            </w:pPr>
          </w:p>
        </w:tc>
        <w:tc>
          <w:tcPr>
            <w:tcW w:w="2970" w:type="dxa"/>
          </w:tcPr>
          <w:p w:rsidR="009E6B0E" w:rsidRPr="009E6B0E" w:rsidRDefault="009E6B0E" w:rsidP="009E6B0E">
            <w:pPr>
              <w:rPr>
                <w:sz w:val="20"/>
                <w:szCs w:val="20"/>
              </w:rPr>
            </w:pPr>
          </w:p>
        </w:tc>
        <w:tc>
          <w:tcPr>
            <w:tcW w:w="117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368" w:type="dxa"/>
          </w:tcPr>
          <w:p w:rsidR="009E6B0E" w:rsidRPr="009E6B0E" w:rsidRDefault="009E6B0E" w:rsidP="009E6B0E">
            <w:pPr>
              <w:rPr>
                <w:sz w:val="20"/>
                <w:szCs w:val="20"/>
              </w:rPr>
            </w:pPr>
            <w:r w:rsidRPr="009E6B0E">
              <w:rPr>
                <w:sz w:val="20"/>
                <w:szCs w:val="20"/>
              </w:rPr>
              <w:t>IN / DANS :</w:t>
            </w:r>
          </w:p>
        </w:tc>
        <w:tc>
          <w:tcPr>
            <w:tcW w:w="2970" w:type="dxa"/>
          </w:tcPr>
          <w:p w:rsidR="009E6B0E" w:rsidRPr="009E6B0E" w:rsidRDefault="009E6B0E" w:rsidP="009E6B0E">
            <w:pPr>
              <w:rPr>
                <w:sz w:val="20"/>
                <w:szCs w:val="20"/>
              </w:rPr>
            </w:pPr>
            <w:proofErr w:type="spellStart"/>
            <w:r w:rsidRPr="009E6B0E">
              <w:rPr>
                <w:sz w:val="20"/>
                <w:szCs w:val="20"/>
              </w:rPr>
              <w:t>Armande</w:t>
            </w:r>
            <w:proofErr w:type="spellEnd"/>
            <w:r w:rsidRPr="009E6B0E">
              <w:rPr>
                <w:sz w:val="20"/>
                <w:szCs w:val="20"/>
              </w:rPr>
              <w:t xml:space="preserve"> </w:t>
            </w:r>
            <w:proofErr w:type="spellStart"/>
            <w:r w:rsidRPr="009E6B0E">
              <w:rPr>
                <w:sz w:val="20"/>
                <w:szCs w:val="20"/>
              </w:rPr>
              <w:t>Côté</w:t>
            </w:r>
            <w:proofErr w:type="spellEnd"/>
          </w:p>
          <w:p w:rsidR="009E6B0E" w:rsidRPr="009E6B0E" w:rsidRDefault="009E6B0E" w:rsidP="009E6B0E">
            <w:pPr>
              <w:rPr>
                <w:sz w:val="20"/>
                <w:szCs w:val="20"/>
              </w:rPr>
            </w:pPr>
          </w:p>
        </w:tc>
        <w:tc>
          <w:tcPr>
            <w:tcW w:w="117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368" w:type="dxa"/>
          </w:tcPr>
          <w:p w:rsidR="009E6B0E" w:rsidRPr="009E6B0E" w:rsidRDefault="009E6B0E" w:rsidP="009E6B0E">
            <w:pPr>
              <w:rPr>
                <w:sz w:val="20"/>
                <w:szCs w:val="20"/>
              </w:rPr>
            </w:pPr>
          </w:p>
        </w:tc>
        <w:tc>
          <w:tcPr>
            <w:tcW w:w="2970" w:type="dxa"/>
          </w:tcPr>
          <w:p w:rsidR="009E6B0E" w:rsidRPr="009E6B0E" w:rsidRDefault="009E6B0E" w:rsidP="009E6B0E">
            <w:pPr>
              <w:rPr>
                <w:sz w:val="20"/>
                <w:szCs w:val="20"/>
              </w:rPr>
            </w:pPr>
            <w:r w:rsidRPr="009E6B0E">
              <w:rPr>
                <w:sz w:val="20"/>
                <w:szCs w:val="20"/>
              </w:rPr>
              <w:tab/>
              <w:t>c. (33645)</w:t>
            </w:r>
          </w:p>
          <w:p w:rsidR="009E6B0E" w:rsidRPr="009E6B0E" w:rsidRDefault="009E6B0E" w:rsidP="009E6B0E">
            <w:pPr>
              <w:rPr>
                <w:sz w:val="20"/>
                <w:szCs w:val="20"/>
              </w:rPr>
            </w:pPr>
          </w:p>
        </w:tc>
        <w:tc>
          <w:tcPr>
            <w:tcW w:w="117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368" w:type="dxa"/>
          </w:tcPr>
          <w:p w:rsidR="009E6B0E" w:rsidRPr="009E6B0E" w:rsidRDefault="009E6B0E" w:rsidP="009E6B0E">
            <w:pPr>
              <w:rPr>
                <w:sz w:val="20"/>
                <w:szCs w:val="20"/>
              </w:rPr>
            </w:pPr>
          </w:p>
        </w:tc>
        <w:tc>
          <w:tcPr>
            <w:tcW w:w="2970" w:type="dxa"/>
          </w:tcPr>
          <w:p w:rsidR="009E6B0E" w:rsidRPr="009E6B0E" w:rsidRDefault="009E6B0E" w:rsidP="009E6B0E">
            <w:pPr>
              <w:jc w:val="both"/>
              <w:rPr>
                <w:sz w:val="20"/>
                <w:szCs w:val="20"/>
                <w:lang w:val="fr-CA"/>
              </w:rPr>
            </w:pPr>
            <w:r w:rsidRPr="009E6B0E">
              <w:rPr>
                <w:sz w:val="20"/>
                <w:szCs w:val="20"/>
                <w:lang w:val="fr-CA"/>
              </w:rPr>
              <w:t>Sa Majesté la Reine (</w:t>
            </w:r>
            <w:proofErr w:type="spellStart"/>
            <w:r w:rsidRPr="009E6B0E">
              <w:rPr>
                <w:sz w:val="20"/>
                <w:szCs w:val="20"/>
                <w:lang w:val="fr-CA"/>
              </w:rPr>
              <w:t>Crim</w:t>
            </w:r>
            <w:proofErr w:type="spellEnd"/>
            <w:r w:rsidRPr="009E6B0E">
              <w:rPr>
                <w:sz w:val="20"/>
                <w:szCs w:val="20"/>
                <w:lang w:val="fr-CA"/>
              </w:rPr>
              <w:t>.) (</w:t>
            </w:r>
            <w:proofErr w:type="spellStart"/>
            <w:r w:rsidRPr="009E6B0E">
              <w:rPr>
                <w:sz w:val="20"/>
                <w:szCs w:val="20"/>
                <w:lang w:val="fr-CA"/>
              </w:rPr>
              <w:t>Qc</w:t>
            </w:r>
            <w:proofErr w:type="spellEnd"/>
            <w:r w:rsidRPr="009E6B0E">
              <w:rPr>
                <w:sz w:val="20"/>
                <w:szCs w:val="20"/>
                <w:lang w:val="fr-CA"/>
              </w:rPr>
              <w:t>)</w:t>
            </w:r>
          </w:p>
        </w:tc>
        <w:tc>
          <w:tcPr>
            <w:tcW w:w="1170" w:type="dxa"/>
          </w:tcPr>
          <w:p w:rsidR="009E6B0E" w:rsidRPr="009E6B0E" w:rsidRDefault="009E6B0E" w:rsidP="009E6B0E">
            <w:pPr>
              <w:rPr>
                <w:sz w:val="20"/>
                <w:szCs w:val="20"/>
                <w:lang w:val="fr-CA"/>
              </w:rPr>
            </w:pPr>
          </w:p>
        </w:tc>
        <w:tc>
          <w:tcPr>
            <w:tcW w:w="4327" w:type="dxa"/>
          </w:tcPr>
          <w:p w:rsidR="009E6B0E" w:rsidRPr="009E6B0E" w:rsidRDefault="009E6B0E" w:rsidP="009E6B0E">
            <w:pPr>
              <w:rPr>
                <w:sz w:val="20"/>
                <w:szCs w:val="20"/>
                <w:lang w:val="fr-CA"/>
              </w:rPr>
            </w:pPr>
          </w:p>
        </w:tc>
      </w:tr>
    </w:tbl>
    <w:p w:rsidR="009E6B0E" w:rsidRPr="009E6B0E" w:rsidRDefault="009E6B0E" w:rsidP="009E6B0E">
      <w:pPr>
        <w:tabs>
          <w:tab w:val="left" w:pos="-1440"/>
          <w:tab w:val="left" w:pos="-720"/>
        </w:tabs>
        <w:jc w:val="both"/>
        <w:rPr>
          <w:sz w:val="20"/>
          <w:szCs w:val="20"/>
          <w:lang w:val="fr-CA"/>
        </w:rPr>
      </w:pPr>
    </w:p>
    <w:p w:rsidR="009E6B0E" w:rsidRPr="009E6B0E" w:rsidRDefault="009E6B0E" w:rsidP="009E6B0E">
      <w:pPr>
        <w:rPr>
          <w:sz w:val="20"/>
          <w:szCs w:val="20"/>
          <w:lang w:val="fr-CA"/>
        </w:rPr>
      </w:pPr>
      <w:r w:rsidRPr="009E6B0E">
        <w:rPr>
          <w:b/>
          <w:sz w:val="20"/>
          <w:szCs w:val="20"/>
        </w:rPr>
        <w:t>GRANTED / ACCORDÉE</w:t>
      </w:r>
    </w:p>
    <w:p w:rsidR="009E6B0E" w:rsidRPr="009E6B0E" w:rsidRDefault="009E6B0E" w:rsidP="009E6B0E">
      <w:pPr>
        <w:rPr>
          <w:sz w:val="20"/>
          <w:szCs w:val="20"/>
          <w:lang w:val="fr-CA"/>
        </w:rPr>
      </w:pPr>
    </w:p>
    <w:p w:rsidR="009E6B0E" w:rsidRPr="009E6B0E" w:rsidRDefault="00C478F8" w:rsidP="009E6B0E">
      <w:pPr>
        <w:jc w:val="both"/>
        <w:rPr>
          <w:sz w:val="20"/>
          <w:szCs w:val="20"/>
        </w:rPr>
      </w:pPr>
      <w:r w:rsidRPr="009E6B0E">
        <w:rPr>
          <w:sz w:val="20"/>
          <w:szCs w:val="20"/>
        </w:rPr>
        <w:fldChar w:fldCharType="begin"/>
      </w:r>
      <w:r w:rsidR="009E6B0E" w:rsidRPr="009E6B0E">
        <w:rPr>
          <w:sz w:val="20"/>
          <w:szCs w:val="20"/>
        </w:rPr>
        <w:instrText xml:space="preserve"> SEQ CHAPTER \h \r 1</w:instrText>
      </w:r>
      <w:r w:rsidRPr="009E6B0E">
        <w:rPr>
          <w:sz w:val="20"/>
          <w:szCs w:val="20"/>
        </w:rPr>
        <w:fldChar w:fldCharType="end"/>
      </w:r>
      <w:r w:rsidR="009E6B0E" w:rsidRPr="009E6B0E">
        <w:rPr>
          <w:b/>
          <w:bCs/>
          <w:sz w:val="20"/>
          <w:szCs w:val="20"/>
        </w:rPr>
        <w:t>FURTHER TO THE ORDER</w:t>
      </w:r>
      <w:r w:rsidR="009E6B0E" w:rsidRPr="009E6B0E">
        <w:rPr>
          <w:sz w:val="20"/>
          <w:szCs w:val="20"/>
        </w:rPr>
        <w:t xml:space="preserve"> dated January 7, 2011, granting leave to intervene to the Criminal Lawyers' Association (Ontario);</w:t>
      </w:r>
    </w:p>
    <w:p w:rsidR="009E6B0E" w:rsidRPr="009E6B0E" w:rsidRDefault="009E6B0E" w:rsidP="009E6B0E">
      <w:pPr>
        <w:jc w:val="both"/>
        <w:rPr>
          <w:sz w:val="20"/>
          <w:szCs w:val="20"/>
        </w:rPr>
      </w:pPr>
    </w:p>
    <w:p w:rsidR="009E6B0E" w:rsidRPr="009E6B0E" w:rsidRDefault="009E6B0E" w:rsidP="009E6B0E">
      <w:pPr>
        <w:spacing w:line="233" w:lineRule="auto"/>
        <w:jc w:val="both"/>
        <w:rPr>
          <w:sz w:val="20"/>
          <w:szCs w:val="20"/>
        </w:rPr>
      </w:pPr>
      <w:r w:rsidRPr="009E6B0E">
        <w:rPr>
          <w:b/>
          <w:bCs/>
          <w:sz w:val="20"/>
          <w:szCs w:val="20"/>
        </w:rPr>
        <w:t xml:space="preserve">IT IS HEREBY FURTHER ORDERED THAT </w:t>
      </w:r>
      <w:r w:rsidRPr="009E6B0E">
        <w:rPr>
          <w:sz w:val="20"/>
          <w:szCs w:val="20"/>
        </w:rPr>
        <w:t>the intervener is granted permission to present oral argument not exceeding ten (10) minutes at the hearing of this appeal.</w:t>
      </w:r>
    </w:p>
    <w:p w:rsidR="009E6B0E" w:rsidRPr="009E6B0E" w:rsidRDefault="009E6B0E" w:rsidP="009E6B0E">
      <w:pPr>
        <w:rPr>
          <w:sz w:val="20"/>
          <w:szCs w:val="20"/>
        </w:rPr>
      </w:pPr>
    </w:p>
    <w:p w:rsidR="009E6B0E" w:rsidRPr="009E6B0E" w:rsidRDefault="009E6B0E" w:rsidP="009E6B0E">
      <w:pPr>
        <w:rPr>
          <w:sz w:val="20"/>
          <w:szCs w:val="20"/>
        </w:rPr>
      </w:pPr>
    </w:p>
    <w:p w:rsidR="009E6B0E" w:rsidRPr="009E6B0E" w:rsidRDefault="009E6B0E" w:rsidP="009E6B0E">
      <w:pPr>
        <w:rPr>
          <w:sz w:val="20"/>
          <w:szCs w:val="20"/>
        </w:rPr>
      </w:pPr>
    </w:p>
    <w:p w:rsidR="009E6B0E" w:rsidRPr="009E6B0E" w:rsidRDefault="00C478F8" w:rsidP="009E6B0E">
      <w:pPr>
        <w:jc w:val="both"/>
        <w:rPr>
          <w:rFonts w:cs="Times New Roman"/>
          <w:sz w:val="20"/>
          <w:szCs w:val="20"/>
          <w:lang w:val="fr-CA"/>
        </w:rPr>
      </w:pPr>
      <w:r w:rsidRPr="009E6B0E">
        <w:rPr>
          <w:rFonts w:cs="Times New Roman"/>
          <w:sz w:val="20"/>
          <w:szCs w:val="20"/>
          <w:lang w:val="fr-CA"/>
        </w:rPr>
        <w:fldChar w:fldCharType="begin"/>
      </w:r>
      <w:r w:rsidR="009E6B0E" w:rsidRPr="009E6B0E">
        <w:rPr>
          <w:rFonts w:cs="Times New Roman"/>
          <w:sz w:val="20"/>
          <w:szCs w:val="20"/>
          <w:lang w:val="fr-CA"/>
        </w:rPr>
        <w:instrText xml:space="preserve"> SEQ CHAPTER \h \r 1</w:instrText>
      </w:r>
      <w:r w:rsidRPr="009E6B0E">
        <w:rPr>
          <w:rFonts w:cs="Times New Roman"/>
          <w:sz w:val="20"/>
          <w:szCs w:val="20"/>
          <w:lang w:val="fr-CA"/>
        </w:rPr>
        <w:fldChar w:fldCharType="end"/>
      </w:r>
      <w:r w:rsidR="009E6B0E" w:rsidRPr="009E6B0E">
        <w:rPr>
          <w:rFonts w:cs="Times New Roman"/>
          <w:b/>
          <w:bCs/>
          <w:sz w:val="20"/>
          <w:szCs w:val="20"/>
          <w:lang w:val="fr-CA"/>
        </w:rPr>
        <w:t>À LA SUITE DE L’ORDONNANCE</w:t>
      </w:r>
      <w:r w:rsidR="009E6B0E" w:rsidRPr="009E6B0E">
        <w:rPr>
          <w:rFonts w:cs="Times New Roman"/>
          <w:sz w:val="20"/>
          <w:szCs w:val="20"/>
          <w:lang w:val="fr-CA"/>
        </w:rPr>
        <w:t xml:space="preserve"> datée du 7 janvier 2011 autorisant la </w:t>
      </w:r>
      <w:proofErr w:type="spellStart"/>
      <w:r w:rsidR="009E6B0E" w:rsidRPr="009E6B0E">
        <w:rPr>
          <w:rFonts w:cs="Times New Roman"/>
          <w:sz w:val="20"/>
          <w:szCs w:val="20"/>
          <w:lang w:val="fr-CA"/>
        </w:rPr>
        <w:t>Criminal</w:t>
      </w:r>
      <w:proofErr w:type="spellEnd"/>
      <w:r w:rsidR="009E6B0E" w:rsidRPr="009E6B0E">
        <w:rPr>
          <w:rFonts w:cs="Times New Roman"/>
          <w:sz w:val="20"/>
          <w:szCs w:val="20"/>
          <w:lang w:val="fr-CA"/>
        </w:rPr>
        <w:t xml:space="preserve"> </w:t>
      </w:r>
      <w:proofErr w:type="spellStart"/>
      <w:r w:rsidR="009E6B0E" w:rsidRPr="009E6B0E">
        <w:rPr>
          <w:rFonts w:cs="Times New Roman"/>
          <w:sz w:val="20"/>
          <w:szCs w:val="20"/>
          <w:lang w:val="fr-CA"/>
        </w:rPr>
        <w:t>Lawyers</w:t>
      </w:r>
      <w:proofErr w:type="spellEnd"/>
      <w:r w:rsidR="009E6B0E" w:rsidRPr="009E6B0E">
        <w:rPr>
          <w:rFonts w:cs="Times New Roman"/>
          <w:sz w:val="20"/>
          <w:szCs w:val="20"/>
          <w:lang w:val="fr-CA"/>
        </w:rPr>
        <w:t>' Association (Ontario) à intervenir;</w:t>
      </w:r>
    </w:p>
    <w:p w:rsidR="009E6B0E" w:rsidRPr="009E6B0E" w:rsidRDefault="009E6B0E" w:rsidP="009E6B0E">
      <w:pPr>
        <w:jc w:val="both"/>
        <w:rPr>
          <w:rFonts w:cs="Times New Roman"/>
          <w:sz w:val="20"/>
          <w:szCs w:val="20"/>
          <w:lang w:val="fr-CA"/>
        </w:rPr>
      </w:pPr>
    </w:p>
    <w:p w:rsidR="009E6B0E" w:rsidRPr="009E6B0E" w:rsidRDefault="009E6B0E" w:rsidP="009E6B0E">
      <w:pPr>
        <w:spacing w:line="233" w:lineRule="auto"/>
        <w:jc w:val="both"/>
        <w:rPr>
          <w:rFonts w:cs="Times New Roman"/>
          <w:sz w:val="20"/>
          <w:szCs w:val="20"/>
          <w:lang w:val="fr-CA"/>
        </w:rPr>
      </w:pPr>
      <w:r w:rsidRPr="009E6B0E">
        <w:rPr>
          <w:rFonts w:cs="Times New Roman"/>
          <w:b/>
          <w:bCs/>
          <w:sz w:val="20"/>
          <w:szCs w:val="20"/>
          <w:lang w:val="fr-CA"/>
        </w:rPr>
        <w:t xml:space="preserve">IL EST EN OUTRE ORDONNÉ CE QUI SUIT : </w:t>
      </w:r>
      <w:r w:rsidRPr="009E6B0E">
        <w:rPr>
          <w:rFonts w:cs="Times New Roman"/>
          <w:bCs/>
          <w:sz w:val="20"/>
          <w:szCs w:val="20"/>
          <w:lang w:val="fr-CA"/>
        </w:rPr>
        <w:t xml:space="preserve">ladite intervenante est autorisée à présenter une plaidoirie orale d’au plus dix </w:t>
      </w:r>
      <w:r w:rsidRPr="009E6B0E">
        <w:rPr>
          <w:rFonts w:cs="Times New Roman"/>
          <w:sz w:val="20"/>
          <w:szCs w:val="20"/>
          <w:lang w:val="fr-CA"/>
        </w:rPr>
        <w:t>(10) minutes lors de l’audition de l’appel.</w:t>
      </w:r>
    </w:p>
    <w:p w:rsidR="009E6B0E" w:rsidRPr="009E6B0E" w:rsidRDefault="009E6B0E" w:rsidP="009E6B0E">
      <w:pPr>
        <w:rPr>
          <w:sz w:val="20"/>
          <w:szCs w:val="20"/>
          <w:lang w:val="fr-CA"/>
        </w:rPr>
      </w:pPr>
    </w:p>
    <w:p w:rsidR="009E6B0E" w:rsidRPr="009E6B0E" w:rsidRDefault="00C478F8" w:rsidP="009E6B0E">
      <w:pPr>
        <w:rPr>
          <w:sz w:val="20"/>
          <w:szCs w:val="20"/>
        </w:rPr>
      </w:pPr>
      <w:r w:rsidRPr="00C478F8">
        <w:rPr>
          <w:sz w:val="20"/>
          <w:szCs w:val="20"/>
          <w:lang w:val="fr-CA"/>
        </w:rPr>
        <w:pict>
          <v:rect id="_x0000_i1059" style="width:2in;height:1pt" o:hrpct="0" o:hralign="center" o:hrstd="t" o:hrnoshade="t" o:hr="t" fillcolor="black [3213]" stroked="f"/>
        </w:pict>
      </w:r>
    </w:p>
    <w:p w:rsidR="009E6B0E" w:rsidRPr="009E6B0E" w:rsidRDefault="009E6B0E" w:rsidP="009E6B0E">
      <w:pPr>
        <w:rPr>
          <w:sz w:val="20"/>
          <w:szCs w:val="20"/>
          <w:lang w:val="fr-CA"/>
        </w:rPr>
      </w:pPr>
      <w:r w:rsidRPr="009E6B0E">
        <w:rPr>
          <w:sz w:val="20"/>
          <w:szCs w:val="20"/>
          <w:lang w:val="fr-CA"/>
        </w:rPr>
        <w:br w:type="page"/>
      </w:r>
    </w:p>
    <w:p w:rsidR="009E6B0E" w:rsidRPr="009E6B0E" w:rsidRDefault="009E6B0E" w:rsidP="009E6B0E">
      <w:pPr>
        <w:tabs>
          <w:tab w:val="left" w:pos="-1440"/>
          <w:tab w:val="left" w:pos="-720"/>
        </w:tabs>
        <w:jc w:val="both"/>
        <w:rPr>
          <w:sz w:val="20"/>
          <w:szCs w:val="20"/>
        </w:rPr>
      </w:pPr>
      <w:r w:rsidRPr="009E6B0E">
        <w:rPr>
          <w:sz w:val="20"/>
          <w:szCs w:val="20"/>
        </w:rPr>
        <w:lastRenderedPageBreak/>
        <w:t>09.03.2011</w:t>
      </w:r>
    </w:p>
    <w:p w:rsidR="009E6B0E" w:rsidRPr="009E6B0E" w:rsidRDefault="009E6B0E" w:rsidP="009E6B0E">
      <w:pPr>
        <w:tabs>
          <w:tab w:val="left" w:pos="-1440"/>
          <w:tab w:val="left" w:pos="-720"/>
        </w:tabs>
        <w:jc w:val="both"/>
        <w:rPr>
          <w:sz w:val="20"/>
          <w:szCs w:val="20"/>
        </w:rPr>
      </w:pPr>
    </w:p>
    <w:p w:rsidR="009E6B0E" w:rsidRPr="009E6B0E" w:rsidRDefault="009E6B0E" w:rsidP="009E6B0E">
      <w:pPr>
        <w:jc w:val="both"/>
        <w:rPr>
          <w:sz w:val="20"/>
          <w:szCs w:val="20"/>
          <w:lang w:val="fr-CA"/>
        </w:rPr>
      </w:pPr>
      <w:proofErr w:type="spellStart"/>
      <w:r w:rsidRPr="009E6B0E">
        <w:rPr>
          <w:sz w:val="20"/>
          <w:szCs w:val="20"/>
          <w:lang w:val="fr-CA"/>
        </w:rPr>
        <w:t>Before</w:t>
      </w:r>
      <w:proofErr w:type="spellEnd"/>
      <w:r w:rsidRPr="009E6B0E">
        <w:rPr>
          <w:sz w:val="20"/>
          <w:szCs w:val="20"/>
          <w:lang w:val="fr-CA"/>
        </w:rPr>
        <w:t xml:space="preserve"> / Devant:   THE REGISTRAR / LE REGISTRAIRE</w:t>
      </w:r>
    </w:p>
    <w:p w:rsidR="009E6B0E" w:rsidRPr="009E6B0E" w:rsidRDefault="009E6B0E" w:rsidP="009E6B0E">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E6B0E" w:rsidRPr="00406D3C" w:rsidTr="009E6B0E">
        <w:trPr>
          <w:trHeight w:val="151"/>
        </w:trPr>
        <w:tc>
          <w:tcPr>
            <w:tcW w:w="4338" w:type="dxa"/>
          </w:tcPr>
          <w:p w:rsidR="009E6B0E" w:rsidRPr="009E6B0E" w:rsidRDefault="00C478F8" w:rsidP="009E6B0E">
            <w:pPr>
              <w:tabs>
                <w:tab w:val="left" w:pos="-1440"/>
                <w:tab w:val="left" w:pos="-720"/>
              </w:tabs>
              <w:jc w:val="both"/>
              <w:rPr>
                <w:sz w:val="20"/>
                <w:szCs w:val="20"/>
              </w:rPr>
            </w:pPr>
            <w:r w:rsidRPr="009E6B0E">
              <w:rPr>
                <w:sz w:val="20"/>
                <w:szCs w:val="20"/>
              </w:rPr>
              <w:fldChar w:fldCharType="begin"/>
            </w:r>
            <w:r w:rsidR="009E6B0E" w:rsidRPr="009E6B0E">
              <w:rPr>
                <w:sz w:val="20"/>
                <w:szCs w:val="20"/>
              </w:rPr>
              <w:instrText xml:space="preserve"> SEQ CHAPTER \h \r 1</w:instrText>
            </w:r>
            <w:r w:rsidRPr="009E6B0E">
              <w:rPr>
                <w:sz w:val="20"/>
                <w:szCs w:val="20"/>
              </w:rPr>
              <w:fldChar w:fldCharType="end"/>
            </w:r>
            <w:r w:rsidR="009E6B0E" w:rsidRPr="009E6B0E">
              <w:rPr>
                <w:b/>
                <w:bCs/>
                <w:sz w:val="20"/>
                <w:szCs w:val="20"/>
              </w:rPr>
              <w:t>Motion to extend the time to serve and file the respondent’s response</w:t>
            </w:r>
          </w:p>
        </w:tc>
        <w:tc>
          <w:tcPr>
            <w:tcW w:w="1170" w:type="dxa"/>
          </w:tcPr>
          <w:p w:rsidR="009E6B0E" w:rsidRPr="009E6B0E" w:rsidRDefault="009E6B0E" w:rsidP="009E6B0E">
            <w:pPr>
              <w:jc w:val="both"/>
              <w:rPr>
                <w:sz w:val="20"/>
                <w:szCs w:val="20"/>
              </w:rPr>
            </w:pPr>
          </w:p>
          <w:p w:rsidR="009E6B0E" w:rsidRPr="009E6B0E" w:rsidRDefault="009E6B0E" w:rsidP="009E6B0E">
            <w:pPr>
              <w:jc w:val="both"/>
              <w:rPr>
                <w:sz w:val="20"/>
                <w:szCs w:val="20"/>
              </w:rPr>
            </w:pPr>
          </w:p>
          <w:p w:rsidR="009E6B0E" w:rsidRPr="009E6B0E" w:rsidRDefault="009E6B0E" w:rsidP="009E6B0E">
            <w:pPr>
              <w:jc w:val="both"/>
              <w:rPr>
                <w:sz w:val="20"/>
                <w:szCs w:val="20"/>
              </w:rPr>
            </w:pPr>
          </w:p>
        </w:tc>
        <w:tc>
          <w:tcPr>
            <w:tcW w:w="4327" w:type="dxa"/>
          </w:tcPr>
          <w:p w:rsidR="009E6B0E" w:rsidRPr="009E6B0E" w:rsidRDefault="009E6B0E" w:rsidP="009E6B0E">
            <w:pPr>
              <w:jc w:val="both"/>
              <w:rPr>
                <w:b/>
                <w:sz w:val="20"/>
                <w:szCs w:val="20"/>
                <w:lang w:val="fr-CA"/>
              </w:rPr>
            </w:pPr>
            <w:r w:rsidRPr="009E6B0E">
              <w:rPr>
                <w:b/>
                <w:bCs/>
                <w:sz w:val="20"/>
                <w:szCs w:val="20"/>
                <w:lang w:val="fr-CA"/>
              </w:rPr>
              <w:t>Requête en prorogation du délai de signification et de dépôt de la réponse de l’intimée</w:t>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p>
        </w:tc>
      </w:tr>
      <w:tr w:rsidR="009E6B0E" w:rsidRPr="009E6B0E" w:rsidTr="009E6B0E">
        <w:trPr>
          <w:trHeight w:val="150"/>
        </w:trPr>
        <w:tc>
          <w:tcPr>
            <w:tcW w:w="4338" w:type="dxa"/>
          </w:tcPr>
          <w:p w:rsidR="009E6B0E" w:rsidRPr="009E6B0E" w:rsidRDefault="009E6B0E" w:rsidP="009E6B0E">
            <w:pPr>
              <w:tabs>
                <w:tab w:val="left" w:pos="-1440"/>
                <w:tab w:val="left" w:pos="-720"/>
              </w:tabs>
              <w:jc w:val="both"/>
              <w:rPr>
                <w:sz w:val="20"/>
                <w:szCs w:val="20"/>
              </w:rPr>
            </w:pPr>
            <w:r w:rsidRPr="009E6B0E">
              <w:rPr>
                <w:sz w:val="20"/>
                <w:szCs w:val="20"/>
              </w:rPr>
              <w:t>Real Martin</w:t>
            </w: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rPr>
            </w:pPr>
            <w:r w:rsidRPr="009E6B0E">
              <w:rPr>
                <w:sz w:val="20"/>
                <w:szCs w:val="20"/>
              </w:rPr>
              <w:tab/>
              <w:t>v. (34027)</w:t>
            </w: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lang w:val="fr-CA"/>
              </w:rPr>
            </w:pPr>
            <w:r w:rsidRPr="009E6B0E">
              <w:rPr>
                <w:sz w:val="20"/>
                <w:szCs w:val="20"/>
              </w:rPr>
              <w:t xml:space="preserve">Her Majesty the Queen (Crim.) </w:t>
            </w:r>
            <w:r w:rsidRPr="009E6B0E">
              <w:rPr>
                <w:sz w:val="20"/>
                <w:szCs w:val="20"/>
                <w:lang w:val="fr-CA"/>
              </w:rPr>
              <w:t>(Ont.)</w:t>
            </w:r>
          </w:p>
        </w:tc>
        <w:tc>
          <w:tcPr>
            <w:tcW w:w="1170" w:type="dxa"/>
          </w:tcPr>
          <w:p w:rsidR="009E6B0E" w:rsidRPr="009E6B0E" w:rsidRDefault="009E6B0E" w:rsidP="009E6B0E">
            <w:pPr>
              <w:jc w:val="both"/>
              <w:rPr>
                <w:sz w:val="20"/>
                <w:szCs w:val="20"/>
                <w:lang w:val="fr-CA"/>
              </w:rPr>
            </w:pPr>
          </w:p>
        </w:tc>
        <w:tc>
          <w:tcPr>
            <w:tcW w:w="4327" w:type="dxa"/>
          </w:tcPr>
          <w:p w:rsidR="009E6B0E" w:rsidRPr="009E6B0E" w:rsidRDefault="009E6B0E" w:rsidP="009E6B0E">
            <w:pPr>
              <w:jc w:val="both"/>
              <w:rPr>
                <w:sz w:val="20"/>
                <w:szCs w:val="20"/>
                <w:lang w:val="fr-CA"/>
              </w:rPr>
            </w:pPr>
          </w:p>
        </w:tc>
      </w:tr>
    </w:tbl>
    <w:p w:rsidR="009E6B0E" w:rsidRPr="009E6B0E" w:rsidRDefault="009E6B0E" w:rsidP="009E6B0E">
      <w:pPr>
        <w:tabs>
          <w:tab w:val="left" w:pos="-1440"/>
          <w:tab w:val="left" w:pos="-720"/>
        </w:tabs>
        <w:jc w:val="both"/>
        <w:rPr>
          <w:sz w:val="20"/>
          <w:szCs w:val="20"/>
          <w:lang w:val="fr-CA"/>
        </w:rPr>
      </w:pPr>
    </w:p>
    <w:p w:rsidR="009E6B0E" w:rsidRPr="009E6B0E" w:rsidRDefault="009E6B0E" w:rsidP="009E6B0E">
      <w:pPr>
        <w:tabs>
          <w:tab w:val="left" w:pos="-1440"/>
          <w:tab w:val="left" w:pos="-720"/>
        </w:tabs>
        <w:jc w:val="both"/>
        <w:rPr>
          <w:sz w:val="20"/>
          <w:szCs w:val="20"/>
        </w:rPr>
      </w:pPr>
      <w:r w:rsidRPr="009E6B0E">
        <w:rPr>
          <w:b/>
          <w:sz w:val="20"/>
          <w:szCs w:val="20"/>
        </w:rPr>
        <w:t>GRANTED / ACCORDÉE</w:t>
      </w:r>
    </w:p>
    <w:p w:rsidR="009E6B0E" w:rsidRPr="009E6B0E" w:rsidRDefault="009E6B0E" w:rsidP="009E6B0E">
      <w:pPr>
        <w:rPr>
          <w:sz w:val="20"/>
          <w:szCs w:val="20"/>
          <w:lang w:val="fr-CA"/>
        </w:rPr>
      </w:pPr>
    </w:p>
    <w:p w:rsidR="009E6B0E" w:rsidRPr="009E6B0E" w:rsidRDefault="00C478F8" w:rsidP="009E6B0E">
      <w:pPr>
        <w:rPr>
          <w:sz w:val="20"/>
          <w:szCs w:val="20"/>
          <w:lang w:val="fr-CA"/>
        </w:rPr>
      </w:pPr>
      <w:r w:rsidRPr="00C478F8">
        <w:rPr>
          <w:sz w:val="20"/>
          <w:szCs w:val="20"/>
          <w:lang w:val="fr-CA"/>
        </w:rPr>
        <w:pict>
          <v:rect id="_x0000_i1060" style="width:2in;height:1pt" o:hrpct="0" o:hralign="center" o:hrstd="t" o:hrnoshade="t" o:hr="t" fillcolor="black [3213]" stroked="f"/>
        </w:pict>
      </w:r>
    </w:p>
    <w:p w:rsidR="009E6B0E" w:rsidRPr="009E6B0E" w:rsidRDefault="009E6B0E" w:rsidP="009E6B0E">
      <w:pPr>
        <w:rPr>
          <w:sz w:val="20"/>
          <w:szCs w:val="20"/>
          <w:lang w:val="fr-CA"/>
        </w:rPr>
      </w:pPr>
    </w:p>
    <w:p w:rsidR="009E6B0E" w:rsidRPr="009E6B0E" w:rsidRDefault="009E6B0E" w:rsidP="009E6B0E">
      <w:pPr>
        <w:tabs>
          <w:tab w:val="left" w:pos="-1440"/>
          <w:tab w:val="left" w:pos="-720"/>
        </w:tabs>
        <w:jc w:val="both"/>
        <w:rPr>
          <w:sz w:val="20"/>
          <w:szCs w:val="20"/>
        </w:rPr>
      </w:pPr>
      <w:r w:rsidRPr="009E6B0E">
        <w:rPr>
          <w:sz w:val="20"/>
          <w:szCs w:val="20"/>
        </w:rPr>
        <w:t>09.03.2011</w:t>
      </w:r>
    </w:p>
    <w:p w:rsidR="009E6B0E" w:rsidRPr="009E6B0E" w:rsidRDefault="009E6B0E" w:rsidP="009E6B0E">
      <w:pPr>
        <w:tabs>
          <w:tab w:val="left" w:pos="-1440"/>
          <w:tab w:val="left" w:pos="-720"/>
        </w:tabs>
        <w:jc w:val="both"/>
        <w:rPr>
          <w:sz w:val="20"/>
          <w:szCs w:val="20"/>
        </w:rPr>
      </w:pPr>
    </w:p>
    <w:p w:rsidR="009E6B0E" w:rsidRPr="009E6B0E" w:rsidRDefault="009E6B0E" w:rsidP="009E6B0E">
      <w:pPr>
        <w:jc w:val="both"/>
        <w:rPr>
          <w:sz w:val="20"/>
          <w:szCs w:val="20"/>
          <w:lang w:val="fr-CA"/>
        </w:rPr>
      </w:pPr>
      <w:proofErr w:type="spellStart"/>
      <w:r w:rsidRPr="009E6B0E">
        <w:rPr>
          <w:sz w:val="20"/>
          <w:szCs w:val="20"/>
          <w:lang w:val="fr-CA"/>
        </w:rPr>
        <w:t>Before</w:t>
      </w:r>
      <w:proofErr w:type="spellEnd"/>
      <w:r w:rsidRPr="009E6B0E">
        <w:rPr>
          <w:sz w:val="20"/>
          <w:szCs w:val="20"/>
          <w:lang w:val="fr-CA"/>
        </w:rPr>
        <w:t xml:space="preserve"> / Devant:   THE REGISTRAR / LE REGISTRAIRE</w:t>
      </w:r>
    </w:p>
    <w:p w:rsidR="009E6B0E" w:rsidRPr="009E6B0E" w:rsidRDefault="009E6B0E" w:rsidP="009E6B0E">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E6B0E" w:rsidRPr="00406D3C" w:rsidTr="009E6B0E">
        <w:trPr>
          <w:trHeight w:val="151"/>
        </w:trPr>
        <w:tc>
          <w:tcPr>
            <w:tcW w:w="4338" w:type="dxa"/>
          </w:tcPr>
          <w:p w:rsidR="009E6B0E" w:rsidRPr="009E6B0E" w:rsidRDefault="00C478F8" w:rsidP="009E6B0E">
            <w:pPr>
              <w:tabs>
                <w:tab w:val="left" w:pos="-1440"/>
                <w:tab w:val="left" w:pos="-720"/>
              </w:tabs>
              <w:jc w:val="both"/>
              <w:rPr>
                <w:sz w:val="20"/>
                <w:szCs w:val="20"/>
              </w:rPr>
            </w:pPr>
            <w:r w:rsidRPr="009E6B0E">
              <w:rPr>
                <w:sz w:val="20"/>
                <w:szCs w:val="20"/>
              </w:rPr>
              <w:fldChar w:fldCharType="begin"/>
            </w:r>
            <w:r w:rsidR="009E6B0E" w:rsidRPr="009E6B0E">
              <w:rPr>
                <w:sz w:val="20"/>
                <w:szCs w:val="20"/>
              </w:rPr>
              <w:instrText xml:space="preserve"> SEQ CHAPTER \h \r 1</w:instrText>
            </w:r>
            <w:r w:rsidRPr="009E6B0E">
              <w:rPr>
                <w:sz w:val="20"/>
                <w:szCs w:val="20"/>
              </w:rPr>
              <w:fldChar w:fldCharType="end"/>
            </w:r>
            <w:r w:rsidR="009E6B0E" w:rsidRPr="009E6B0E">
              <w:rPr>
                <w:b/>
                <w:bCs/>
                <w:sz w:val="20"/>
                <w:szCs w:val="20"/>
              </w:rPr>
              <w:t>Motion to extend the time to serve and file the appellant’s</w:t>
            </w:r>
            <w:r w:rsidR="009E6B0E" w:rsidRPr="009E6B0E">
              <w:rPr>
                <w:b/>
                <w:sz w:val="20"/>
                <w:szCs w:val="20"/>
              </w:rPr>
              <w:t xml:space="preserve"> book of authorities</w:t>
            </w:r>
          </w:p>
        </w:tc>
        <w:tc>
          <w:tcPr>
            <w:tcW w:w="1170" w:type="dxa"/>
          </w:tcPr>
          <w:p w:rsidR="009E6B0E" w:rsidRPr="009E6B0E" w:rsidRDefault="009E6B0E" w:rsidP="009E6B0E">
            <w:pPr>
              <w:jc w:val="both"/>
              <w:rPr>
                <w:sz w:val="20"/>
                <w:szCs w:val="20"/>
              </w:rPr>
            </w:pPr>
          </w:p>
          <w:p w:rsidR="009E6B0E" w:rsidRPr="009E6B0E" w:rsidRDefault="009E6B0E" w:rsidP="009E6B0E">
            <w:pPr>
              <w:jc w:val="both"/>
              <w:rPr>
                <w:sz w:val="20"/>
                <w:szCs w:val="20"/>
              </w:rPr>
            </w:pPr>
          </w:p>
          <w:p w:rsidR="009E6B0E" w:rsidRPr="009E6B0E" w:rsidRDefault="009E6B0E" w:rsidP="009E6B0E">
            <w:pPr>
              <w:jc w:val="both"/>
              <w:rPr>
                <w:sz w:val="20"/>
                <w:szCs w:val="20"/>
              </w:rPr>
            </w:pPr>
          </w:p>
        </w:tc>
        <w:tc>
          <w:tcPr>
            <w:tcW w:w="4327" w:type="dxa"/>
          </w:tcPr>
          <w:p w:rsidR="009E6B0E" w:rsidRPr="009E6B0E" w:rsidRDefault="009E6B0E" w:rsidP="009E6B0E">
            <w:pPr>
              <w:jc w:val="both"/>
              <w:rPr>
                <w:b/>
                <w:sz w:val="20"/>
                <w:szCs w:val="20"/>
                <w:lang w:val="fr-CA"/>
              </w:rPr>
            </w:pPr>
            <w:r w:rsidRPr="009E6B0E">
              <w:rPr>
                <w:b/>
                <w:bCs/>
                <w:sz w:val="20"/>
                <w:szCs w:val="20"/>
                <w:lang w:val="fr-CA"/>
              </w:rPr>
              <w:t>Requête en prorogation du délai de signification et de dépôt du recueil de sources</w:t>
            </w:r>
            <w:r w:rsidRPr="009E6B0E">
              <w:rPr>
                <w:b/>
                <w:sz w:val="20"/>
                <w:szCs w:val="20"/>
                <w:lang w:val="fr-CA"/>
              </w:rPr>
              <w:t xml:space="preserve"> de l’appelante</w:t>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p>
        </w:tc>
      </w:tr>
      <w:tr w:rsidR="009E6B0E" w:rsidRPr="00406D3C" w:rsidTr="009E6B0E">
        <w:trPr>
          <w:trHeight w:val="150"/>
        </w:trPr>
        <w:tc>
          <w:tcPr>
            <w:tcW w:w="4338" w:type="dxa"/>
          </w:tcPr>
          <w:p w:rsidR="009E6B0E" w:rsidRPr="009E6B0E" w:rsidRDefault="009E6B0E" w:rsidP="009E6B0E">
            <w:pPr>
              <w:tabs>
                <w:tab w:val="left" w:pos="-1440"/>
                <w:tab w:val="left" w:pos="-720"/>
              </w:tabs>
              <w:jc w:val="both"/>
              <w:rPr>
                <w:sz w:val="20"/>
                <w:szCs w:val="20"/>
              </w:rPr>
            </w:pPr>
            <w:r w:rsidRPr="009E6B0E">
              <w:rPr>
                <w:sz w:val="20"/>
                <w:szCs w:val="20"/>
              </w:rPr>
              <w:t xml:space="preserve">Her Majesty the Queen </w:t>
            </w: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rPr>
            </w:pPr>
            <w:r w:rsidRPr="009E6B0E">
              <w:rPr>
                <w:sz w:val="20"/>
                <w:szCs w:val="20"/>
              </w:rPr>
              <w:tab/>
              <w:t>v. (33657)</w:t>
            </w: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lang w:val="fr-CA"/>
              </w:rPr>
            </w:pPr>
            <w:r w:rsidRPr="009E6B0E">
              <w:rPr>
                <w:sz w:val="20"/>
                <w:szCs w:val="20"/>
                <w:lang w:val="fr-CA"/>
              </w:rPr>
              <w:t>D.A.I. (</w:t>
            </w:r>
            <w:proofErr w:type="spellStart"/>
            <w:r w:rsidRPr="009E6B0E">
              <w:rPr>
                <w:sz w:val="20"/>
                <w:szCs w:val="20"/>
                <w:lang w:val="fr-CA"/>
              </w:rPr>
              <w:t>Crim</w:t>
            </w:r>
            <w:proofErr w:type="spellEnd"/>
            <w:r w:rsidRPr="009E6B0E">
              <w:rPr>
                <w:sz w:val="20"/>
                <w:szCs w:val="20"/>
                <w:lang w:val="fr-CA"/>
              </w:rPr>
              <w:t>.) (Ont.)</w:t>
            </w:r>
          </w:p>
        </w:tc>
        <w:tc>
          <w:tcPr>
            <w:tcW w:w="1170" w:type="dxa"/>
          </w:tcPr>
          <w:p w:rsidR="009E6B0E" w:rsidRPr="009E6B0E" w:rsidRDefault="009E6B0E" w:rsidP="009E6B0E">
            <w:pPr>
              <w:jc w:val="both"/>
              <w:rPr>
                <w:sz w:val="20"/>
                <w:szCs w:val="20"/>
                <w:lang w:val="fr-CA"/>
              </w:rPr>
            </w:pPr>
          </w:p>
        </w:tc>
        <w:tc>
          <w:tcPr>
            <w:tcW w:w="4327" w:type="dxa"/>
          </w:tcPr>
          <w:p w:rsidR="009E6B0E" w:rsidRPr="009E6B0E" w:rsidRDefault="009E6B0E" w:rsidP="009E6B0E">
            <w:pPr>
              <w:jc w:val="both"/>
              <w:rPr>
                <w:sz w:val="20"/>
                <w:szCs w:val="20"/>
                <w:lang w:val="fr-CA"/>
              </w:rPr>
            </w:pPr>
          </w:p>
        </w:tc>
      </w:tr>
    </w:tbl>
    <w:p w:rsidR="009E6B0E" w:rsidRPr="009E6B0E" w:rsidRDefault="009E6B0E" w:rsidP="009E6B0E">
      <w:pPr>
        <w:tabs>
          <w:tab w:val="left" w:pos="-1440"/>
          <w:tab w:val="left" w:pos="-720"/>
        </w:tabs>
        <w:jc w:val="both"/>
        <w:rPr>
          <w:sz w:val="20"/>
          <w:szCs w:val="20"/>
          <w:lang w:val="fr-CA"/>
        </w:rPr>
      </w:pPr>
    </w:p>
    <w:p w:rsidR="009E6B0E" w:rsidRPr="009E6B0E" w:rsidRDefault="009E6B0E" w:rsidP="009E6B0E">
      <w:pPr>
        <w:tabs>
          <w:tab w:val="left" w:pos="-1440"/>
          <w:tab w:val="left" w:pos="-720"/>
        </w:tabs>
        <w:jc w:val="both"/>
        <w:rPr>
          <w:sz w:val="20"/>
          <w:szCs w:val="20"/>
        </w:rPr>
      </w:pPr>
      <w:r w:rsidRPr="009E6B0E">
        <w:rPr>
          <w:b/>
          <w:sz w:val="20"/>
          <w:szCs w:val="20"/>
        </w:rPr>
        <w:t>GRANTED / ACCORDÉE</w:t>
      </w:r>
    </w:p>
    <w:p w:rsidR="009E6B0E" w:rsidRPr="009E6B0E" w:rsidRDefault="009E6B0E" w:rsidP="009E6B0E">
      <w:pPr>
        <w:rPr>
          <w:sz w:val="20"/>
          <w:szCs w:val="20"/>
          <w:lang w:val="fr-CA"/>
        </w:rPr>
      </w:pPr>
    </w:p>
    <w:p w:rsidR="009E6B0E" w:rsidRPr="009E6B0E" w:rsidRDefault="00C478F8" w:rsidP="009E6B0E">
      <w:pPr>
        <w:rPr>
          <w:sz w:val="20"/>
          <w:szCs w:val="20"/>
          <w:lang w:val="fr-CA"/>
        </w:rPr>
      </w:pPr>
      <w:r w:rsidRPr="00C478F8">
        <w:rPr>
          <w:sz w:val="20"/>
          <w:szCs w:val="20"/>
          <w:lang w:val="fr-CA"/>
        </w:rPr>
        <w:pict>
          <v:rect id="_x0000_i1061" style="width:2in;height:1pt" o:hrpct="0" o:hralign="center" o:hrstd="t" o:hrnoshade="t" o:hr="t" fillcolor="black [3213]" stroked="f"/>
        </w:pict>
      </w:r>
    </w:p>
    <w:p w:rsidR="009E6B0E" w:rsidRPr="009E6B0E" w:rsidRDefault="009E6B0E" w:rsidP="009E6B0E">
      <w:pPr>
        <w:rPr>
          <w:sz w:val="20"/>
          <w:szCs w:val="20"/>
          <w:lang w:val="fr-CA"/>
        </w:rPr>
      </w:pPr>
    </w:p>
    <w:p w:rsidR="009E6B0E" w:rsidRPr="009E6B0E" w:rsidRDefault="009E6B0E" w:rsidP="009E6B0E">
      <w:pPr>
        <w:rPr>
          <w:sz w:val="20"/>
          <w:szCs w:val="20"/>
        </w:rPr>
      </w:pPr>
      <w:r w:rsidRPr="009E6B0E">
        <w:rPr>
          <w:sz w:val="20"/>
          <w:szCs w:val="20"/>
        </w:rPr>
        <w:t>09.03.2011</w:t>
      </w:r>
    </w:p>
    <w:p w:rsidR="009E6B0E" w:rsidRPr="009E6B0E" w:rsidRDefault="009E6B0E" w:rsidP="009E6B0E">
      <w:pPr>
        <w:rPr>
          <w:sz w:val="20"/>
          <w:szCs w:val="20"/>
        </w:rPr>
      </w:pPr>
    </w:p>
    <w:p w:rsidR="009E6B0E" w:rsidRPr="009E6B0E" w:rsidRDefault="009E6B0E" w:rsidP="009E6B0E">
      <w:pPr>
        <w:rPr>
          <w:sz w:val="20"/>
          <w:szCs w:val="20"/>
        </w:rPr>
      </w:pPr>
      <w:r w:rsidRPr="009E6B0E">
        <w:rPr>
          <w:sz w:val="20"/>
          <w:szCs w:val="20"/>
        </w:rPr>
        <w:t xml:space="preserve">Before / </w:t>
      </w:r>
      <w:proofErr w:type="spellStart"/>
      <w:proofErr w:type="gramStart"/>
      <w:r w:rsidRPr="009E6B0E">
        <w:rPr>
          <w:sz w:val="20"/>
          <w:szCs w:val="20"/>
        </w:rPr>
        <w:t>Devant</w:t>
      </w:r>
      <w:proofErr w:type="spellEnd"/>
      <w:r w:rsidRPr="009E6B0E">
        <w:rPr>
          <w:sz w:val="20"/>
          <w:szCs w:val="20"/>
        </w:rPr>
        <w:t xml:space="preserve"> :</w:t>
      </w:r>
      <w:proofErr w:type="gramEnd"/>
      <w:r w:rsidRPr="009E6B0E">
        <w:rPr>
          <w:sz w:val="20"/>
          <w:szCs w:val="20"/>
        </w:rPr>
        <w:t xml:space="preserve">   THE REGISTRAR / LE REGISTRAIRE</w:t>
      </w:r>
    </w:p>
    <w:p w:rsidR="009E6B0E" w:rsidRPr="009E6B0E" w:rsidRDefault="009E6B0E" w:rsidP="009E6B0E">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E6B0E" w:rsidRPr="00406D3C" w:rsidTr="009E6B0E">
        <w:tc>
          <w:tcPr>
            <w:tcW w:w="4338" w:type="dxa"/>
          </w:tcPr>
          <w:p w:rsidR="009E6B0E" w:rsidRPr="009E6B0E" w:rsidRDefault="009E6B0E" w:rsidP="009E6B0E">
            <w:pPr>
              <w:tabs>
                <w:tab w:val="left" w:pos="-1440"/>
                <w:tab w:val="left" w:pos="-720"/>
              </w:tabs>
              <w:jc w:val="both"/>
              <w:rPr>
                <w:sz w:val="20"/>
                <w:szCs w:val="20"/>
              </w:rPr>
            </w:pPr>
            <w:r w:rsidRPr="009E6B0E">
              <w:rPr>
                <w:b/>
                <w:bCs/>
                <w:sz w:val="20"/>
                <w:szCs w:val="20"/>
              </w:rPr>
              <w:t xml:space="preserve">Motion to extend the time to serve and file the applicant’s reply </w:t>
            </w:r>
            <w:r w:rsidR="00C478F8" w:rsidRPr="009E6B0E">
              <w:rPr>
                <w:sz w:val="20"/>
                <w:szCs w:val="20"/>
              </w:rPr>
              <w:fldChar w:fldCharType="begin"/>
            </w:r>
            <w:r w:rsidRPr="009E6B0E">
              <w:rPr>
                <w:sz w:val="20"/>
                <w:szCs w:val="20"/>
              </w:rPr>
              <w:instrText xml:space="preserve"> SEQ CHAPTER \h \r 1</w:instrText>
            </w:r>
            <w:r w:rsidR="00C478F8" w:rsidRPr="009E6B0E">
              <w:rPr>
                <w:sz w:val="20"/>
                <w:szCs w:val="20"/>
              </w:rPr>
              <w:fldChar w:fldCharType="end"/>
            </w:r>
          </w:p>
        </w:tc>
        <w:tc>
          <w:tcPr>
            <w:tcW w:w="1170" w:type="dxa"/>
          </w:tcPr>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rPr>
            </w:pPr>
          </w:p>
        </w:tc>
        <w:tc>
          <w:tcPr>
            <w:tcW w:w="4327" w:type="dxa"/>
          </w:tcPr>
          <w:p w:rsidR="009E6B0E" w:rsidRPr="009E6B0E" w:rsidRDefault="009E6B0E" w:rsidP="009E6B0E">
            <w:pPr>
              <w:tabs>
                <w:tab w:val="left" w:pos="-1440"/>
                <w:tab w:val="left" w:pos="-720"/>
              </w:tabs>
              <w:jc w:val="both"/>
              <w:rPr>
                <w:sz w:val="20"/>
                <w:szCs w:val="20"/>
                <w:lang w:val="fr-CA"/>
              </w:rPr>
            </w:pPr>
            <w:r w:rsidRPr="009E6B0E">
              <w:rPr>
                <w:b/>
                <w:bCs/>
                <w:sz w:val="20"/>
                <w:szCs w:val="20"/>
                <w:lang w:val="fr-CA"/>
              </w:rPr>
              <w:t>Requête en prorogation du délai de signification et de dépôt de la réplique du demandeur</w:t>
            </w:r>
          </w:p>
        </w:tc>
      </w:tr>
      <w:tr w:rsidR="009E6B0E" w:rsidRPr="009E6B0E" w:rsidTr="009E6B0E">
        <w:tc>
          <w:tcPr>
            <w:tcW w:w="4338" w:type="dxa"/>
          </w:tcPr>
          <w:p w:rsidR="009E6B0E" w:rsidRPr="009E6B0E" w:rsidRDefault="009E6B0E" w:rsidP="009E6B0E">
            <w:pPr>
              <w:tabs>
                <w:tab w:val="left" w:pos="-1440"/>
                <w:tab w:val="left" w:pos="-720"/>
              </w:tabs>
              <w:jc w:val="both"/>
              <w:rPr>
                <w:sz w:val="20"/>
                <w:szCs w:val="20"/>
              </w:rPr>
            </w:pPr>
            <w:r w:rsidRPr="009E6B0E">
              <w:rPr>
                <w:sz w:val="20"/>
                <w:szCs w:val="20"/>
              </w:rPr>
              <w:t>Young Ho Hwang</w:t>
            </w: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rPr>
            </w:pPr>
            <w:r w:rsidRPr="009E6B0E">
              <w:rPr>
                <w:sz w:val="20"/>
                <w:szCs w:val="20"/>
              </w:rPr>
              <w:tab/>
              <w:t>v. (34037)</w:t>
            </w: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rPr>
            </w:pPr>
            <w:r w:rsidRPr="009E6B0E">
              <w:rPr>
                <w:sz w:val="20"/>
                <w:szCs w:val="20"/>
              </w:rPr>
              <w:t xml:space="preserve">George L. </w:t>
            </w:r>
            <w:proofErr w:type="spellStart"/>
            <w:r w:rsidRPr="009E6B0E">
              <w:rPr>
                <w:sz w:val="20"/>
                <w:szCs w:val="20"/>
              </w:rPr>
              <w:t>Kapy</w:t>
            </w:r>
            <w:proofErr w:type="spellEnd"/>
            <w:r w:rsidRPr="009E6B0E">
              <w:rPr>
                <w:sz w:val="20"/>
                <w:szCs w:val="20"/>
              </w:rPr>
              <w:t xml:space="preserve"> (Ont.)</w:t>
            </w:r>
          </w:p>
        </w:tc>
        <w:tc>
          <w:tcPr>
            <w:tcW w:w="1170" w:type="dxa"/>
          </w:tcPr>
          <w:p w:rsidR="009E6B0E" w:rsidRPr="009E6B0E" w:rsidRDefault="009E6B0E" w:rsidP="009E6B0E">
            <w:pPr>
              <w:tabs>
                <w:tab w:val="left" w:pos="-1440"/>
                <w:tab w:val="left" w:pos="-720"/>
              </w:tabs>
              <w:jc w:val="both"/>
              <w:rPr>
                <w:sz w:val="20"/>
                <w:szCs w:val="20"/>
              </w:rPr>
            </w:pPr>
          </w:p>
        </w:tc>
        <w:tc>
          <w:tcPr>
            <w:tcW w:w="4327" w:type="dxa"/>
          </w:tcPr>
          <w:p w:rsidR="009E6B0E" w:rsidRPr="009E6B0E" w:rsidRDefault="009E6B0E" w:rsidP="009E6B0E">
            <w:pPr>
              <w:tabs>
                <w:tab w:val="left" w:pos="-1440"/>
                <w:tab w:val="left" w:pos="-720"/>
              </w:tabs>
              <w:jc w:val="both"/>
              <w:rPr>
                <w:sz w:val="20"/>
                <w:szCs w:val="20"/>
              </w:rPr>
            </w:pPr>
          </w:p>
        </w:tc>
      </w:tr>
    </w:tbl>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rPr>
      </w:pPr>
      <w:r w:rsidRPr="009E6B0E">
        <w:rPr>
          <w:b/>
          <w:sz w:val="20"/>
          <w:szCs w:val="20"/>
        </w:rPr>
        <w:t>GRANTED / ACCORDÉE</w:t>
      </w: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spacing w:line="-19" w:lineRule="auto"/>
        <w:jc w:val="both"/>
        <w:rPr>
          <w:sz w:val="20"/>
          <w:szCs w:val="20"/>
        </w:rPr>
      </w:pPr>
    </w:p>
    <w:p w:rsidR="009E6B0E" w:rsidRPr="009E6B0E" w:rsidRDefault="00C478F8" w:rsidP="009E6B0E">
      <w:pPr>
        <w:tabs>
          <w:tab w:val="left" w:pos="-1440"/>
          <w:tab w:val="left" w:pos="-720"/>
        </w:tabs>
        <w:jc w:val="both"/>
        <w:rPr>
          <w:sz w:val="20"/>
          <w:szCs w:val="20"/>
        </w:rPr>
      </w:pPr>
      <w:r w:rsidRPr="00C478F8">
        <w:rPr>
          <w:sz w:val="20"/>
          <w:szCs w:val="20"/>
          <w:lang w:val="fr-CA"/>
        </w:rPr>
        <w:pict>
          <v:rect id="_x0000_i1062" style="width:2in;height:1pt" o:hrpct="0" o:hralign="center" o:hrstd="t" o:hrnoshade="t" o:hr="t" fillcolor="black [3213]" stroked="f"/>
        </w:pict>
      </w:r>
    </w:p>
    <w:p w:rsidR="009E6B0E" w:rsidRPr="009E6B0E" w:rsidRDefault="009E6B0E" w:rsidP="009E6B0E">
      <w:pPr>
        <w:rPr>
          <w:sz w:val="20"/>
          <w:szCs w:val="20"/>
        </w:rPr>
      </w:pPr>
      <w:r w:rsidRPr="009E6B0E">
        <w:rPr>
          <w:sz w:val="20"/>
          <w:szCs w:val="20"/>
        </w:rPr>
        <w:br w:type="page"/>
      </w:r>
    </w:p>
    <w:p w:rsidR="009E6B0E" w:rsidRPr="009E6B0E" w:rsidRDefault="009E6B0E" w:rsidP="009E6B0E">
      <w:pPr>
        <w:tabs>
          <w:tab w:val="left" w:pos="-1440"/>
          <w:tab w:val="left" w:pos="-720"/>
        </w:tabs>
        <w:jc w:val="both"/>
        <w:rPr>
          <w:sz w:val="20"/>
          <w:szCs w:val="20"/>
        </w:rPr>
      </w:pPr>
      <w:r w:rsidRPr="009E6B0E">
        <w:rPr>
          <w:sz w:val="20"/>
          <w:szCs w:val="20"/>
        </w:rPr>
        <w:lastRenderedPageBreak/>
        <w:t>09.03.2011</w:t>
      </w: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lang w:val="fr-CA"/>
        </w:rPr>
      </w:pPr>
      <w:r w:rsidRPr="009E6B0E">
        <w:rPr>
          <w:sz w:val="20"/>
          <w:szCs w:val="20"/>
        </w:rPr>
        <w:t xml:space="preserve">Before / </w:t>
      </w:r>
      <w:proofErr w:type="spellStart"/>
      <w:proofErr w:type="gramStart"/>
      <w:r w:rsidRPr="009E6B0E">
        <w:rPr>
          <w:sz w:val="20"/>
          <w:szCs w:val="20"/>
        </w:rPr>
        <w:t>Devan</w:t>
      </w:r>
      <w:proofErr w:type="spellEnd"/>
      <w:r w:rsidRPr="009E6B0E">
        <w:rPr>
          <w:sz w:val="20"/>
          <w:szCs w:val="20"/>
          <w:lang w:val="fr-CA"/>
        </w:rPr>
        <w:t>t :</w:t>
      </w:r>
      <w:proofErr w:type="gramEnd"/>
      <w:r w:rsidRPr="009E6B0E">
        <w:rPr>
          <w:sz w:val="20"/>
          <w:szCs w:val="20"/>
          <w:lang w:val="fr-CA"/>
        </w:rPr>
        <w:t xml:space="preserve">   THE REGISTRAR / LE REGISTRAIRE</w:t>
      </w:r>
    </w:p>
    <w:p w:rsidR="009E6B0E" w:rsidRPr="009E6B0E" w:rsidRDefault="009E6B0E" w:rsidP="009E6B0E">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E6B0E" w:rsidRPr="00406D3C" w:rsidTr="009E6B0E">
        <w:tc>
          <w:tcPr>
            <w:tcW w:w="4338" w:type="dxa"/>
          </w:tcPr>
          <w:p w:rsidR="009E6B0E" w:rsidRPr="009E6B0E" w:rsidRDefault="00C478F8" w:rsidP="00406D3C">
            <w:pPr>
              <w:tabs>
                <w:tab w:val="left" w:pos="-1440"/>
                <w:tab w:val="left" w:pos="-720"/>
              </w:tabs>
              <w:jc w:val="both"/>
              <w:rPr>
                <w:b/>
                <w:sz w:val="20"/>
                <w:szCs w:val="20"/>
              </w:rPr>
            </w:pPr>
            <w:r w:rsidRPr="009E6B0E">
              <w:rPr>
                <w:sz w:val="20"/>
                <w:szCs w:val="20"/>
              </w:rPr>
              <w:fldChar w:fldCharType="begin"/>
            </w:r>
            <w:r w:rsidR="009E6B0E" w:rsidRPr="009E6B0E">
              <w:rPr>
                <w:sz w:val="20"/>
                <w:szCs w:val="20"/>
              </w:rPr>
              <w:instrText xml:space="preserve"> SEQ CHAPTER \h \r 1</w:instrText>
            </w:r>
            <w:r w:rsidRPr="009E6B0E">
              <w:rPr>
                <w:sz w:val="20"/>
                <w:szCs w:val="20"/>
              </w:rPr>
              <w:fldChar w:fldCharType="end"/>
            </w:r>
            <w:r w:rsidRPr="009E6B0E">
              <w:rPr>
                <w:sz w:val="20"/>
                <w:szCs w:val="20"/>
              </w:rPr>
              <w:fldChar w:fldCharType="begin"/>
            </w:r>
            <w:r w:rsidR="009E6B0E" w:rsidRPr="009E6B0E">
              <w:rPr>
                <w:sz w:val="20"/>
                <w:szCs w:val="20"/>
              </w:rPr>
              <w:instrText xml:space="preserve"> SEQ CHAPTER \h \r 1</w:instrText>
            </w:r>
            <w:r w:rsidRPr="009E6B0E">
              <w:rPr>
                <w:sz w:val="20"/>
                <w:szCs w:val="20"/>
              </w:rPr>
              <w:fldChar w:fldCharType="end"/>
            </w:r>
            <w:r w:rsidR="009E6B0E" w:rsidRPr="009E6B0E">
              <w:rPr>
                <w:b/>
                <w:bCs/>
                <w:sz w:val="20"/>
                <w:szCs w:val="20"/>
              </w:rPr>
              <w:t>Motion to extend the time to serve and file the appellant’</w:t>
            </w:r>
            <w:r w:rsidR="00406D3C">
              <w:rPr>
                <w:b/>
                <w:bCs/>
                <w:sz w:val="20"/>
                <w:szCs w:val="20"/>
              </w:rPr>
              <w:t>s</w:t>
            </w:r>
            <w:r w:rsidR="009E6B0E" w:rsidRPr="009E6B0E">
              <w:rPr>
                <w:b/>
                <w:bCs/>
                <w:sz w:val="20"/>
                <w:szCs w:val="20"/>
              </w:rPr>
              <w:t xml:space="preserve"> factum in response pursuant to Rule 29(4)</w:t>
            </w:r>
          </w:p>
        </w:tc>
        <w:tc>
          <w:tcPr>
            <w:tcW w:w="1170" w:type="dxa"/>
          </w:tcPr>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rPr>
            </w:pPr>
          </w:p>
        </w:tc>
        <w:tc>
          <w:tcPr>
            <w:tcW w:w="4327" w:type="dxa"/>
          </w:tcPr>
          <w:p w:rsidR="009E6B0E" w:rsidRPr="009E6B0E" w:rsidRDefault="00C478F8" w:rsidP="00406D3C">
            <w:pPr>
              <w:tabs>
                <w:tab w:val="left" w:pos="-1440"/>
                <w:tab w:val="left" w:pos="-720"/>
              </w:tabs>
              <w:jc w:val="both"/>
              <w:rPr>
                <w:sz w:val="20"/>
                <w:szCs w:val="20"/>
                <w:lang w:val="fr-CA"/>
              </w:rPr>
            </w:pPr>
            <w:r w:rsidRPr="009E6B0E">
              <w:rPr>
                <w:sz w:val="20"/>
                <w:szCs w:val="20"/>
              </w:rPr>
              <w:fldChar w:fldCharType="begin"/>
            </w:r>
            <w:r w:rsidR="009E6B0E" w:rsidRPr="009E6B0E">
              <w:rPr>
                <w:sz w:val="20"/>
                <w:szCs w:val="20"/>
                <w:lang w:val="fr-CA"/>
              </w:rPr>
              <w:instrText xml:space="preserve"> SEQ CHAPTER \h \r 1</w:instrText>
            </w:r>
            <w:r w:rsidRPr="009E6B0E">
              <w:rPr>
                <w:sz w:val="20"/>
                <w:szCs w:val="20"/>
              </w:rPr>
              <w:fldChar w:fldCharType="end"/>
            </w:r>
            <w:r w:rsidRPr="009E6B0E">
              <w:rPr>
                <w:sz w:val="20"/>
                <w:szCs w:val="20"/>
              </w:rPr>
              <w:fldChar w:fldCharType="begin"/>
            </w:r>
            <w:r w:rsidR="009E6B0E" w:rsidRPr="009E6B0E">
              <w:rPr>
                <w:sz w:val="20"/>
                <w:szCs w:val="20"/>
                <w:lang w:val="fr-CA"/>
              </w:rPr>
              <w:instrText xml:space="preserve"> SEQ CHAPTER \h \r 1</w:instrText>
            </w:r>
            <w:r w:rsidRPr="009E6B0E">
              <w:rPr>
                <w:sz w:val="20"/>
                <w:szCs w:val="20"/>
              </w:rPr>
              <w:fldChar w:fldCharType="end"/>
            </w:r>
            <w:r w:rsidR="009E6B0E" w:rsidRPr="009E6B0E">
              <w:rPr>
                <w:b/>
                <w:bCs/>
                <w:sz w:val="20"/>
                <w:szCs w:val="20"/>
                <w:lang w:val="fr-CA"/>
              </w:rPr>
              <w:t xml:space="preserve">Requête en prorogation du délai imparti </w:t>
            </w:r>
            <w:r w:rsidR="00406D3C">
              <w:rPr>
                <w:b/>
                <w:bCs/>
                <w:sz w:val="20"/>
                <w:szCs w:val="20"/>
                <w:lang w:val="fr-CA"/>
              </w:rPr>
              <w:t>à l’</w:t>
            </w:r>
            <w:r w:rsidR="009E6B0E" w:rsidRPr="009E6B0E">
              <w:rPr>
                <w:b/>
                <w:bCs/>
                <w:sz w:val="20"/>
                <w:szCs w:val="20"/>
                <w:lang w:val="fr-CA"/>
              </w:rPr>
              <w:t>appelant</w:t>
            </w:r>
            <w:r w:rsidR="00406D3C">
              <w:rPr>
                <w:b/>
                <w:bCs/>
                <w:sz w:val="20"/>
                <w:szCs w:val="20"/>
                <w:lang w:val="fr-CA"/>
              </w:rPr>
              <w:t>e</w:t>
            </w:r>
            <w:r w:rsidR="009E6B0E" w:rsidRPr="009E6B0E">
              <w:rPr>
                <w:b/>
                <w:bCs/>
                <w:sz w:val="20"/>
                <w:szCs w:val="20"/>
                <w:lang w:val="fr-CA"/>
              </w:rPr>
              <w:t xml:space="preserve"> pour signifier et déposer un mémoire en réponse conformément à la règle 29(4)</w:t>
            </w:r>
            <w:r w:rsidR="009E6B0E" w:rsidRPr="009E6B0E">
              <w:rPr>
                <w:sz w:val="20"/>
                <w:szCs w:val="20"/>
                <w:lang w:val="fr-CA"/>
              </w:rPr>
              <w:t xml:space="preserve"> </w:t>
            </w:r>
            <w:r w:rsidRPr="009E6B0E">
              <w:rPr>
                <w:sz w:val="20"/>
                <w:szCs w:val="20"/>
              </w:rPr>
              <w:fldChar w:fldCharType="begin"/>
            </w:r>
            <w:r w:rsidR="009E6B0E" w:rsidRPr="009E6B0E">
              <w:rPr>
                <w:sz w:val="20"/>
                <w:szCs w:val="20"/>
                <w:lang w:val="fr-CA"/>
              </w:rPr>
              <w:instrText xml:space="preserve"> SEQ CHAPTER \h \r 1</w:instrText>
            </w:r>
            <w:r w:rsidRPr="009E6B0E">
              <w:rPr>
                <w:sz w:val="20"/>
                <w:szCs w:val="20"/>
              </w:rPr>
              <w:fldChar w:fldCharType="end"/>
            </w:r>
          </w:p>
        </w:tc>
      </w:tr>
      <w:tr w:rsidR="009E6B0E" w:rsidRPr="009E6B0E" w:rsidTr="009E6B0E">
        <w:tc>
          <w:tcPr>
            <w:tcW w:w="4338" w:type="dxa"/>
          </w:tcPr>
          <w:p w:rsidR="009E6B0E" w:rsidRPr="009E6B0E" w:rsidRDefault="009E6B0E" w:rsidP="009E6B0E">
            <w:pPr>
              <w:tabs>
                <w:tab w:val="left" w:pos="-1440"/>
                <w:tab w:val="left" w:pos="-720"/>
              </w:tabs>
              <w:jc w:val="both"/>
              <w:rPr>
                <w:sz w:val="20"/>
                <w:szCs w:val="20"/>
                <w:lang w:val="fr-CA"/>
              </w:rPr>
            </w:pPr>
            <w:r w:rsidRPr="009E6B0E">
              <w:rPr>
                <w:sz w:val="20"/>
                <w:szCs w:val="20"/>
                <w:lang w:val="fr-CA"/>
              </w:rPr>
              <w:t>Sa Majesté la Reine</w:t>
            </w:r>
          </w:p>
          <w:p w:rsidR="009E6B0E" w:rsidRPr="009E6B0E" w:rsidRDefault="009E6B0E" w:rsidP="009E6B0E">
            <w:pPr>
              <w:tabs>
                <w:tab w:val="left" w:pos="-1440"/>
                <w:tab w:val="left" w:pos="-720"/>
              </w:tabs>
              <w:jc w:val="both"/>
              <w:rPr>
                <w:sz w:val="20"/>
                <w:szCs w:val="20"/>
                <w:lang w:val="fr-CA"/>
              </w:rPr>
            </w:pPr>
          </w:p>
          <w:p w:rsidR="009E6B0E" w:rsidRPr="009E6B0E" w:rsidRDefault="009E6B0E" w:rsidP="009E6B0E">
            <w:pPr>
              <w:tabs>
                <w:tab w:val="left" w:pos="-1440"/>
                <w:tab w:val="left" w:pos="-720"/>
              </w:tabs>
              <w:jc w:val="both"/>
              <w:rPr>
                <w:sz w:val="20"/>
                <w:szCs w:val="20"/>
                <w:lang w:val="fr-CA"/>
              </w:rPr>
            </w:pPr>
            <w:r w:rsidRPr="009E6B0E">
              <w:rPr>
                <w:sz w:val="20"/>
                <w:szCs w:val="20"/>
                <w:lang w:val="fr-CA"/>
              </w:rPr>
              <w:tab/>
              <w:t>c. (33842)</w:t>
            </w:r>
          </w:p>
          <w:p w:rsidR="009E6B0E" w:rsidRPr="009E6B0E" w:rsidRDefault="009E6B0E" w:rsidP="009E6B0E">
            <w:pPr>
              <w:tabs>
                <w:tab w:val="left" w:pos="-1440"/>
                <w:tab w:val="left" w:pos="-720"/>
              </w:tabs>
              <w:jc w:val="both"/>
              <w:rPr>
                <w:sz w:val="20"/>
                <w:szCs w:val="20"/>
                <w:lang w:val="fr-CA"/>
              </w:rPr>
            </w:pPr>
          </w:p>
          <w:p w:rsidR="009E6B0E" w:rsidRPr="009E6B0E" w:rsidRDefault="009E6B0E" w:rsidP="009E6B0E">
            <w:pPr>
              <w:tabs>
                <w:tab w:val="left" w:pos="-1440"/>
                <w:tab w:val="left" w:pos="-720"/>
              </w:tabs>
              <w:jc w:val="both"/>
              <w:rPr>
                <w:sz w:val="20"/>
                <w:szCs w:val="20"/>
              </w:rPr>
            </w:pPr>
            <w:r w:rsidRPr="009E6B0E">
              <w:rPr>
                <w:sz w:val="20"/>
                <w:szCs w:val="20"/>
              </w:rPr>
              <w:t>S.D. (Crim.) (Qc)</w:t>
            </w:r>
          </w:p>
        </w:tc>
        <w:tc>
          <w:tcPr>
            <w:tcW w:w="1170" w:type="dxa"/>
          </w:tcPr>
          <w:p w:rsidR="009E6B0E" w:rsidRPr="009E6B0E" w:rsidRDefault="009E6B0E" w:rsidP="009E6B0E">
            <w:pPr>
              <w:tabs>
                <w:tab w:val="left" w:pos="-1440"/>
                <w:tab w:val="left" w:pos="-720"/>
              </w:tabs>
              <w:jc w:val="both"/>
              <w:rPr>
                <w:sz w:val="20"/>
                <w:szCs w:val="20"/>
              </w:rPr>
            </w:pPr>
          </w:p>
        </w:tc>
        <w:tc>
          <w:tcPr>
            <w:tcW w:w="4327" w:type="dxa"/>
          </w:tcPr>
          <w:p w:rsidR="009E6B0E" w:rsidRPr="009E6B0E" w:rsidRDefault="009E6B0E" w:rsidP="009E6B0E">
            <w:pPr>
              <w:tabs>
                <w:tab w:val="left" w:pos="-1440"/>
                <w:tab w:val="left" w:pos="-720"/>
              </w:tabs>
              <w:jc w:val="both"/>
              <w:rPr>
                <w:sz w:val="20"/>
                <w:szCs w:val="20"/>
              </w:rPr>
            </w:pPr>
          </w:p>
        </w:tc>
      </w:tr>
    </w:tbl>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b/>
          <w:sz w:val="20"/>
          <w:szCs w:val="20"/>
          <w:lang w:val="fr-CA"/>
        </w:rPr>
      </w:pPr>
      <w:r w:rsidRPr="009E6B0E">
        <w:rPr>
          <w:b/>
          <w:sz w:val="20"/>
          <w:szCs w:val="20"/>
          <w:lang w:val="fr-CA"/>
        </w:rPr>
        <w:t>GRANTED / ACCORDÉE</w:t>
      </w:r>
    </w:p>
    <w:p w:rsidR="009E6B0E" w:rsidRPr="009E6B0E" w:rsidRDefault="009E6B0E" w:rsidP="009E6B0E">
      <w:pPr>
        <w:tabs>
          <w:tab w:val="left" w:pos="-1440"/>
          <w:tab w:val="left" w:pos="-720"/>
        </w:tabs>
        <w:jc w:val="both"/>
        <w:rPr>
          <w:sz w:val="20"/>
          <w:szCs w:val="20"/>
          <w:lang w:val="fr-CA"/>
        </w:rPr>
      </w:pPr>
    </w:p>
    <w:p w:rsidR="009E6B0E" w:rsidRPr="009E6B0E" w:rsidRDefault="00C478F8" w:rsidP="009E6B0E">
      <w:pPr>
        <w:tabs>
          <w:tab w:val="left" w:pos="-1440"/>
          <w:tab w:val="left" w:pos="-720"/>
        </w:tabs>
        <w:jc w:val="both"/>
        <w:rPr>
          <w:sz w:val="20"/>
          <w:szCs w:val="20"/>
          <w:lang w:val="fr-CA"/>
        </w:rPr>
      </w:pPr>
      <w:r w:rsidRPr="00C478F8">
        <w:rPr>
          <w:sz w:val="20"/>
          <w:szCs w:val="20"/>
          <w:lang w:val="fr-CA"/>
        </w:rPr>
        <w:pict>
          <v:rect id="_x0000_i1063" style="width:2in;height:1pt" o:hrpct="0" o:hralign="center" o:hrstd="t" o:hrnoshade="t" o:hr="t" fillcolor="black [3213]" stroked="f"/>
        </w:pict>
      </w:r>
    </w:p>
    <w:p w:rsidR="009E6B0E" w:rsidRPr="009E6B0E" w:rsidRDefault="009E6B0E" w:rsidP="009E6B0E">
      <w:pPr>
        <w:tabs>
          <w:tab w:val="left" w:pos="-1440"/>
          <w:tab w:val="left" w:pos="-720"/>
        </w:tabs>
        <w:jc w:val="both"/>
        <w:rPr>
          <w:sz w:val="20"/>
          <w:szCs w:val="20"/>
          <w:lang w:val="fr-CA"/>
        </w:rPr>
      </w:pPr>
    </w:p>
    <w:p w:rsidR="009E6B0E" w:rsidRPr="009E6B0E" w:rsidRDefault="009E6B0E" w:rsidP="009E6B0E">
      <w:pPr>
        <w:rPr>
          <w:sz w:val="20"/>
          <w:szCs w:val="20"/>
          <w:lang w:val="fr-CA"/>
        </w:rPr>
      </w:pPr>
      <w:r w:rsidRPr="009E6B0E">
        <w:rPr>
          <w:sz w:val="20"/>
          <w:szCs w:val="20"/>
          <w:lang w:val="fr-CA"/>
        </w:rPr>
        <w:t>09.03.2011</w:t>
      </w:r>
    </w:p>
    <w:p w:rsidR="009E6B0E" w:rsidRPr="009E6B0E" w:rsidRDefault="009E6B0E" w:rsidP="009E6B0E">
      <w:pPr>
        <w:rPr>
          <w:sz w:val="20"/>
          <w:szCs w:val="20"/>
          <w:lang w:val="fr-CA"/>
        </w:rPr>
      </w:pPr>
    </w:p>
    <w:p w:rsidR="009E6B0E" w:rsidRPr="009E6B0E" w:rsidRDefault="009E6B0E" w:rsidP="009E6B0E">
      <w:pPr>
        <w:tabs>
          <w:tab w:val="left" w:pos="-1440"/>
          <w:tab w:val="left" w:pos="-720"/>
        </w:tabs>
        <w:jc w:val="both"/>
        <w:rPr>
          <w:sz w:val="20"/>
          <w:szCs w:val="20"/>
          <w:lang w:val="fr-CA"/>
        </w:rPr>
      </w:pPr>
      <w:proofErr w:type="spellStart"/>
      <w:r w:rsidRPr="009E6B0E">
        <w:rPr>
          <w:sz w:val="20"/>
          <w:szCs w:val="20"/>
          <w:lang w:val="fr-CA"/>
        </w:rPr>
        <w:t>Before</w:t>
      </w:r>
      <w:proofErr w:type="spellEnd"/>
      <w:r w:rsidRPr="009E6B0E">
        <w:rPr>
          <w:sz w:val="20"/>
          <w:szCs w:val="20"/>
          <w:lang w:val="fr-CA"/>
        </w:rPr>
        <w:t xml:space="preserve"> / Devant :   LEBEL J. / LE JUGE LEBEL</w:t>
      </w:r>
    </w:p>
    <w:p w:rsidR="009E6B0E" w:rsidRPr="009E6B0E" w:rsidRDefault="009E6B0E" w:rsidP="009E6B0E">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970"/>
        <w:gridCol w:w="1080"/>
        <w:gridCol w:w="4327"/>
      </w:tblGrid>
      <w:tr w:rsidR="009E6B0E" w:rsidRPr="00406D3C" w:rsidTr="009E6B0E">
        <w:tc>
          <w:tcPr>
            <w:tcW w:w="4428" w:type="dxa"/>
            <w:gridSpan w:val="2"/>
          </w:tcPr>
          <w:p w:rsidR="009E6B0E" w:rsidRPr="009E6B0E" w:rsidRDefault="009E6B0E" w:rsidP="009E6B0E">
            <w:pPr>
              <w:rPr>
                <w:b/>
                <w:sz w:val="20"/>
                <w:szCs w:val="20"/>
              </w:rPr>
            </w:pPr>
            <w:r w:rsidRPr="009E6B0E">
              <w:rPr>
                <w:b/>
                <w:sz w:val="20"/>
                <w:szCs w:val="20"/>
              </w:rPr>
              <w:t xml:space="preserve">Order on intervention with respect to oral argument </w:t>
            </w:r>
            <w:r w:rsidR="00C478F8" w:rsidRPr="009E6B0E">
              <w:rPr>
                <w:b/>
                <w:sz w:val="20"/>
                <w:szCs w:val="20"/>
              </w:rPr>
              <w:fldChar w:fldCharType="begin"/>
            </w:r>
            <w:r w:rsidRPr="009E6B0E">
              <w:rPr>
                <w:b/>
                <w:sz w:val="20"/>
                <w:szCs w:val="20"/>
              </w:rPr>
              <w:instrText xml:space="preserve"> SEQ CHAPTER \h \r 1</w:instrText>
            </w:r>
            <w:r w:rsidR="00C478F8" w:rsidRPr="009E6B0E">
              <w:rPr>
                <w:b/>
                <w:sz w:val="20"/>
                <w:szCs w:val="20"/>
              </w:rPr>
              <w:fldChar w:fldCharType="end"/>
            </w:r>
          </w:p>
        </w:tc>
        <w:tc>
          <w:tcPr>
            <w:tcW w:w="1080" w:type="dxa"/>
          </w:tcPr>
          <w:p w:rsidR="009E6B0E" w:rsidRPr="009E6B0E" w:rsidRDefault="009E6B0E" w:rsidP="009E6B0E">
            <w:pPr>
              <w:rPr>
                <w:sz w:val="20"/>
                <w:szCs w:val="20"/>
              </w:rPr>
            </w:pPr>
          </w:p>
          <w:p w:rsidR="009E6B0E" w:rsidRPr="009E6B0E" w:rsidRDefault="009E6B0E" w:rsidP="009E6B0E">
            <w:pPr>
              <w:rPr>
                <w:sz w:val="20"/>
                <w:szCs w:val="20"/>
              </w:rPr>
            </w:pPr>
          </w:p>
          <w:p w:rsidR="009E6B0E" w:rsidRPr="009E6B0E" w:rsidRDefault="009E6B0E" w:rsidP="009E6B0E">
            <w:pPr>
              <w:rPr>
                <w:sz w:val="20"/>
                <w:szCs w:val="20"/>
              </w:rPr>
            </w:pPr>
          </w:p>
        </w:tc>
        <w:tc>
          <w:tcPr>
            <w:tcW w:w="4327" w:type="dxa"/>
          </w:tcPr>
          <w:p w:rsidR="009E6B0E" w:rsidRPr="009E6B0E" w:rsidRDefault="009E6B0E" w:rsidP="009E6B0E">
            <w:pPr>
              <w:rPr>
                <w:b/>
                <w:sz w:val="20"/>
                <w:szCs w:val="20"/>
                <w:lang w:val="fr-CA"/>
              </w:rPr>
            </w:pPr>
            <w:r w:rsidRPr="009E6B0E">
              <w:rPr>
                <w:b/>
                <w:sz w:val="20"/>
                <w:szCs w:val="20"/>
                <w:lang w:val="fr-CA"/>
              </w:rPr>
              <w:t>Ordonnance relative à la présentation d’une plaidoirie orale par les intervenants</w:t>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p>
        </w:tc>
      </w:tr>
      <w:tr w:rsidR="009E6B0E" w:rsidRPr="009E6B0E" w:rsidTr="009E6B0E">
        <w:tc>
          <w:tcPr>
            <w:tcW w:w="1458" w:type="dxa"/>
          </w:tcPr>
          <w:p w:rsidR="009E6B0E" w:rsidRPr="009E6B0E" w:rsidRDefault="009E6B0E" w:rsidP="009E6B0E">
            <w:pPr>
              <w:rPr>
                <w:sz w:val="20"/>
                <w:szCs w:val="20"/>
              </w:rPr>
            </w:pPr>
            <w:r w:rsidRPr="009E6B0E">
              <w:rPr>
                <w:sz w:val="20"/>
                <w:szCs w:val="20"/>
              </w:rPr>
              <w:t>RE:</w:t>
            </w:r>
          </w:p>
        </w:tc>
        <w:tc>
          <w:tcPr>
            <w:tcW w:w="2970" w:type="dxa"/>
          </w:tcPr>
          <w:p w:rsidR="009E6B0E" w:rsidRPr="009E6B0E" w:rsidRDefault="009E6B0E" w:rsidP="009E6B0E">
            <w:pPr>
              <w:rPr>
                <w:sz w:val="20"/>
                <w:szCs w:val="20"/>
              </w:rPr>
            </w:pPr>
            <w:r w:rsidRPr="009E6B0E">
              <w:rPr>
                <w:sz w:val="20"/>
                <w:szCs w:val="20"/>
              </w:rPr>
              <w:t>Tourism Industry Association of Ontario;</w:t>
            </w:r>
          </w:p>
        </w:tc>
        <w:tc>
          <w:tcPr>
            <w:tcW w:w="108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458" w:type="dxa"/>
          </w:tcPr>
          <w:p w:rsidR="009E6B0E" w:rsidRPr="009E6B0E" w:rsidRDefault="009E6B0E" w:rsidP="009E6B0E">
            <w:pPr>
              <w:rPr>
                <w:sz w:val="20"/>
                <w:szCs w:val="20"/>
              </w:rPr>
            </w:pPr>
          </w:p>
        </w:tc>
        <w:tc>
          <w:tcPr>
            <w:tcW w:w="2970" w:type="dxa"/>
          </w:tcPr>
          <w:p w:rsidR="009E6B0E" w:rsidRPr="009E6B0E" w:rsidRDefault="009E6B0E" w:rsidP="009E6B0E">
            <w:pPr>
              <w:rPr>
                <w:sz w:val="20"/>
                <w:szCs w:val="20"/>
              </w:rPr>
            </w:pPr>
            <w:r w:rsidRPr="009E6B0E">
              <w:rPr>
                <w:sz w:val="20"/>
                <w:szCs w:val="20"/>
              </w:rPr>
              <w:t>Amnesty International;</w:t>
            </w:r>
          </w:p>
        </w:tc>
        <w:tc>
          <w:tcPr>
            <w:tcW w:w="108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458" w:type="dxa"/>
          </w:tcPr>
          <w:p w:rsidR="009E6B0E" w:rsidRPr="009E6B0E" w:rsidRDefault="009E6B0E" w:rsidP="009E6B0E">
            <w:pPr>
              <w:rPr>
                <w:sz w:val="20"/>
                <w:szCs w:val="20"/>
              </w:rPr>
            </w:pPr>
          </w:p>
        </w:tc>
        <w:tc>
          <w:tcPr>
            <w:tcW w:w="2970" w:type="dxa"/>
          </w:tcPr>
          <w:p w:rsidR="009E6B0E" w:rsidRPr="009E6B0E" w:rsidRDefault="009E6B0E" w:rsidP="009E6B0E">
            <w:pPr>
              <w:rPr>
                <w:sz w:val="20"/>
                <w:szCs w:val="20"/>
              </w:rPr>
            </w:pPr>
            <w:r w:rsidRPr="009E6B0E">
              <w:rPr>
                <w:sz w:val="20"/>
                <w:szCs w:val="20"/>
              </w:rPr>
              <w:t>Canadian Centre for International Justice and Canadian Lawyers for International Human Rights;</w:t>
            </w:r>
          </w:p>
        </w:tc>
        <w:tc>
          <w:tcPr>
            <w:tcW w:w="108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458" w:type="dxa"/>
          </w:tcPr>
          <w:p w:rsidR="009E6B0E" w:rsidRPr="009E6B0E" w:rsidRDefault="009E6B0E" w:rsidP="009E6B0E">
            <w:pPr>
              <w:rPr>
                <w:sz w:val="20"/>
                <w:szCs w:val="20"/>
              </w:rPr>
            </w:pPr>
          </w:p>
        </w:tc>
        <w:tc>
          <w:tcPr>
            <w:tcW w:w="2970" w:type="dxa"/>
          </w:tcPr>
          <w:p w:rsidR="009E6B0E" w:rsidRPr="009E6B0E" w:rsidRDefault="009E6B0E" w:rsidP="009E6B0E">
            <w:pPr>
              <w:rPr>
                <w:sz w:val="20"/>
                <w:szCs w:val="20"/>
              </w:rPr>
            </w:pPr>
            <w:r w:rsidRPr="009E6B0E">
              <w:rPr>
                <w:sz w:val="20"/>
                <w:szCs w:val="20"/>
              </w:rPr>
              <w:t>Ontario Trial Lawyers Association</w:t>
            </w:r>
          </w:p>
        </w:tc>
        <w:tc>
          <w:tcPr>
            <w:tcW w:w="108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458" w:type="dxa"/>
          </w:tcPr>
          <w:p w:rsidR="009E6B0E" w:rsidRPr="009E6B0E" w:rsidRDefault="009E6B0E" w:rsidP="009E6B0E">
            <w:pPr>
              <w:rPr>
                <w:sz w:val="20"/>
                <w:szCs w:val="20"/>
              </w:rPr>
            </w:pPr>
          </w:p>
        </w:tc>
        <w:tc>
          <w:tcPr>
            <w:tcW w:w="2970" w:type="dxa"/>
          </w:tcPr>
          <w:p w:rsidR="009E6B0E" w:rsidRPr="009E6B0E" w:rsidRDefault="009E6B0E" w:rsidP="009E6B0E">
            <w:pPr>
              <w:rPr>
                <w:sz w:val="20"/>
                <w:szCs w:val="20"/>
              </w:rPr>
            </w:pPr>
          </w:p>
        </w:tc>
        <w:tc>
          <w:tcPr>
            <w:tcW w:w="108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458" w:type="dxa"/>
          </w:tcPr>
          <w:p w:rsidR="009E6B0E" w:rsidRPr="009E6B0E" w:rsidRDefault="009E6B0E" w:rsidP="009E6B0E">
            <w:pPr>
              <w:rPr>
                <w:sz w:val="20"/>
                <w:szCs w:val="20"/>
              </w:rPr>
            </w:pPr>
            <w:r w:rsidRPr="009E6B0E">
              <w:rPr>
                <w:sz w:val="20"/>
                <w:szCs w:val="20"/>
              </w:rPr>
              <w:t>IN / DANS :</w:t>
            </w:r>
          </w:p>
        </w:tc>
        <w:tc>
          <w:tcPr>
            <w:tcW w:w="2970" w:type="dxa"/>
          </w:tcPr>
          <w:p w:rsidR="009E6B0E" w:rsidRPr="009E6B0E" w:rsidRDefault="009E6B0E" w:rsidP="009E6B0E">
            <w:pPr>
              <w:rPr>
                <w:sz w:val="20"/>
                <w:szCs w:val="20"/>
              </w:rPr>
            </w:pPr>
            <w:r w:rsidRPr="009E6B0E">
              <w:rPr>
                <w:sz w:val="20"/>
                <w:szCs w:val="20"/>
              </w:rPr>
              <w:t>Club Resorts Ltd.</w:t>
            </w:r>
          </w:p>
          <w:p w:rsidR="009E6B0E" w:rsidRPr="009E6B0E" w:rsidRDefault="009E6B0E" w:rsidP="009E6B0E">
            <w:pPr>
              <w:rPr>
                <w:sz w:val="20"/>
                <w:szCs w:val="20"/>
              </w:rPr>
            </w:pPr>
          </w:p>
        </w:tc>
        <w:tc>
          <w:tcPr>
            <w:tcW w:w="108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458" w:type="dxa"/>
          </w:tcPr>
          <w:p w:rsidR="009E6B0E" w:rsidRPr="009E6B0E" w:rsidRDefault="009E6B0E" w:rsidP="009E6B0E">
            <w:pPr>
              <w:rPr>
                <w:sz w:val="20"/>
                <w:szCs w:val="20"/>
              </w:rPr>
            </w:pPr>
          </w:p>
        </w:tc>
        <w:tc>
          <w:tcPr>
            <w:tcW w:w="2970" w:type="dxa"/>
          </w:tcPr>
          <w:p w:rsidR="009E6B0E" w:rsidRPr="009E6B0E" w:rsidRDefault="009E6B0E" w:rsidP="009E6B0E">
            <w:pPr>
              <w:rPr>
                <w:sz w:val="20"/>
                <w:szCs w:val="20"/>
              </w:rPr>
            </w:pPr>
            <w:r w:rsidRPr="009E6B0E">
              <w:rPr>
                <w:sz w:val="20"/>
                <w:szCs w:val="20"/>
              </w:rPr>
              <w:tab/>
              <w:t>v. (33606)</w:t>
            </w:r>
          </w:p>
          <w:p w:rsidR="009E6B0E" w:rsidRPr="009E6B0E" w:rsidRDefault="009E6B0E" w:rsidP="009E6B0E">
            <w:pPr>
              <w:rPr>
                <w:sz w:val="20"/>
                <w:szCs w:val="20"/>
              </w:rPr>
            </w:pPr>
          </w:p>
        </w:tc>
        <w:tc>
          <w:tcPr>
            <w:tcW w:w="108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458" w:type="dxa"/>
          </w:tcPr>
          <w:p w:rsidR="009E6B0E" w:rsidRPr="009E6B0E" w:rsidRDefault="009E6B0E" w:rsidP="009E6B0E">
            <w:pPr>
              <w:rPr>
                <w:sz w:val="20"/>
                <w:szCs w:val="20"/>
              </w:rPr>
            </w:pPr>
          </w:p>
        </w:tc>
        <w:tc>
          <w:tcPr>
            <w:tcW w:w="2970" w:type="dxa"/>
          </w:tcPr>
          <w:p w:rsidR="009E6B0E" w:rsidRPr="009E6B0E" w:rsidRDefault="009E6B0E" w:rsidP="009E6B0E">
            <w:pPr>
              <w:jc w:val="both"/>
              <w:rPr>
                <w:sz w:val="20"/>
                <w:szCs w:val="20"/>
              </w:rPr>
            </w:pPr>
            <w:r w:rsidRPr="009E6B0E">
              <w:rPr>
                <w:sz w:val="20"/>
                <w:szCs w:val="20"/>
              </w:rPr>
              <w:t xml:space="preserve">Anna </w:t>
            </w:r>
            <w:proofErr w:type="spellStart"/>
            <w:r w:rsidRPr="009E6B0E">
              <w:rPr>
                <w:sz w:val="20"/>
                <w:szCs w:val="20"/>
              </w:rPr>
              <w:t>Charron</w:t>
            </w:r>
            <w:proofErr w:type="spellEnd"/>
            <w:r w:rsidRPr="009E6B0E">
              <w:rPr>
                <w:sz w:val="20"/>
                <w:szCs w:val="20"/>
              </w:rPr>
              <w:t xml:space="preserve">, Estate Trustee of the Estate of Claude </w:t>
            </w:r>
            <w:proofErr w:type="spellStart"/>
            <w:r w:rsidRPr="009E6B0E">
              <w:rPr>
                <w:sz w:val="20"/>
                <w:szCs w:val="20"/>
              </w:rPr>
              <w:t>Charron</w:t>
            </w:r>
            <w:proofErr w:type="spellEnd"/>
            <w:r w:rsidRPr="009E6B0E">
              <w:rPr>
                <w:sz w:val="20"/>
                <w:szCs w:val="20"/>
              </w:rPr>
              <w:t xml:space="preserve">, deceased, the said Anna </w:t>
            </w:r>
            <w:proofErr w:type="spellStart"/>
            <w:r w:rsidRPr="009E6B0E">
              <w:rPr>
                <w:sz w:val="20"/>
                <w:szCs w:val="20"/>
              </w:rPr>
              <w:t>Charron</w:t>
            </w:r>
            <w:proofErr w:type="spellEnd"/>
            <w:r w:rsidRPr="009E6B0E">
              <w:rPr>
                <w:sz w:val="20"/>
                <w:szCs w:val="20"/>
              </w:rPr>
              <w:t>, personally et al. (Ont.)</w:t>
            </w:r>
          </w:p>
        </w:tc>
        <w:tc>
          <w:tcPr>
            <w:tcW w:w="108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458" w:type="dxa"/>
          </w:tcPr>
          <w:p w:rsidR="009E6B0E" w:rsidRPr="009E6B0E" w:rsidRDefault="009E6B0E" w:rsidP="009E6B0E">
            <w:pPr>
              <w:rPr>
                <w:sz w:val="20"/>
                <w:szCs w:val="20"/>
              </w:rPr>
            </w:pPr>
          </w:p>
        </w:tc>
        <w:tc>
          <w:tcPr>
            <w:tcW w:w="2970" w:type="dxa"/>
          </w:tcPr>
          <w:p w:rsidR="009E6B0E" w:rsidRPr="009E6B0E" w:rsidRDefault="009E6B0E" w:rsidP="009E6B0E">
            <w:pPr>
              <w:jc w:val="both"/>
              <w:rPr>
                <w:sz w:val="20"/>
                <w:szCs w:val="20"/>
              </w:rPr>
            </w:pPr>
          </w:p>
        </w:tc>
        <w:tc>
          <w:tcPr>
            <w:tcW w:w="108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458" w:type="dxa"/>
          </w:tcPr>
          <w:p w:rsidR="009E6B0E" w:rsidRPr="009E6B0E" w:rsidRDefault="009E6B0E" w:rsidP="009E6B0E">
            <w:pPr>
              <w:rPr>
                <w:sz w:val="20"/>
                <w:szCs w:val="20"/>
              </w:rPr>
            </w:pPr>
            <w:r w:rsidRPr="009E6B0E">
              <w:rPr>
                <w:sz w:val="20"/>
                <w:szCs w:val="20"/>
              </w:rPr>
              <w:t>- and between -</w:t>
            </w:r>
          </w:p>
        </w:tc>
        <w:tc>
          <w:tcPr>
            <w:tcW w:w="2970" w:type="dxa"/>
          </w:tcPr>
          <w:p w:rsidR="009E6B0E" w:rsidRPr="009E6B0E" w:rsidRDefault="009E6B0E" w:rsidP="009E6B0E">
            <w:pPr>
              <w:jc w:val="both"/>
              <w:rPr>
                <w:sz w:val="20"/>
                <w:szCs w:val="20"/>
              </w:rPr>
            </w:pPr>
          </w:p>
        </w:tc>
        <w:tc>
          <w:tcPr>
            <w:tcW w:w="108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458" w:type="dxa"/>
          </w:tcPr>
          <w:p w:rsidR="009E6B0E" w:rsidRPr="009E6B0E" w:rsidRDefault="009E6B0E" w:rsidP="009E6B0E">
            <w:pPr>
              <w:rPr>
                <w:sz w:val="20"/>
                <w:szCs w:val="20"/>
              </w:rPr>
            </w:pPr>
          </w:p>
        </w:tc>
        <w:tc>
          <w:tcPr>
            <w:tcW w:w="2970" w:type="dxa"/>
          </w:tcPr>
          <w:p w:rsidR="009E6B0E" w:rsidRPr="009E6B0E" w:rsidRDefault="009E6B0E" w:rsidP="009E6B0E">
            <w:pPr>
              <w:jc w:val="both"/>
              <w:rPr>
                <w:sz w:val="20"/>
                <w:szCs w:val="20"/>
              </w:rPr>
            </w:pPr>
          </w:p>
        </w:tc>
        <w:tc>
          <w:tcPr>
            <w:tcW w:w="108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458" w:type="dxa"/>
          </w:tcPr>
          <w:p w:rsidR="009E6B0E" w:rsidRPr="009E6B0E" w:rsidRDefault="009E6B0E" w:rsidP="009E6B0E">
            <w:pPr>
              <w:rPr>
                <w:sz w:val="20"/>
                <w:szCs w:val="20"/>
              </w:rPr>
            </w:pPr>
          </w:p>
        </w:tc>
        <w:tc>
          <w:tcPr>
            <w:tcW w:w="2970" w:type="dxa"/>
          </w:tcPr>
          <w:p w:rsidR="009E6B0E" w:rsidRPr="009E6B0E" w:rsidRDefault="009E6B0E" w:rsidP="009E6B0E">
            <w:pPr>
              <w:rPr>
                <w:sz w:val="20"/>
                <w:szCs w:val="20"/>
              </w:rPr>
            </w:pPr>
            <w:r w:rsidRPr="009E6B0E">
              <w:rPr>
                <w:sz w:val="20"/>
                <w:szCs w:val="20"/>
              </w:rPr>
              <w:t>Club Resorts Ltd.</w:t>
            </w:r>
          </w:p>
          <w:p w:rsidR="009E6B0E" w:rsidRPr="009E6B0E" w:rsidRDefault="009E6B0E" w:rsidP="009E6B0E">
            <w:pPr>
              <w:jc w:val="both"/>
              <w:rPr>
                <w:sz w:val="20"/>
                <w:szCs w:val="20"/>
              </w:rPr>
            </w:pPr>
          </w:p>
        </w:tc>
        <w:tc>
          <w:tcPr>
            <w:tcW w:w="108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458" w:type="dxa"/>
          </w:tcPr>
          <w:p w:rsidR="009E6B0E" w:rsidRPr="009E6B0E" w:rsidRDefault="009E6B0E" w:rsidP="009E6B0E">
            <w:pPr>
              <w:rPr>
                <w:sz w:val="20"/>
                <w:szCs w:val="20"/>
              </w:rPr>
            </w:pPr>
          </w:p>
        </w:tc>
        <w:tc>
          <w:tcPr>
            <w:tcW w:w="2970" w:type="dxa"/>
          </w:tcPr>
          <w:p w:rsidR="009E6B0E" w:rsidRPr="009E6B0E" w:rsidRDefault="009E6B0E" w:rsidP="009E6B0E">
            <w:pPr>
              <w:rPr>
                <w:sz w:val="20"/>
                <w:szCs w:val="20"/>
              </w:rPr>
            </w:pPr>
            <w:r w:rsidRPr="009E6B0E">
              <w:rPr>
                <w:sz w:val="20"/>
                <w:szCs w:val="20"/>
              </w:rPr>
              <w:tab/>
              <w:t>v. (33692)</w:t>
            </w:r>
          </w:p>
          <w:p w:rsidR="009E6B0E" w:rsidRPr="009E6B0E" w:rsidRDefault="009E6B0E" w:rsidP="009E6B0E">
            <w:pPr>
              <w:jc w:val="both"/>
              <w:rPr>
                <w:sz w:val="20"/>
                <w:szCs w:val="20"/>
              </w:rPr>
            </w:pPr>
          </w:p>
        </w:tc>
        <w:tc>
          <w:tcPr>
            <w:tcW w:w="108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458" w:type="dxa"/>
          </w:tcPr>
          <w:p w:rsidR="009E6B0E" w:rsidRPr="009E6B0E" w:rsidRDefault="009E6B0E" w:rsidP="009E6B0E">
            <w:pPr>
              <w:rPr>
                <w:sz w:val="20"/>
                <w:szCs w:val="20"/>
              </w:rPr>
            </w:pPr>
          </w:p>
        </w:tc>
        <w:tc>
          <w:tcPr>
            <w:tcW w:w="2970" w:type="dxa"/>
          </w:tcPr>
          <w:p w:rsidR="009E6B0E" w:rsidRPr="009E6B0E" w:rsidRDefault="009E6B0E" w:rsidP="009E6B0E">
            <w:pPr>
              <w:jc w:val="both"/>
              <w:rPr>
                <w:sz w:val="20"/>
                <w:szCs w:val="20"/>
              </w:rPr>
            </w:pPr>
            <w:r w:rsidRPr="009E6B0E">
              <w:rPr>
                <w:sz w:val="20"/>
                <w:szCs w:val="20"/>
                <w:lang w:val="fr-CA"/>
              </w:rPr>
              <w:t xml:space="preserve">Morgan Van Breda et al. </w:t>
            </w:r>
            <w:r w:rsidRPr="009E6B0E">
              <w:rPr>
                <w:sz w:val="20"/>
                <w:szCs w:val="20"/>
              </w:rPr>
              <w:t>(Ont.)</w:t>
            </w:r>
          </w:p>
        </w:tc>
        <w:tc>
          <w:tcPr>
            <w:tcW w:w="108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bl>
    <w:p w:rsidR="009E6B0E" w:rsidRPr="009E6B0E" w:rsidRDefault="009E6B0E" w:rsidP="009E6B0E">
      <w:pPr>
        <w:tabs>
          <w:tab w:val="left" w:pos="-1440"/>
          <w:tab w:val="left" w:pos="-720"/>
        </w:tabs>
        <w:jc w:val="both"/>
        <w:rPr>
          <w:sz w:val="20"/>
          <w:szCs w:val="20"/>
        </w:rPr>
      </w:pPr>
    </w:p>
    <w:p w:rsidR="009E6B0E" w:rsidRPr="009E6B0E" w:rsidRDefault="009E6B0E" w:rsidP="009E6B0E">
      <w:pPr>
        <w:rPr>
          <w:sz w:val="20"/>
          <w:szCs w:val="20"/>
        </w:rPr>
      </w:pPr>
      <w:r w:rsidRPr="009E6B0E">
        <w:rPr>
          <w:b/>
          <w:sz w:val="20"/>
          <w:szCs w:val="20"/>
        </w:rPr>
        <w:t>GRANTED / ACCORDÉE</w:t>
      </w:r>
    </w:p>
    <w:p w:rsidR="009E6B0E" w:rsidRPr="009E6B0E" w:rsidRDefault="009E6B0E" w:rsidP="009E6B0E">
      <w:pPr>
        <w:rPr>
          <w:sz w:val="20"/>
          <w:szCs w:val="20"/>
        </w:rPr>
      </w:pPr>
    </w:p>
    <w:p w:rsidR="009E6B0E" w:rsidRPr="009E6B0E" w:rsidRDefault="009E6B0E" w:rsidP="009E6B0E">
      <w:pPr>
        <w:spacing w:line="233" w:lineRule="auto"/>
        <w:jc w:val="both"/>
        <w:rPr>
          <w:sz w:val="20"/>
          <w:szCs w:val="20"/>
        </w:rPr>
      </w:pPr>
      <w:r w:rsidRPr="009E6B0E">
        <w:rPr>
          <w:b/>
          <w:bCs/>
          <w:sz w:val="20"/>
          <w:szCs w:val="20"/>
        </w:rPr>
        <w:lastRenderedPageBreak/>
        <w:t>FURTHER TO THE ORDER</w:t>
      </w:r>
      <w:r w:rsidRPr="009E6B0E">
        <w:rPr>
          <w:sz w:val="20"/>
          <w:szCs w:val="20"/>
        </w:rPr>
        <w:t xml:space="preserve"> dated January 24, 2011, granting leave to intervene to the Tourism Industry Association of Ontario, the Amnesty International, </w:t>
      </w:r>
      <w:proofErr w:type="gramStart"/>
      <w:r w:rsidRPr="009E6B0E">
        <w:rPr>
          <w:sz w:val="20"/>
          <w:szCs w:val="20"/>
        </w:rPr>
        <w:t>Canadian</w:t>
      </w:r>
      <w:proofErr w:type="gramEnd"/>
      <w:r w:rsidRPr="009E6B0E">
        <w:rPr>
          <w:sz w:val="20"/>
          <w:szCs w:val="20"/>
        </w:rPr>
        <w:t xml:space="preserve"> Centre for International Justice and Canadian Lawyers for International Human Rights and the Ontario Trial Lawyers Association;</w:t>
      </w:r>
    </w:p>
    <w:p w:rsidR="009E6B0E" w:rsidRPr="009E6B0E" w:rsidRDefault="009E6B0E" w:rsidP="009E6B0E">
      <w:pPr>
        <w:spacing w:line="233" w:lineRule="auto"/>
        <w:rPr>
          <w:sz w:val="20"/>
          <w:szCs w:val="20"/>
        </w:rPr>
      </w:pPr>
    </w:p>
    <w:p w:rsidR="009E6B0E" w:rsidRPr="009E6B0E" w:rsidRDefault="009E6B0E" w:rsidP="009E6B0E">
      <w:pPr>
        <w:spacing w:line="233" w:lineRule="auto"/>
        <w:jc w:val="both"/>
        <w:rPr>
          <w:sz w:val="20"/>
          <w:szCs w:val="20"/>
        </w:rPr>
      </w:pPr>
      <w:r w:rsidRPr="009E6B0E">
        <w:rPr>
          <w:b/>
          <w:bCs/>
          <w:sz w:val="20"/>
          <w:szCs w:val="20"/>
        </w:rPr>
        <w:t xml:space="preserve">IT IS HEREBY FURTHER ORDERED THAT </w:t>
      </w:r>
      <w:r w:rsidRPr="009E6B0E">
        <w:rPr>
          <w:sz w:val="20"/>
          <w:szCs w:val="20"/>
        </w:rPr>
        <w:t>the interveners are granted permission to present oral argument not exceeding ten (10) minutes at the hearing of this appeal.</w:t>
      </w: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rPr>
      </w:pPr>
    </w:p>
    <w:p w:rsidR="009E6B0E" w:rsidRPr="009E6B0E" w:rsidRDefault="009E6B0E" w:rsidP="009E6B0E">
      <w:pPr>
        <w:spacing w:line="233" w:lineRule="auto"/>
        <w:jc w:val="both"/>
        <w:rPr>
          <w:rFonts w:cs="Times New Roman"/>
          <w:sz w:val="20"/>
          <w:szCs w:val="20"/>
          <w:lang w:val="fr-CA"/>
        </w:rPr>
      </w:pPr>
      <w:r w:rsidRPr="009E6B0E">
        <w:rPr>
          <w:rFonts w:cs="Times New Roman"/>
          <w:b/>
          <w:bCs/>
          <w:sz w:val="20"/>
          <w:szCs w:val="20"/>
          <w:lang w:val="fr-CA"/>
        </w:rPr>
        <w:t>À LA SUITE DE L’ORDONNANCE</w:t>
      </w:r>
      <w:r w:rsidRPr="009E6B0E">
        <w:rPr>
          <w:rFonts w:cs="Times New Roman"/>
          <w:sz w:val="20"/>
          <w:szCs w:val="20"/>
          <w:lang w:val="fr-CA"/>
        </w:rPr>
        <w:t xml:space="preserve"> datée du 24 janvier 2011 autorisant l’Association de l’industrie touristique de l’Ontario, Amnistie Internationale, le Centre canadien pour la justice internationale et </w:t>
      </w:r>
      <w:r w:rsidRPr="009E6B0E">
        <w:rPr>
          <w:rFonts w:cs="Times New Roman"/>
          <w:bCs/>
          <w:sz w:val="20"/>
          <w:szCs w:val="20"/>
          <w:lang w:val="fr-FR"/>
        </w:rPr>
        <w:t>Juristes canadiens pour les droits de la personne dans le monde et</w:t>
      </w:r>
      <w:r w:rsidRPr="009E6B0E">
        <w:rPr>
          <w:rFonts w:cs="Times New Roman"/>
          <w:b/>
          <w:bCs/>
          <w:sz w:val="20"/>
          <w:szCs w:val="20"/>
          <w:lang w:val="fr-FR"/>
        </w:rPr>
        <w:t xml:space="preserve"> </w:t>
      </w:r>
      <w:r w:rsidRPr="009E6B0E">
        <w:rPr>
          <w:rFonts w:cs="Times New Roman"/>
          <w:bCs/>
          <w:sz w:val="20"/>
          <w:szCs w:val="20"/>
          <w:lang w:val="fr-FR"/>
        </w:rPr>
        <w:t>l’</w:t>
      </w:r>
      <w:r w:rsidRPr="009E6B0E">
        <w:rPr>
          <w:rFonts w:cs="Times New Roman"/>
          <w:sz w:val="20"/>
          <w:szCs w:val="20"/>
          <w:lang w:val="fr-CA"/>
        </w:rPr>
        <w:t xml:space="preserve">Ontario Trial </w:t>
      </w:r>
      <w:proofErr w:type="spellStart"/>
      <w:r w:rsidRPr="009E6B0E">
        <w:rPr>
          <w:rFonts w:cs="Times New Roman"/>
          <w:sz w:val="20"/>
          <w:szCs w:val="20"/>
          <w:lang w:val="fr-CA"/>
        </w:rPr>
        <w:t>Lawyers</w:t>
      </w:r>
      <w:proofErr w:type="spellEnd"/>
      <w:r w:rsidRPr="009E6B0E">
        <w:rPr>
          <w:rFonts w:cs="Times New Roman"/>
          <w:sz w:val="20"/>
          <w:szCs w:val="20"/>
          <w:lang w:val="fr-CA"/>
        </w:rPr>
        <w:t xml:space="preserve"> Association à intervenir;</w:t>
      </w:r>
    </w:p>
    <w:p w:rsidR="009E6B0E" w:rsidRPr="009E6B0E" w:rsidRDefault="009E6B0E" w:rsidP="009E6B0E">
      <w:pPr>
        <w:spacing w:line="233" w:lineRule="auto"/>
        <w:rPr>
          <w:rFonts w:cs="Times New Roman"/>
          <w:sz w:val="20"/>
          <w:szCs w:val="20"/>
          <w:lang w:val="fr-CA"/>
        </w:rPr>
      </w:pPr>
    </w:p>
    <w:p w:rsidR="009E6B0E" w:rsidRPr="009E6B0E" w:rsidRDefault="009E6B0E" w:rsidP="009E6B0E">
      <w:pPr>
        <w:spacing w:line="233" w:lineRule="auto"/>
        <w:jc w:val="both"/>
        <w:rPr>
          <w:rFonts w:cs="Times New Roman"/>
          <w:sz w:val="20"/>
          <w:szCs w:val="20"/>
          <w:lang w:val="fr-CA"/>
        </w:rPr>
      </w:pPr>
      <w:r w:rsidRPr="009E6B0E">
        <w:rPr>
          <w:rFonts w:cs="Times New Roman"/>
          <w:b/>
          <w:bCs/>
          <w:sz w:val="20"/>
          <w:szCs w:val="20"/>
          <w:lang w:val="fr-CA"/>
        </w:rPr>
        <w:t xml:space="preserve">IL EST EN OUTRE ORDONNÉ CE QUI SUIT : </w:t>
      </w:r>
      <w:r w:rsidRPr="009E6B0E">
        <w:rPr>
          <w:rFonts w:cs="Times New Roman"/>
          <w:sz w:val="20"/>
          <w:szCs w:val="20"/>
          <w:lang w:val="fr-CA"/>
        </w:rPr>
        <w:t>lesdits intervenants sont autorisés à présenter une plaidoirie orale d’au plus dix (10) minutes lors de l’audition de l’appel.</w:t>
      </w:r>
    </w:p>
    <w:p w:rsidR="009E6B0E" w:rsidRPr="009E6B0E" w:rsidRDefault="009E6B0E" w:rsidP="009E6B0E">
      <w:pPr>
        <w:tabs>
          <w:tab w:val="left" w:pos="-1440"/>
          <w:tab w:val="left" w:pos="-720"/>
        </w:tabs>
        <w:jc w:val="both"/>
        <w:rPr>
          <w:sz w:val="20"/>
          <w:szCs w:val="20"/>
          <w:lang w:val="fr-CA"/>
        </w:rPr>
      </w:pPr>
    </w:p>
    <w:p w:rsidR="009E6B0E" w:rsidRPr="009E6B0E" w:rsidRDefault="00C478F8" w:rsidP="009E6B0E">
      <w:pPr>
        <w:tabs>
          <w:tab w:val="left" w:pos="-1440"/>
          <w:tab w:val="left" w:pos="-720"/>
        </w:tabs>
        <w:jc w:val="both"/>
        <w:rPr>
          <w:sz w:val="20"/>
          <w:szCs w:val="20"/>
        </w:rPr>
      </w:pPr>
      <w:r w:rsidRPr="00C478F8">
        <w:rPr>
          <w:sz w:val="20"/>
          <w:szCs w:val="20"/>
          <w:lang w:val="fr-CA"/>
        </w:rPr>
        <w:pict>
          <v:rect id="_x0000_i1064" style="width:2in;height:1pt" o:hrpct="0" o:hralign="center" o:hrstd="t" o:hrnoshade="t" o:hr="t" fillcolor="black [3213]" stroked="f"/>
        </w:pict>
      </w: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lang w:val="fr-CA"/>
        </w:rPr>
      </w:pPr>
      <w:r w:rsidRPr="009E6B0E">
        <w:rPr>
          <w:sz w:val="20"/>
          <w:szCs w:val="20"/>
          <w:lang w:val="fr-CA"/>
        </w:rPr>
        <w:t>09.03.2011</w:t>
      </w:r>
    </w:p>
    <w:p w:rsidR="009E6B0E" w:rsidRPr="009E6B0E" w:rsidRDefault="009E6B0E" w:rsidP="009E6B0E">
      <w:pPr>
        <w:tabs>
          <w:tab w:val="left" w:pos="-1440"/>
          <w:tab w:val="left" w:pos="-720"/>
        </w:tabs>
        <w:jc w:val="both"/>
        <w:rPr>
          <w:sz w:val="20"/>
          <w:szCs w:val="20"/>
          <w:lang w:val="fr-CA"/>
        </w:rPr>
      </w:pPr>
    </w:p>
    <w:p w:rsidR="009E6B0E" w:rsidRPr="009E6B0E" w:rsidRDefault="009E6B0E" w:rsidP="009E6B0E">
      <w:pPr>
        <w:tabs>
          <w:tab w:val="left" w:pos="-1440"/>
          <w:tab w:val="left" w:pos="-720"/>
        </w:tabs>
        <w:jc w:val="both"/>
        <w:rPr>
          <w:sz w:val="20"/>
          <w:szCs w:val="20"/>
          <w:lang w:val="fr-CA"/>
        </w:rPr>
      </w:pPr>
      <w:proofErr w:type="spellStart"/>
      <w:r w:rsidRPr="009E6B0E">
        <w:rPr>
          <w:sz w:val="20"/>
          <w:szCs w:val="20"/>
          <w:lang w:val="fr-CA"/>
        </w:rPr>
        <w:t>Before</w:t>
      </w:r>
      <w:proofErr w:type="spellEnd"/>
      <w:r w:rsidRPr="009E6B0E">
        <w:rPr>
          <w:sz w:val="20"/>
          <w:szCs w:val="20"/>
          <w:lang w:val="fr-CA"/>
        </w:rPr>
        <w:t xml:space="preserve"> / Devant :   LEBEL J. / LE JUGE LEBEL</w:t>
      </w:r>
    </w:p>
    <w:p w:rsidR="009E6B0E" w:rsidRPr="009E6B0E" w:rsidRDefault="009E6B0E" w:rsidP="009E6B0E">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9E6B0E" w:rsidRPr="00406D3C" w:rsidTr="009E6B0E">
        <w:tc>
          <w:tcPr>
            <w:tcW w:w="4338" w:type="dxa"/>
            <w:gridSpan w:val="2"/>
          </w:tcPr>
          <w:p w:rsidR="009E6B0E" w:rsidRPr="009E6B0E" w:rsidRDefault="009E6B0E" w:rsidP="009E6B0E">
            <w:pPr>
              <w:rPr>
                <w:b/>
                <w:sz w:val="20"/>
                <w:szCs w:val="20"/>
              </w:rPr>
            </w:pPr>
            <w:r w:rsidRPr="009E6B0E">
              <w:rPr>
                <w:b/>
                <w:sz w:val="20"/>
                <w:szCs w:val="20"/>
              </w:rPr>
              <w:t xml:space="preserve">Order on interventions with respect to oral argument </w:t>
            </w:r>
            <w:r w:rsidR="00C478F8" w:rsidRPr="009E6B0E">
              <w:rPr>
                <w:b/>
                <w:sz w:val="20"/>
                <w:szCs w:val="20"/>
              </w:rPr>
              <w:fldChar w:fldCharType="begin"/>
            </w:r>
            <w:r w:rsidRPr="009E6B0E">
              <w:rPr>
                <w:b/>
                <w:sz w:val="20"/>
                <w:szCs w:val="20"/>
              </w:rPr>
              <w:instrText xml:space="preserve"> SEQ CHAPTER \h \r 1</w:instrText>
            </w:r>
            <w:r w:rsidR="00C478F8" w:rsidRPr="009E6B0E">
              <w:rPr>
                <w:b/>
                <w:sz w:val="20"/>
                <w:szCs w:val="20"/>
              </w:rPr>
              <w:fldChar w:fldCharType="end"/>
            </w:r>
          </w:p>
        </w:tc>
        <w:tc>
          <w:tcPr>
            <w:tcW w:w="1170" w:type="dxa"/>
          </w:tcPr>
          <w:p w:rsidR="009E6B0E" w:rsidRPr="009E6B0E" w:rsidRDefault="009E6B0E" w:rsidP="009E6B0E">
            <w:pPr>
              <w:rPr>
                <w:sz w:val="20"/>
                <w:szCs w:val="20"/>
              </w:rPr>
            </w:pPr>
          </w:p>
          <w:p w:rsidR="009E6B0E" w:rsidRPr="009E6B0E" w:rsidRDefault="009E6B0E" w:rsidP="009E6B0E">
            <w:pPr>
              <w:rPr>
                <w:sz w:val="20"/>
                <w:szCs w:val="20"/>
              </w:rPr>
            </w:pPr>
          </w:p>
          <w:p w:rsidR="009E6B0E" w:rsidRPr="009E6B0E" w:rsidRDefault="009E6B0E" w:rsidP="009E6B0E">
            <w:pPr>
              <w:rPr>
                <w:sz w:val="20"/>
                <w:szCs w:val="20"/>
              </w:rPr>
            </w:pPr>
          </w:p>
        </w:tc>
        <w:tc>
          <w:tcPr>
            <w:tcW w:w="4327" w:type="dxa"/>
          </w:tcPr>
          <w:p w:rsidR="009E6B0E" w:rsidRPr="009E6B0E" w:rsidRDefault="009E6B0E" w:rsidP="009E6B0E">
            <w:pPr>
              <w:rPr>
                <w:b/>
                <w:sz w:val="20"/>
                <w:szCs w:val="20"/>
                <w:lang w:val="fr-CA"/>
              </w:rPr>
            </w:pPr>
            <w:r w:rsidRPr="009E6B0E">
              <w:rPr>
                <w:b/>
                <w:sz w:val="20"/>
                <w:szCs w:val="20"/>
                <w:lang w:val="fr-CA"/>
              </w:rPr>
              <w:t>Ordonnance relative à la présentation d’une plaidoirie orale par les intervenants</w:t>
            </w:r>
            <w:r w:rsidR="00C478F8" w:rsidRPr="009E6B0E">
              <w:rPr>
                <w:b/>
                <w:sz w:val="20"/>
                <w:szCs w:val="20"/>
              </w:rPr>
              <w:fldChar w:fldCharType="begin"/>
            </w:r>
            <w:r w:rsidRPr="009E6B0E">
              <w:rPr>
                <w:b/>
                <w:sz w:val="20"/>
                <w:szCs w:val="20"/>
                <w:lang w:val="fr-CA"/>
              </w:rPr>
              <w:instrText xml:space="preserve"> SEQ CHAPTER \h \r 1</w:instrText>
            </w:r>
            <w:r w:rsidR="00C478F8" w:rsidRPr="009E6B0E">
              <w:rPr>
                <w:b/>
                <w:sz w:val="20"/>
                <w:szCs w:val="20"/>
              </w:rPr>
              <w:fldChar w:fldCharType="end"/>
            </w:r>
          </w:p>
        </w:tc>
      </w:tr>
      <w:tr w:rsidR="009E6B0E" w:rsidRPr="009E6B0E" w:rsidTr="009E6B0E">
        <w:tc>
          <w:tcPr>
            <w:tcW w:w="1368" w:type="dxa"/>
          </w:tcPr>
          <w:p w:rsidR="009E6B0E" w:rsidRPr="009E6B0E" w:rsidRDefault="009E6B0E" w:rsidP="009E6B0E">
            <w:pPr>
              <w:rPr>
                <w:sz w:val="20"/>
                <w:szCs w:val="20"/>
              </w:rPr>
            </w:pPr>
            <w:r w:rsidRPr="009E6B0E">
              <w:rPr>
                <w:sz w:val="20"/>
                <w:szCs w:val="20"/>
              </w:rPr>
              <w:t>RE:</w:t>
            </w:r>
          </w:p>
        </w:tc>
        <w:tc>
          <w:tcPr>
            <w:tcW w:w="2970" w:type="dxa"/>
          </w:tcPr>
          <w:p w:rsidR="009E6B0E" w:rsidRPr="009E6B0E" w:rsidRDefault="009E6B0E" w:rsidP="009E6B0E">
            <w:pPr>
              <w:rPr>
                <w:sz w:val="20"/>
                <w:szCs w:val="20"/>
              </w:rPr>
            </w:pPr>
            <w:r w:rsidRPr="009E6B0E">
              <w:rPr>
                <w:sz w:val="20"/>
                <w:szCs w:val="20"/>
              </w:rPr>
              <w:t>Attorney General of British Columbia;</w:t>
            </w:r>
          </w:p>
        </w:tc>
        <w:tc>
          <w:tcPr>
            <w:tcW w:w="117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368" w:type="dxa"/>
          </w:tcPr>
          <w:p w:rsidR="009E6B0E" w:rsidRPr="009E6B0E" w:rsidRDefault="009E6B0E" w:rsidP="009E6B0E">
            <w:pPr>
              <w:rPr>
                <w:sz w:val="20"/>
                <w:szCs w:val="20"/>
              </w:rPr>
            </w:pPr>
          </w:p>
        </w:tc>
        <w:tc>
          <w:tcPr>
            <w:tcW w:w="2970" w:type="dxa"/>
          </w:tcPr>
          <w:p w:rsidR="009E6B0E" w:rsidRPr="009E6B0E" w:rsidRDefault="009E6B0E" w:rsidP="009E6B0E">
            <w:pPr>
              <w:rPr>
                <w:sz w:val="20"/>
                <w:szCs w:val="20"/>
              </w:rPr>
            </w:pPr>
            <w:r w:rsidRPr="009E6B0E">
              <w:rPr>
                <w:sz w:val="20"/>
                <w:szCs w:val="20"/>
              </w:rPr>
              <w:t>Canadian Human Rights Commission;</w:t>
            </w:r>
          </w:p>
        </w:tc>
        <w:tc>
          <w:tcPr>
            <w:tcW w:w="117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368" w:type="dxa"/>
          </w:tcPr>
          <w:p w:rsidR="009E6B0E" w:rsidRPr="009E6B0E" w:rsidRDefault="009E6B0E" w:rsidP="009E6B0E">
            <w:pPr>
              <w:rPr>
                <w:sz w:val="20"/>
                <w:szCs w:val="20"/>
              </w:rPr>
            </w:pPr>
          </w:p>
        </w:tc>
        <w:tc>
          <w:tcPr>
            <w:tcW w:w="2970" w:type="dxa"/>
          </w:tcPr>
          <w:p w:rsidR="009E6B0E" w:rsidRPr="009E6B0E" w:rsidRDefault="009E6B0E" w:rsidP="009E6B0E">
            <w:pPr>
              <w:rPr>
                <w:sz w:val="20"/>
                <w:szCs w:val="20"/>
              </w:rPr>
            </w:pPr>
            <w:r w:rsidRPr="009E6B0E">
              <w:rPr>
                <w:sz w:val="20"/>
                <w:szCs w:val="20"/>
              </w:rPr>
              <w:t>Alberta Human Rights Commission;</w:t>
            </w:r>
          </w:p>
        </w:tc>
        <w:tc>
          <w:tcPr>
            <w:tcW w:w="117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368" w:type="dxa"/>
          </w:tcPr>
          <w:p w:rsidR="009E6B0E" w:rsidRPr="009E6B0E" w:rsidRDefault="009E6B0E" w:rsidP="009E6B0E">
            <w:pPr>
              <w:rPr>
                <w:sz w:val="20"/>
                <w:szCs w:val="20"/>
              </w:rPr>
            </w:pPr>
          </w:p>
        </w:tc>
        <w:tc>
          <w:tcPr>
            <w:tcW w:w="2970" w:type="dxa"/>
          </w:tcPr>
          <w:p w:rsidR="009E6B0E" w:rsidRPr="009E6B0E" w:rsidRDefault="009E6B0E" w:rsidP="009E6B0E">
            <w:pPr>
              <w:rPr>
                <w:sz w:val="20"/>
                <w:szCs w:val="20"/>
              </w:rPr>
            </w:pPr>
            <w:r w:rsidRPr="009E6B0E">
              <w:rPr>
                <w:sz w:val="20"/>
                <w:szCs w:val="20"/>
              </w:rPr>
              <w:t xml:space="preserve">Coalition of BC Business; </w:t>
            </w:r>
          </w:p>
        </w:tc>
        <w:tc>
          <w:tcPr>
            <w:tcW w:w="117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368" w:type="dxa"/>
          </w:tcPr>
          <w:p w:rsidR="009E6B0E" w:rsidRPr="009E6B0E" w:rsidRDefault="009E6B0E" w:rsidP="009E6B0E">
            <w:pPr>
              <w:rPr>
                <w:sz w:val="20"/>
                <w:szCs w:val="20"/>
              </w:rPr>
            </w:pPr>
          </w:p>
        </w:tc>
        <w:tc>
          <w:tcPr>
            <w:tcW w:w="2970" w:type="dxa"/>
          </w:tcPr>
          <w:p w:rsidR="009E6B0E" w:rsidRPr="009E6B0E" w:rsidRDefault="009E6B0E" w:rsidP="009E6B0E">
            <w:pPr>
              <w:rPr>
                <w:sz w:val="20"/>
                <w:szCs w:val="20"/>
              </w:rPr>
            </w:pPr>
            <w:r w:rsidRPr="009E6B0E">
              <w:rPr>
                <w:sz w:val="20"/>
                <w:szCs w:val="20"/>
              </w:rPr>
              <w:t>Vancouver Area Human Rights Coalition Society</w:t>
            </w:r>
          </w:p>
        </w:tc>
        <w:tc>
          <w:tcPr>
            <w:tcW w:w="117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368" w:type="dxa"/>
          </w:tcPr>
          <w:p w:rsidR="009E6B0E" w:rsidRPr="009E6B0E" w:rsidRDefault="009E6B0E" w:rsidP="009E6B0E">
            <w:pPr>
              <w:rPr>
                <w:sz w:val="20"/>
                <w:szCs w:val="20"/>
              </w:rPr>
            </w:pPr>
          </w:p>
        </w:tc>
        <w:tc>
          <w:tcPr>
            <w:tcW w:w="2970" w:type="dxa"/>
          </w:tcPr>
          <w:p w:rsidR="009E6B0E" w:rsidRPr="009E6B0E" w:rsidRDefault="009E6B0E" w:rsidP="009E6B0E">
            <w:pPr>
              <w:rPr>
                <w:sz w:val="20"/>
                <w:szCs w:val="20"/>
              </w:rPr>
            </w:pPr>
          </w:p>
        </w:tc>
        <w:tc>
          <w:tcPr>
            <w:tcW w:w="117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368" w:type="dxa"/>
          </w:tcPr>
          <w:p w:rsidR="009E6B0E" w:rsidRPr="009E6B0E" w:rsidRDefault="009E6B0E" w:rsidP="009E6B0E">
            <w:pPr>
              <w:rPr>
                <w:sz w:val="20"/>
                <w:szCs w:val="20"/>
              </w:rPr>
            </w:pPr>
            <w:r w:rsidRPr="009E6B0E">
              <w:rPr>
                <w:sz w:val="20"/>
                <w:szCs w:val="20"/>
              </w:rPr>
              <w:t>IN / DANS :</w:t>
            </w:r>
          </w:p>
        </w:tc>
        <w:tc>
          <w:tcPr>
            <w:tcW w:w="2970" w:type="dxa"/>
          </w:tcPr>
          <w:p w:rsidR="009E6B0E" w:rsidRPr="009E6B0E" w:rsidRDefault="009E6B0E" w:rsidP="009E6B0E">
            <w:pPr>
              <w:rPr>
                <w:sz w:val="20"/>
                <w:szCs w:val="20"/>
              </w:rPr>
            </w:pPr>
            <w:r w:rsidRPr="009E6B0E">
              <w:rPr>
                <w:sz w:val="20"/>
                <w:szCs w:val="20"/>
              </w:rPr>
              <w:t>Workers’ Compensation Board of British Columbia</w:t>
            </w:r>
          </w:p>
          <w:p w:rsidR="009E6B0E" w:rsidRPr="009E6B0E" w:rsidRDefault="009E6B0E" w:rsidP="009E6B0E">
            <w:pPr>
              <w:rPr>
                <w:sz w:val="20"/>
                <w:szCs w:val="20"/>
              </w:rPr>
            </w:pPr>
          </w:p>
        </w:tc>
        <w:tc>
          <w:tcPr>
            <w:tcW w:w="117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9E6B0E" w:rsidTr="009E6B0E">
        <w:tc>
          <w:tcPr>
            <w:tcW w:w="1368" w:type="dxa"/>
          </w:tcPr>
          <w:p w:rsidR="009E6B0E" w:rsidRPr="009E6B0E" w:rsidRDefault="009E6B0E" w:rsidP="009E6B0E">
            <w:pPr>
              <w:rPr>
                <w:sz w:val="20"/>
                <w:szCs w:val="20"/>
              </w:rPr>
            </w:pPr>
          </w:p>
        </w:tc>
        <w:tc>
          <w:tcPr>
            <w:tcW w:w="2970" w:type="dxa"/>
          </w:tcPr>
          <w:p w:rsidR="009E6B0E" w:rsidRPr="009E6B0E" w:rsidRDefault="009E6B0E" w:rsidP="009E6B0E">
            <w:pPr>
              <w:rPr>
                <w:sz w:val="20"/>
                <w:szCs w:val="20"/>
              </w:rPr>
            </w:pPr>
            <w:r w:rsidRPr="009E6B0E">
              <w:rPr>
                <w:sz w:val="20"/>
                <w:szCs w:val="20"/>
              </w:rPr>
              <w:tab/>
              <w:t>v. (33648)</w:t>
            </w:r>
          </w:p>
          <w:p w:rsidR="009E6B0E" w:rsidRPr="009E6B0E" w:rsidRDefault="009E6B0E" w:rsidP="009E6B0E">
            <w:pPr>
              <w:rPr>
                <w:sz w:val="20"/>
                <w:szCs w:val="20"/>
              </w:rPr>
            </w:pPr>
          </w:p>
        </w:tc>
        <w:tc>
          <w:tcPr>
            <w:tcW w:w="1170" w:type="dxa"/>
          </w:tcPr>
          <w:p w:rsidR="009E6B0E" w:rsidRPr="009E6B0E" w:rsidRDefault="009E6B0E" w:rsidP="009E6B0E">
            <w:pPr>
              <w:rPr>
                <w:sz w:val="20"/>
                <w:szCs w:val="20"/>
              </w:rPr>
            </w:pPr>
          </w:p>
        </w:tc>
        <w:tc>
          <w:tcPr>
            <w:tcW w:w="4327" w:type="dxa"/>
          </w:tcPr>
          <w:p w:rsidR="009E6B0E" w:rsidRPr="009E6B0E" w:rsidRDefault="009E6B0E" w:rsidP="009E6B0E">
            <w:pPr>
              <w:rPr>
                <w:sz w:val="20"/>
                <w:szCs w:val="20"/>
              </w:rPr>
            </w:pPr>
          </w:p>
        </w:tc>
      </w:tr>
      <w:tr w:rsidR="009E6B0E" w:rsidRPr="00406D3C" w:rsidTr="009E6B0E">
        <w:tc>
          <w:tcPr>
            <w:tcW w:w="1368" w:type="dxa"/>
          </w:tcPr>
          <w:p w:rsidR="009E6B0E" w:rsidRPr="009E6B0E" w:rsidRDefault="009E6B0E" w:rsidP="009E6B0E">
            <w:pPr>
              <w:rPr>
                <w:sz w:val="20"/>
                <w:szCs w:val="20"/>
              </w:rPr>
            </w:pPr>
          </w:p>
        </w:tc>
        <w:tc>
          <w:tcPr>
            <w:tcW w:w="2970" w:type="dxa"/>
          </w:tcPr>
          <w:p w:rsidR="009E6B0E" w:rsidRPr="009E6B0E" w:rsidRDefault="009E6B0E" w:rsidP="009E6B0E">
            <w:pPr>
              <w:jc w:val="both"/>
              <w:rPr>
                <w:sz w:val="20"/>
                <w:szCs w:val="20"/>
                <w:lang w:val="fr-CA"/>
              </w:rPr>
            </w:pPr>
            <w:r w:rsidRPr="009E6B0E">
              <w:rPr>
                <w:sz w:val="20"/>
                <w:szCs w:val="20"/>
                <w:lang w:val="fr-CA"/>
              </w:rPr>
              <w:t xml:space="preserve">Guiseppe </w:t>
            </w:r>
            <w:proofErr w:type="spellStart"/>
            <w:r w:rsidRPr="009E6B0E">
              <w:rPr>
                <w:sz w:val="20"/>
                <w:szCs w:val="20"/>
                <w:lang w:val="fr-CA"/>
              </w:rPr>
              <w:t>Figliola</w:t>
            </w:r>
            <w:proofErr w:type="spellEnd"/>
            <w:r w:rsidRPr="009E6B0E">
              <w:rPr>
                <w:sz w:val="20"/>
                <w:szCs w:val="20"/>
                <w:lang w:val="fr-CA"/>
              </w:rPr>
              <w:t xml:space="preserve"> et al. (B.C.)</w:t>
            </w:r>
          </w:p>
        </w:tc>
        <w:tc>
          <w:tcPr>
            <w:tcW w:w="1170" w:type="dxa"/>
          </w:tcPr>
          <w:p w:rsidR="009E6B0E" w:rsidRPr="009E6B0E" w:rsidRDefault="009E6B0E" w:rsidP="009E6B0E">
            <w:pPr>
              <w:rPr>
                <w:sz w:val="20"/>
                <w:szCs w:val="20"/>
                <w:lang w:val="fr-CA"/>
              </w:rPr>
            </w:pPr>
          </w:p>
        </w:tc>
        <w:tc>
          <w:tcPr>
            <w:tcW w:w="4327" w:type="dxa"/>
          </w:tcPr>
          <w:p w:rsidR="009E6B0E" w:rsidRPr="009E6B0E" w:rsidRDefault="009E6B0E" w:rsidP="009E6B0E">
            <w:pPr>
              <w:rPr>
                <w:sz w:val="20"/>
                <w:szCs w:val="20"/>
                <w:lang w:val="fr-CA"/>
              </w:rPr>
            </w:pPr>
          </w:p>
        </w:tc>
      </w:tr>
    </w:tbl>
    <w:p w:rsidR="009E6B0E" w:rsidRPr="009E6B0E" w:rsidRDefault="009E6B0E" w:rsidP="009E6B0E">
      <w:pPr>
        <w:tabs>
          <w:tab w:val="left" w:pos="-1440"/>
          <w:tab w:val="left" w:pos="-720"/>
        </w:tabs>
        <w:jc w:val="both"/>
        <w:rPr>
          <w:sz w:val="20"/>
          <w:szCs w:val="20"/>
          <w:lang w:val="fr-CA"/>
        </w:rPr>
      </w:pPr>
    </w:p>
    <w:p w:rsidR="009E6B0E" w:rsidRPr="009E6B0E" w:rsidRDefault="009E6B0E" w:rsidP="009E6B0E">
      <w:pPr>
        <w:rPr>
          <w:sz w:val="20"/>
          <w:szCs w:val="20"/>
        </w:rPr>
      </w:pPr>
      <w:r w:rsidRPr="009E6B0E">
        <w:rPr>
          <w:b/>
          <w:sz w:val="20"/>
          <w:szCs w:val="20"/>
        </w:rPr>
        <w:t>GRANTED / ACCORDÉE</w:t>
      </w:r>
    </w:p>
    <w:p w:rsidR="009E6B0E" w:rsidRPr="009E6B0E" w:rsidRDefault="009E6B0E" w:rsidP="009E6B0E">
      <w:pPr>
        <w:tabs>
          <w:tab w:val="left" w:pos="-1440"/>
          <w:tab w:val="left" w:pos="-720"/>
        </w:tabs>
        <w:jc w:val="both"/>
        <w:rPr>
          <w:sz w:val="20"/>
          <w:szCs w:val="20"/>
        </w:rPr>
      </w:pPr>
    </w:p>
    <w:p w:rsidR="009E6B0E" w:rsidRPr="009E6B0E" w:rsidRDefault="009E6B0E" w:rsidP="009E6B0E">
      <w:pPr>
        <w:spacing w:line="211" w:lineRule="auto"/>
        <w:jc w:val="both"/>
        <w:rPr>
          <w:sz w:val="20"/>
          <w:szCs w:val="20"/>
        </w:rPr>
      </w:pPr>
      <w:r w:rsidRPr="009E6B0E">
        <w:rPr>
          <w:b/>
          <w:bCs/>
          <w:sz w:val="20"/>
          <w:szCs w:val="20"/>
        </w:rPr>
        <w:t>FURTHER TO THE ORDER</w:t>
      </w:r>
      <w:r w:rsidRPr="009E6B0E">
        <w:rPr>
          <w:sz w:val="20"/>
          <w:szCs w:val="20"/>
        </w:rPr>
        <w:t xml:space="preserve"> dated January 20, 2011, granting leave to intervene to the Attorney General of British Columbia, the Canadian Human Rights Commission, the Alberta Human Rights Commission, </w:t>
      </w:r>
      <w:proofErr w:type="gramStart"/>
      <w:r w:rsidRPr="009E6B0E">
        <w:rPr>
          <w:sz w:val="20"/>
          <w:szCs w:val="20"/>
        </w:rPr>
        <w:t>the</w:t>
      </w:r>
      <w:proofErr w:type="gramEnd"/>
      <w:r w:rsidRPr="009E6B0E">
        <w:rPr>
          <w:sz w:val="20"/>
          <w:szCs w:val="20"/>
        </w:rPr>
        <w:t xml:space="preserve"> Coalition of BC Business and the Vancouver Area Human Rights Coalition Society;</w:t>
      </w:r>
    </w:p>
    <w:p w:rsidR="009E6B0E" w:rsidRPr="009E6B0E" w:rsidRDefault="009E6B0E" w:rsidP="009E6B0E">
      <w:pPr>
        <w:spacing w:line="233" w:lineRule="auto"/>
        <w:jc w:val="both"/>
        <w:rPr>
          <w:sz w:val="20"/>
          <w:szCs w:val="20"/>
        </w:rPr>
      </w:pPr>
    </w:p>
    <w:p w:rsidR="009E6B0E" w:rsidRPr="009E6B0E" w:rsidRDefault="009E6B0E" w:rsidP="009E6B0E">
      <w:pPr>
        <w:tabs>
          <w:tab w:val="left" w:pos="-1440"/>
          <w:tab w:val="left" w:pos="-720"/>
        </w:tabs>
        <w:jc w:val="both"/>
        <w:rPr>
          <w:sz w:val="20"/>
          <w:szCs w:val="20"/>
        </w:rPr>
      </w:pPr>
      <w:r w:rsidRPr="009E6B0E">
        <w:rPr>
          <w:b/>
          <w:bCs/>
          <w:sz w:val="20"/>
          <w:szCs w:val="20"/>
        </w:rPr>
        <w:t xml:space="preserve">IT IS HEREBY FURTHER ORDERED THAT </w:t>
      </w:r>
      <w:r w:rsidRPr="009E6B0E">
        <w:rPr>
          <w:sz w:val="20"/>
          <w:szCs w:val="20"/>
        </w:rPr>
        <w:t>the interveners are granted permission to present oral argument not exceeding ten (10) minutes at the hearing of this appeal.</w:t>
      </w: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rPr>
      </w:pPr>
    </w:p>
    <w:p w:rsidR="009E6B0E" w:rsidRPr="009E6B0E" w:rsidRDefault="009E6B0E" w:rsidP="009E6B0E">
      <w:pPr>
        <w:tabs>
          <w:tab w:val="left" w:pos="-1440"/>
          <w:tab w:val="left" w:pos="-720"/>
        </w:tabs>
        <w:jc w:val="both"/>
        <w:rPr>
          <w:sz w:val="20"/>
          <w:szCs w:val="20"/>
        </w:rPr>
      </w:pPr>
    </w:p>
    <w:p w:rsidR="009E6B0E" w:rsidRPr="009E6B0E" w:rsidRDefault="009E6B0E" w:rsidP="009E6B0E">
      <w:pPr>
        <w:spacing w:line="211" w:lineRule="auto"/>
        <w:jc w:val="both"/>
        <w:rPr>
          <w:rFonts w:cs="Times New Roman"/>
          <w:sz w:val="20"/>
          <w:szCs w:val="20"/>
          <w:lang w:val="fr-CA"/>
        </w:rPr>
      </w:pPr>
      <w:r w:rsidRPr="009E6B0E">
        <w:rPr>
          <w:rFonts w:cs="Times New Roman"/>
          <w:b/>
          <w:bCs/>
          <w:sz w:val="20"/>
          <w:szCs w:val="20"/>
          <w:lang w:val="fr-CA"/>
        </w:rPr>
        <w:t>À LA SUITE DE L’ORDONNANCE</w:t>
      </w:r>
      <w:r w:rsidRPr="009E6B0E">
        <w:rPr>
          <w:rFonts w:cs="Times New Roman"/>
          <w:sz w:val="20"/>
          <w:szCs w:val="20"/>
          <w:lang w:val="fr-CA"/>
        </w:rPr>
        <w:t xml:space="preserve"> datée du 20 janvier 2011 autorisant le procureur général de la Colombie-Britannique, la Commission canadienne des droits de la personne, l’Alberta </w:t>
      </w:r>
      <w:proofErr w:type="spellStart"/>
      <w:r w:rsidRPr="009E6B0E">
        <w:rPr>
          <w:rFonts w:cs="Times New Roman"/>
          <w:sz w:val="20"/>
          <w:szCs w:val="20"/>
          <w:lang w:val="fr-CA"/>
        </w:rPr>
        <w:t>Human</w:t>
      </w:r>
      <w:proofErr w:type="spellEnd"/>
      <w:r w:rsidRPr="009E6B0E">
        <w:rPr>
          <w:rFonts w:cs="Times New Roman"/>
          <w:sz w:val="20"/>
          <w:szCs w:val="20"/>
          <w:lang w:val="fr-CA"/>
        </w:rPr>
        <w:t xml:space="preserve"> </w:t>
      </w:r>
      <w:proofErr w:type="spellStart"/>
      <w:r w:rsidRPr="009E6B0E">
        <w:rPr>
          <w:rFonts w:cs="Times New Roman"/>
          <w:sz w:val="20"/>
          <w:szCs w:val="20"/>
          <w:lang w:val="fr-CA"/>
        </w:rPr>
        <w:t>Rights</w:t>
      </w:r>
      <w:proofErr w:type="spellEnd"/>
      <w:r w:rsidRPr="009E6B0E">
        <w:rPr>
          <w:rFonts w:cs="Times New Roman"/>
          <w:sz w:val="20"/>
          <w:szCs w:val="20"/>
          <w:lang w:val="fr-CA"/>
        </w:rPr>
        <w:t xml:space="preserve"> Commission, la Coalition of BC Business et la Vancouver Area </w:t>
      </w:r>
      <w:proofErr w:type="spellStart"/>
      <w:r w:rsidRPr="009E6B0E">
        <w:rPr>
          <w:rFonts w:cs="Times New Roman"/>
          <w:sz w:val="20"/>
          <w:szCs w:val="20"/>
          <w:lang w:val="fr-CA"/>
        </w:rPr>
        <w:t>Human</w:t>
      </w:r>
      <w:proofErr w:type="spellEnd"/>
      <w:r w:rsidRPr="009E6B0E">
        <w:rPr>
          <w:rFonts w:cs="Times New Roman"/>
          <w:sz w:val="20"/>
          <w:szCs w:val="20"/>
          <w:lang w:val="fr-CA"/>
        </w:rPr>
        <w:t xml:space="preserve"> </w:t>
      </w:r>
      <w:proofErr w:type="spellStart"/>
      <w:r w:rsidRPr="009E6B0E">
        <w:rPr>
          <w:rFonts w:cs="Times New Roman"/>
          <w:sz w:val="20"/>
          <w:szCs w:val="20"/>
          <w:lang w:val="fr-CA"/>
        </w:rPr>
        <w:t>Rights</w:t>
      </w:r>
      <w:proofErr w:type="spellEnd"/>
      <w:r w:rsidRPr="009E6B0E">
        <w:rPr>
          <w:rFonts w:cs="Times New Roman"/>
          <w:sz w:val="20"/>
          <w:szCs w:val="20"/>
          <w:lang w:val="fr-CA"/>
        </w:rPr>
        <w:t xml:space="preserve"> Coalition Society à intervenir;</w:t>
      </w:r>
    </w:p>
    <w:p w:rsidR="009E6B0E" w:rsidRPr="009E6B0E" w:rsidRDefault="009E6B0E" w:rsidP="009E6B0E">
      <w:pPr>
        <w:spacing w:line="233" w:lineRule="auto"/>
        <w:jc w:val="both"/>
        <w:rPr>
          <w:rFonts w:cs="Times New Roman"/>
          <w:sz w:val="20"/>
          <w:szCs w:val="20"/>
          <w:lang w:val="fr-CA"/>
        </w:rPr>
      </w:pPr>
      <w:r w:rsidRPr="009E6B0E">
        <w:rPr>
          <w:rFonts w:cs="Times New Roman"/>
          <w:b/>
          <w:bCs/>
          <w:sz w:val="20"/>
          <w:szCs w:val="20"/>
          <w:lang w:val="fr-CA"/>
        </w:rPr>
        <w:lastRenderedPageBreak/>
        <w:t xml:space="preserve">IL EST EN OUTRE ORDONNÉ CE QUI SUIT : </w:t>
      </w:r>
      <w:r w:rsidRPr="009E6B0E">
        <w:rPr>
          <w:rFonts w:cs="Times New Roman"/>
          <w:bCs/>
          <w:sz w:val="20"/>
          <w:szCs w:val="20"/>
          <w:lang w:val="fr-CA"/>
        </w:rPr>
        <w:t>lesdits intervenants sont autorisés à présenter une plaidoirie orale d’au plus dix</w:t>
      </w:r>
      <w:r w:rsidRPr="009E6B0E">
        <w:rPr>
          <w:rFonts w:cs="Times New Roman"/>
          <w:sz w:val="20"/>
          <w:szCs w:val="20"/>
          <w:lang w:val="fr-CA"/>
        </w:rPr>
        <w:t xml:space="preserve"> (10) minutes lors de l’audition de l’appel.</w:t>
      </w:r>
    </w:p>
    <w:p w:rsidR="009E6B0E" w:rsidRPr="009E6B0E" w:rsidRDefault="009E6B0E" w:rsidP="009E6B0E">
      <w:pPr>
        <w:tabs>
          <w:tab w:val="left" w:pos="-1440"/>
          <w:tab w:val="left" w:pos="-720"/>
        </w:tabs>
        <w:jc w:val="both"/>
        <w:rPr>
          <w:sz w:val="20"/>
          <w:szCs w:val="20"/>
          <w:lang w:val="fr-CA"/>
        </w:rPr>
      </w:pPr>
    </w:p>
    <w:p w:rsidR="009E6B0E" w:rsidRPr="009E6B0E" w:rsidRDefault="00C478F8" w:rsidP="009E6B0E">
      <w:pPr>
        <w:tabs>
          <w:tab w:val="left" w:pos="-1440"/>
          <w:tab w:val="left" w:pos="-720"/>
        </w:tabs>
        <w:jc w:val="both"/>
        <w:rPr>
          <w:sz w:val="20"/>
          <w:szCs w:val="20"/>
          <w:lang w:val="fr-CA"/>
        </w:rPr>
      </w:pPr>
      <w:r w:rsidRPr="00C478F8">
        <w:rPr>
          <w:sz w:val="20"/>
          <w:szCs w:val="20"/>
          <w:lang w:val="fr-CA"/>
        </w:rPr>
        <w:pict>
          <v:rect id="_x0000_i1065" style="width:2in;height:1pt" o:hrpct="0" o:hralign="center" o:hrstd="t" o:hrnoshade="t" o:hr="t" fillcolor="black [3213]" stroked="f"/>
        </w:pict>
      </w: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406D3C"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1249BE" w:rsidRDefault="001249BE" w:rsidP="003B3977">
            <w:pPr>
              <w:rPr>
                <w:sz w:val="20"/>
                <w:szCs w:val="20"/>
                <w:lang w:val="fr-CA"/>
              </w:rPr>
            </w:pPr>
            <w:r w:rsidRPr="001249BE">
              <w:rPr>
                <w:sz w:val="20"/>
                <w:szCs w:val="20"/>
                <w:lang w:val="fr-CA"/>
              </w:rPr>
              <w:t>1</w:t>
            </w:r>
            <w:r w:rsidR="0010587F" w:rsidRPr="001249BE">
              <w:rPr>
                <w:sz w:val="20"/>
                <w:szCs w:val="20"/>
                <w:lang w:val="fr-CA"/>
              </w:rPr>
              <w:t>0.0</w:t>
            </w:r>
            <w:r w:rsidRPr="001249BE">
              <w:rPr>
                <w:sz w:val="20"/>
                <w:szCs w:val="20"/>
                <w:lang w:val="fr-CA"/>
              </w:rPr>
              <w:t>3</w:t>
            </w:r>
            <w:r w:rsidR="0010587F" w:rsidRPr="001249BE">
              <w:rPr>
                <w:sz w:val="20"/>
                <w:szCs w:val="20"/>
                <w:lang w:val="fr-CA"/>
              </w:rPr>
              <w:t>.201</w:t>
            </w:r>
            <w:r w:rsidRPr="001249BE">
              <w:rPr>
                <w:sz w:val="20"/>
                <w:szCs w:val="20"/>
                <w:lang w:val="fr-CA"/>
              </w:rPr>
              <w:t>1</w:t>
            </w:r>
          </w:p>
          <w:p w:rsidR="0010587F" w:rsidRPr="001249BE" w:rsidRDefault="0010587F" w:rsidP="003B3977">
            <w:pPr>
              <w:rPr>
                <w:sz w:val="20"/>
                <w:szCs w:val="20"/>
                <w:lang w:val="fr-CA"/>
              </w:rPr>
            </w:pPr>
          </w:p>
          <w:p w:rsidR="0010587F" w:rsidRPr="001249BE" w:rsidRDefault="001249BE" w:rsidP="003B3977">
            <w:pPr>
              <w:rPr>
                <w:b/>
                <w:sz w:val="20"/>
                <w:szCs w:val="20"/>
                <w:lang w:val="fr-CA"/>
              </w:rPr>
            </w:pPr>
            <w:r w:rsidRPr="001249BE">
              <w:rPr>
                <w:b/>
                <w:sz w:val="20"/>
                <w:szCs w:val="20"/>
                <w:lang w:val="fr-CA"/>
              </w:rPr>
              <w:t xml:space="preserve">Manitoba Métis </w:t>
            </w:r>
            <w:proofErr w:type="spellStart"/>
            <w:r w:rsidRPr="001249BE">
              <w:rPr>
                <w:b/>
                <w:sz w:val="20"/>
                <w:szCs w:val="20"/>
                <w:lang w:val="fr-CA"/>
              </w:rPr>
              <w:t>Federation</w:t>
            </w:r>
            <w:proofErr w:type="spellEnd"/>
            <w:r w:rsidRPr="001249BE">
              <w:rPr>
                <w:b/>
                <w:sz w:val="20"/>
                <w:szCs w:val="20"/>
                <w:lang w:val="fr-CA"/>
              </w:rPr>
              <w:t xml:space="preserve"> et al.</w:t>
            </w:r>
          </w:p>
          <w:p w:rsidR="0010587F" w:rsidRPr="001249BE" w:rsidRDefault="0010587F" w:rsidP="003B3977">
            <w:pPr>
              <w:rPr>
                <w:b/>
                <w:sz w:val="20"/>
                <w:szCs w:val="20"/>
                <w:lang w:val="fr-CA"/>
              </w:rPr>
            </w:pPr>
          </w:p>
          <w:p w:rsidR="0010587F" w:rsidRPr="003B3977" w:rsidRDefault="0010587F" w:rsidP="003B3977">
            <w:pPr>
              <w:rPr>
                <w:b/>
                <w:sz w:val="20"/>
                <w:szCs w:val="20"/>
              </w:rPr>
            </w:pPr>
            <w:r w:rsidRPr="001249BE">
              <w:rPr>
                <w:b/>
                <w:sz w:val="20"/>
                <w:szCs w:val="20"/>
                <w:lang w:val="fr-CA"/>
              </w:rPr>
              <w:tab/>
            </w:r>
            <w:r w:rsidRPr="003B3977">
              <w:rPr>
                <w:b/>
                <w:sz w:val="20"/>
                <w:szCs w:val="20"/>
              </w:rPr>
              <w:t>v. (33</w:t>
            </w:r>
            <w:r w:rsidR="001249BE">
              <w:rPr>
                <w:b/>
                <w:sz w:val="20"/>
                <w:szCs w:val="20"/>
              </w:rPr>
              <w:t>880</w:t>
            </w:r>
            <w:r w:rsidRPr="003B3977">
              <w:rPr>
                <w:b/>
                <w:sz w:val="20"/>
                <w:szCs w:val="20"/>
              </w:rPr>
              <w:t>)</w:t>
            </w:r>
          </w:p>
          <w:p w:rsidR="0010587F" w:rsidRPr="003B3977" w:rsidRDefault="0010587F" w:rsidP="003B3977">
            <w:pPr>
              <w:rPr>
                <w:b/>
                <w:sz w:val="20"/>
                <w:szCs w:val="20"/>
              </w:rPr>
            </w:pPr>
          </w:p>
          <w:p w:rsidR="0010587F" w:rsidRPr="003B3977" w:rsidRDefault="001249BE" w:rsidP="003B3977">
            <w:pPr>
              <w:rPr>
                <w:b/>
                <w:sz w:val="20"/>
                <w:szCs w:val="20"/>
              </w:rPr>
            </w:pPr>
            <w:r>
              <w:rPr>
                <w:b/>
                <w:sz w:val="20"/>
                <w:szCs w:val="20"/>
              </w:rPr>
              <w:t xml:space="preserve">Attorney General of Canada et al. </w:t>
            </w:r>
            <w:r w:rsidR="0010587F" w:rsidRPr="003B3977">
              <w:rPr>
                <w:b/>
                <w:sz w:val="20"/>
                <w:szCs w:val="20"/>
              </w:rPr>
              <w:t>(</w:t>
            </w:r>
            <w:r>
              <w:rPr>
                <w:b/>
                <w:sz w:val="20"/>
                <w:szCs w:val="20"/>
              </w:rPr>
              <w:t>M</w:t>
            </w:r>
            <w:r w:rsidR="0010587F" w:rsidRPr="003B3977">
              <w:rPr>
                <w:b/>
                <w:sz w:val="20"/>
                <w:szCs w:val="20"/>
              </w:rPr>
              <w:t>a</w:t>
            </w:r>
            <w:r>
              <w:rPr>
                <w:b/>
                <w:sz w:val="20"/>
                <w:szCs w:val="20"/>
              </w:rPr>
              <w:t>n</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1249BE">
              <w:rPr>
                <w:sz w:val="20"/>
                <w:szCs w:val="20"/>
              </w:rPr>
              <w:t>By Leave</w:t>
            </w:r>
            <w:r w:rsidRPr="003B3977">
              <w:rPr>
                <w:sz w:val="20"/>
                <w:szCs w:val="20"/>
              </w:rPr>
              <w:t>)</w:t>
            </w:r>
          </w:p>
          <w:p w:rsidR="0010587F" w:rsidRPr="003B3977" w:rsidRDefault="0010587F" w:rsidP="003B3977">
            <w:pPr>
              <w:rPr>
                <w:sz w:val="20"/>
                <w:szCs w:val="20"/>
              </w:rPr>
            </w:pPr>
          </w:p>
          <w:p w:rsidR="0010587F" w:rsidRPr="001249BE" w:rsidRDefault="00C478F8" w:rsidP="003B3977">
            <w:pPr>
              <w:rPr>
                <w:sz w:val="20"/>
                <w:szCs w:val="20"/>
              </w:rPr>
            </w:pPr>
            <w:r w:rsidRPr="00C478F8">
              <w:rPr>
                <w:sz w:val="20"/>
                <w:szCs w:val="20"/>
                <w:lang w:val="fr-CA"/>
              </w:rPr>
              <w:pict>
                <v:rect id="_x0000_i1068"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249BE" w:rsidP="003B3977">
            <w:pPr>
              <w:rPr>
                <w:sz w:val="20"/>
                <w:szCs w:val="20"/>
              </w:rPr>
            </w:pPr>
            <w:r>
              <w:rPr>
                <w:sz w:val="20"/>
                <w:szCs w:val="20"/>
              </w:rPr>
              <w:t>11</w:t>
            </w:r>
            <w:r w:rsidR="0010587F" w:rsidRPr="003B3977">
              <w:rPr>
                <w:sz w:val="20"/>
                <w:szCs w:val="20"/>
              </w:rPr>
              <w:t>.0</w:t>
            </w:r>
            <w:r>
              <w:rPr>
                <w:sz w:val="20"/>
                <w:szCs w:val="20"/>
              </w:rPr>
              <w:t>3</w:t>
            </w:r>
            <w:r w:rsidR="0010587F" w:rsidRPr="003B3977">
              <w:rPr>
                <w:sz w:val="20"/>
                <w:szCs w:val="20"/>
              </w:rPr>
              <w:t>.201</w:t>
            </w:r>
            <w:r>
              <w:rPr>
                <w:sz w:val="20"/>
                <w:szCs w:val="20"/>
              </w:rPr>
              <w:t>1</w:t>
            </w:r>
          </w:p>
          <w:p w:rsidR="0010587F" w:rsidRPr="003B3977" w:rsidRDefault="0010587F" w:rsidP="003B3977">
            <w:pPr>
              <w:rPr>
                <w:sz w:val="20"/>
                <w:szCs w:val="20"/>
              </w:rPr>
            </w:pPr>
          </w:p>
          <w:p w:rsidR="0010587F" w:rsidRPr="003B3977" w:rsidRDefault="001249BE" w:rsidP="003B3977">
            <w:pPr>
              <w:rPr>
                <w:b/>
                <w:sz w:val="20"/>
                <w:szCs w:val="20"/>
              </w:rPr>
            </w:pPr>
            <w:r>
              <w:rPr>
                <w:b/>
                <w:sz w:val="20"/>
                <w:szCs w:val="20"/>
              </w:rPr>
              <w:t>Halifax Regional Municipality</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(33</w:t>
            </w:r>
            <w:r w:rsidR="001249BE">
              <w:rPr>
                <w:b/>
                <w:sz w:val="20"/>
                <w:szCs w:val="20"/>
              </w:rPr>
              <w:t>8</w:t>
            </w:r>
            <w:r w:rsidRPr="003B3977">
              <w:rPr>
                <w:b/>
                <w:sz w:val="20"/>
                <w:szCs w:val="20"/>
              </w:rPr>
              <w:t>7</w:t>
            </w:r>
            <w:r w:rsidR="001249BE">
              <w:rPr>
                <w:b/>
                <w:sz w:val="20"/>
                <w:szCs w:val="20"/>
              </w:rPr>
              <w:t>6</w:t>
            </w:r>
            <w:r w:rsidRPr="003B3977">
              <w:rPr>
                <w:b/>
                <w:sz w:val="20"/>
                <w:szCs w:val="20"/>
              </w:rPr>
              <w:t>)</w:t>
            </w:r>
          </w:p>
          <w:p w:rsidR="0010587F" w:rsidRPr="003B3977" w:rsidRDefault="0010587F" w:rsidP="003B3977">
            <w:pPr>
              <w:rPr>
                <w:b/>
                <w:sz w:val="20"/>
                <w:szCs w:val="20"/>
              </w:rPr>
            </w:pPr>
          </w:p>
          <w:p w:rsidR="0010587F" w:rsidRPr="001249BE" w:rsidRDefault="001249BE" w:rsidP="003B3977">
            <w:pPr>
              <w:rPr>
                <w:b/>
                <w:sz w:val="20"/>
                <w:szCs w:val="20"/>
              </w:rPr>
            </w:pPr>
            <w:r w:rsidRPr="003B3977">
              <w:rPr>
                <w:b/>
                <w:sz w:val="20"/>
                <w:szCs w:val="20"/>
              </w:rPr>
              <w:t>Her Majesty the Queen</w:t>
            </w:r>
            <w:r>
              <w:rPr>
                <w:b/>
                <w:sz w:val="20"/>
                <w:szCs w:val="20"/>
              </w:rPr>
              <w:t>, in Right of Canada, as represented by the Minister of Public Works and Government Services</w:t>
            </w:r>
            <w:r w:rsidR="0010587F" w:rsidRPr="001249BE">
              <w:rPr>
                <w:b/>
                <w:sz w:val="20"/>
                <w:szCs w:val="20"/>
              </w:rPr>
              <w:t xml:space="preserve"> (</w:t>
            </w:r>
            <w:r>
              <w:rPr>
                <w:b/>
                <w:sz w:val="20"/>
                <w:szCs w:val="20"/>
              </w:rPr>
              <w:t>F</w:t>
            </w:r>
            <w:r w:rsidR="0010587F" w:rsidRPr="001249BE">
              <w:rPr>
                <w:b/>
                <w:sz w:val="20"/>
                <w:szCs w:val="20"/>
              </w:rPr>
              <w:t>.</w:t>
            </w:r>
            <w:r>
              <w:rPr>
                <w:b/>
                <w:sz w:val="20"/>
                <w:szCs w:val="20"/>
              </w:rPr>
              <w:t>C.</w:t>
            </w:r>
            <w:r w:rsidR="0010587F" w:rsidRPr="001249BE">
              <w:rPr>
                <w:b/>
                <w:sz w:val="20"/>
                <w:szCs w:val="20"/>
              </w:rPr>
              <w:t>)</w:t>
            </w:r>
          </w:p>
          <w:p w:rsidR="0010587F" w:rsidRPr="001249BE" w:rsidRDefault="0010587F" w:rsidP="003B3977">
            <w:pPr>
              <w:rPr>
                <w:sz w:val="20"/>
                <w:szCs w:val="20"/>
              </w:rPr>
            </w:pPr>
          </w:p>
          <w:p w:rsidR="0010587F" w:rsidRPr="003B3977" w:rsidRDefault="0010587F" w:rsidP="003B3977">
            <w:pPr>
              <w:rPr>
                <w:sz w:val="20"/>
                <w:szCs w:val="20"/>
              </w:rPr>
            </w:pPr>
            <w:r w:rsidRPr="003B3977">
              <w:rPr>
                <w:sz w:val="20"/>
                <w:szCs w:val="20"/>
              </w:rPr>
              <w:t>(</w:t>
            </w:r>
            <w:r w:rsidR="001249BE">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C478F8" w:rsidP="003B3977">
            <w:pPr>
              <w:rPr>
                <w:sz w:val="20"/>
                <w:szCs w:val="20"/>
              </w:rPr>
            </w:pPr>
            <w:r w:rsidRPr="00C478F8">
              <w:rPr>
                <w:sz w:val="20"/>
                <w:szCs w:val="20"/>
                <w:lang w:val="fr-CA"/>
              </w:rPr>
              <w:pict>
                <v:rect id="_x0000_i1069"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406D3C"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Default="004F651C" w:rsidP="00732DB7">
      <w:pPr>
        <w:widowControl w:val="0"/>
        <w:rPr>
          <w:sz w:val="20"/>
          <w:szCs w:val="20"/>
        </w:rPr>
      </w:pPr>
      <w:r>
        <w:rPr>
          <w:sz w:val="20"/>
          <w:szCs w:val="20"/>
        </w:rPr>
        <w:t>15</w:t>
      </w:r>
      <w:r w:rsidR="00732DB7" w:rsidRPr="00C50A5C">
        <w:rPr>
          <w:sz w:val="20"/>
          <w:szCs w:val="20"/>
        </w:rPr>
        <w:t>.0</w:t>
      </w:r>
      <w:r>
        <w:rPr>
          <w:sz w:val="20"/>
          <w:szCs w:val="20"/>
        </w:rPr>
        <w:t>3</w:t>
      </w:r>
      <w:r w:rsidR="00732DB7" w:rsidRPr="00C50A5C">
        <w:rPr>
          <w:sz w:val="20"/>
          <w:szCs w:val="20"/>
        </w:rPr>
        <w:t>.201</w:t>
      </w:r>
      <w:r>
        <w:rPr>
          <w:sz w:val="20"/>
          <w:szCs w:val="20"/>
        </w:rPr>
        <w:t>1</w:t>
      </w:r>
    </w:p>
    <w:p w:rsidR="004F651C" w:rsidRDefault="004F651C" w:rsidP="00732DB7">
      <w:pPr>
        <w:widowControl w:val="0"/>
        <w:rPr>
          <w:sz w:val="20"/>
          <w:szCs w:val="20"/>
        </w:rPr>
      </w:pPr>
    </w:p>
    <w:p w:rsidR="004F651C" w:rsidRPr="009572F3" w:rsidRDefault="004F651C" w:rsidP="004F651C">
      <w:pPr>
        <w:widowControl w:val="0"/>
        <w:ind w:left="720" w:hanging="720"/>
        <w:rPr>
          <w:rFonts w:eastAsia="Calibri" w:cs="Times New Roman"/>
          <w:sz w:val="20"/>
          <w:szCs w:val="20"/>
          <w:u w:val="single"/>
          <w:lang w:val="fr-CA"/>
        </w:rPr>
      </w:pPr>
      <w:r w:rsidRPr="009572F3">
        <w:rPr>
          <w:rFonts w:eastAsia="Calibri" w:cs="Times New Roman"/>
          <w:sz w:val="20"/>
          <w:szCs w:val="20"/>
          <w:lang w:val="fr-CA"/>
        </w:rPr>
        <w:t xml:space="preserve">Coram: </w:t>
      </w:r>
      <w:r w:rsidRPr="009572F3">
        <w:rPr>
          <w:rFonts w:eastAsia="Calibri" w:cs="Times New Roman"/>
          <w:sz w:val="20"/>
          <w:szCs w:val="20"/>
          <w:lang w:val="fr-CA"/>
        </w:rPr>
        <w:tab/>
      </w:r>
      <w:r w:rsidRPr="009572F3">
        <w:rPr>
          <w:rFonts w:eastAsia="Calibri" w:cs="Times New Roman"/>
          <w:sz w:val="20"/>
          <w:szCs w:val="20"/>
          <w:u w:val="single"/>
          <w:lang w:val="fr-CA"/>
        </w:rPr>
        <w:t xml:space="preserve">La juge en chef </w:t>
      </w:r>
      <w:proofErr w:type="spellStart"/>
      <w:r w:rsidRPr="009572F3">
        <w:rPr>
          <w:rFonts w:eastAsia="Calibri" w:cs="Times New Roman"/>
          <w:sz w:val="20"/>
          <w:szCs w:val="20"/>
          <w:u w:val="single"/>
          <w:lang w:val="fr-CA"/>
        </w:rPr>
        <w:t>McLachlin</w:t>
      </w:r>
      <w:proofErr w:type="spellEnd"/>
      <w:r w:rsidRPr="009572F3">
        <w:rPr>
          <w:rFonts w:eastAsia="Calibri" w:cs="Times New Roman"/>
          <w:sz w:val="20"/>
          <w:szCs w:val="20"/>
          <w:u w:val="single"/>
          <w:lang w:val="fr-CA"/>
        </w:rPr>
        <w:t xml:space="preserve"> et les juges </w:t>
      </w:r>
      <w:proofErr w:type="spellStart"/>
      <w:r w:rsidRPr="009572F3">
        <w:rPr>
          <w:rFonts w:eastAsia="Calibri" w:cs="Times New Roman"/>
          <w:sz w:val="20"/>
          <w:szCs w:val="20"/>
          <w:u w:val="single"/>
          <w:lang w:val="fr-CA"/>
        </w:rPr>
        <w:t>Binnie</w:t>
      </w:r>
      <w:proofErr w:type="spellEnd"/>
      <w:r w:rsidRPr="009572F3">
        <w:rPr>
          <w:rFonts w:eastAsia="Calibri" w:cs="Times New Roman"/>
          <w:sz w:val="20"/>
          <w:szCs w:val="20"/>
          <w:u w:val="single"/>
          <w:lang w:val="fr-CA"/>
        </w:rPr>
        <w:t xml:space="preserve">, </w:t>
      </w:r>
      <w:proofErr w:type="spellStart"/>
      <w:r w:rsidRPr="009572F3">
        <w:rPr>
          <w:rFonts w:eastAsia="Calibri" w:cs="Times New Roman"/>
          <w:sz w:val="20"/>
          <w:szCs w:val="20"/>
          <w:u w:val="single"/>
          <w:lang w:val="fr-CA"/>
        </w:rPr>
        <w:t>LeBel</w:t>
      </w:r>
      <w:proofErr w:type="spellEnd"/>
      <w:r w:rsidRPr="009572F3">
        <w:rPr>
          <w:rFonts w:eastAsia="Calibri" w:cs="Times New Roman"/>
          <w:sz w:val="20"/>
          <w:szCs w:val="20"/>
          <w:u w:val="single"/>
          <w:lang w:val="fr-CA"/>
        </w:rPr>
        <w:t xml:space="preserve">, Deschamps, Fish, </w:t>
      </w:r>
      <w:proofErr w:type="gramStart"/>
      <w:r w:rsidRPr="009572F3">
        <w:rPr>
          <w:rFonts w:eastAsia="Calibri" w:cs="Times New Roman"/>
          <w:sz w:val="20"/>
          <w:szCs w:val="20"/>
          <w:u w:val="single"/>
          <w:lang w:val="fr-CA"/>
        </w:rPr>
        <w:t>Abella ,</w:t>
      </w:r>
      <w:proofErr w:type="gramEnd"/>
      <w:r w:rsidRPr="009572F3">
        <w:rPr>
          <w:rFonts w:eastAsia="Calibri" w:cs="Times New Roman"/>
          <w:sz w:val="20"/>
          <w:szCs w:val="20"/>
          <w:u w:val="single"/>
          <w:lang w:val="fr-CA"/>
        </w:rPr>
        <w:t xml:space="preserve"> Charron, </w:t>
      </w:r>
      <w:proofErr w:type="spellStart"/>
      <w:r w:rsidRPr="009572F3">
        <w:rPr>
          <w:rFonts w:eastAsia="Calibri" w:cs="Times New Roman"/>
          <w:sz w:val="20"/>
          <w:szCs w:val="20"/>
          <w:u w:val="single"/>
          <w:lang w:val="fr-CA"/>
        </w:rPr>
        <w:t>Rothstein</w:t>
      </w:r>
      <w:proofErr w:type="spellEnd"/>
      <w:r w:rsidRPr="009572F3">
        <w:rPr>
          <w:rFonts w:eastAsia="Calibri" w:cs="Times New Roman"/>
          <w:sz w:val="20"/>
          <w:szCs w:val="20"/>
          <w:u w:val="single"/>
          <w:lang w:val="fr-CA"/>
        </w:rPr>
        <w:t xml:space="preserve"> et Cromwell</w:t>
      </w:r>
    </w:p>
    <w:p w:rsidR="004F651C" w:rsidRDefault="004F651C" w:rsidP="00732DB7">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4F651C" w:rsidRPr="00406D3C" w:rsidTr="00856A0C">
        <w:tc>
          <w:tcPr>
            <w:tcW w:w="4380" w:type="dxa"/>
            <w:tcMar>
              <w:left w:w="0" w:type="dxa"/>
              <w:right w:w="0" w:type="dxa"/>
            </w:tcMar>
          </w:tcPr>
          <w:p w:rsidR="004F651C" w:rsidRDefault="004F651C" w:rsidP="004F651C">
            <w:pPr>
              <w:widowControl w:val="0"/>
              <w:jc w:val="both"/>
              <w:rPr>
                <w:rFonts w:eastAsia="Calibri"/>
                <w:b/>
                <w:sz w:val="20"/>
                <w:szCs w:val="20"/>
                <w:lang w:val="fr-CA"/>
              </w:rPr>
            </w:pPr>
            <w:r w:rsidRPr="009572F3">
              <w:rPr>
                <w:rFonts w:eastAsia="Calibri" w:cs="Times New Roman"/>
                <w:b/>
                <w:sz w:val="20"/>
                <w:szCs w:val="20"/>
                <w:lang w:val="fr-CA"/>
              </w:rPr>
              <w:t>Armande Côté</w:t>
            </w:r>
          </w:p>
          <w:p w:rsidR="004F651C" w:rsidRDefault="004F651C" w:rsidP="004F651C">
            <w:pPr>
              <w:widowControl w:val="0"/>
              <w:jc w:val="both"/>
              <w:rPr>
                <w:rFonts w:eastAsia="Calibri"/>
                <w:b/>
                <w:sz w:val="20"/>
                <w:szCs w:val="20"/>
                <w:lang w:val="fr-CA"/>
              </w:rPr>
            </w:pPr>
          </w:p>
          <w:p w:rsidR="004F651C" w:rsidRPr="00856A0C" w:rsidRDefault="004F651C" w:rsidP="004F651C">
            <w:pPr>
              <w:widowControl w:val="0"/>
              <w:jc w:val="both"/>
              <w:rPr>
                <w:rFonts w:eastAsia="Calibri"/>
                <w:b/>
                <w:sz w:val="20"/>
                <w:szCs w:val="20"/>
                <w:lang w:val="fr-CA"/>
              </w:rPr>
            </w:pPr>
            <w:r>
              <w:rPr>
                <w:rFonts w:eastAsia="Calibri"/>
                <w:b/>
                <w:sz w:val="20"/>
                <w:szCs w:val="20"/>
                <w:lang w:val="fr-CA"/>
              </w:rPr>
              <w:tab/>
            </w:r>
            <w:r w:rsidRPr="00856A0C">
              <w:rPr>
                <w:rFonts w:eastAsia="Calibri" w:cs="Times New Roman"/>
                <w:b/>
                <w:sz w:val="20"/>
                <w:szCs w:val="20"/>
                <w:lang w:val="fr-CA"/>
              </w:rPr>
              <w:t>c.</w:t>
            </w:r>
            <w:r w:rsidRPr="00856A0C">
              <w:rPr>
                <w:rFonts w:eastAsia="Calibri"/>
                <w:b/>
                <w:sz w:val="20"/>
                <w:szCs w:val="20"/>
                <w:lang w:val="fr-CA"/>
              </w:rPr>
              <w:t xml:space="preserve"> (33645)</w:t>
            </w:r>
          </w:p>
          <w:p w:rsidR="004F651C" w:rsidRPr="00856A0C" w:rsidRDefault="004F651C" w:rsidP="004F651C">
            <w:pPr>
              <w:widowControl w:val="0"/>
              <w:jc w:val="both"/>
              <w:rPr>
                <w:rFonts w:eastAsia="Calibri"/>
                <w:b/>
                <w:sz w:val="20"/>
                <w:szCs w:val="20"/>
                <w:lang w:val="fr-CA"/>
              </w:rPr>
            </w:pPr>
          </w:p>
          <w:p w:rsidR="004F651C" w:rsidRDefault="004F651C" w:rsidP="004F651C">
            <w:pPr>
              <w:widowControl w:val="0"/>
              <w:jc w:val="both"/>
              <w:rPr>
                <w:rFonts w:eastAsia="Calibri"/>
                <w:b/>
                <w:sz w:val="20"/>
                <w:szCs w:val="20"/>
                <w:lang w:val="fr-CA"/>
              </w:rPr>
            </w:pPr>
            <w:r w:rsidRPr="004F651C">
              <w:rPr>
                <w:rFonts w:eastAsia="Calibri" w:cs="Times New Roman"/>
                <w:b/>
                <w:sz w:val="20"/>
                <w:szCs w:val="20"/>
                <w:lang w:val="fr-CA"/>
              </w:rPr>
              <w:t>Sa Majesté la Reine (</w:t>
            </w:r>
            <w:proofErr w:type="spellStart"/>
            <w:r w:rsidRPr="004F651C">
              <w:rPr>
                <w:rFonts w:eastAsia="Calibri" w:cs="Times New Roman"/>
                <w:b/>
                <w:sz w:val="20"/>
                <w:szCs w:val="20"/>
                <w:lang w:val="fr-CA"/>
              </w:rPr>
              <w:t>Qc</w:t>
            </w:r>
            <w:proofErr w:type="spellEnd"/>
            <w:r w:rsidRPr="004F651C">
              <w:rPr>
                <w:rFonts w:eastAsia="Calibri" w:cs="Times New Roman"/>
                <w:b/>
                <w:sz w:val="20"/>
                <w:szCs w:val="20"/>
                <w:lang w:val="fr-CA"/>
              </w:rPr>
              <w:t>) (Criminelle)</w:t>
            </w:r>
          </w:p>
          <w:p w:rsidR="004F651C" w:rsidRPr="004F651C" w:rsidRDefault="004F651C" w:rsidP="004F651C">
            <w:pPr>
              <w:widowControl w:val="0"/>
              <w:jc w:val="both"/>
              <w:rPr>
                <w:b/>
                <w:sz w:val="20"/>
                <w:szCs w:val="20"/>
                <w:lang w:val="fr-CA"/>
              </w:rPr>
            </w:pPr>
            <w:r w:rsidRPr="004F651C">
              <w:rPr>
                <w:rFonts w:eastAsia="Calibri" w:cs="Times New Roman"/>
                <w:b/>
                <w:sz w:val="20"/>
                <w:szCs w:val="20"/>
                <w:lang w:val="fr-CA"/>
              </w:rPr>
              <w:t>(Autorisation)</w:t>
            </w:r>
          </w:p>
        </w:tc>
        <w:tc>
          <w:tcPr>
            <w:tcW w:w="720" w:type="dxa"/>
            <w:tcMar>
              <w:left w:w="0" w:type="dxa"/>
              <w:right w:w="0" w:type="dxa"/>
            </w:tcMar>
          </w:tcPr>
          <w:p w:rsidR="004F651C" w:rsidRPr="004F651C" w:rsidRDefault="004F651C" w:rsidP="00856A0C">
            <w:pPr>
              <w:widowControl w:val="0"/>
              <w:jc w:val="center"/>
              <w:rPr>
                <w:sz w:val="20"/>
                <w:szCs w:val="20"/>
                <w:lang w:val="fr-CA"/>
              </w:rPr>
            </w:pPr>
          </w:p>
        </w:tc>
        <w:tc>
          <w:tcPr>
            <w:tcW w:w="4380" w:type="dxa"/>
            <w:tcMar>
              <w:left w:w="0" w:type="dxa"/>
              <w:right w:w="0" w:type="dxa"/>
            </w:tcMar>
          </w:tcPr>
          <w:p w:rsidR="00826C6D" w:rsidRPr="005566A1" w:rsidRDefault="00826C6D" w:rsidP="00826C6D">
            <w:pPr>
              <w:spacing w:line="211" w:lineRule="auto"/>
              <w:jc w:val="both"/>
              <w:rPr>
                <w:sz w:val="20"/>
                <w:szCs w:val="20"/>
                <w:lang w:val="fr-CA"/>
              </w:rPr>
            </w:pPr>
            <w:r w:rsidRPr="005566A1">
              <w:rPr>
                <w:sz w:val="20"/>
                <w:szCs w:val="20"/>
                <w:lang w:val="fr-CA"/>
              </w:rPr>
              <w:t>Carole Gladu</w:t>
            </w:r>
            <w:r>
              <w:rPr>
                <w:sz w:val="20"/>
                <w:szCs w:val="20"/>
                <w:lang w:val="fr-CA"/>
              </w:rPr>
              <w:t xml:space="preserve">, </w:t>
            </w:r>
            <w:r w:rsidRPr="005566A1">
              <w:rPr>
                <w:sz w:val="20"/>
                <w:szCs w:val="20"/>
                <w:lang w:val="fr-CA"/>
              </w:rPr>
              <w:t>Josée Veilleux</w:t>
            </w:r>
            <w:r>
              <w:rPr>
                <w:sz w:val="20"/>
                <w:szCs w:val="20"/>
                <w:lang w:val="fr-CA"/>
              </w:rPr>
              <w:t xml:space="preserve"> et </w:t>
            </w:r>
            <w:r w:rsidRPr="005566A1">
              <w:rPr>
                <w:sz w:val="20"/>
                <w:szCs w:val="20"/>
                <w:lang w:val="fr-CA"/>
              </w:rPr>
              <w:t>Karine Guay</w:t>
            </w:r>
            <w:r>
              <w:rPr>
                <w:sz w:val="20"/>
                <w:szCs w:val="20"/>
                <w:lang w:val="fr-CA"/>
              </w:rPr>
              <w:t>, p</w:t>
            </w:r>
            <w:r w:rsidRPr="005566A1">
              <w:rPr>
                <w:sz w:val="20"/>
                <w:szCs w:val="20"/>
                <w:lang w:val="fr-CA"/>
              </w:rPr>
              <w:t>our l’appelante.</w:t>
            </w:r>
          </w:p>
          <w:p w:rsidR="00826C6D" w:rsidRPr="005566A1" w:rsidRDefault="00826C6D" w:rsidP="00826C6D">
            <w:pPr>
              <w:spacing w:line="211" w:lineRule="auto"/>
              <w:jc w:val="both"/>
              <w:rPr>
                <w:sz w:val="20"/>
                <w:szCs w:val="20"/>
                <w:lang w:val="fr-CA"/>
              </w:rPr>
            </w:pPr>
          </w:p>
          <w:p w:rsidR="00826C6D" w:rsidRPr="005566A1" w:rsidRDefault="00826C6D" w:rsidP="00826C6D">
            <w:pPr>
              <w:spacing w:line="211" w:lineRule="auto"/>
              <w:jc w:val="both"/>
              <w:rPr>
                <w:sz w:val="20"/>
                <w:szCs w:val="20"/>
              </w:rPr>
            </w:pPr>
            <w:r w:rsidRPr="005566A1">
              <w:rPr>
                <w:sz w:val="20"/>
                <w:szCs w:val="20"/>
              </w:rPr>
              <w:t xml:space="preserve">Frank </w:t>
            </w:r>
            <w:proofErr w:type="spellStart"/>
            <w:r w:rsidRPr="005566A1">
              <w:rPr>
                <w:sz w:val="20"/>
                <w:szCs w:val="20"/>
              </w:rPr>
              <w:t>Addario</w:t>
            </w:r>
            <w:proofErr w:type="spellEnd"/>
            <w:r>
              <w:rPr>
                <w:sz w:val="20"/>
                <w:szCs w:val="20"/>
              </w:rPr>
              <w:t xml:space="preserve"> and </w:t>
            </w:r>
            <w:r w:rsidRPr="005566A1">
              <w:rPr>
                <w:sz w:val="20"/>
                <w:szCs w:val="20"/>
              </w:rPr>
              <w:t>Kelly Doctor</w:t>
            </w:r>
            <w:r>
              <w:rPr>
                <w:sz w:val="20"/>
                <w:szCs w:val="20"/>
              </w:rPr>
              <w:t>, f</w:t>
            </w:r>
            <w:r w:rsidRPr="005566A1">
              <w:rPr>
                <w:sz w:val="20"/>
                <w:szCs w:val="20"/>
              </w:rPr>
              <w:t xml:space="preserve">or the </w:t>
            </w:r>
            <w:r>
              <w:rPr>
                <w:sz w:val="20"/>
                <w:szCs w:val="20"/>
              </w:rPr>
              <w:t>i</w:t>
            </w:r>
            <w:r w:rsidRPr="005566A1">
              <w:rPr>
                <w:sz w:val="20"/>
                <w:szCs w:val="20"/>
              </w:rPr>
              <w:t>ntervener</w:t>
            </w:r>
            <w:r>
              <w:rPr>
                <w:sz w:val="20"/>
                <w:szCs w:val="20"/>
              </w:rPr>
              <w:t xml:space="preserve"> </w:t>
            </w:r>
            <w:r w:rsidRPr="005566A1">
              <w:rPr>
                <w:sz w:val="20"/>
                <w:szCs w:val="20"/>
              </w:rPr>
              <w:t>Criminal Lawyers' Association (Ontario)</w:t>
            </w:r>
            <w:r>
              <w:rPr>
                <w:sz w:val="20"/>
                <w:szCs w:val="20"/>
              </w:rPr>
              <w:t>.</w:t>
            </w:r>
          </w:p>
          <w:p w:rsidR="00826C6D" w:rsidRPr="005566A1" w:rsidRDefault="00826C6D" w:rsidP="00826C6D">
            <w:pPr>
              <w:spacing w:line="211" w:lineRule="auto"/>
              <w:jc w:val="both"/>
              <w:rPr>
                <w:sz w:val="20"/>
                <w:szCs w:val="20"/>
              </w:rPr>
            </w:pPr>
          </w:p>
          <w:p w:rsidR="004F651C" w:rsidRPr="004F651C" w:rsidRDefault="00826C6D" w:rsidP="00826C6D">
            <w:pPr>
              <w:widowControl w:val="0"/>
              <w:jc w:val="both"/>
              <w:rPr>
                <w:sz w:val="20"/>
                <w:szCs w:val="20"/>
                <w:lang w:val="fr-CA"/>
              </w:rPr>
            </w:pPr>
            <w:r w:rsidRPr="005566A1">
              <w:rPr>
                <w:sz w:val="20"/>
                <w:szCs w:val="20"/>
                <w:lang w:val="fr-CA"/>
              </w:rPr>
              <w:t>Magalie Cimon</w:t>
            </w:r>
            <w:r>
              <w:rPr>
                <w:sz w:val="20"/>
                <w:szCs w:val="20"/>
                <w:lang w:val="fr-CA"/>
              </w:rPr>
              <w:t xml:space="preserve"> et </w:t>
            </w:r>
            <w:r w:rsidRPr="005566A1">
              <w:rPr>
                <w:sz w:val="20"/>
                <w:szCs w:val="20"/>
                <w:lang w:val="fr-CA"/>
              </w:rPr>
              <w:t>Pierre Goulet</w:t>
            </w:r>
            <w:r>
              <w:rPr>
                <w:sz w:val="20"/>
                <w:szCs w:val="20"/>
                <w:lang w:val="fr-CA"/>
              </w:rPr>
              <w:t>, p</w:t>
            </w:r>
            <w:r w:rsidRPr="005566A1">
              <w:rPr>
                <w:sz w:val="20"/>
                <w:szCs w:val="20"/>
                <w:lang w:val="fr-CA"/>
              </w:rPr>
              <w:t>our l’intimée.</w:t>
            </w:r>
          </w:p>
        </w:tc>
      </w:tr>
    </w:tbl>
    <w:p w:rsidR="004F651C" w:rsidRPr="004F651C" w:rsidRDefault="004F651C" w:rsidP="00732DB7">
      <w:pPr>
        <w:widowControl w:val="0"/>
        <w:rPr>
          <w:sz w:val="20"/>
          <w:szCs w:val="20"/>
          <w:lang w:val="fr-CA"/>
        </w:rPr>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406D3C"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945DF8" w:rsidP="00945DF8">
            <w:pPr>
              <w:widowControl w:val="0"/>
              <w:jc w:val="both"/>
              <w:rPr>
                <w:b/>
                <w:sz w:val="20"/>
                <w:szCs w:val="20"/>
              </w:rPr>
            </w:pPr>
            <w:r w:rsidRPr="00D672BC">
              <w:rPr>
                <w:i/>
                <w:sz w:val="20"/>
                <w:szCs w:val="20"/>
              </w:rPr>
              <w:t>Charter of Rights</w:t>
            </w:r>
            <w:r w:rsidRPr="00D672BC">
              <w:rPr>
                <w:sz w:val="20"/>
                <w:szCs w:val="20"/>
              </w:rPr>
              <w:t xml:space="preserve"> - Criminal law - Evidence - Admissibility - Search and seizure - Right to counsel - Right to be informed of reasons for arrest - Right to silence - Remedy - </w:t>
            </w:r>
            <w:r w:rsidRPr="00D672BC">
              <w:rPr>
                <w:i/>
                <w:sz w:val="20"/>
                <w:szCs w:val="20"/>
              </w:rPr>
              <w:t>Canadian Charter of Rights and Freedoms</w:t>
            </w:r>
            <w:r w:rsidRPr="00D672BC">
              <w:rPr>
                <w:sz w:val="20"/>
                <w:szCs w:val="20"/>
              </w:rPr>
              <w:t>, ss. 7, 8, 10(</w:t>
            </w:r>
            <w:r w:rsidRPr="00D672BC">
              <w:rPr>
                <w:i/>
                <w:sz w:val="20"/>
                <w:szCs w:val="20"/>
              </w:rPr>
              <w:t>a</w:t>
            </w:r>
            <w:r w:rsidRPr="00D672BC">
              <w:rPr>
                <w:sz w:val="20"/>
                <w:szCs w:val="20"/>
              </w:rPr>
              <w:t>), 10(</w:t>
            </w:r>
            <w:r w:rsidRPr="00D672BC">
              <w:rPr>
                <w:i/>
                <w:sz w:val="20"/>
                <w:szCs w:val="20"/>
              </w:rPr>
              <w:t>b</w:t>
            </w:r>
            <w:r w:rsidRPr="00D672BC">
              <w:rPr>
                <w:sz w:val="20"/>
                <w:szCs w:val="20"/>
              </w:rPr>
              <w:t xml:space="preserve">) - Application of </w:t>
            </w:r>
            <w:r w:rsidRPr="00D672BC">
              <w:rPr>
                <w:i/>
                <w:sz w:val="20"/>
                <w:szCs w:val="20"/>
              </w:rPr>
              <w:t>R. v. Grant</w:t>
            </w:r>
            <w:r w:rsidRPr="00D672BC">
              <w:rPr>
                <w:sz w:val="20"/>
                <w:szCs w:val="20"/>
              </w:rPr>
              <w:t xml:space="preserve">, [2009] 2 S.C.R. 353, and </w:t>
            </w:r>
            <w:r w:rsidRPr="00D672BC">
              <w:rPr>
                <w:i/>
                <w:sz w:val="20"/>
                <w:szCs w:val="20"/>
              </w:rPr>
              <w:t>R. v. Harrison</w:t>
            </w:r>
            <w:r w:rsidRPr="00D672BC">
              <w:rPr>
                <w:sz w:val="20"/>
                <w:szCs w:val="20"/>
              </w:rPr>
              <w:t xml:space="preserve">, [2009] 2 S.C.R. 494 - Whether Court of Appeal erred in concluding that its intervention was warranted - Whether Court of Appeal erred in applying new test established by </w:t>
            </w:r>
            <w:r w:rsidRPr="00D672BC">
              <w:rPr>
                <w:i/>
                <w:sz w:val="20"/>
                <w:szCs w:val="20"/>
              </w:rPr>
              <w:t>Grant</w:t>
            </w:r>
            <w:r w:rsidRPr="00D672BC">
              <w:rPr>
                <w:sz w:val="20"/>
                <w:szCs w:val="20"/>
              </w:rPr>
              <w:t xml:space="preserve"> - Whether Court of Appeal erred in interfering with trial judge’s findings - Whether Court of Appeal erred in setting aside trial judgment and ordering new trial while upholding exclusion of Appellant’s statements - Whether Court of Appeal erred in finding search warrant and general search warrant valid.</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C478F8" w:rsidP="00945DF8">
            <w:pPr>
              <w:widowControl w:val="0"/>
              <w:jc w:val="both"/>
              <w:rPr>
                <w:sz w:val="20"/>
                <w:szCs w:val="20"/>
                <w:lang w:val="fr-CA"/>
              </w:rPr>
            </w:pPr>
            <w:r w:rsidRPr="00C478F8">
              <w:rPr>
                <w:sz w:val="20"/>
                <w:szCs w:val="20"/>
              </w:rPr>
              <w:fldChar w:fldCharType="begin"/>
            </w:r>
            <w:r w:rsidR="00945DF8" w:rsidRPr="009058E7">
              <w:rPr>
                <w:sz w:val="20"/>
                <w:szCs w:val="20"/>
                <w:lang w:val="fr-CA"/>
              </w:rPr>
              <w:instrText xml:space="preserve"> SEQ CHAPTER \h \r 1</w:instrText>
            </w:r>
            <w:r w:rsidRPr="009058E7">
              <w:rPr>
                <w:sz w:val="20"/>
                <w:szCs w:val="20"/>
                <w:lang w:val="fr-CA"/>
              </w:rPr>
              <w:fldChar w:fldCharType="end"/>
            </w:r>
            <w:r w:rsidR="00945DF8" w:rsidRPr="009058E7">
              <w:rPr>
                <w:i/>
                <w:iCs/>
                <w:sz w:val="20"/>
                <w:szCs w:val="20"/>
                <w:lang w:val="fr-CA"/>
              </w:rPr>
              <w:t xml:space="preserve">Charte des droits </w:t>
            </w:r>
            <w:r w:rsidR="00945DF8" w:rsidRPr="009058E7">
              <w:rPr>
                <w:sz w:val="20"/>
                <w:szCs w:val="20"/>
                <w:lang w:val="fr-CA"/>
              </w:rPr>
              <w:t xml:space="preserve">- Droit criminel - Preuve - Admissibilité - Fouilles, perquisitions et saisies - Droit à l’assistance d’un avocat - Droit d’être informé des motifs de son arrestation - Droit au silence - Réparation - </w:t>
            </w:r>
            <w:r w:rsidR="00945DF8" w:rsidRPr="009058E7">
              <w:rPr>
                <w:i/>
                <w:iCs/>
                <w:sz w:val="20"/>
                <w:szCs w:val="20"/>
                <w:lang w:val="fr-CA"/>
              </w:rPr>
              <w:t>Charte canadienne des droits et libertés</w:t>
            </w:r>
            <w:r w:rsidR="00945DF8" w:rsidRPr="009058E7">
              <w:rPr>
                <w:sz w:val="20"/>
                <w:szCs w:val="20"/>
                <w:lang w:val="fr-CA"/>
              </w:rPr>
              <w:t xml:space="preserve">, art. 7, 8, 10a), 10b) - Application des arrêts </w:t>
            </w:r>
            <w:r w:rsidR="00945DF8" w:rsidRPr="009058E7">
              <w:rPr>
                <w:i/>
                <w:iCs/>
                <w:sz w:val="20"/>
                <w:szCs w:val="20"/>
                <w:lang w:val="fr-CA"/>
              </w:rPr>
              <w:t>R. c. Grant</w:t>
            </w:r>
            <w:r w:rsidR="00945DF8" w:rsidRPr="009058E7">
              <w:rPr>
                <w:sz w:val="20"/>
                <w:szCs w:val="20"/>
                <w:lang w:val="fr-CA"/>
              </w:rPr>
              <w:t xml:space="preserve">, [2009] 2 R.C.S. 353, et </w:t>
            </w:r>
            <w:r w:rsidR="00945DF8" w:rsidRPr="009058E7">
              <w:rPr>
                <w:i/>
                <w:iCs/>
                <w:sz w:val="20"/>
                <w:szCs w:val="20"/>
                <w:lang w:val="fr-CA"/>
              </w:rPr>
              <w:t>R. c. Harrison</w:t>
            </w:r>
            <w:r w:rsidR="00945DF8" w:rsidRPr="009058E7">
              <w:rPr>
                <w:sz w:val="20"/>
                <w:szCs w:val="20"/>
                <w:lang w:val="fr-CA"/>
              </w:rPr>
              <w:t xml:space="preserve">, [2009] 2 R.C.S. 494 - La Cour d’appel </w:t>
            </w:r>
            <w:proofErr w:type="spellStart"/>
            <w:r w:rsidR="00945DF8" w:rsidRPr="009058E7">
              <w:rPr>
                <w:sz w:val="20"/>
                <w:szCs w:val="20"/>
                <w:lang w:val="fr-CA"/>
              </w:rPr>
              <w:t>a</w:t>
            </w:r>
            <w:r w:rsidR="00945DF8" w:rsidRPr="009058E7">
              <w:rPr>
                <w:sz w:val="20"/>
                <w:szCs w:val="20"/>
                <w:lang w:val="fr-CA"/>
              </w:rPr>
              <w:noBreakHyphen/>
              <w:t>t</w:t>
            </w:r>
            <w:r w:rsidR="00945DF8" w:rsidRPr="009058E7">
              <w:rPr>
                <w:sz w:val="20"/>
                <w:szCs w:val="20"/>
                <w:lang w:val="fr-CA"/>
              </w:rPr>
              <w:noBreakHyphen/>
              <w:t>elle</w:t>
            </w:r>
            <w:proofErr w:type="spellEnd"/>
            <w:r w:rsidR="00945DF8" w:rsidRPr="009058E7">
              <w:rPr>
                <w:sz w:val="20"/>
                <w:szCs w:val="20"/>
                <w:lang w:val="fr-CA"/>
              </w:rPr>
              <w:t xml:space="preserve"> fait erreur en concluant qu’elle était justifiée d’intervenir? - La Cour d’appel </w:t>
            </w:r>
            <w:proofErr w:type="spellStart"/>
            <w:r w:rsidR="00945DF8" w:rsidRPr="009058E7">
              <w:rPr>
                <w:sz w:val="20"/>
                <w:szCs w:val="20"/>
                <w:lang w:val="fr-CA"/>
              </w:rPr>
              <w:t>a</w:t>
            </w:r>
            <w:r w:rsidR="00945DF8" w:rsidRPr="009058E7">
              <w:rPr>
                <w:sz w:val="20"/>
                <w:szCs w:val="20"/>
                <w:lang w:val="fr-CA"/>
              </w:rPr>
              <w:noBreakHyphen/>
              <w:t>t</w:t>
            </w:r>
            <w:r w:rsidR="00945DF8" w:rsidRPr="009058E7">
              <w:rPr>
                <w:sz w:val="20"/>
                <w:szCs w:val="20"/>
                <w:lang w:val="fr-CA"/>
              </w:rPr>
              <w:noBreakHyphen/>
              <w:t>elle</w:t>
            </w:r>
            <w:proofErr w:type="spellEnd"/>
            <w:r w:rsidR="00945DF8" w:rsidRPr="009058E7">
              <w:rPr>
                <w:sz w:val="20"/>
                <w:szCs w:val="20"/>
                <w:lang w:val="fr-CA"/>
              </w:rPr>
              <w:t xml:space="preserve"> fait erreur dans l’application de la nouvelle grille d’analyse établie par l’arrêt </w:t>
            </w:r>
            <w:r w:rsidR="00945DF8" w:rsidRPr="009058E7">
              <w:rPr>
                <w:i/>
                <w:sz w:val="20"/>
                <w:szCs w:val="20"/>
                <w:lang w:val="fr-CA"/>
              </w:rPr>
              <w:t>Grant</w:t>
            </w:r>
            <w:r w:rsidR="00945DF8" w:rsidRPr="009058E7">
              <w:rPr>
                <w:sz w:val="20"/>
                <w:szCs w:val="20"/>
                <w:lang w:val="fr-CA"/>
              </w:rPr>
              <w:t xml:space="preserve">? - La Cour d’appel </w:t>
            </w:r>
            <w:proofErr w:type="spellStart"/>
            <w:r w:rsidR="00945DF8" w:rsidRPr="009058E7">
              <w:rPr>
                <w:sz w:val="20"/>
                <w:szCs w:val="20"/>
                <w:lang w:val="fr-CA"/>
              </w:rPr>
              <w:t>a</w:t>
            </w:r>
            <w:r w:rsidR="00945DF8" w:rsidRPr="009058E7">
              <w:rPr>
                <w:sz w:val="20"/>
                <w:szCs w:val="20"/>
                <w:lang w:val="fr-CA"/>
              </w:rPr>
              <w:noBreakHyphen/>
              <w:t>t</w:t>
            </w:r>
            <w:r w:rsidR="00945DF8" w:rsidRPr="009058E7">
              <w:rPr>
                <w:sz w:val="20"/>
                <w:szCs w:val="20"/>
                <w:lang w:val="fr-CA"/>
              </w:rPr>
              <w:noBreakHyphen/>
              <w:t>elle</w:t>
            </w:r>
            <w:proofErr w:type="spellEnd"/>
            <w:r w:rsidR="00945DF8" w:rsidRPr="009058E7">
              <w:rPr>
                <w:sz w:val="20"/>
                <w:szCs w:val="20"/>
                <w:lang w:val="fr-CA"/>
              </w:rPr>
              <w:t xml:space="preserve"> fait erreur en modifiant les conclusions du juge des faits? - La Cour d’appel </w:t>
            </w:r>
            <w:proofErr w:type="spellStart"/>
            <w:r w:rsidR="00945DF8" w:rsidRPr="009058E7">
              <w:rPr>
                <w:sz w:val="20"/>
                <w:szCs w:val="20"/>
                <w:lang w:val="fr-CA"/>
              </w:rPr>
              <w:t>a</w:t>
            </w:r>
            <w:r w:rsidR="00945DF8" w:rsidRPr="009058E7">
              <w:rPr>
                <w:sz w:val="20"/>
                <w:szCs w:val="20"/>
                <w:lang w:val="fr-CA"/>
              </w:rPr>
              <w:noBreakHyphen/>
              <w:t>t</w:t>
            </w:r>
            <w:r w:rsidR="00945DF8" w:rsidRPr="009058E7">
              <w:rPr>
                <w:sz w:val="20"/>
                <w:szCs w:val="20"/>
                <w:lang w:val="fr-CA"/>
              </w:rPr>
              <w:noBreakHyphen/>
              <w:t>elle</w:t>
            </w:r>
            <w:proofErr w:type="spellEnd"/>
            <w:r w:rsidR="00945DF8" w:rsidRPr="009058E7">
              <w:rPr>
                <w:sz w:val="20"/>
                <w:szCs w:val="20"/>
                <w:lang w:val="fr-CA"/>
              </w:rPr>
              <w:t xml:space="preserve"> fait erreur en cassant le jugement de première instance, en ordonnant un nouveau procès, et ce, tout en maintenant l’exclusion des déclarations de l’appelante? - La Cour d’appel </w:t>
            </w:r>
            <w:proofErr w:type="spellStart"/>
            <w:r w:rsidR="00945DF8" w:rsidRPr="009058E7">
              <w:rPr>
                <w:sz w:val="20"/>
                <w:szCs w:val="20"/>
                <w:lang w:val="fr-CA"/>
              </w:rPr>
              <w:t>a</w:t>
            </w:r>
            <w:r w:rsidR="00945DF8" w:rsidRPr="009058E7">
              <w:rPr>
                <w:sz w:val="20"/>
                <w:szCs w:val="20"/>
                <w:lang w:val="fr-CA"/>
              </w:rPr>
              <w:noBreakHyphen/>
              <w:t>t</w:t>
            </w:r>
            <w:r w:rsidR="00945DF8" w:rsidRPr="009058E7">
              <w:rPr>
                <w:sz w:val="20"/>
                <w:szCs w:val="20"/>
                <w:lang w:val="fr-CA"/>
              </w:rPr>
              <w:noBreakHyphen/>
              <w:t>elle</w:t>
            </w:r>
            <w:proofErr w:type="spellEnd"/>
            <w:r w:rsidR="00945DF8" w:rsidRPr="009058E7">
              <w:rPr>
                <w:sz w:val="20"/>
                <w:szCs w:val="20"/>
                <w:lang w:val="fr-CA"/>
              </w:rPr>
              <w:t xml:space="preserve"> fait erreur en concluant à la validité du mandat de perquisition et du mandat général de fouille?</w:t>
            </w:r>
          </w:p>
        </w:tc>
      </w:tr>
    </w:tbl>
    <w:p w:rsidR="00E940EB" w:rsidRDefault="00E940EB" w:rsidP="00732DB7">
      <w:pPr>
        <w:widowControl w:val="0"/>
        <w:rPr>
          <w:sz w:val="20"/>
          <w:szCs w:val="20"/>
          <w:lang w:val="fr-CA"/>
        </w:rPr>
      </w:pPr>
    </w:p>
    <w:p w:rsidR="00732DB7" w:rsidRDefault="00C478F8" w:rsidP="00732DB7">
      <w:pPr>
        <w:widowControl w:val="0"/>
        <w:rPr>
          <w:sz w:val="20"/>
          <w:szCs w:val="20"/>
          <w:lang w:val="fr-CA"/>
        </w:rPr>
      </w:pPr>
      <w:r w:rsidRPr="00C478F8">
        <w:rPr>
          <w:sz w:val="20"/>
          <w:szCs w:val="20"/>
          <w:lang w:val="fr-CA"/>
        </w:rPr>
        <w:pict>
          <v:rect id="_x0000_i1072" style="width:2in;height:1pt" o:hrpct="0" o:hralign="center" o:hrstd="t" o:hrnoshade="t" o:hr="t" fillcolor="black [3213]" stroked="f"/>
        </w:pict>
      </w:r>
    </w:p>
    <w:p w:rsidR="00945DF8" w:rsidRDefault="00945DF8" w:rsidP="00732DB7">
      <w:pPr>
        <w:widowControl w:val="0"/>
        <w:rPr>
          <w:sz w:val="20"/>
          <w:szCs w:val="20"/>
          <w:lang w:val="fr-CA"/>
        </w:rPr>
      </w:pPr>
    </w:p>
    <w:p w:rsidR="00945DF8" w:rsidRPr="000F7718" w:rsidRDefault="00945DF8" w:rsidP="00945DF8">
      <w:pPr>
        <w:widowControl w:val="0"/>
        <w:rPr>
          <w:sz w:val="20"/>
          <w:szCs w:val="20"/>
        </w:rPr>
      </w:pPr>
      <w:r w:rsidRPr="000F7718">
        <w:rPr>
          <w:sz w:val="20"/>
          <w:szCs w:val="20"/>
        </w:rPr>
        <w:t>16.03.2011</w:t>
      </w:r>
    </w:p>
    <w:p w:rsidR="00945DF8" w:rsidRPr="000F7718" w:rsidRDefault="00945DF8" w:rsidP="00945DF8">
      <w:pPr>
        <w:widowControl w:val="0"/>
        <w:rPr>
          <w:sz w:val="20"/>
          <w:szCs w:val="20"/>
        </w:rPr>
      </w:pPr>
    </w:p>
    <w:p w:rsidR="000F7718" w:rsidRPr="003D3B33" w:rsidRDefault="000F7718" w:rsidP="000F7718">
      <w:pPr>
        <w:widowControl w:val="0"/>
        <w:ind w:left="720" w:hanging="720"/>
        <w:rPr>
          <w:rFonts w:eastAsia="Calibri" w:cs="Times New Roman"/>
          <w:sz w:val="20"/>
          <w:szCs w:val="20"/>
          <w:u w:val="single"/>
        </w:rPr>
      </w:pPr>
      <w:r w:rsidRPr="003D3B33">
        <w:rPr>
          <w:rFonts w:eastAsia="Calibri" w:cs="Times New Roman"/>
          <w:sz w:val="20"/>
          <w:szCs w:val="20"/>
        </w:rPr>
        <w:t xml:space="preserve">Coram: </w:t>
      </w:r>
      <w:r w:rsidRPr="003D3B33">
        <w:rPr>
          <w:rFonts w:eastAsia="Calibri" w:cs="Times New Roman"/>
          <w:sz w:val="20"/>
          <w:szCs w:val="20"/>
        </w:rPr>
        <w:tab/>
      </w:r>
      <w:proofErr w:type="spellStart"/>
      <w:r w:rsidRPr="003D3B33">
        <w:rPr>
          <w:rFonts w:eastAsia="Calibri" w:cs="Times New Roman"/>
          <w:sz w:val="20"/>
          <w:szCs w:val="20"/>
          <w:u w:val="single"/>
        </w:rPr>
        <w:t>McLachlin</w:t>
      </w:r>
      <w:proofErr w:type="spellEnd"/>
      <w:r w:rsidRPr="003D3B33">
        <w:rPr>
          <w:rFonts w:eastAsia="Calibri" w:cs="Times New Roman"/>
          <w:sz w:val="20"/>
          <w:szCs w:val="20"/>
          <w:u w:val="single"/>
        </w:rPr>
        <w:t xml:space="preserve"> C.J. and </w:t>
      </w:r>
      <w:proofErr w:type="spellStart"/>
      <w:r w:rsidRPr="003D3B33">
        <w:rPr>
          <w:rFonts w:eastAsia="Calibri" w:cs="Times New Roman"/>
          <w:sz w:val="20"/>
          <w:szCs w:val="20"/>
          <w:u w:val="single"/>
        </w:rPr>
        <w:t>Binnie</w:t>
      </w:r>
      <w:proofErr w:type="spellEnd"/>
      <w:r w:rsidRPr="003D3B33">
        <w:rPr>
          <w:rFonts w:eastAsia="Calibri" w:cs="Times New Roman"/>
          <w:sz w:val="20"/>
          <w:szCs w:val="20"/>
          <w:u w:val="single"/>
        </w:rPr>
        <w:t xml:space="preserve">, </w:t>
      </w:r>
      <w:proofErr w:type="spellStart"/>
      <w:r w:rsidRPr="003D3B33">
        <w:rPr>
          <w:rFonts w:eastAsia="Calibri" w:cs="Times New Roman"/>
          <w:sz w:val="20"/>
          <w:szCs w:val="20"/>
          <w:u w:val="single"/>
        </w:rPr>
        <w:t>LeBel</w:t>
      </w:r>
      <w:proofErr w:type="spellEnd"/>
      <w:r w:rsidRPr="003D3B33">
        <w:rPr>
          <w:rFonts w:eastAsia="Calibri" w:cs="Times New Roman"/>
          <w:sz w:val="20"/>
          <w:szCs w:val="20"/>
          <w:u w:val="single"/>
        </w:rPr>
        <w:t xml:space="preserve">, </w:t>
      </w:r>
      <w:proofErr w:type="spellStart"/>
      <w:r w:rsidRPr="003D3B33">
        <w:rPr>
          <w:rFonts w:eastAsia="Calibri" w:cs="Times New Roman"/>
          <w:sz w:val="20"/>
          <w:szCs w:val="20"/>
          <w:u w:val="single"/>
        </w:rPr>
        <w:t>Deschamps</w:t>
      </w:r>
      <w:proofErr w:type="spellEnd"/>
      <w:r w:rsidRPr="003D3B33">
        <w:rPr>
          <w:rFonts w:eastAsia="Calibri" w:cs="Times New Roman"/>
          <w:sz w:val="20"/>
          <w:szCs w:val="20"/>
          <w:u w:val="single"/>
        </w:rPr>
        <w:t xml:space="preserve">, Fish, </w:t>
      </w:r>
      <w:proofErr w:type="spellStart"/>
      <w:proofErr w:type="gramStart"/>
      <w:r w:rsidRPr="003D3B33">
        <w:rPr>
          <w:rFonts w:eastAsia="Calibri" w:cs="Times New Roman"/>
          <w:sz w:val="20"/>
          <w:szCs w:val="20"/>
          <w:u w:val="single"/>
        </w:rPr>
        <w:t>Abella</w:t>
      </w:r>
      <w:proofErr w:type="spellEnd"/>
      <w:r w:rsidRPr="003D3B33">
        <w:rPr>
          <w:rFonts w:eastAsia="Calibri" w:cs="Times New Roman"/>
          <w:sz w:val="20"/>
          <w:szCs w:val="20"/>
          <w:u w:val="single"/>
        </w:rPr>
        <w:t xml:space="preserve"> ,</w:t>
      </w:r>
      <w:proofErr w:type="gramEnd"/>
      <w:r w:rsidRPr="003D3B33">
        <w:rPr>
          <w:rFonts w:eastAsia="Calibri" w:cs="Times New Roman"/>
          <w:sz w:val="20"/>
          <w:szCs w:val="20"/>
          <w:u w:val="single"/>
        </w:rPr>
        <w:t xml:space="preserve"> </w:t>
      </w:r>
      <w:proofErr w:type="spellStart"/>
      <w:r w:rsidRPr="003D3B33">
        <w:rPr>
          <w:rFonts w:eastAsia="Calibri" w:cs="Times New Roman"/>
          <w:sz w:val="20"/>
          <w:szCs w:val="20"/>
          <w:u w:val="single"/>
        </w:rPr>
        <w:t>Charron</w:t>
      </w:r>
      <w:proofErr w:type="spellEnd"/>
      <w:r w:rsidRPr="003D3B33">
        <w:rPr>
          <w:rFonts w:eastAsia="Calibri" w:cs="Times New Roman"/>
          <w:sz w:val="20"/>
          <w:szCs w:val="20"/>
          <w:u w:val="single"/>
        </w:rPr>
        <w:t>, Rothstein and Cromwell JJ.</w:t>
      </w:r>
    </w:p>
    <w:p w:rsidR="00945DF8" w:rsidRPr="000F7718" w:rsidRDefault="00945DF8" w:rsidP="00945DF8">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945DF8" w:rsidRPr="00826C6D" w:rsidTr="009E6B0E">
        <w:tc>
          <w:tcPr>
            <w:tcW w:w="4380" w:type="dxa"/>
            <w:tcMar>
              <w:left w:w="0" w:type="dxa"/>
              <w:right w:w="0" w:type="dxa"/>
            </w:tcMar>
          </w:tcPr>
          <w:p w:rsidR="00945DF8" w:rsidRPr="000F7718" w:rsidRDefault="000F7718" w:rsidP="009E6B0E">
            <w:pPr>
              <w:widowControl w:val="0"/>
              <w:jc w:val="both"/>
              <w:rPr>
                <w:rFonts w:eastAsia="Calibri"/>
                <w:b/>
                <w:sz w:val="20"/>
                <w:szCs w:val="20"/>
              </w:rPr>
            </w:pPr>
            <w:r w:rsidRPr="003D3B33">
              <w:rPr>
                <w:rFonts w:eastAsia="Calibri" w:cs="Times New Roman"/>
                <w:b/>
                <w:sz w:val="20"/>
                <w:szCs w:val="20"/>
              </w:rPr>
              <w:t>Workers' Compensation Board of British Columbia</w:t>
            </w:r>
          </w:p>
          <w:p w:rsidR="00945DF8" w:rsidRPr="000F7718" w:rsidRDefault="00945DF8" w:rsidP="009E6B0E">
            <w:pPr>
              <w:widowControl w:val="0"/>
              <w:jc w:val="both"/>
              <w:rPr>
                <w:rFonts w:eastAsia="Calibri"/>
                <w:b/>
                <w:sz w:val="20"/>
                <w:szCs w:val="20"/>
              </w:rPr>
            </w:pPr>
          </w:p>
          <w:p w:rsidR="00945DF8" w:rsidRPr="00F74132" w:rsidRDefault="00945DF8" w:rsidP="009E6B0E">
            <w:pPr>
              <w:widowControl w:val="0"/>
              <w:jc w:val="both"/>
              <w:rPr>
                <w:rFonts w:eastAsia="Calibri"/>
                <w:b/>
                <w:sz w:val="20"/>
                <w:szCs w:val="20"/>
                <w:lang w:val="fr-CA"/>
              </w:rPr>
            </w:pPr>
            <w:r w:rsidRPr="000F7718">
              <w:rPr>
                <w:rFonts w:eastAsia="Calibri"/>
                <w:b/>
                <w:sz w:val="20"/>
                <w:szCs w:val="20"/>
              </w:rPr>
              <w:tab/>
            </w:r>
            <w:r w:rsidRPr="00F74132">
              <w:rPr>
                <w:rFonts w:eastAsia="Calibri"/>
                <w:b/>
                <w:sz w:val="20"/>
                <w:szCs w:val="20"/>
                <w:lang w:val="fr-CA"/>
              </w:rPr>
              <w:t>v</w:t>
            </w:r>
            <w:r w:rsidRPr="00F74132">
              <w:rPr>
                <w:rFonts w:eastAsia="Calibri" w:cs="Times New Roman"/>
                <w:b/>
                <w:sz w:val="20"/>
                <w:szCs w:val="20"/>
                <w:lang w:val="fr-CA"/>
              </w:rPr>
              <w:t>.</w:t>
            </w:r>
            <w:r w:rsidRPr="00F74132">
              <w:rPr>
                <w:rFonts w:eastAsia="Calibri"/>
                <w:b/>
                <w:sz w:val="20"/>
                <w:szCs w:val="20"/>
                <w:lang w:val="fr-CA"/>
              </w:rPr>
              <w:t xml:space="preserve"> (33648)</w:t>
            </w:r>
          </w:p>
          <w:p w:rsidR="00945DF8" w:rsidRPr="00F74132" w:rsidRDefault="00945DF8" w:rsidP="009E6B0E">
            <w:pPr>
              <w:widowControl w:val="0"/>
              <w:jc w:val="both"/>
              <w:rPr>
                <w:rFonts w:eastAsia="Calibri"/>
                <w:b/>
                <w:sz w:val="20"/>
                <w:szCs w:val="20"/>
                <w:lang w:val="fr-CA"/>
              </w:rPr>
            </w:pPr>
          </w:p>
          <w:p w:rsidR="00945DF8" w:rsidRPr="000F7718" w:rsidRDefault="000F7718" w:rsidP="009E6B0E">
            <w:pPr>
              <w:widowControl w:val="0"/>
              <w:jc w:val="both"/>
              <w:rPr>
                <w:b/>
                <w:sz w:val="20"/>
                <w:szCs w:val="20"/>
              </w:rPr>
            </w:pPr>
            <w:r w:rsidRPr="00F74132">
              <w:rPr>
                <w:rFonts w:eastAsia="Calibri" w:cs="Times New Roman"/>
                <w:b/>
                <w:sz w:val="20"/>
                <w:szCs w:val="20"/>
                <w:lang w:val="fr-CA"/>
              </w:rPr>
              <w:t xml:space="preserve">Guiseppe </w:t>
            </w:r>
            <w:proofErr w:type="spellStart"/>
            <w:r w:rsidRPr="00F74132">
              <w:rPr>
                <w:rFonts w:eastAsia="Calibri" w:cs="Times New Roman"/>
                <w:b/>
                <w:sz w:val="20"/>
                <w:szCs w:val="20"/>
                <w:lang w:val="fr-CA"/>
              </w:rPr>
              <w:t>Figliola</w:t>
            </w:r>
            <w:proofErr w:type="spellEnd"/>
            <w:r w:rsidRPr="00F74132">
              <w:rPr>
                <w:rFonts w:eastAsia="Calibri" w:cs="Times New Roman"/>
                <w:b/>
                <w:sz w:val="20"/>
                <w:szCs w:val="20"/>
                <w:lang w:val="fr-CA"/>
              </w:rPr>
              <w:t xml:space="preserve"> et al. </w:t>
            </w:r>
            <w:r w:rsidRPr="000F7718">
              <w:rPr>
                <w:rFonts w:eastAsia="Calibri" w:cs="Times New Roman"/>
                <w:b/>
                <w:sz w:val="20"/>
                <w:szCs w:val="20"/>
              </w:rPr>
              <w:t>(B.C.) (Civil) (By Leave)</w:t>
            </w:r>
          </w:p>
        </w:tc>
        <w:tc>
          <w:tcPr>
            <w:tcW w:w="720" w:type="dxa"/>
            <w:tcMar>
              <w:left w:w="0" w:type="dxa"/>
              <w:right w:w="0" w:type="dxa"/>
            </w:tcMar>
          </w:tcPr>
          <w:p w:rsidR="00945DF8" w:rsidRPr="000F7718" w:rsidRDefault="00945DF8" w:rsidP="009E6B0E">
            <w:pPr>
              <w:widowControl w:val="0"/>
              <w:jc w:val="center"/>
              <w:rPr>
                <w:sz w:val="20"/>
                <w:szCs w:val="20"/>
              </w:rPr>
            </w:pPr>
          </w:p>
        </w:tc>
        <w:tc>
          <w:tcPr>
            <w:tcW w:w="4380" w:type="dxa"/>
            <w:tcMar>
              <w:left w:w="0" w:type="dxa"/>
              <w:right w:w="0" w:type="dxa"/>
            </w:tcMar>
          </w:tcPr>
          <w:p w:rsidR="00927E65" w:rsidRPr="003C5B2F" w:rsidRDefault="00927E65" w:rsidP="00927E65">
            <w:pPr>
              <w:jc w:val="both"/>
              <w:rPr>
                <w:sz w:val="20"/>
                <w:szCs w:val="20"/>
              </w:rPr>
            </w:pPr>
            <w:r w:rsidRPr="003C5B2F">
              <w:rPr>
                <w:sz w:val="20"/>
                <w:szCs w:val="20"/>
              </w:rPr>
              <w:t>Scott A. Nielsen</w:t>
            </w:r>
            <w:r>
              <w:rPr>
                <w:sz w:val="20"/>
                <w:szCs w:val="20"/>
              </w:rPr>
              <w:t xml:space="preserve"> and </w:t>
            </w:r>
            <w:r w:rsidRPr="003C5B2F">
              <w:rPr>
                <w:sz w:val="20"/>
                <w:szCs w:val="20"/>
              </w:rPr>
              <w:t>Laurel Courtenay</w:t>
            </w:r>
            <w:r>
              <w:rPr>
                <w:sz w:val="20"/>
                <w:szCs w:val="20"/>
              </w:rPr>
              <w:t>, f</w:t>
            </w:r>
            <w:r w:rsidRPr="003C5B2F">
              <w:rPr>
                <w:sz w:val="20"/>
                <w:szCs w:val="20"/>
              </w:rPr>
              <w:t xml:space="preserve">or the </w:t>
            </w:r>
            <w:r>
              <w:rPr>
                <w:sz w:val="20"/>
                <w:szCs w:val="20"/>
              </w:rPr>
              <w:t>a</w:t>
            </w:r>
            <w:r w:rsidRPr="003C5B2F">
              <w:rPr>
                <w:sz w:val="20"/>
                <w:szCs w:val="20"/>
              </w:rPr>
              <w:t>ppellant.</w:t>
            </w:r>
          </w:p>
          <w:p w:rsidR="00927E65" w:rsidRPr="003C5B2F" w:rsidRDefault="00927E65" w:rsidP="00927E65">
            <w:pPr>
              <w:jc w:val="both"/>
              <w:rPr>
                <w:sz w:val="20"/>
                <w:szCs w:val="20"/>
              </w:rPr>
            </w:pPr>
          </w:p>
          <w:p w:rsidR="00927E65" w:rsidRPr="003C5B2F" w:rsidRDefault="00927E65" w:rsidP="00927E65">
            <w:pPr>
              <w:jc w:val="both"/>
              <w:rPr>
                <w:sz w:val="20"/>
                <w:szCs w:val="20"/>
              </w:rPr>
            </w:pPr>
            <w:r w:rsidRPr="003C5B2F">
              <w:rPr>
                <w:sz w:val="20"/>
                <w:szCs w:val="20"/>
              </w:rPr>
              <w:t xml:space="preserve">Jonathan G. </w:t>
            </w:r>
            <w:proofErr w:type="spellStart"/>
            <w:r w:rsidRPr="003C5B2F">
              <w:rPr>
                <w:sz w:val="20"/>
                <w:szCs w:val="20"/>
              </w:rPr>
              <w:t>Penner</w:t>
            </w:r>
            <w:proofErr w:type="spellEnd"/>
            <w:r>
              <w:rPr>
                <w:sz w:val="20"/>
                <w:szCs w:val="20"/>
              </w:rPr>
              <w:t>, f</w:t>
            </w:r>
            <w:r w:rsidRPr="003C5B2F">
              <w:rPr>
                <w:sz w:val="20"/>
                <w:szCs w:val="20"/>
              </w:rPr>
              <w:t xml:space="preserve">or the </w:t>
            </w:r>
            <w:r>
              <w:rPr>
                <w:sz w:val="20"/>
                <w:szCs w:val="20"/>
              </w:rPr>
              <w:t>i</w:t>
            </w:r>
            <w:r w:rsidRPr="003C5B2F">
              <w:rPr>
                <w:sz w:val="20"/>
                <w:szCs w:val="20"/>
              </w:rPr>
              <w:t>ntervener</w:t>
            </w:r>
            <w:r>
              <w:rPr>
                <w:sz w:val="20"/>
                <w:szCs w:val="20"/>
              </w:rPr>
              <w:t xml:space="preserve"> </w:t>
            </w:r>
            <w:r w:rsidRPr="003C5B2F">
              <w:rPr>
                <w:sz w:val="20"/>
                <w:szCs w:val="20"/>
              </w:rPr>
              <w:t>Attorney General of British Columbia</w:t>
            </w:r>
            <w:r>
              <w:rPr>
                <w:sz w:val="20"/>
                <w:szCs w:val="20"/>
              </w:rPr>
              <w:t>.</w:t>
            </w:r>
          </w:p>
          <w:p w:rsidR="00927E65" w:rsidRPr="003C5B2F" w:rsidRDefault="00927E65" w:rsidP="00927E65">
            <w:pPr>
              <w:jc w:val="both"/>
              <w:rPr>
                <w:sz w:val="20"/>
                <w:szCs w:val="20"/>
              </w:rPr>
            </w:pPr>
          </w:p>
          <w:p w:rsidR="00927E65" w:rsidRPr="003C5B2F" w:rsidRDefault="00927E65" w:rsidP="00927E65">
            <w:pPr>
              <w:jc w:val="both"/>
              <w:rPr>
                <w:sz w:val="20"/>
                <w:szCs w:val="20"/>
              </w:rPr>
            </w:pPr>
            <w:r w:rsidRPr="003C5B2F">
              <w:rPr>
                <w:sz w:val="20"/>
                <w:szCs w:val="20"/>
              </w:rPr>
              <w:t>Peter A. Gall, Q.C.</w:t>
            </w:r>
            <w:r>
              <w:rPr>
                <w:sz w:val="20"/>
                <w:szCs w:val="20"/>
              </w:rPr>
              <w:t xml:space="preserve"> and </w:t>
            </w:r>
            <w:proofErr w:type="spellStart"/>
            <w:r w:rsidRPr="003C5B2F">
              <w:rPr>
                <w:sz w:val="20"/>
                <w:szCs w:val="20"/>
              </w:rPr>
              <w:t>Nitya</w:t>
            </w:r>
            <w:proofErr w:type="spellEnd"/>
            <w:r w:rsidRPr="003C5B2F">
              <w:rPr>
                <w:sz w:val="20"/>
                <w:szCs w:val="20"/>
              </w:rPr>
              <w:t xml:space="preserve"> </w:t>
            </w:r>
            <w:proofErr w:type="spellStart"/>
            <w:r w:rsidRPr="003C5B2F">
              <w:rPr>
                <w:sz w:val="20"/>
                <w:szCs w:val="20"/>
              </w:rPr>
              <w:t>Iyer</w:t>
            </w:r>
            <w:proofErr w:type="spellEnd"/>
            <w:r>
              <w:rPr>
                <w:sz w:val="20"/>
                <w:szCs w:val="20"/>
              </w:rPr>
              <w:t xml:space="preserve"> </w:t>
            </w:r>
            <w:r w:rsidRPr="003C5B2F">
              <w:rPr>
                <w:sz w:val="20"/>
                <w:szCs w:val="20"/>
              </w:rPr>
              <w:t>(by videoconference)</w:t>
            </w:r>
            <w:r>
              <w:rPr>
                <w:sz w:val="20"/>
                <w:szCs w:val="20"/>
              </w:rPr>
              <w:t>, f</w:t>
            </w:r>
            <w:r w:rsidRPr="003C5B2F">
              <w:rPr>
                <w:sz w:val="20"/>
                <w:szCs w:val="20"/>
              </w:rPr>
              <w:t xml:space="preserve">or the </w:t>
            </w:r>
            <w:r>
              <w:rPr>
                <w:sz w:val="20"/>
                <w:szCs w:val="20"/>
              </w:rPr>
              <w:t>i</w:t>
            </w:r>
            <w:r w:rsidRPr="003C5B2F">
              <w:rPr>
                <w:sz w:val="20"/>
                <w:szCs w:val="20"/>
              </w:rPr>
              <w:t>ntervener</w:t>
            </w:r>
            <w:r>
              <w:rPr>
                <w:sz w:val="20"/>
                <w:szCs w:val="20"/>
              </w:rPr>
              <w:t xml:space="preserve"> </w:t>
            </w:r>
            <w:r w:rsidRPr="003C5B2F">
              <w:rPr>
                <w:sz w:val="20"/>
                <w:szCs w:val="20"/>
              </w:rPr>
              <w:t>Coalition of BC Business</w:t>
            </w:r>
            <w:r>
              <w:rPr>
                <w:sz w:val="20"/>
                <w:szCs w:val="20"/>
              </w:rPr>
              <w:t>.</w:t>
            </w:r>
          </w:p>
          <w:p w:rsidR="00927E65" w:rsidRPr="003C5B2F" w:rsidRDefault="00927E65" w:rsidP="00927E65">
            <w:pPr>
              <w:jc w:val="both"/>
              <w:rPr>
                <w:sz w:val="20"/>
                <w:szCs w:val="20"/>
              </w:rPr>
            </w:pPr>
          </w:p>
          <w:p w:rsidR="00927E65" w:rsidRPr="00BB7110" w:rsidRDefault="00927E65" w:rsidP="00927E65">
            <w:pPr>
              <w:jc w:val="both"/>
              <w:rPr>
                <w:sz w:val="20"/>
                <w:szCs w:val="20"/>
              </w:rPr>
            </w:pPr>
            <w:proofErr w:type="spellStart"/>
            <w:r w:rsidRPr="003C5B2F">
              <w:rPr>
                <w:sz w:val="20"/>
                <w:szCs w:val="20"/>
              </w:rPr>
              <w:lastRenderedPageBreak/>
              <w:t>Linday</w:t>
            </w:r>
            <w:proofErr w:type="spellEnd"/>
            <w:r w:rsidRPr="003C5B2F">
              <w:rPr>
                <w:sz w:val="20"/>
                <w:szCs w:val="20"/>
              </w:rPr>
              <w:t xml:space="preserve"> Waddell</w:t>
            </w:r>
            <w:r>
              <w:rPr>
                <w:sz w:val="20"/>
                <w:szCs w:val="20"/>
              </w:rPr>
              <w:t xml:space="preserve">, </w:t>
            </w:r>
            <w:r w:rsidRPr="00BB7110">
              <w:rPr>
                <w:sz w:val="20"/>
                <w:szCs w:val="20"/>
              </w:rPr>
              <w:t>James Sayre</w:t>
            </w:r>
            <w:r>
              <w:rPr>
                <w:sz w:val="20"/>
                <w:szCs w:val="20"/>
              </w:rPr>
              <w:t xml:space="preserve"> </w:t>
            </w:r>
            <w:r w:rsidRPr="003C5B2F">
              <w:rPr>
                <w:sz w:val="20"/>
                <w:szCs w:val="20"/>
              </w:rPr>
              <w:t>(by videoconference)</w:t>
            </w:r>
            <w:r>
              <w:rPr>
                <w:sz w:val="20"/>
                <w:szCs w:val="20"/>
              </w:rPr>
              <w:t xml:space="preserve"> and </w:t>
            </w:r>
            <w:r w:rsidRPr="003C5B2F">
              <w:rPr>
                <w:sz w:val="20"/>
                <w:szCs w:val="20"/>
              </w:rPr>
              <w:t>Kevin Love (in person)</w:t>
            </w:r>
            <w:r>
              <w:rPr>
                <w:sz w:val="20"/>
                <w:szCs w:val="20"/>
              </w:rPr>
              <w:t>, f</w:t>
            </w:r>
            <w:r w:rsidRPr="003C5B2F">
              <w:rPr>
                <w:sz w:val="20"/>
                <w:szCs w:val="20"/>
              </w:rPr>
              <w:t xml:space="preserve">or the </w:t>
            </w:r>
            <w:r>
              <w:rPr>
                <w:sz w:val="20"/>
                <w:szCs w:val="20"/>
              </w:rPr>
              <w:t>r</w:t>
            </w:r>
            <w:r w:rsidRPr="003C5B2F">
              <w:rPr>
                <w:sz w:val="20"/>
                <w:szCs w:val="20"/>
              </w:rPr>
              <w:t>espon</w:t>
            </w:r>
            <w:r>
              <w:rPr>
                <w:sz w:val="20"/>
                <w:szCs w:val="20"/>
              </w:rPr>
              <w:t>d</w:t>
            </w:r>
            <w:r w:rsidRPr="003C5B2F">
              <w:rPr>
                <w:sz w:val="20"/>
                <w:szCs w:val="20"/>
              </w:rPr>
              <w:t>ents</w:t>
            </w:r>
            <w:r>
              <w:rPr>
                <w:sz w:val="20"/>
                <w:szCs w:val="20"/>
              </w:rPr>
              <w:t xml:space="preserve"> </w:t>
            </w:r>
            <w:proofErr w:type="spellStart"/>
            <w:r w:rsidRPr="00BB7110">
              <w:rPr>
                <w:sz w:val="20"/>
                <w:szCs w:val="20"/>
              </w:rPr>
              <w:t>Guiseppe</w:t>
            </w:r>
            <w:proofErr w:type="spellEnd"/>
            <w:r w:rsidRPr="00BB7110">
              <w:rPr>
                <w:sz w:val="20"/>
                <w:szCs w:val="20"/>
              </w:rPr>
              <w:t xml:space="preserve"> </w:t>
            </w:r>
            <w:proofErr w:type="spellStart"/>
            <w:r w:rsidRPr="00BB7110">
              <w:rPr>
                <w:sz w:val="20"/>
                <w:szCs w:val="20"/>
              </w:rPr>
              <w:t>Figliola</w:t>
            </w:r>
            <w:proofErr w:type="spellEnd"/>
            <w:r w:rsidRPr="00BB7110">
              <w:rPr>
                <w:sz w:val="20"/>
                <w:szCs w:val="20"/>
              </w:rPr>
              <w:t xml:space="preserve"> et al.</w:t>
            </w:r>
          </w:p>
          <w:p w:rsidR="00927E65" w:rsidRPr="003C5B2F" w:rsidRDefault="00927E65" w:rsidP="00927E65">
            <w:pPr>
              <w:jc w:val="both"/>
              <w:rPr>
                <w:sz w:val="20"/>
                <w:szCs w:val="20"/>
              </w:rPr>
            </w:pPr>
          </w:p>
          <w:p w:rsidR="00927E65" w:rsidRPr="003C5B2F" w:rsidRDefault="00927E65" w:rsidP="00927E65">
            <w:pPr>
              <w:jc w:val="both"/>
              <w:rPr>
                <w:sz w:val="20"/>
                <w:szCs w:val="20"/>
              </w:rPr>
            </w:pPr>
            <w:r w:rsidRPr="003C5B2F">
              <w:rPr>
                <w:sz w:val="20"/>
                <w:szCs w:val="20"/>
              </w:rPr>
              <w:t>Jessica M. Connell</w:t>
            </w:r>
            <w:r>
              <w:rPr>
                <w:sz w:val="20"/>
                <w:szCs w:val="20"/>
              </w:rPr>
              <w:t xml:space="preserve"> and </w:t>
            </w:r>
            <w:r w:rsidRPr="003C5B2F">
              <w:rPr>
                <w:sz w:val="20"/>
                <w:szCs w:val="20"/>
              </w:rPr>
              <w:t xml:space="preserve">Katherine </w:t>
            </w:r>
            <w:proofErr w:type="spellStart"/>
            <w:r w:rsidRPr="003C5B2F">
              <w:rPr>
                <w:sz w:val="20"/>
                <w:szCs w:val="20"/>
              </w:rPr>
              <w:t>Hardie</w:t>
            </w:r>
            <w:proofErr w:type="spellEnd"/>
            <w:r>
              <w:rPr>
                <w:sz w:val="20"/>
                <w:szCs w:val="20"/>
              </w:rPr>
              <w:t>, f</w:t>
            </w:r>
            <w:r w:rsidRPr="003C5B2F">
              <w:rPr>
                <w:sz w:val="20"/>
                <w:szCs w:val="20"/>
              </w:rPr>
              <w:t xml:space="preserve">or the </w:t>
            </w:r>
            <w:r>
              <w:rPr>
                <w:sz w:val="20"/>
                <w:szCs w:val="20"/>
              </w:rPr>
              <w:t>r</w:t>
            </w:r>
            <w:r w:rsidRPr="003C5B2F">
              <w:rPr>
                <w:sz w:val="20"/>
                <w:szCs w:val="20"/>
              </w:rPr>
              <w:t>espondent</w:t>
            </w:r>
            <w:r>
              <w:rPr>
                <w:sz w:val="20"/>
                <w:szCs w:val="20"/>
              </w:rPr>
              <w:t xml:space="preserve"> </w:t>
            </w:r>
            <w:r w:rsidRPr="003C5B2F">
              <w:rPr>
                <w:sz w:val="20"/>
                <w:szCs w:val="20"/>
              </w:rPr>
              <w:t>British Columbia Human Rights Tribunal</w:t>
            </w:r>
            <w:r>
              <w:rPr>
                <w:sz w:val="20"/>
                <w:szCs w:val="20"/>
              </w:rPr>
              <w:t>.</w:t>
            </w:r>
          </w:p>
          <w:p w:rsidR="00927E65" w:rsidRPr="003C5B2F" w:rsidRDefault="00927E65" w:rsidP="00927E65">
            <w:pPr>
              <w:jc w:val="both"/>
              <w:rPr>
                <w:sz w:val="20"/>
                <w:szCs w:val="20"/>
              </w:rPr>
            </w:pPr>
          </w:p>
          <w:p w:rsidR="00927E65" w:rsidRPr="003C5B2F" w:rsidRDefault="00927E65" w:rsidP="00927E65">
            <w:pPr>
              <w:jc w:val="both"/>
              <w:rPr>
                <w:sz w:val="20"/>
                <w:szCs w:val="20"/>
              </w:rPr>
            </w:pPr>
            <w:r w:rsidRPr="003C5B2F">
              <w:rPr>
                <w:sz w:val="20"/>
                <w:szCs w:val="20"/>
              </w:rPr>
              <w:t>Sheila Osborne-Brown</w:t>
            </w:r>
            <w:r>
              <w:rPr>
                <w:sz w:val="20"/>
                <w:szCs w:val="20"/>
              </w:rPr>
              <w:t xml:space="preserve"> and </w:t>
            </w:r>
            <w:r w:rsidRPr="003C5B2F">
              <w:rPr>
                <w:sz w:val="20"/>
                <w:szCs w:val="20"/>
              </w:rPr>
              <w:t xml:space="preserve">Philippe </w:t>
            </w:r>
            <w:proofErr w:type="spellStart"/>
            <w:r w:rsidRPr="003C5B2F">
              <w:rPr>
                <w:sz w:val="20"/>
                <w:szCs w:val="20"/>
              </w:rPr>
              <w:t>Dufresne</w:t>
            </w:r>
            <w:proofErr w:type="spellEnd"/>
            <w:r>
              <w:rPr>
                <w:sz w:val="20"/>
                <w:szCs w:val="20"/>
              </w:rPr>
              <w:t>, f</w:t>
            </w:r>
            <w:r w:rsidRPr="003C5B2F">
              <w:rPr>
                <w:sz w:val="20"/>
                <w:szCs w:val="20"/>
              </w:rPr>
              <w:t xml:space="preserve">or the </w:t>
            </w:r>
            <w:r>
              <w:rPr>
                <w:sz w:val="20"/>
                <w:szCs w:val="20"/>
              </w:rPr>
              <w:t>i</w:t>
            </w:r>
            <w:r w:rsidRPr="003C5B2F">
              <w:rPr>
                <w:sz w:val="20"/>
                <w:szCs w:val="20"/>
              </w:rPr>
              <w:t>ntervener</w:t>
            </w:r>
            <w:r>
              <w:rPr>
                <w:sz w:val="20"/>
                <w:szCs w:val="20"/>
              </w:rPr>
              <w:t xml:space="preserve"> </w:t>
            </w:r>
            <w:r w:rsidRPr="003C5B2F">
              <w:rPr>
                <w:sz w:val="20"/>
                <w:szCs w:val="20"/>
              </w:rPr>
              <w:t>Canadian Human Rights Commission</w:t>
            </w:r>
            <w:r>
              <w:rPr>
                <w:sz w:val="20"/>
                <w:szCs w:val="20"/>
              </w:rPr>
              <w:t>.</w:t>
            </w:r>
          </w:p>
          <w:p w:rsidR="00927E65" w:rsidRPr="003C5B2F" w:rsidRDefault="00927E65" w:rsidP="00927E65">
            <w:pPr>
              <w:jc w:val="both"/>
              <w:rPr>
                <w:sz w:val="20"/>
                <w:szCs w:val="20"/>
              </w:rPr>
            </w:pPr>
          </w:p>
          <w:p w:rsidR="00927E65" w:rsidRPr="003C5B2F" w:rsidRDefault="00927E65" w:rsidP="00927E65">
            <w:pPr>
              <w:jc w:val="both"/>
              <w:rPr>
                <w:sz w:val="20"/>
                <w:szCs w:val="20"/>
              </w:rPr>
            </w:pPr>
            <w:r w:rsidRPr="003C5B2F">
              <w:rPr>
                <w:sz w:val="20"/>
                <w:szCs w:val="20"/>
              </w:rPr>
              <w:t>Janice R. Ashcroft</w:t>
            </w:r>
            <w:r>
              <w:rPr>
                <w:sz w:val="20"/>
                <w:szCs w:val="20"/>
              </w:rPr>
              <w:t>, f</w:t>
            </w:r>
            <w:r w:rsidRPr="003C5B2F">
              <w:rPr>
                <w:sz w:val="20"/>
                <w:szCs w:val="20"/>
              </w:rPr>
              <w:t xml:space="preserve">or the </w:t>
            </w:r>
            <w:r>
              <w:rPr>
                <w:sz w:val="20"/>
                <w:szCs w:val="20"/>
              </w:rPr>
              <w:t>i</w:t>
            </w:r>
            <w:r w:rsidRPr="003C5B2F">
              <w:rPr>
                <w:sz w:val="20"/>
                <w:szCs w:val="20"/>
              </w:rPr>
              <w:t>ntervener</w:t>
            </w:r>
            <w:r>
              <w:rPr>
                <w:sz w:val="20"/>
                <w:szCs w:val="20"/>
              </w:rPr>
              <w:t xml:space="preserve"> </w:t>
            </w:r>
            <w:r w:rsidRPr="003C5B2F">
              <w:rPr>
                <w:sz w:val="20"/>
                <w:szCs w:val="20"/>
              </w:rPr>
              <w:t>Alberta Human Rights Commission</w:t>
            </w:r>
            <w:r>
              <w:rPr>
                <w:sz w:val="20"/>
                <w:szCs w:val="20"/>
              </w:rPr>
              <w:t>.</w:t>
            </w:r>
          </w:p>
          <w:p w:rsidR="00927E65" w:rsidRPr="003C5B2F" w:rsidRDefault="00927E65" w:rsidP="00927E65">
            <w:pPr>
              <w:jc w:val="both"/>
              <w:rPr>
                <w:sz w:val="20"/>
                <w:szCs w:val="20"/>
              </w:rPr>
            </w:pPr>
          </w:p>
          <w:p w:rsidR="00945DF8" w:rsidRPr="000F7718" w:rsidRDefault="00927E65" w:rsidP="00927E65">
            <w:pPr>
              <w:jc w:val="both"/>
              <w:rPr>
                <w:sz w:val="20"/>
                <w:szCs w:val="20"/>
              </w:rPr>
            </w:pPr>
            <w:r w:rsidRPr="003C5B2F">
              <w:rPr>
                <w:sz w:val="20"/>
                <w:szCs w:val="20"/>
              </w:rPr>
              <w:t xml:space="preserve">Ryan D.W. </w:t>
            </w:r>
            <w:proofErr w:type="spellStart"/>
            <w:r w:rsidRPr="003C5B2F">
              <w:rPr>
                <w:sz w:val="20"/>
                <w:szCs w:val="20"/>
              </w:rPr>
              <w:t>Dalziel</w:t>
            </w:r>
            <w:proofErr w:type="spellEnd"/>
            <w:r>
              <w:rPr>
                <w:sz w:val="20"/>
                <w:szCs w:val="20"/>
              </w:rPr>
              <w:t>, f</w:t>
            </w:r>
            <w:r w:rsidRPr="003C5B2F">
              <w:rPr>
                <w:sz w:val="20"/>
                <w:szCs w:val="20"/>
              </w:rPr>
              <w:t xml:space="preserve">or the </w:t>
            </w:r>
            <w:r>
              <w:rPr>
                <w:sz w:val="20"/>
                <w:szCs w:val="20"/>
              </w:rPr>
              <w:t>i</w:t>
            </w:r>
            <w:r w:rsidRPr="003C5B2F">
              <w:rPr>
                <w:sz w:val="20"/>
                <w:szCs w:val="20"/>
              </w:rPr>
              <w:t>ntervener</w:t>
            </w:r>
            <w:r>
              <w:rPr>
                <w:sz w:val="20"/>
                <w:szCs w:val="20"/>
              </w:rPr>
              <w:t xml:space="preserve"> </w:t>
            </w:r>
            <w:r w:rsidRPr="003C5B2F">
              <w:rPr>
                <w:sz w:val="20"/>
                <w:szCs w:val="20"/>
              </w:rPr>
              <w:t xml:space="preserve">Vancouver Area Human Rights </w:t>
            </w:r>
            <w:proofErr w:type="gramStart"/>
            <w:r w:rsidRPr="003C5B2F">
              <w:rPr>
                <w:sz w:val="20"/>
                <w:szCs w:val="20"/>
              </w:rPr>
              <w:t>Coalition  Society</w:t>
            </w:r>
            <w:proofErr w:type="gramEnd"/>
            <w:r>
              <w:rPr>
                <w:sz w:val="20"/>
                <w:szCs w:val="20"/>
              </w:rPr>
              <w:t>.</w:t>
            </w:r>
          </w:p>
        </w:tc>
      </w:tr>
    </w:tbl>
    <w:p w:rsidR="00945DF8" w:rsidRPr="000F7718" w:rsidRDefault="00945DF8" w:rsidP="00945DF8">
      <w:pPr>
        <w:widowControl w:val="0"/>
        <w:rPr>
          <w:sz w:val="20"/>
          <w:szCs w:val="20"/>
        </w:rPr>
      </w:pPr>
    </w:p>
    <w:p w:rsidR="00945DF8" w:rsidRPr="0085476B" w:rsidRDefault="00945DF8" w:rsidP="00945DF8">
      <w:pPr>
        <w:widowControl w:val="0"/>
        <w:rPr>
          <w:sz w:val="20"/>
          <w:szCs w:val="20"/>
        </w:rPr>
      </w:pPr>
      <w:r w:rsidRPr="0085476B">
        <w:rPr>
          <w:b/>
          <w:sz w:val="20"/>
          <w:szCs w:val="20"/>
        </w:rPr>
        <w:t xml:space="preserve">RESERVED / </w:t>
      </w:r>
      <w:r w:rsidRPr="0085476B">
        <w:rPr>
          <w:b/>
          <w:sz w:val="20"/>
          <w:szCs w:val="20"/>
          <w:lang w:val="fr-CA"/>
        </w:rPr>
        <w:t>EN DÉLIBÉRÉ</w:t>
      </w:r>
    </w:p>
    <w:p w:rsidR="00945DF8" w:rsidRDefault="00945DF8" w:rsidP="00732DB7">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945DF8" w:rsidRPr="00406D3C" w:rsidTr="009E6B0E">
        <w:tc>
          <w:tcPr>
            <w:tcW w:w="4380" w:type="dxa"/>
            <w:tcMar>
              <w:left w:w="0" w:type="dxa"/>
              <w:right w:w="0" w:type="dxa"/>
            </w:tcMar>
          </w:tcPr>
          <w:p w:rsidR="00945DF8" w:rsidRPr="00CC4D84" w:rsidRDefault="00945DF8" w:rsidP="009E6B0E">
            <w:pPr>
              <w:widowControl w:val="0"/>
              <w:jc w:val="both"/>
              <w:rPr>
                <w:b/>
                <w:sz w:val="20"/>
                <w:szCs w:val="20"/>
                <w:u w:val="single"/>
              </w:rPr>
            </w:pPr>
            <w:r w:rsidRPr="00CC4D84">
              <w:rPr>
                <w:b/>
                <w:sz w:val="20"/>
                <w:szCs w:val="20"/>
                <w:u w:val="single"/>
              </w:rPr>
              <w:t>Nature of the case:</w:t>
            </w:r>
          </w:p>
          <w:p w:rsidR="00945DF8" w:rsidRPr="00C1697B" w:rsidRDefault="00945DF8" w:rsidP="009E6B0E">
            <w:pPr>
              <w:widowControl w:val="0"/>
              <w:jc w:val="both"/>
              <w:rPr>
                <w:b/>
                <w:sz w:val="20"/>
                <w:szCs w:val="20"/>
              </w:rPr>
            </w:pPr>
          </w:p>
          <w:p w:rsidR="00945DF8" w:rsidRPr="00AD1AB2" w:rsidRDefault="00C478F8" w:rsidP="00945DF8">
            <w:pPr>
              <w:jc w:val="both"/>
              <w:rPr>
                <w:sz w:val="20"/>
                <w:szCs w:val="20"/>
              </w:rPr>
            </w:pPr>
            <w:r w:rsidRPr="00AD1AB2">
              <w:rPr>
                <w:sz w:val="20"/>
                <w:szCs w:val="20"/>
              </w:rPr>
              <w:fldChar w:fldCharType="begin"/>
            </w:r>
            <w:r w:rsidR="00945DF8" w:rsidRPr="00AD1AB2">
              <w:rPr>
                <w:sz w:val="20"/>
                <w:szCs w:val="20"/>
              </w:rPr>
              <w:instrText xml:space="preserve"> SEQ CHAPTER \h \r 1</w:instrText>
            </w:r>
            <w:r w:rsidRPr="00AD1AB2">
              <w:rPr>
                <w:sz w:val="20"/>
                <w:szCs w:val="20"/>
              </w:rPr>
              <w:fldChar w:fldCharType="end"/>
            </w:r>
            <w:r w:rsidR="00945DF8" w:rsidRPr="00AD1AB2">
              <w:rPr>
                <w:sz w:val="20"/>
                <w:szCs w:val="20"/>
              </w:rPr>
              <w:t xml:space="preserve">Administrative law </w:t>
            </w:r>
            <w:r w:rsidR="00945DF8" w:rsidRPr="00AD1AB2">
              <w:rPr>
                <w:sz w:val="20"/>
                <w:szCs w:val="20"/>
              </w:rPr>
              <w:noBreakHyphen/>
              <w:t xml:space="preserve"> Jurisdiction </w:t>
            </w:r>
            <w:r w:rsidR="00945DF8" w:rsidRPr="00AD1AB2">
              <w:rPr>
                <w:sz w:val="20"/>
                <w:szCs w:val="20"/>
              </w:rPr>
              <w:noBreakHyphen/>
              <w:t xml:space="preserve"> Judicial review </w:t>
            </w:r>
            <w:r w:rsidR="00945DF8" w:rsidRPr="00AD1AB2">
              <w:rPr>
                <w:sz w:val="20"/>
                <w:szCs w:val="20"/>
              </w:rPr>
              <w:noBreakHyphen/>
              <w:t xml:space="preserve"> Standard of review </w:t>
            </w:r>
            <w:r w:rsidR="00945DF8" w:rsidRPr="00AD1AB2">
              <w:rPr>
                <w:sz w:val="20"/>
                <w:szCs w:val="20"/>
              </w:rPr>
              <w:noBreakHyphen/>
              <w:t xml:space="preserve"> What standard of review is applicable to the BCHRT’s decision to re</w:t>
            </w:r>
            <w:r w:rsidR="00945DF8" w:rsidRPr="00AD1AB2">
              <w:rPr>
                <w:sz w:val="20"/>
                <w:szCs w:val="20"/>
              </w:rPr>
              <w:noBreakHyphen/>
              <w:t xml:space="preserve">hear a complaint already conclusively dealt with by another tribunal of competent jurisdiction? </w:t>
            </w:r>
            <w:r w:rsidR="00945DF8" w:rsidRPr="00AD1AB2">
              <w:rPr>
                <w:sz w:val="20"/>
                <w:szCs w:val="20"/>
              </w:rPr>
              <w:noBreakHyphen/>
              <w:t xml:space="preserve"> Can the BCHRT </w:t>
            </w:r>
            <w:proofErr w:type="gramStart"/>
            <w:r w:rsidR="00945DF8" w:rsidRPr="00AD1AB2">
              <w:rPr>
                <w:sz w:val="20"/>
                <w:szCs w:val="20"/>
              </w:rPr>
              <w:t>proceed</w:t>
            </w:r>
            <w:proofErr w:type="gramEnd"/>
            <w:r w:rsidR="00945DF8" w:rsidRPr="00AD1AB2">
              <w:rPr>
                <w:sz w:val="20"/>
                <w:szCs w:val="20"/>
              </w:rPr>
              <w:t xml:space="preserve"> to re</w:t>
            </w:r>
            <w:r w:rsidR="00945DF8" w:rsidRPr="00AD1AB2">
              <w:rPr>
                <w:sz w:val="20"/>
                <w:szCs w:val="20"/>
              </w:rPr>
              <w:noBreakHyphen/>
              <w:t>hear precisely the same issue that has already been decided finally and conclusively by the Review Division of the Workers’ Compensation Board?</w:t>
            </w:r>
          </w:p>
          <w:p w:rsidR="00945DF8" w:rsidRPr="00C1697B" w:rsidRDefault="00945DF8" w:rsidP="009E6B0E">
            <w:pPr>
              <w:widowControl w:val="0"/>
              <w:jc w:val="both"/>
              <w:rPr>
                <w:b/>
                <w:sz w:val="20"/>
                <w:szCs w:val="20"/>
              </w:rPr>
            </w:pPr>
          </w:p>
        </w:tc>
        <w:tc>
          <w:tcPr>
            <w:tcW w:w="720" w:type="dxa"/>
            <w:tcMar>
              <w:left w:w="0" w:type="dxa"/>
              <w:right w:w="0" w:type="dxa"/>
            </w:tcMar>
          </w:tcPr>
          <w:p w:rsidR="00945DF8" w:rsidRPr="00C1697B" w:rsidRDefault="00945DF8" w:rsidP="009E6B0E">
            <w:pPr>
              <w:widowControl w:val="0"/>
              <w:jc w:val="center"/>
              <w:rPr>
                <w:sz w:val="20"/>
                <w:szCs w:val="20"/>
              </w:rPr>
            </w:pPr>
          </w:p>
        </w:tc>
        <w:tc>
          <w:tcPr>
            <w:tcW w:w="4380" w:type="dxa"/>
            <w:tcMar>
              <w:left w:w="0" w:type="dxa"/>
              <w:right w:w="0" w:type="dxa"/>
            </w:tcMar>
          </w:tcPr>
          <w:p w:rsidR="00945DF8" w:rsidRPr="00CC4D84" w:rsidRDefault="00945DF8" w:rsidP="009E6B0E">
            <w:pPr>
              <w:widowControl w:val="0"/>
              <w:jc w:val="both"/>
              <w:rPr>
                <w:b/>
                <w:sz w:val="20"/>
                <w:szCs w:val="20"/>
                <w:u w:val="single"/>
                <w:lang w:val="fr-CA"/>
              </w:rPr>
            </w:pPr>
            <w:r w:rsidRPr="00CC4D84">
              <w:rPr>
                <w:b/>
                <w:sz w:val="20"/>
                <w:szCs w:val="20"/>
                <w:u w:val="single"/>
                <w:lang w:val="fr-CA"/>
              </w:rPr>
              <w:t>Nature de la cause :</w:t>
            </w:r>
          </w:p>
          <w:p w:rsidR="00945DF8" w:rsidRPr="00C1697B" w:rsidRDefault="00945DF8" w:rsidP="009E6B0E">
            <w:pPr>
              <w:widowControl w:val="0"/>
              <w:jc w:val="both"/>
              <w:rPr>
                <w:sz w:val="20"/>
                <w:szCs w:val="20"/>
                <w:lang w:val="fr-CA"/>
              </w:rPr>
            </w:pPr>
          </w:p>
          <w:p w:rsidR="00945DF8" w:rsidRPr="00C1697B" w:rsidRDefault="00945DF8" w:rsidP="00945DF8">
            <w:pPr>
              <w:jc w:val="both"/>
              <w:rPr>
                <w:sz w:val="20"/>
                <w:szCs w:val="20"/>
                <w:lang w:val="fr-CA"/>
              </w:rPr>
            </w:pPr>
            <w:r w:rsidRPr="001B3B48">
              <w:rPr>
                <w:sz w:val="20"/>
                <w:szCs w:val="20"/>
                <w:lang w:val="fr-CA"/>
              </w:rPr>
              <w:t>Droit administratif</w:t>
            </w:r>
            <w:r w:rsidR="00C478F8" w:rsidRPr="001B3B48">
              <w:rPr>
                <w:sz w:val="20"/>
                <w:szCs w:val="20"/>
                <w:lang w:val="fr-CA"/>
              </w:rPr>
              <w:fldChar w:fldCharType="begin"/>
            </w:r>
            <w:r w:rsidRPr="001B3B48">
              <w:rPr>
                <w:sz w:val="20"/>
                <w:szCs w:val="20"/>
                <w:lang w:val="fr-CA"/>
              </w:rPr>
              <w:instrText xml:space="preserve"> SEQ CHAPTER \h \r 1</w:instrText>
            </w:r>
            <w:r w:rsidR="00C478F8" w:rsidRPr="001B3B48">
              <w:rPr>
                <w:sz w:val="20"/>
                <w:szCs w:val="20"/>
                <w:lang w:val="fr-CA"/>
              </w:rPr>
              <w:fldChar w:fldCharType="end"/>
            </w:r>
            <w:r w:rsidRPr="001B3B48">
              <w:rPr>
                <w:sz w:val="20"/>
                <w:szCs w:val="20"/>
                <w:lang w:val="fr-CA"/>
              </w:rPr>
              <w:t xml:space="preserve"> </w:t>
            </w:r>
            <w:r w:rsidRPr="001B3B48">
              <w:rPr>
                <w:sz w:val="20"/>
                <w:szCs w:val="20"/>
                <w:lang w:val="fr-CA"/>
              </w:rPr>
              <w:noBreakHyphen/>
              <w:t xml:space="preserve"> Compétence </w:t>
            </w:r>
            <w:r w:rsidRPr="001B3B48">
              <w:rPr>
                <w:sz w:val="20"/>
                <w:szCs w:val="20"/>
                <w:lang w:val="fr-CA"/>
              </w:rPr>
              <w:noBreakHyphen/>
              <w:t xml:space="preserve"> Contrôle judiciaire </w:t>
            </w:r>
            <w:r w:rsidRPr="001B3B48">
              <w:rPr>
                <w:sz w:val="20"/>
                <w:szCs w:val="20"/>
                <w:lang w:val="fr-CA"/>
              </w:rPr>
              <w:noBreakHyphen/>
              <w:t xml:space="preserve"> Norme de contrôle </w:t>
            </w:r>
            <w:r w:rsidRPr="001B3B48">
              <w:rPr>
                <w:sz w:val="20"/>
                <w:szCs w:val="20"/>
                <w:lang w:val="fr-CA"/>
              </w:rPr>
              <w:noBreakHyphen/>
              <w:t xml:space="preserve"> </w:t>
            </w:r>
            <w:r w:rsidR="00C478F8" w:rsidRPr="001B3B48">
              <w:rPr>
                <w:sz w:val="20"/>
                <w:szCs w:val="20"/>
              </w:rPr>
              <w:fldChar w:fldCharType="begin"/>
            </w:r>
            <w:r w:rsidRPr="001B3B48">
              <w:rPr>
                <w:sz w:val="20"/>
                <w:szCs w:val="20"/>
                <w:lang w:val="fr-CA"/>
              </w:rPr>
              <w:instrText xml:space="preserve"> SEQ CHAPTER \h \r 1</w:instrText>
            </w:r>
            <w:r w:rsidR="00C478F8" w:rsidRPr="001B3B48">
              <w:rPr>
                <w:sz w:val="20"/>
                <w:szCs w:val="20"/>
              </w:rPr>
              <w:fldChar w:fldCharType="end"/>
            </w:r>
            <w:r w:rsidRPr="001B3B48">
              <w:rPr>
                <w:sz w:val="20"/>
                <w:szCs w:val="20"/>
                <w:lang w:val="fr-CA"/>
              </w:rPr>
              <w:t xml:space="preserve">Quelle norme de contrôle s’applique à la décision du tribunal des droits de la personne de la </w:t>
            </w:r>
            <w:proofErr w:type="spellStart"/>
            <w:r w:rsidRPr="001B3B48">
              <w:rPr>
                <w:sz w:val="20"/>
                <w:szCs w:val="20"/>
                <w:lang w:val="fr-CA"/>
              </w:rPr>
              <w:t>Colombie</w:t>
            </w:r>
            <w:r w:rsidRPr="001B3B48">
              <w:rPr>
                <w:sz w:val="20"/>
                <w:szCs w:val="20"/>
                <w:lang w:val="fr-CA"/>
              </w:rPr>
              <w:noBreakHyphen/>
              <w:t>Britannique</w:t>
            </w:r>
            <w:proofErr w:type="spellEnd"/>
            <w:r w:rsidRPr="001B3B48">
              <w:rPr>
                <w:sz w:val="20"/>
                <w:szCs w:val="20"/>
                <w:lang w:val="fr-CA"/>
              </w:rPr>
              <w:t xml:space="preserve"> d’instruire une plainte déjà traitée par un autre tribunal compétent? </w:t>
            </w:r>
            <w:r w:rsidRPr="001B3B48">
              <w:rPr>
                <w:sz w:val="20"/>
                <w:szCs w:val="20"/>
                <w:lang w:val="fr-CA"/>
              </w:rPr>
              <w:noBreakHyphen/>
              <w:t xml:space="preserve"> Le tribunal des droits de la personne la </w:t>
            </w:r>
            <w:proofErr w:type="spellStart"/>
            <w:r w:rsidRPr="001B3B48">
              <w:rPr>
                <w:sz w:val="20"/>
                <w:szCs w:val="20"/>
                <w:lang w:val="fr-CA"/>
              </w:rPr>
              <w:t>Colombie</w:t>
            </w:r>
            <w:r w:rsidRPr="001B3B48">
              <w:rPr>
                <w:sz w:val="20"/>
                <w:szCs w:val="20"/>
                <w:lang w:val="fr-CA"/>
              </w:rPr>
              <w:noBreakHyphen/>
              <w:t>Britannique</w:t>
            </w:r>
            <w:proofErr w:type="spellEnd"/>
            <w:r w:rsidRPr="001B3B48">
              <w:rPr>
                <w:sz w:val="20"/>
                <w:szCs w:val="20"/>
                <w:lang w:val="fr-CA"/>
              </w:rPr>
              <w:t xml:space="preserve"> </w:t>
            </w:r>
            <w:proofErr w:type="spellStart"/>
            <w:r w:rsidRPr="001B3B48">
              <w:rPr>
                <w:sz w:val="20"/>
                <w:szCs w:val="20"/>
                <w:lang w:val="fr-CA"/>
              </w:rPr>
              <w:t>peut</w:t>
            </w:r>
            <w:r w:rsidRPr="001B3B48">
              <w:rPr>
                <w:sz w:val="20"/>
                <w:szCs w:val="20"/>
                <w:lang w:val="fr-CA"/>
              </w:rPr>
              <w:noBreakHyphen/>
              <w:t>il</w:t>
            </w:r>
            <w:proofErr w:type="spellEnd"/>
            <w:r w:rsidRPr="001B3B48">
              <w:rPr>
                <w:sz w:val="20"/>
                <w:szCs w:val="20"/>
                <w:lang w:val="fr-CA"/>
              </w:rPr>
              <w:t xml:space="preserve"> entendre une question qui a déjà été tranchée de façon définitive et concluante par la division de révision de la commission des accidents du travail de la </w:t>
            </w:r>
            <w:proofErr w:type="spellStart"/>
            <w:r w:rsidRPr="001B3B48">
              <w:rPr>
                <w:sz w:val="20"/>
                <w:szCs w:val="20"/>
                <w:lang w:val="fr-CA"/>
              </w:rPr>
              <w:t>Colombie</w:t>
            </w:r>
            <w:r w:rsidRPr="001B3B48">
              <w:rPr>
                <w:sz w:val="20"/>
                <w:szCs w:val="20"/>
                <w:lang w:val="fr-CA"/>
              </w:rPr>
              <w:noBreakHyphen/>
              <w:t>Britannique</w:t>
            </w:r>
            <w:proofErr w:type="spellEnd"/>
            <w:r w:rsidRPr="001B3B48">
              <w:rPr>
                <w:sz w:val="20"/>
                <w:szCs w:val="20"/>
                <w:lang w:val="fr-CA"/>
              </w:rPr>
              <w:t>?</w:t>
            </w:r>
            <w:r w:rsidR="00C478F8" w:rsidRPr="00C478F8">
              <w:rPr>
                <w:sz w:val="20"/>
                <w:szCs w:val="20"/>
              </w:rPr>
              <w:fldChar w:fldCharType="begin"/>
            </w:r>
            <w:r w:rsidRPr="009058E7">
              <w:rPr>
                <w:sz w:val="20"/>
                <w:szCs w:val="20"/>
                <w:lang w:val="fr-CA"/>
              </w:rPr>
              <w:instrText xml:space="preserve"> SEQ CHAPTER \h \r 1</w:instrText>
            </w:r>
            <w:r w:rsidR="00C478F8" w:rsidRPr="009058E7">
              <w:rPr>
                <w:sz w:val="20"/>
                <w:szCs w:val="20"/>
                <w:lang w:val="fr-CA"/>
              </w:rPr>
              <w:fldChar w:fldCharType="end"/>
            </w:r>
          </w:p>
        </w:tc>
      </w:tr>
    </w:tbl>
    <w:p w:rsidR="00945DF8" w:rsidRDefault="00945DF8" w:rsidP="00732DB7">
      <w:pPr>
        <w:widowControl w:val="0"/>
        <w:rPr>
          <w:sz w:val="20"/>
          <w:szCs w:val="20"/>
          <w:lang w:val="fr-CA"/>
        </w:rPr>
      </w:pPr>
    </w:p>
    <w:p w:rsidR="00945DF8" w:rsidRDefault="00C478F8" w:rsidP="00732DB7">
      <w:pPr>
        <w:widowControl w:val="0"/>
        <w:rPr>
          <w:sz w:val="20"/>
          <w:szCs w:val="20"/>
          <w:lang w:val="fr-CA"/>
        </w:rPr>
      </w:pPr>
      <w:r w:rsidRPr="00C478F8">
        <w:rPr>
          <w:sz w:val="20"/>
          <w:szCs w:val="20"/>
          <w:lang w:val="fr-CA"/>
        </w:rPr>
        <w:pict>
          <v:rect id="_x0000_i1073" style="width:2in;height:1pt" o:hrpct="0" o:hralign="center" o:hrstd="t" o:hrnoshade="t" o:hr="t" fillcolor="black [3213]" stroked="f"/>
        </w:pict>
      </w:r>
    </w:p>
    <w:p w:rsidR="00945DF8" w:rsidRDefault="00945DF8" w:rsidP="00732DB7">
      <w:pPr>
        <w:widowControl w:val="0"/>
        <w:rPr>
          <w:sz w:val="20"/>
          <w:szCs w:val="20"/>
          <w:lang w:val="fr-CA"/>
        </w:rPr>
      </w:pPr>
    </w:p>
    <w:p w:rsidR="00945DF8" w:rsidRPr="00945DF8" w:rsidRDefault="00945DF8" w:rsidP="00945DF8">
      <w:pPr>
        <w:widowControl w:val="0"/>
        <w:rPr>
          <w:sz w:val="20"/>
          <w:szCs w:val="20"/>
          <w:lang w:val="fr-CA"/>
        </w:rPr>
      </w:pPr>
      <w:r w:rsidRPr="00945DF8">
        <w:rPr>
          <w:sz w:val="20"/>
          <w:szCs w:val="20"/>
          <w:lang w:val="fr-CA"/>
        </w:rPr>
        <w:t>1</w:t>
      </w:r>
      <w:r>
        <w:rPr>
          <w:sz w:val="20"/>
          <w:szCs w:val="20"/>
          <w:lang w:val="fr-CA"/>
        </w:rPr>
        <w:t>7</w:t>
      </w:r>
      <w:r w:rsidRPr="00945DF8">
        <w:rPr>
          <w:sz w:val="20"/>
          <w:szCs w:val="20"/>
          <w:lang w:val="fr-CA"/>
        </w:rPr>
        <w:t>.03.2011</w:t>
      </w:r>
    </w:p>
    <w:p w:rsidR="00945DF8" w:rsidRDefault="00945DF8" w:rsidP="00945DF8">
      <w:pPr>
        <w:widowControl w:val="0"/>
        <w:rPr>
          <w:sz w:val="20"/>
          <w:szCs w:val="20"/>
          <w:lang w:val="fr-CA"/>
        </w:rPr>
      </w:pPr>
    </w:p>
    <w:p w:rsidR="00927E65" w:rsidRPr="006A123B" w:rsidRDefault="00927E65" w:rsidP="00927E65">
      <w:pPr>
        <w:widowControl w:val="0"/>
        <w:ind w:left="720" w:hanging="720"/>
        <w:rPr>
          <w:sz w:val="20"/>
          <w:szCs w:val="20"/>
          <w:u w:val="single"/>
          <w:lang w:val="fr-CA"/>
        </w:rPr>
      </w:pPr>
      <w:r w:rsidRPr="006A123B">
        <w:rPr>
          <w:sz w:val="20"/>
          <w:szCs w:val="20"/>
          <w:lang w:val="fr-CA"/>
        </w:rPr>
        <w:t xml:space="preserve">Coram: </w:t>
      </w:r>
      <w:r w:rsidRPr="006A123B">
        <w:rPr>
          <w:sz w:val="20"/>
          <w:szCs w:val="20"/>
          <w:lang w:val="fr-CA"/>
        </w:rPr>
        <w:tab/>
      </w:r>
      <w:r w:rsidRPr="006A123B">
        <w:rPr>
          <w:sz w:val="20"/>
          <w:szCs w:val="20"/>
          <w:u w:val="single"/>
          <w:lang w:val="fr-CA"/>
        </w:rPr>
        <w:t xml:space="preserve">Les juges </w:t>
      </w:r>
      <w:proofErr w:type="spellStart"/>
      <w:r w:rsidRPr="006A123B">
        <w:rPr>
          <w:sz w:val="20"/>
          <w:szCs w:val="20"/>
          <w:u w:val="single"/>
          <w:lang w:val="fr-CA"/>
        </w:rPr>
        <w:t>Binnie</w:t>
      </w:r>
      <w:proofErr w:type="spellEnd"/>
      <w:r w:rsidRPr="006A123B">
        <w:rPr>
          <w:sz w:val="20"/>
          <w:szCs w:val="20"/>
          <w:u w:val="single"/>
          <w:lang w:val="fr-CA"/>
        </w:rPr>
        <w:t xml:space="preserve">, </w:t>
      </w:r>
      <w:proofErr w:type="spellStart"/>
      <w:r w:rsidRPr="006A123B">
        <w:rPr>
          <w:sz w:val="20"/>
          <w:szCs w:val="20"/>
          <w:u w:val="single"/>
          <w:lang w:val="fr-CA"/>
        </w:rPr>
        <w:t>LeBel</w:t>
      </w:r>
      <w:proofErr w:type="spellEnd"/>
      <w:r w:rsidRPr="006A123B">
        <w:rPr>
          <w:sz w:val="20"/>
          <w:szCs w:val="20"/>
          <w:u w:val="single"/>
          <w:lang w:val="fr-CA"/>
        </w:rPr>
        <w:t xml:space="preserve">, Deschamps, Fish, Charron, </w:t>
      </w:r>
      <w:proofErr w:type="spellStart"/>
      <w:r w:rsidRPr="006A123B">
        <w:rPr>
          <w:sz w:val="20"/>
          <w:szCs w:val="20"/>
          <w:u w:val="single"/>
          <w:lang w:val="fr-CA"/>
        </w:rPr>
        <w:t>Rothstein</w:t>
      </w:r>
      <w:proofErr w:type="spellEnd"/>
      <w:r w:rsidRPr="006A123B">
        <w:rPr>
          <w:sz w:val="20"/>
          <w:szCs w:val="20"/>
          <w:u w:val="single"/>
          <w:lang w:val="fr-CA"/>
        </w:rPr>
        <w:t xml:space="preserve"> et Cromwell</w:t>
      </w:r>
    </w:p>
    <w:p w:rsidR="00945DF8" w:rsidRPr="00945DF8" w:rsidRDefault="00945DF8" w:rsidP="00945DF8">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945DF8" w:rsidRPr="00406D3C" w:rsidTr="009E6B0E">
        <w:tc>
          <w:tcPr>
            <w:tcW w:w="4380" w:type="dxa"/>
            <w:tcMar>
              <w:left w:w="0" w:type="dxa"/>
              <w:right w:w="0" w:type="dxa"/>
            </w:tcMar>
          </w:tcPr>
          <w:p w:rsidR="00945DF8" w:rsidRDefault="00927E65" w:rsidP="009E6B0E">
            <w:pPr>
              <w:widowControl w:val="0"/>
              <w:jc w:val="both"/>
              <w:rPr>
                <w:rFonts w:eastAsia="Calibri"/>
                <w:b/>
                <w:sz w:val="20"/>
                <w:szCs w:val="20"/>
                <w:lang w:val="fr-CA"/>
              </w:rPr>
            </w:pPr>
            <w:r w:rsidRPr="006A123B">
              <w:rPr>
                <w:rFonts w:eastAsia="Calibri"/>
                <w:b/>
                <w:sz w:val="20"/>
                <w:szCs w:val="20"/>
                <w:lang w:val="fr-CA"/>
              </w:rPr>
              <w:t>Sa Majesté la Reine</w:t>
            </w:r>
          </w:p>
          <w:p w:rsidR="00945DF8" w:rsidRDefault="00945DF8" w:rsidP="009E6B0E">
            <w:pPr>
              <w:widowControl w:val="0"/>
              <w:jc w:val="both"/>
              <w:rPr>
                <w:rFonts w:eastAsia="Calibri"/>
                <w:b/>
                <w:sz w:val="20"/>
                <w:szCs w:val="20"/>
                <w:lang w:val="fr-CA"/>
              </w:rPr>
            </w:pPr>
          </w:p>
          <w:p w:rsidR="00945DF8" w:rsidRPr="00856A0C" w:rsidRDefault="00945DF8" w:rsidP="009E6B0E">
            <w:pPr>
              <w:widowControl w:val="0"/>
              <w:jc w:val="both"/>
              <w:rPr>
                <w:rFonts w:eastAsia="Calibri"/>
                <w:b/>
                <w:sz w:val="20"/>
                <w:szCs w:val="20"/>
                <w:lang w:val="fr-CA"/>
              </w:rPr>
            </w:pPr>
            <w:r>
              <w:rPr>
                <w:rFonts w:eastAsia="Calibri"/>
                <w:b/>
                <w:sz w:val="20"/>
                <w:szCs w:val="20"/>
                <w:lang w:val="fr-CA"/>
              </w:rPr>
              <w:tab/>
            </w:r>
            <w:r w:rsidRPr="00856A0C">
              <w:rPr>
                <w:rFonts w:eastAsia="Calibri" w:cs="Times New Roman"/>
                <w:b/>
                <w:sz w:val="20"/>
                <w:szCs w:val="20"/>
                <w:lang w:val="fr-CA"/>
              </w:rPr>
              <w:t>c.</w:t>
            </w:r>
            <w:r w:rsidRPr="00856A0C">
              <w:rPr>
                <w:rFonts w:eastAsia="Calibri"/>
                <w:b/>
                <w:sz w:val="20"/>
                <w:szCs w:val="20"/>
                <w:lang w:val="fr-CA"/>
              </w:rPr>
              <w:t xml:space="preserve"> (33</w:t>
            </w:r>
            <w:r>
              <w:rPr>
                <w:rFonts w:eastAsia="Calibri"/>
                <w:b/>
                <w:sz w:val="20"/>
                <w:szCs w:val="20"/>
                <w:lang w:val="fr-CA"/>
              </w:rPr>
              <w:t>842</w:t>
            </w:r>
            <w:r w:rsidRPr="00856A0C">
              <w:rPr>
                <w:rFonts w:eastAsia="Calibri"/>
                <w:b/>
                <w:sz w:val="20"/>
                <w:szCs w:val="20"/>
                <w:lang w:val="fr-CA"/>
              </w:rPr>
              <w:t>)</w:t>
            </w:r>
          </w:p>
          <w:p w:rsidR="00945DF8" w:rsidRPr="00856A0C" w:rsidRDefault="00945DF8" w:rsidP="009E6B0E">
            <w:pPr>
              <w:widowControl w:val="0"/>
              <w:jc w:val="both"/>
              <w:rPr>
                <w:rFonts w:eastAsia="Calibri"/>
                <w:b/>
                <w:sz w:val="20"/>
                <w:szCs w:val="20"/>
                <w:lang w:val="fr-CA"/>
              </w:rPr>
            </w:pPr>
          </w:p>
          <w:p w:rsidR="00945DF8" w:rsidRPr="00927E65" w:rsidRDefault="00927E65" w:rsidP="009E6B0E">
            <w:pPr>
              <w:widowControl w:val="0"/>
              <w:jc w:val="both"/>
              <w:rPr>
                <w:b/>
                <w:sz w:val="20"/>
                <w:szCs w:val="20"/>
                <w:lang w:val="fr-CA"/>
              </w:rPr>
            </w:pPr>
            <w:r w:rsidRPr="00927E65">
              <w:rPr>
                <w:rFonts w:eastAsia="Calibri"/>
                <w:b/>
                <w:sz w:val="20"/>
                <w:szCs w:val="20"/>
                <w:lang w:val="fr-CA"/>
              </w:rPr>
              <w:t>S.D. (</w:t>
            </w:r>
            <w:proofErr w:type="spellStart"/>
            <w:r w:rsidRPr="00927E65">
              <w:rPr>
                <w:rFonts w:eastAsia="Calibri"/>
                <w:b/>
                <w:sz w:val="20"/>
                <w:szCs w:val="20"/>
                <w:lang w:val="fr-CA"/>
              </w:rPr>
              <w:t>Qc</w:t>
            </w:r>
            <w:proofErr w:type="spellEnd"/>
            <w:r w:rsidRPr="00927E65">
              <w:rPr>
                <w:rFonts w:eastAsia="Calibri"/>
                <w:b/>
                <w:sz w:val="20"/>
                <w:szCs w:val="20"/>
                <w:lang w:val="fr-CA"/>
              </w:rPr>
              <w:t>) (Criminelle) (De plein droit)</w:t>
            </w:r>
          </w:p>
        </w:tc>
        <w:tc>
          <w:tcPr>
            <w:tcW w:w="720" w:type="dxa"/>
            <w:tcMar>
              <w:left w:w="0" w:type="dxa"/>
              <w:right w:w="0" w:type="dxa"/>
            </w:tcMar>
          </w:tcPr>
          <w:p w:rsidR="00945DF8" w:rsidRPr="004F651C" w:rsidRDefault="00945DF8" w:rsidP="009E6B0E">
            <w:pPr>
              <w:widowControl w:val="0"/>
              <w:jc w:val="center"/>
              <w:rPr>
                <w:sz w:val="20"/>
                <w:szCs w:val="20"/>
                <w:lang w:val="fr-CA"/>
              </w:rPr>
            </w:pPr>
          </w:p>
        </w:tc>
        <w:tc>
          <w:tcPr>
            <w:tcW w:w="4380" w:type="dxa"/>
            <w:tcMar>
              <w:left w:w="0" w:type="dxa"/>
              <w:right w:w="0" w:type="dxa"/>
            </w:tcMar>
          </w:tcPr>
          <w:p w:rsidR="0052324E" w:rsidRPr="000A7356" w:rsidRDefault="0052324E" w:rsidP="0052324E">
            <w:pPr>
              <w:spacing w:line="211" w:lineRule="auto"/>
              <w:jc w:val="both"/>
              <w:rPr>
                <w:sz w:val="20"/>
                <w:szCs w:val="20"/>
                <w:lang w:val="fr-CA"/>
              </w:rPr>
            </w:pPr>
            <w:r w:rsidRPr="000A7356">
              <w:rPr>
                <w:sz w:val="20"/>
                <w:szCs w:val="20"/>
                <w:lang w:val="fr-CA"/>
              </w:rPr>
              <w:t>Joey Dubois</w:t>
            </w:r>
            <w:r>
              <w:rPr>
                <w:sz w:val="20"/>
                <w:szCs w:val="20"/>
                <w:lang w:val="fr-CA"/>
              </w:rPr>
              <w:t xml:space="preserve"> and </w:t>
            </w:r>
            <w:r w:rsidRPr="000A7356">
              <w:rPr>
                <w:sz w:val="20"/>
                <w:szCs w:val="20"/>
                <w:lang w:val="fr-CA"/>
              </w:rPr>
              <w:t>Mylène Grégoire</w:t>
            </w:r>
            <w:r>
              <w:rPr>
                <w:sz w:val="20"/>
                <w:szCs w:val="20"/>
                <w:lang w:val="fr-CA"/>
              </w:rPr>
              <w:t>, p</w:t>
            </w:r>
            <w:r w:rsidRPr="000A7356">
              <w:rPr>
                <w:sz w:val="20"/>
                <w:szCs w:val="20"/>
                <w:lang w:val="fr-CA"/>
              </w:rPr>
              <w:t>our l’appelante.</w:t>
            </w:r>
          </w:p>
          <w:p w:rsidR="0052324E" w:rsidRPr="000A7356" w:rsidRDefault="0052324E" w:rsidP="0052324E">
            <w:pPr>
              <w:spacing w:line="211" w:lineRule="auto"/>
              <w:jc w:val="both"/>
              <w:rPr>
                <w:sz w:val="20"/>
                <w:szCs w:val="20"/>
                <w:lang w:val="fr-CA"/>
              </w:rPr>
            </w:pPr>
          </w:p>
          <w:p w:rsidR="0052324E" w:rsidRPr="000A7356" w:rsidRDefault="0052324E" w:rsidP="0052324E">
            <w:pPr>
              <w:spacing w:line="211" w:lineRule="auto"/>
              <w:jc w:val="both"/>
              <w:rPr>
                <w:sz w:val="20"/>
                <w:szCs w:val="20"/>
                <w:lang w:val="fr-CA"/>
              </w:rPr>
            </w:pPr>
            <w:r w:rsidRPr="000A7356">
              <w:rPr>
                <w:sz w:val="20"/>
                <w:szCs w:val="20"/>
                <w:lang w:val="fr-CA"/>
              </w:rPr>
              <w:t>Robert Jr. Poirier</w:t>
            </w:r>
            <w:r>
              <w:rPr>
                <w:sz w:val="20"/>
                <w:szCs w:val="20"/>
                <w:lang w:val="fr-CA"/>
              </w:rPr>
              <w:t>, p</w:t>
            </w:r>
            <w:r w:rsidRPr="000A7356">
              <w:rPr>
                <w:sz w:val="20"/>
                <w:szCs w:val="20"/>
                <w:lang w:val="fr-CA"/>
              </w:rPr>
              <w:t>our l’intimé</w:t>
            </w:r>
            <w:r>
              <w:rPr>
                <w:sz w:val="20"/>
                <w:szCs w:val="20"/>
                <w:lang w:val="fr-CA"/>
              </w:rPr>
              <w:t>.</w:t>
            </w:r>
          </w:p>
          <w:p w:rsidR="00945DF8" w:rsidRPr="004F651C" w:rsidRDefault="00945DF8" w:rsidP="009E6B0E">
            <w:pPr>
              <w:widowControl w:val="0"/>
              <w:jc w:val="both"/>
              <w:rPr>
                <w:sz w:val="20"/>
                <w:szCs w:val="20"/>
                <w:lang w:val="fr-CA"/>
              </w:rPr>
            </w:pPr>
          </w:p>
        </w:tc>
      </w:tr>
    </w:tbl>
    <w:p w:rsidR="00945DF8" w:rsidRPr="004F651C" w:rsidRDefault="00945DF8" w:rsidP="00945DF8">
      <w:pPr>
        <w:widowControl w:val="0"/>
        <w:rPr>
          <w:sz w:val="20"/>
          <w:szCs w:val="20"/>
          <w:lang w:val="fr-CA"/>
        </w:rPr>
      </w:pPr>
    </w:p>
    <w:p w:rsidR="00927E65" w:rsidRPr="006A123B" w:rsidRDefault="00927E65" w:rsidP="00927E65">
      <w:pPr>
        <w:widowControl w:val="0"/>
        <w:rPr>
          <w:b/>
          <w:sz w:val="20"/>
          <w:szCs w:val="20"/>
          <w:lang w:val="fr-CA"/>
        </w:rPr>
      </w:pPr>
      <w:r w:rsidRPr="006A123B">
        <w:rPr>
          <w:b/>
          <w:bCs/>
          <w:sz w:val="20"/>
          <w:szCs w:val="20"/>
          <w:lang w:val="fr-CA"/>
        </w:rPr>
        <w:t xml:space="preserve">ALLOWED, Fish J. </w:t>
      </w:r>
      <w:proofErr w:type="spellStart"/>
      <w:r w:rsidRPr="006A123B">
        <w:rPr>
          <w:b/>
          <w:bCs/>
          <w:sz w:val="20"/>
          <w:szCs w:val="20"/>
          <w:lang w:val="fr-CA"/>
        </w:rPr>
        <w:t>dissenting</w:t>
      </w:r>
      <w:proofErr w:type="spellEnd"/>
      <w:r w:rsidRPr="006A123B">
        <w:rPr>
          <w:b/>
          <w:bCs/>
          <w:sz w:val="20"/>
          <w:szCs w:val="20"/>
          <w:lang w:val="fr-CA"/>
        </w:rPr>
        <w:t xml:space="preserve"> / ACCUEILLI, le juge Fish est dissident</w:t>
      </w:r>
    </w:p>
    <w:p w:rsidR="00945DF8" w:rsidRDefault="00945DF8" w:rsidP="00945DF8">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945DF8" w:rsidRPr="0076568E" w:rsidTr="009E6B0E">
        <w:tc>
          <w:tcPr>
            <w:tcW w:w="4380" w:type="dxa"/>
            <w:tcMar>
              <w:left w:w="0" w:type="dxa"/>
              <w:right w:w="0" w:type="dxa"/>
            </w:tcMar>
          </w:tcPr>
          <w:p w:rsidR="00945DF8" w:rsidRPr="00CC4D84" w:rsidRDefault="00945DF8" w:rsidP="009E6B0E">
            <w:pPr>
              <w:widowControl w:val="0"/>
              <w:jc w:val="both"/>
              <w:rPr>
                <w:b/>
                <w:sz w:val="20"/>
                <w:szCs w:val="20"/>
                <w:u w:val="single"/>
              </w:rPr>
            </w:pPr>
            <w:r w:rsidRPr="00CC4D84">
              <w:rPr>
                <w:b/>
                <w:sz w:val="20"/>
                <w:szCs w:val="20"/>
                <w:u w:val="single"/>
              </w:rPr>
              <w:t>Nature of the case:</w:t>
            </w:r>
          </w:p>
          <w:p w:rsidR="00945DF8" w:rsidRPr="00C1697B" w:rsidRDefault="00945DF8" w:rsidP="009E6B0E">
            <w:pPr>
              <w:widowControl w:val="0"/>
              <w:jc w:val="both"/>
              <w:rPr>
                <w:b/>
                <w:sz w:val="20"/>
                <w:szCs w:val="20"/>
              </w:rPr>
            </w:pPr>
          </w:p>
          <w:p w:rsidR="0057574B" w:rsidRPr="00883333" w:rsidRDefault="0057574B" w:rsidP="0057574B">
            <w:pPr>
              <w:widowControl w:val="0"/>
              <w:jc w:val="both"/>
              <w:rPr>
                <w:rFonts w:eastAsia="Calibri" w:cs="Times New Roman"/>
                <w:smallCaps/>
                <w:sz w:val="20"/>
                <w:szCs w:val="20"/>
              </w:rPr>
            </w:pPr>
            <w:r w:rsidRPr="00883333">
              <w:rPr>
                <w:rFonts w:eastAsia="Calibri" w:cs="Times New Roman"/>
                <w:smallCaps/>
                <w:sz w:val="20"/>
                <w:szCs w:val="20"/>
              </w:rPr>
              <w:t>(Publication Ban in Case)</w:t>
            </w:r>
          </w:p>
          <w:p w:rsidR="0057574B" w:rsidRPr="00883333" w:rsidRDefault="0057574B" w:rsidP="0057574B">
            <w:pPr>
              <w:widowControl w:val="0"/>
              <w:jc w:val="both"/>
              <w:rPr>
                <w:rFonts w:eastAsia="Calibri" w:cs="Times New Roman"/>
                <w:sz w:val="20"/>
                <w:szCs w:val="20"/>
              </w:rPr>
            </w:pPr>
          </w:p>
          <w:p w:rsidR="0057574B" w:rsidRDefault="0057574B" w:rsidP="0057574B">
            <w:pPr>
              <w:widowControl w:val="0"/>
              <w:jc w:val="both"/>
              <w:rPr>
                <w:sz w:val="20"/>
                <w:szCs w:val="20"/>
              </w:rPr>
            </w:pPr>
          </w:p>
          <w:p w:rsidR="0057574B" w:rsidRPr="00883333" w:rsidRDefault="0057574B" w:rsidP="0057574B">
            <w:pPr>
              <w:widowControl w:val="0"/>
              <w:jc w:val="both"/>
              <w:rPr>
                <w:rFonts w:eastAsia="Calibri" w:cs="Times New Roman"/>
                <w:sz w:val="20"/>
                <w:szCs w:val="20"/>
              </w:rPr>
            </w:pPr>
            <w:r w:rsidRPr="00883333">
              <w:rPr>
                <w:rFonts w:eastAsia="Calibri" w:cs="Times New Roman"/>
                <w:sz w:val="20"/>
                <w:szCs w:val="20"/>
              </w:rPr>
              <w:t xml:space="preserve">Criminal law - Indictment - Amendment - Whether majority of Court of Appeal erred in concluding that trial judge could not, following inquiry, amend date </w:t>
            </w:r>
            <w:r w:rsidRPr="00883333">
              <w:rPr>
                <w:rFonts w:eastAsia="Calibri" w:cs="Times New Roman"/>
                <w:sz w:val="20"/>
                <w:szCs w:val="20"/>
              </w:rPr>
              <w:lastRenderedPageBreak/>
              <w:t xml:space="preserve">set out in indictment to make it conform to evidence adduced at trial - </w:t>
            </w:r>
            <w:r w:rsidRPr="00883333">
              <w:rPr>
                <w:rFonts w:eastAsia="Calibri" w:cs="Times New Roman"/>
                <w:i/>
                <w:iCs/>
                <w:sz w:val="20"/>
                <w:szCs w:val="20"/>
              </w:rPr>
              <w:t>Criminal Code</w:t>
            </w:r>
            <w:r w:rsidRPr="00883333">
              <w:rPr>
                <w:rFonts w:eastAsia="Calibri" w:cs="Times New Roman"/>
                <w:sz w:val="20"/>
                <w:szCs w:val="20"/>
              </w:rPr>
              <w:t>, R.S.C. 1985, c. C-46, s. 601.</w:t>
            </w:r>
          </w:p>
          <w:p w:rsidR="00945DF8" w:rsidRPr="00C1697B" w:rsidRDefault="00945DF8" w:rsidP="00945DF8">
            <w:pPr>
              <w:jc w:val="both"/>
              <w:rPr>
                <w:b/>
                <w:sz w:val="20"/>
                <w:szCs w:val="20"/>
              </w:rPr>
            </w:pPr>
          </w:p>
        </w:tc>
        <w:tc>
          <w:tcPr>
            <w:tcW w:w="720" w:type="dxa"/>
            <w:tcMar>
              <w:left w:w="0" w:type="dxa"/>
              <w:right w:w="0" w:type="dxa"/>
            </w:tcMar>
          </w:tcPr>
          <w:p w:rsidR="00945DF8" w:rsidRPr="00C1697B" w:rsidRDefault="00945DF8" w:rsidP="009E6B0E">
            <w:pPr>
              <w:widowControl w:val="0"/>
              <w:jc w:val="center"/>
              <w:rPr>
                <w:sz w:val="20"/>
                <w:szCs w:val="20"/>
              </w:rPr>
            </w:pPr>
          </w:p>
        </w:tc>
        <w:tc>
          <w:tcPr>
            <w:tcW w:w="4380" w:type="dxa"/>
            <w:tcMar>
              <w:left w:w="0" w:type="dxa"/>
              <w:right w:w="0" w:type="dxa"/>
            </w:tcMar>
          </w:tcPr>
          <w:p w:rsidR="00945DF8" w:rsidRPr="00CC4D84" w:rsidRDefault="00945DF8" w:rsidP="009E6B0E">
            <w:pPr>
              <w:widowControl w:val="0"/>
              <w:jc w:val="both"/>
              <w:rPr>
                <w:b/>
                <w:sz w:val="20"/>
                <w:szCs w:val="20"/>
                <w:u w:val="single"/>
                <w:lang w:val="fr-CA"/>
              </w:rPr>
            </w:pPr>
            <w:r w:rsidRPr="00CC4D84">
              <w:rPr>
                <w:b/>
                <w:sz w:val="20"/>
                <w:szCs w:val="20"/>
                <w:u w:val="single"/>
                <w:lang w:val="fr-CA"/>
              </w:rPr>
              <w:t>Nature de la cause :</w:t>
            </w:r>
          </w:p>
          <w:p w:rsidR="00945DF8" w:rsidRPr="00C1697B" w:rsidRDefault="00945DF8" w:rsidP="009E6B0E">
            <w:pPr>
              <w:widowControl w:val="0"/>
              <w:jc w:val="both"/>
              <w:rPr>
                <w:sz w:val="20"/>
                <w:szCs w:val="20"/>
                <w:lang w:val="fr-CA"/>
              </w:rPr>
            </w:pPr>
          </w:p>
          <w:p w:rsidR="0057574B" w:rsidRPr="009B0BC1" w:rsidRDefault="0057574B" w:rsidP="0057574B">
            <w:pPr>
              <w:widowControl w:val="0"/>
              <w:jc w:val="both"/>
              <w:rPr>
                <w:smallCaps/>
                <w:sz w:val="20"/>
                <w:szCs w:val="20"/>
                <w:lang w:val="fr-CA"/>
              </w:rPr>
            </w:pPr>
            <w:r w:rsidRPr="009B0BC1">
              <w:rPr>
                <w:smallCaps/>
                <w:sz w:val="20"/>
                <w:szCs w:val="20"/>
                <w:lang w:val="fr-CA"/>
              </w:rPr>
              <w:t>(Ordonnance de non publication dans le dossier)</w:t>
            </w:r>
          </w:p>
          <w:p w:rsidR="0057574B" w:rsidRPr="009B0BC1" w:rsidRDefault="0057574B" w:rsidP="0057574B">
            <w:pPr>
              <w:widowControl w:val="0"/>
              <w:jc w:val="both"/>
              <w:rPr>
                <w:sz w:val="20"/>
                <w:szCs w:val="20"/>
                <w:lang w:val="fr-CA"/>
              </w:rPr>
            </w:pPr>
          </w:p>
          <w:p w:rsidR="00945DF8" w:rsidRPr="00C1697B" w:rsidRDefault="0057574B" w:rsidP="0057574B">
            <w:pPr>
              <w:widowControl w:val="0"/>
              <w:jc w:val="both"/>
              <w:rPr>
                <w:sz w:val="20"/>
                <w:szCs w:val="20"/>
                <w:lang w:val="fr-CA"/>
              </w:rPr>
            </w:pPr>
            <w:r w:rsidRPr="009B0BC1">
              <w:rPr>
                <w:sz w:val="20"/>
                <w:szCs w:val="20"/>
                <w:lang w:val="fr-CA"/>
              </w:rPr>
              <w:t xml:space="preserve">Droit criminel - Acte d’accusation - Modification - La majorité de la Cour d’appel a-t-elle fait erreur en concluant que la juge de première instance ne pouvait, </w:t>
            </w:r>
            <w:r w:rsidRPr="009B0BC1">
              <w:rPr>
                <w:sz w:val="20"/>
                <w:szCs w:val="20"/>
                <w:lang w:val="fr-CA"/>
              </w:rPr>
              <w:lastRenderedPageBreak/>
              <w:t xml:space="preserve">après l’enquête, modifier la date avancée dans l’acte d’accusation pour rendre celle-ci conforme à la preuve présentée au procès? </w:t>
            </w:r>
            <w:r w:rsidRPr="009B0BC1">
              <w:rPr>
                <w:i/>
                <w:sz w:val="20"/>
                <w:szCs w:val="20"/>
                <w:lang w:val="fr-CA"/>
              </w:rPr>
              <w:t>Code criminel</w:t>
            </w:r>
            <w:r w:rsidRPr="009B0BC1">
              <w:rPr>
                <w:sz w:val="20"/>
                <w:szCs w:val="20"/>
                <w:lang w:val="fr-CA"/>
              </w:rPr>
              <w:t>, L.R.C. 1985, ch. C-46, art. 601.</w:t>
            </w:r>
            <w:r w:rsidR="00C478F8" w:rsidRPr="00C478F8">
              <w:rPr>
                <w:sz w:val="20"/>
                <w:szCs w:val="20"/>
              </w:rPr>
              <w:fldChar w:fldCharType="begin"/>
            </w:r>
            <w:r w:rsidR="00945DF8" w:rsidRPr="009058E7">
              <w:rPr>
                <w:sz w:val="20"/>
                <w:szCs w:val="20"/>
                <w:lang w:val="fr-CA"/>
              </w:rPr>
              <w:instrText xml:space="preserve"> SEQ CHAPTER \h \r 1</w:instrText>
            </w:r>
            <w:r w:rsidR="00C478F8" w:rsidRPr="009058E7">
              <w:rPr>
                <w:sz w:val="20"/>
                <w:szCs w:val="20"/>
                <w:lang w:val="fr-CA"/>
              </w:rPr>
              <w:fldChar w:fldCharType="end"/>
            </w:r>
          </w:p>
        </w:tc>
      </w:tr>
    </w:tbl>
    <w:p w:rsidR="00945DF8" w:rsidRDefault="00945DF8" w:rsidP="00945DF8">
      <w:pPr>
        <w:widowControl w:val="0"/>
        <w:rPr>
          <w:sz w:val="20"/>
          <w:szCs w:val="20"/>
          <w:lang w:val="fr-CA"/>
        </w:rPr>
      </w:pPr>
    </w:p>
    <w:p w:rsidR="00945DF8" w:rsidRDefault="00C478F8" w:rsidP="00945DF8">
      <w:pPr>
        <w:widowControl w:val="0"/>
        <w:rPr>
          <w:sz w:val="20"/>
          <w:szCs w:val="20"/>
          <w:lang w:val="fr-CA"/>
        </w:rPr>
      </w:pPr>
      <w:r w:rsidRPr="00C478F8">
        <w:rPr>
          <w:sz w:val="20"/>
          <w:szCs w:val="20"/>
          <w:lang w:val="fr-CA"/>
        </w:rPr>
        <w:pict>
          <v:rect id="_x0000_i1074" style="width:2in;height:1pt" o:hrpct="0" o:hralign="center" o:hrstd="t" o:hrnoshade="t" o:hr="t" fillcolor="black [3213]" stroked="f"/>
        </w:pict>
      </w:r>
    </w:p>
    <w:p w:rsidR="00945DF8" w:rsidRDefault="00945DF8" w:rsidP="00732DB7">
      <w:pPr>
        <w:widowControl w:val="0"/>
        <w:rPr>
          <w:sz w:val="20"/>
          <w:szCs w:val="20"/>
          <w:lang w:val="fr-CA"/>
        </w:rPr>
      </w:pPr>
    </w:p>
    <w:p w:rsidR="00945DF8" w:rsidRPr="00C1697B" w:rsidRDefault="00945DF8"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406D3C"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517D8A" w:rsidRDefault="0057574B" w:rsidP="00AF1715">
      <w:pPr>
        <w:rPr>
          <w:b/>
          <w:sz w:val="20"/>
          <w:szCs w:val="20"/>
          <w:lang w:val="fr-CA"/>
        </w:rPr>
      </w:pPr>
      <w:r w:rsidRPr="00517D8A">
        <w:rPr>
          <w:b/>
          <w:sz w:val="20"/>
          <w:szCs w:val="20"/>
          <w:lang w:val="fr-CA"/>
        </w:rPr>
        <w:t>MARCH 18</w:t>
      </w:r>
      <w:r w:rsidR="00AF1715" w:rsidRPr="00517D8A">
        <w:rPr>
          <w:b/>
          <w:sz w:val="20"/>
          <w:szCs w:val="20"/>
          <w:lang w:val="fr-CA"/>
        </w:rPr>
        <w:t>, 201</w:t>
      </w:r>
      <w:r w:rsidRPr="00517D8A">
        <w:rPr>
          <w:b/>
          <w:sz w:val="20"/>
          <w:szCs w:val="20"/>
          <w:lang w:val="fr-CA"/>
        </w:rPr>
        <w:t>1</w:t>
      </w:r>
      <w:r w:rsidR="00AF1715" w:rsidRPr="00517D8A">
        <w:rPr>
          <w:b/>
          <w:sz w:val="20"/>
          <w:szCs w:val="20"/>
          <w:lang w:val="fr-CA"/>
        </w:rPr>
        <w:t xml:space="preserve"> / LE </w:t>
      </w:r>
      <w:r w:rsidRPr="00517D8A">
        <w:rPr>
          <w:b/>
          <w:sz w:val="20"/>
          <w:szCs w:val="20"/>
          <w:lang w:val="fr-CA"/>
        </w:rPr>
        <w:t>18 MARS</w:t>
      </w:r>
      <w:r w:rsidR="00AF1715" w:rsidRPr="00517D8A">
        <w:rPr>
          <w:b/>
          <w:sz w:val="20"/>
          <w:szCs w:val="20"/>
          <w:lang w:val="fr-CA"/>
        </w:rPr>
        <w:t xml:space="preserve"> 201</w:t>
      </w:r>
      <w:r w:rsidRPr="00517D8A">
        <w:rPr>
          <w:b/>
          <w:sz w:val="20"/>
          <w:szCs w:val="20"/>
          <w:lang w:val="fr-CA"/>
        </w:rPr>
        <w:t>1</w:t>
      </w:r>
    </w:p>
    <w:p w:rsidR="00AF1715" w:rsidRPr="00517D8A" w:rsidRDefault="00AF1715" w:rsidP="00AF1715">
      <w:pPr>
        <w:rPr>
          <w:sz w:val="20"/>
          <w:szCs w:val="20"/>
          <w:lang w:val="fr-CA"/>
        </w:rPr>
      </w:pPr>
    </w:p>
    <w:p w:rsidR="00EB384B" w:rsidRPr="00EB384B" w:rsidRDefault="00C478F8" w:rsidP="00EB384B">
      <w:pPr>
        <w:ind w:left="1440" w:hanging="1440"/>
        <w:jc w:val="both"/>
        <w:rPr>
          <w:sz w:val="20"/>
          <w:szCs w:val="20"/>
        </w:rPr>
      </w:pPr>
      <w:r w:rsidRPr="004E516F">
        <w:rPr>
          <w:b/>
          <w:sz w:val="20"/>
          <w:szCs w:val="20"/>
        </w:rPr>
        <w:fldChar w:fldCharType="begin"/>
      </w:r>
      <w:r w:rsidR="00EB384B" w:rsidRPr="00517D8A">
        <w:rPr>
          <w:b/>
          <w:sz w:val="20"/>
          <w:szCs w:val="20"/>
          <w:lang w:val="fr-CA"/>
        </w:rPr>
        <w:instrText xml:space="preserve"> SEQ CHAPTER \h \r 1</w:instrText>
      </w:r>
      <w:r w:rsidRPr="004E516F">
        <w:rPr>
          <w:b/>
          <w:sz w:val="20"/>
          <w:szCs w:val="20"/>
        </w:rPr>
        <w:fldChar w:fldCharType="end"/>
      </w:r>
      <w:r w:rsidR="00EB384B" w:rsidRPr="00517D8A">
        <w:rPr>
          <w:b/>
          <w:sz w:val="20"/>
          <w:szCs w:val="20"/>
          <w:lang w:val="fr-CA"/>
        </w:rPr>
        <w:t>33154</w:t>
      </w:r>
      <w:r w:rsidR="00EB384B" w:rsidRPr="00517D8A">
        <w:rPr>
          <w:sz w:val="20"/>
          <w:szCs w:val="20"/>
          <w:lang w:val="fr-CA"/>
        </w:rPr>
        <w:tab/>
      </w:r>
      <w:r w:rsidR="00EB384B" w:rsidRPr="00517D8A">
        <w:rPr>
          <w:b/>
          <w:sz w:val="20"/>
          <w:szCs w:val="20"/>
          <w:u w:val="single"/>
          <w:lang w:val="fr-CA"/>
        </w:rPr>
        <w:t xml:space="preserve">Michelle Seidel  v. TELUS Communications Inc. – and – Barreau du Québec, Canadian Arbitration </w:t>
      </w:r>
      <w:proofErr w:type="spellStart"/>
      <w:r w:rsidR="00EB384B" w:rsidRPr="00517D8A">
        <w:rPr>
          <w:b/>
          <w:sz w:val="20"/>
          <w:szCs w:val="20"/>
          <w:u w:val="single"/>
          <w:lang w:val="fr-CA"/>
        </w:rPr>
        <w:t>Congress</w:t>
      </w:r>
      <w:proofErr w:type="spellEnd"/>
      <w:r w:rsidR="00EB384B" w:rsidRPr="00517D8A">
        <w:rPr>
          <w:b/>
          <w:sz w:val="20"/>
          <w:szCs w:val="20"/>
          <w:u w:val="single"/>
          <w:lang w:val="fr-CA"/>
        </w:rPr>
        <w:t xml:space="preserve"> and ADR Chambers Inc.</w:t>
      </w:r>
      <w:r w:rsidR="00EB384B" w:rsidRPr="00517D8A">
        <w:rPr>
          <w:b/>
          <w:sz w:val="20"/>
          <w:szCs w:val="20"/>
          <w:lang w:val="fr-CA"/>
        </w:rPr>
        <w:t xml:space="preserve"> </w:t>
      </w:r>
      <w:r w:rsidR="00EB384B" w:rsidRPr="00EB384B">
        <w:rPr>
          <w:iCs/>
          <w:sz w:val="20"/>
          <w:szCs w:val="20"/>
        </w:rPr>
        <w:t>(B.C.)</w:t>
      </w:r>
    </w:p>
    <w:p w:rsidR="00EB384B" w:rsidRPr="00EB384B" w:rsidRDefault="00EB384B" w:rsidP="00EB384B">
      <w:pPr>
        <w:ind w:left="1440"/>
        <w:jc w:val="both"/>
        <w:rPr>
          <w:sz w:val="20"/>
          <w:szCs w:val="20"/>
        </w:rPr>
      </w:pPr>
      <w:r w:rsidRPr="00EB384B">
        <w:rPr>
          <w:b/>
          <w:sz w:val="20"/>
          <w:szCs w:val="20"/>
        </w:rPr>
        <w:t>2011 SCC 15 / 2011 CSC 15</w:t>
      </w:r>
    </w:p>
    <w:p w:rsidR="00EB384B" w:rsidRPr="00EB384B" w:rsidRDefault="00EB384B" w:rsidP="00EB384B">
      <w:pPr>
        <w:jc w:val="both"/>
        <w:rPr>
          <w:sz w:val="20"/>
          <w:szCs w:val="20"/>
        </w:rPr>
      </w:pPr>
    </w:p>
    <w:p w:rsidR="00EB384B" w:rsidRPr="004E516F" w:rsidRDefault="00EB384B" w:rsidP="00EB384B">
      <w:pPr>
        <w:ind w:left="1440" w:hanging="1440"/>
        <w:jc w:val="both"/>
        <w:rPr>
          <w:sz w:val="20"/>
          <w:szCs w:val="20"/>
        </w:rPr>
      </w:pPr>
      <w:r w:rsidRPr="004E516F">
        <w:rPr>
          <w:sz w:val="20"/>
          <w:szCs w:val="20"/>
        </w:rPr>
        <w:t>Coram</w:t>
      </w:r>
      <w:r w:rsidRPr="00EB384B">
        <w:rPr>
          <w:sz w:val="20"/>
          <w:szCs w:val="20"/>
        </w:rPr>
        <w:t xml:space="preserve">:  </w:t>
      </w:r>
      <w:r w:rsidRPr="00EB384B">
        <w:rPr>
          <w:sz w:val="20"/>
          <w:szCs w:val="20"/>
        </w:rPr>
        <w:tab/>
      </w:r>
      <w:proofErr w:type="spellStart"/>
      <w:r w:rsidRPr="00EB384B">
        <w:rPr>
          <w:sz w:val="20"/>
          <w:szCs w:val="20"/>
          <w:u w:val="single"/>
        </w:rPr>
        <w:t>McLachlin</w:t>
      </w:r>
      <w:proofErr w:type="spellEnd"/>
      <w:r w:rsidRPr="00EB384B">
        <w:rPr>
          <w:sz w:val="20"/>
          <w:szCs w:val="20"/>
          <w:u w:val="single"/>
        </w:rPr>
        <w:t xml:space="preserve"> C.J. and </w:t>
      </w:r>
      <w:proofErr w:type="spellStart"/>
      <w:r w:rsidRPr="00EB384B">
        <w:rPr>
          <w:sz w:val="20"/>
          <w:szCs w:val="20"/>
          <w:u w:val="single"/>
        </w:rPr>
        <w:t>Binnie</w:t>
      </w:r>
      <w:proofErr w:type="spellEnd"/>
      <w:r w:rsidRPr="00EB384B">
        <w:rPr>
          <w:sz w:val="20"/>
          <w:szCs w:val="20"/>
          <w:u w:val="single"/>
        </w:rPr>
        <w:t xml:space="preserve">, </w:t>
      </w:r>
      <w:proofErr w:type="spellStart"/>
      <w:r w:rsidRPr="00EB384B">
        <w:rPr>
          <w:sz w:val="20"/>
          <w:szCs w:val="20"/>
          <w:u w:val="single"/>
        </w:rPr>
        <w:t>LeBel</w:t>
      </w:r>
      <w:proofErr w:type="spellEnd"/>
      <w:r w:rsidRPr="00EB384B">
        <w:rPr>
          <w:sz w:val="20"/>
          <w:szCs w:val="20"/>
          <w:u w:val="single"/>
        </w:rPr>
        <w:t xml:space="preserve">, </w:t>
      </w:r>
      <w:proofErr w:type="spellStart"/>
      <w:r w:rsidRPr="00EB384B">
        <w:rPr>
          <w:sz w:val="20"/>
          <w:szCs w:val="20"/>
          <w:u w:val="single"/>
        </w:rPr>
        <w:t>Deschamps</w:t>
      </w:r>
      <w:proofErr w:type="spellEnd"/>
      <w:r w:rsidRPr="00EB384B">
        <w:rPr>
          <w:sz w:val="20"/>
          <w:szCs w:val="20"/>
          <w:u w:val="single"/>
        </w:rPr>
        <w:t xml:space="preserve">, Fish, </w:t>
      </w:r>
      <w:proofErr w:type="spellStart"/>
      <w:r w:rsidRPr="00EB384B">
        <w:rPr>
          <w:sz w:val="20"/>
          <w:szCs w:val="20"/>
          <w:u w:val="single"/>
        </w:rPr>
        <w:t>Abella</w:t>
      </w:r>
      <w:proofErr w:type="spellEnd"/>
      <w:r w:rsidRPr="00EB384B">
        <w:rPr>
          <w:sz w:val="20"/>
          <w:szCs w:val="20"/>
          <w:u w:val="single"/>
        </w:rPr>
        <w:t xml:space="preserve">, </w:t>
      </w:r>
      <w:proofErr w:type="spellStart"/>
      <w:r w:rsidRPr="00EB384B">
        <w:rPr>
          <w:sz w:val="20"/>
          <w:szCs w:val="20"/>
          <w:u w:val="single"/>
        </w:rPr>
        <w:t>Charron</w:t>
      </w:r>
      <w:proofErr w:type="spellEnd"/>
      <w:r w:rsidRPr="00EB384B">
        <w:rPr>
          <w:sz w:val="20"/>
          <w:szCs w:val="20"/>
          <w:u w:val="single"/>
        </w:rPr>
        <w:t>, Rothstein and Cromwell JJ.</w:t>
      </w:r>
      <w:r w:rsidRPr="004E516F">
        <w:rPr>
          <w:sz w:val="20"/>
          <w:szCs w:val="20"/>
          <w:u w:val="single"/>
        </w:rPr>
        <w:t xml:space="preserve"> </w:t>
      </w:r>
      <w:r w:rsidR="00C478F8" w:rsidRPr="004E516F">
        <w:rPr>
          <w:sz w:val="20"/>
          <w:szCs w:val="20"/>
          <w:u w:val="single"/>
        </w:rPr>
        <w:fldChar w:fldCharType="begin"/>
      </w:r>
      <w:r w:rsidRPr="004E516F">
        <w:rPr>
          <w:sz w:val="20"/>
          <w:szCs w:val="20"/>
          <w:u w:val="single"/>
        </w:rPr>
        <w:instrText xml:space="preserve"> SEQ CHAPTER \h \r 1</w:instrText>
      </w:r>
      <w:r w:rsidR="00C478F8" w:rsidRPr="004E516F">
        <w:rPr>
          <w:sz w:val="20"/>
          <w:szCs w:val="20"/>
          <w:u w:val="single"/>
        </w:rPr>
        <w:fldChar w:fldCharType="end"/>
      </w:r>
    </w:p>
    <w:p w:rsidR="00EB384B" w:rsidRPr="004E516F" w:rsidRDefault="00EB384B" w:rsidP="00EB384B">
      <w:pPr>
        <w:ind w:left="1440" w:hanging="1440"/>
        <w:jc w:val="both"/>
        <w:rPr>
          <w:sz w:val="20"/>
          <w:szCs w:val="20"/>
        </w:rPr>
      </w:pPr>
    </w:p>
    <w:p w:rsidR="00EB384B" w:rsidRPr="00EB384B" w:rsidRDefault="00EB384B" w:rsidP="00EB384B">
      <w:pPr>
        <w:jc w:val="both"/>
        <w:rPr>
          <w:sz w:val="20"/>
          <w:szCs w:val="20"/>
          <w:lang w:val="fr-CA"/>
        </w:rPr>
      </w:pPr>
      <w:r w:rsidRPr="004E516F">
        <w:rPr>
          <w:sz w:val="20"/>
          <w:szCs w:val="20"/>
        </w:rPr>
        <w:t xml:space="preserve">The appeal from the judgment of the Court of Appeal for British Columbia (Vancouver), Number CA036299, 2009 BCCA 104, dated March 13, 2009, heard on May 12, 2010, is allowed in part.  The stay is lifted with respect to the claims made pursuant to s. 172 of the British Columbia </w:t>
      </w:r>
      <w:r w:rsidRPr="004E516F">
        <w:rPr>
          <w:i/>
          <w:sz w:val="20"/>
          <w:szCs w:val="20"/>
        </w:rPr>
        <w:t>Business Practices and Consumer Protection Act</w:t>
      </w:r>
      <w:r w:rsidRPr="004E516F">
        <w:rPr>
          <w:sz w:val="20"/>
          <w:szCs w:val="20"/>
        </w:rPr>
        <w:t xml:space="preserve">.  The stay is upheld in relation to all other claims.  Costs are awarded to the appellant in this Court and in the courts below, including costs on the application for leave to appeal to this Court, in any event of the cause. </w:t>
      </w:r>
      <w:proofErr w:type="spellStart"/>
      <w:r w:rsidRPr="00EB384B">
        <w:rPr>
          <w:sz w:val="20"/>
          <w:szCs w:val="20"/>
          <w:lang w:val="fr-CA"/>
        </w:rPr>
        <w:t>LeBel</w:t>
      </w:r>
      <w:proofErr w:type="spellEnd"/>
      <w:r w:rsidRPr="00EB384B">
        <w:rPr>
          <w:sz w:val="20"/>
          <w:szCs w:val="20"/>
          <w:lang w:val="fr-CA"/>
        </w:rPr>
        <w:t xml:space="preserve">, Deschamps, Abella and Charron JJ. </w:t>
      </w:r>
      <w:proofErr w:type="gramStart"/>
      <w:r w:rsidRPr="00EB384B">
        <w:rPr>
          <w:sz w:val="20"/>
          <w:szCs w:val="20"/>
          <w:lang w:val="fr-CA"/>
        </w:rPr>
        <w:t>are</w:t>
      </w:r>
      <w:proofErr w:type="gramEnd"/>
      <w:r w:rsidRPr="00EB384B">
        <w:rPr>
          <w:sz w:val="20"/>
          <w:szCs w:val="20"/>
          <w:lang w:val="fr-CA"/>
        </w:rPr>
        <w:t xml:space="preserve"> </w:t>
      </w:r>
      <w:proofErr w:type="spellStart"/>
      <w:r w:rsidRPr="00EB384B">
        <w:rPr>
          <w:sz w:val="20"/>
          <w:szCs w:val="20"/>
          <w:lang w:val="fr-CA"/>
        </w:rPr>
        <w:t>dissenting</w:t>
      </w:r>
      <w:proofErr w:type="spellEnd"/>
      <w:r w:rsidRPr="00EB384B">
        <w:rPr>
          <w:sz w:val="20"/>
          <w:szCs w:val="20"/>
          <w:lang w:val="fr-CA"/>
        </w:rPr>
        <w:t>.</w:t>
      </w:r>
    </w:p>
    <w:p w:rsidR="00EB384B" w:rsidRPr="00EB384B" w:rsidRDefault="00EB384B" w:rsidP="00EB384B">
      <w:pPr>
        <w:jc w:val="both"/>
        <w:rPr>
          <w:sz w:val="20"/>
          <w:szCs w:val="20"/>
          <w:lang w:val="fr-CA"/>
        </w:rPr>
      </w:pPr>
    </w:p>
    <w:p w:rsidR="00EB384B" w:rsidRPr="004E516F" w:rsidRDefault="00EB384B" w:rsidP="00EB384B">
      <w:pPr>
        <w:jc w:val="both"/>
        <w:rPr>
          <w:sz w:val="20"/>
          <w:szCs w:val="20"/>
          <w:lang w:val="fr-CA"/>
        </w:rPr>
      </w:pPr>
      <w:r w:rsidRPr="004E516F">
        <w:rPr>
          <w:sz w:val="20"/>
          <w:szCs w:val="20"/>
          <w:lang w:val="fr-CA"/>
        </w:rPr>
        <w:t>L’appel interjeté contre l’arrêt de la Cour d’appel de la Colombie-Britannique (Vancouver), numéro CA036299, 2009 BCCA 104, en date du 13 mars 2009, entendu le 12 mai 2010, est accueilli en partie.  La suspension des procédures est levée à l’égard des demandes fondées sur l’art. 172 de la</w:t>
      </w:r>
      <w:r w:rsidRPr="004E516F">
        <w:rPr>
          <w:i/>
          <w:sz w:val="20"/>
          <w:szCs w:val="20"/>
          <w:lang w:val="fr-CA"/>
        </w:rPr>
        <w:t xml:space="preserve"> Business Practices and Consumer Protection </w:t>
      </w:r>
      <w:proofErr w:type="spellStart"/>
      <w:r w:rsidRPr="004E516F">
        <w:rPr>
          <w:i/>
          <w:sz w:val="20"/>
          <w:szCs w:val="20"/>
          <w:lang w:val="fr-CA"/>
        </w:rPr>
        <w:t>Act</w:t>
      </w:r>
      <w:proofErr w:type="spellEnd"/>
      <w:r w:rsidRPr="004E516F">
        <w:rPr>
          <w:sz w:val="20"/>
          <w:szCs w:val="20"/>
          <w:lang w:val="fr-CA"/>
        </w:rPr>
        <w:t xml:space="preserve"> de la Colombie-Britannique.  La suspension des procédures est confirmée à l’égard de toutes les autres demandes.  Les dépens sont accordés à l’appelante devant notre Cour et les juridictions inférieures, y compris les dépens relatifs à la demande d’autorisation d’appel à notre Cour, quelle que soit l’issue de la cause.  Les juges </w:t>
      </w:r>
      <w:proofErr w:type="spellStart"/>
      <w:r w:rsidRPr="004E516F">
        <w:rPr>
          <w:sz w:val="20"/>
          <w:szCs w:val="20"/>
          <w:lang w:val="fr-CA"/>
        </w:rPr>
        <w:t>LeBel</w:t>
      </w:r>
      <w:proofErr w:type="spellEnd"/>
      <w:r w:rsidRPr="004E516F">
        <w:rPr>
          <w:sz w:val="20"/>
          <w:szCs w:val="20"/>
          <w:lang w:val="fr-CA"/>
        </w:rPr>
        <w:t>, Deschamps, Abella et Charron sont dissidents.</w:t>
      </w:r>
    </w:p>
    <w:p w:rsidR="0057574B" w:rsidRDefault="0057574B" w:rsidP="00AF1715">
      <w:pPr>
        <w:rPr>
          <w:sz w:val="20"/>
          <w:szCs w:val="20"/>
        </w:rPr>
      </w:pPr>
    </w:p>
    <w:p w:rsidR="00AF1715" w:rsidRPr="003B3977" w:rsidRDefault="00C478F8" w:rsidP="00AF1715">
      <w:pPr>
        <w:spacing w:line="0" w:lineRule="atLeast"/>
        <w:rPr>
          <w:sz w:val="20"/>
          <w:szCs w:val="20"/>
        </w:rPr>
      </w:pPr>
      <w:r w:rsidRPr="00C478F8">
        <w:rPr>
          <w:b/>
          <w:sz w:val="20"/>
          <w:szCs w:val="20"/>
        </w:rPr>
        <w:pict>
          <v:rect id="_x0000_i1077"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7574B" w:rsidRPr="0052324E" w:rsidRDefault="0057574B" w:rsidP="005C6840">
      <w:pPr>
        <w:rPr>
          <w:rFonts w:cs="Times New Roman"/>
          <w:i/>
          <w:sz w:val="20"/>
          <w:szCs w:val="20"/>
          <w:lang w:val="fr-CA"/>
        </w:rPr>
      </w:pPr>
      <w:r w:rsidRPr="002874FC">
        <w:rPr>
          <w:rFonts w:eastAsia="Calibri" w:cs="Times New Roman"/>
          <w:i/>
          <w:sz w:val="20"/>
          <w:szCs w:val="20"/>
          <w:lang w:val="fr-CA"/>
        </w:rPr>
        <w:t xml:space="preserve">Michelle </w:t>
      </w:r>
      <w:r w:rsidRPr="002874FC">
        <w:rPr>
          <w:rFonts w:eastAsia="Calibri" w:cs="Times New Roman"/>
          <w:bCs/>
          <w:i/>
          <w:iCs/>
          <w:sz w:val="20"/>
          <w:szCs w:val="20"/>
          <w:lang w:val="fr-CA"/>
        </w:rPr>
        <w:t xml:space="preserve">Seidel v. </w:t>
      </w:r>
      <w:proofErr w:type="spellStart"/>
      <w:r w:rsidRPr="002874FC">
        <w:rPr>
          <w:rFonts w:eastAsia="Calibri" w:cs="Times New Roman"/>
          <w:bCs/>
          <w:i/>
          <w:iCs/>
          <w:sz w:val="20"/>
          <w:szCs w:val="20"/>
          <w:lang w:val="fr-CA"/>
        </w:rPr>
        <w:t>Telus</w:t>
      </w:r>
      <w:proofErr w:type="spellEnd"/>
      <w:r w:rsidRPr="002874FC">
        <w:rPr>
          <w:rFonts w:eastAsia="Calibri" w:cs="Times New Roman"/>
          <w:bCs/>
          <w:i/>
          <w:iCs/>
          <w:sz w:val="20"/>
          <w:szCs w:val="20"/>
          <w:lang w:val="fr-CA"/>
        </w:rPr>
        <w:t xml:space="preserve"> Communications Inc.</w:t>
      </w:r>
      <w:r w:rsidRPr="002874FC">
        <w:rPr>
          <w:rFonts w:eastAsia="Calibri" w:cs="Times New Roman"/>
          <w:b/>
          <w:bCs/>
          <w:sz w:val="20"/>
          <w:szCs w:val="20"/>
          <w:lang w:val="fr-CA"/>
        </w:rPr>
        <w:t xml:space="preserve"> </w:t>
      </w:r>
      <w:r w:rsidRPr="002874FC">
        <w:rPr>
          <w:rFonts w:eastAsia="Calibri" w:cs="Times New Roman"/>
          <w:bCs/>
          <w:sz w:val="20"/>
          <w:szCs w:val="20"/>
          <w:lang w:val="fr-CA"/>
        </w:rPr>
        <w:t>(B.C.) (</w:t>
      </w:r>
      <w:r w:rsidRPr="002874FC">
        <w:rPr>
          <w:rFonts w:eastAsia="Calibri" w:cs="Times New Roman"/>
          <w:sz w:val="20"/>
          <w:szCs w:val="20"/>
          <w:lang w:val="fr-CA"/>
        </w:rPr>
        <w:t>33154)</w:t>
      </w:r>
    </w:p>
    <w:p w:rsidR="0052324E" w:rsidRPr="0052324E" w:rsidRDefault="0052324E" w:rsidP="0052324E">
      <w:pPr>
        <w:jc w:val="both"/>
        <w:rPr>
          <w:b/>
          <w:sz w:val="20"/>
          <w:szCs w:val="20"/>
          <w:lang w:val="fr-CA"/>
        </w:rPr>
      </w:pPr>
      <w:proofErr w:type="spellStart"/>
      <w:r w:rsidRPr="0052324E">
        <w:rPr>
          <w:b/>
          <w:sz w:val="20"/>
          <w:szCs w:val="20"/>
          <w:lang w:val="fr-CA"/>
        </w:rPr>
        <w:t>Indexed</w:t>
      </w:r>
      <w:proofErr w:type="spellEnd"/>
      <w:r w:rsidRPr="0052324E">
        <w:rPr>
          <w:b/>
          <w:sz w:val="20"/>
          <w:szCs w:val="20"/>
          <w:lang w:val="fr-CA"/>
        </w:rPr>
        <w:t xml:space="preserve"> as</w:t>
      </w:r>
      <w:proofErr w:type="gramStart"/>
      <w:r w:rsidRPr="0052324E">
        <w:rPr>
          <w:b/>
          <w:sz w:val="20"/>
          <w:szCs w:val="20"/>
          <w:lang w:val="fr-CA"/>
        </w:rPr>
        <w:t xml:space="preserve">:  </w:t>
      </w:r>
      <w:r w:rsidRPr="0052324E">
        <w:rPr>
          <w:rStyle w:val="SCCAppellantForIndexChar"/>
          <w:rFonts w:eastAsiaTheme="minorHAnsi"/>
          <w:sz w:val="20"/>
        </w:rPr>
        <w:t>Seidel</w:t>
      </w:r>
      <w:proofErr w:type="gramEnd"/>
      <w:r w:rsidRPr="0052324E">
        <w:rPr>
          <w:b/>
          <w:sz w:val="20"/>
          <w:szCs w:val="20"/>
          <w:lang w:val="fr-CA"/>
        </w:rPr>
        <w:t xml:space="preserve"> </w:t>
      </w:r>
      <w:r w:rsidRPr="0052324E">
        <w:rPr>
          <w:b/>
          <w:i/>
          <w:sz w:val="20"/>
          <w:szCs w:val="20"/>
          <w:lang w:val="fr-CA"/>
        </w:rPr>
        <w:t>v.</w:t>
      </w:r>
      <w:r w:rsidRPr="0052324E">
        <w:rPr>
          <w:b/>
          <w:sz w:val="20"/>
          <w:szCs w:val="20"/>
          <w:lang w:val="fr-CA"/>
        </w:rPr>
        <w:t xml:space="preserve"> </w:t>
      </w:r>
      <w:r w:rsidRPr="0052324E">
        <w:rPr>
          <w:rStyle w:val="SCCRespondentForIndexChar"/>
          <w:rFonts w:eastAsiaTheme="minorHAnsi"/>
          <w:sz w:val="20"/>
          <w:lang w:val="fr-CA"/>
        </w:rPr>
        <w:t>TELUS Communications Inc. /</w:t>
      </w:r>
      <w:r>
        <w:rPr>
          <w:rStyle w:val="SCCRespondentForIndexChar"/>
          <w:rFonts w:eastAsiaTheme="minorHAnsi"/>
          <w:sz w:val="20"/>
          <w:lang w:val="fr-CA"/>
        </w:rPr>
        <w:t xml:space="preserve"> </w:t>
      </w:r>
      <w:r w:rsidRPr="0052324E">
        <w:rPr>
          <w:b/>
          <w:sz w:val="20"/>
          <w:szCs w:val="20"/>
          <w:lang w:val="fr-CA"/>
        </w:rPr>
        <w:t xml:space="preserve">Répertorié : </w:t>
      </w:r>
      <w:r w:rsidRPr="00916521">
        <w:rPr>
          <w:rStyle w:val="SCCAppellantForIndexChar"/>
          <w:rFonts w:eastAsiaTheme="minorHAnsi"/>
          <w:sz w:val="20"/>
        </w:rPr>
        <w:t>Seidel</w:t>
      </w:r>
      <w:r w:rsidRPr="0052324E">
        <w:rPr>
          <w:b/>
          <w:sz w:val="20"/>
          <w:szCs w:val="20"/>
          <w:lang w:val="fr-CA"/>
        </w:rPr>
        <w:t xml:space="preserve"> </w:t>
      </w:r>
      <w:r w:rsidRPr="0052324E">
        <w:rPr>
          <w:b/>
          <w:i/>
          <w:sz w:val="20"/>
          <w:szCs w:val="20"/>
          <w:lang w:val="fr-CA"/>
        </w:rPr>
        <w:t>c.</w:t>
      </w:r>
      <w:r w:rsidRPr="0052324E">
        <w:rPr>
          <w:b/>
          <w:sz w:val="20"/>
          <w:szCs w:val="20"/>
          <w:lang w:val="fr-CA"/>
        </w:rPr>
        <w:t xml:space="preserve"> </w:t>
      </w:r>
      <w:r w:rsidRPr="0052324E">
        <w:rPr>
          <w:rStyle w:val="SCCRespondentForIndexChar"/>
          <w:rFonts w:eastAsiaTheme="minorHAnsi"/>
          <w:sz w:val="20"/>
          <w:lang w:val="fr-CA"/>
        </w:rPr>
        <w:t>TELUS Communications Inc.</w:t>
      </w:r>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sidR="007F387B">
        <w:rPr>
          <w:sz w:val="20"/>
        </w:rPr>
        <w:t>1</w:t>
      </w:r>
      <w:proofErr w:type="gramEnd"/>
      <w:r w:rsidRPr="003B3977">
        <w:rPr>
          <w:sz w:val="20"/>
        </w:rPr>
        <w:t xml:space="preserve"> SCC </w:t>
      </w:r>
      <w:r w:rsidR="007F387B">
        <w:rPr>
          <w:sz w:val="20"/>
        </w:rPr>
        <w:t>1</w:t>
      </w:r>
      <w:r w:rsidR="007730A8">
        <w:rPr>
          <w:sz w:val="20"/>
        </w:rPr>
        <w:t>5</w:t>
      </w:r>
      <w:r w:rsidRPr="003B3977">
        <w:rPr>
          <w:sz w:val="20"/>
        </w:rPr>
        <w:t xml:space="preserve"> / Référence neutre : 201</w:t>
      </w:r>
      <w:r w:rsidR="007F387B">
        <w:rPr>
          <w:sz w:val="20"/>
        </w:rPr>
        <w:t>1</w:t>
      </w:r>
      <w:r w:rsidRPr="003B3977">
        <w:rPr>
          <w:sz w:val="20"/>
        </w:rPr>
        <w:t xml:space="preserve"> CSC </w:t>
      </w:r>
      <w:r w:rsidR="007F387B">
        <w:rPr>
          <w:sz w:val="20"/>
        </w:rPr>
        <w:t>1</w:t>
      </w:r>
      <w:r w:rsidR="007730A8">
        <w:rPr>
          <w:sz w:val="20"/>
        </w:rPr>
        <w:t>5</w:t>
      </w:r>
    </w:p>
    <w:p w:rsidR="005C6840" w:rsidRPr="003B3977" w:rsidRDefault="005C6840" w:rsidP="005C6840">
      <w:pPr>
        <w:rPr>
          <w:rFonts w:cs="Times New Roman"/>
          <w:sz w:val="20"/>
          <w:szCs w:val="20"/>
          <w:lang w:val="fr-CA"/>
        </w:rPr>
      </w:pPr>
      <w:proofErr w:type="spellStart"/>
      <w:r w:rsidRPr="003B3977">
        <w:rPr>
          <w:rFonts w:cs="Times New Roman"/>
          <w:sz w:val="20"/>
          <w:szCs w:val="20"/>
          <w:lang w:val="fr-CA"/>
        </w:rPr>
        <w:t>Hearing</w:t>
      </w:r>
      <w:proofErr w:type="spellEnd"/>
      <w:proofErr w:type="gramStart"/>
      <w:r w:rsidRPr="003B3977">
        <w:rPr>
          <w:rFonts w:cs="Times New Roman"/>
          <w:sz w:val="20"/>
          <w:szCs w:val="20"/>
          <w:lang w:val="fr-CA"/>
        </w:rPr>
        <w:t xml:space="preserve">:  </w:t>
      </w:r>
      <w:r w:rsidR="0052324E">
        <w:rPr>
          <w:rFonts w:cs="Times New Roman"/>
          <w:sz w:val="20"/>
          <w:szCs w:val="20"/>
          <w:lang w:val="fr-CA"/>
        </w:rPr>
        <w:t>May</w:t>
      </w:r>
      <w:proofErr w:type="gramEnd"/>
      <w:r w:rsidR="0052324E">
        <w:rPr>
          <w:rFonts w:cs="Times New Roman"/>
          <w:sz w:val="20"/>
          <w:szCs w:val="20"/>
          <w:lang w:val="fr-CA"/>
        </w:rPr>
        <w:t xml:space="preserve"> 12</w:t>
      </w:r>
      <w:r w:rsidRPr="003B3977">
        <w:rPr>
          <w:rFonts w:cs="Times New Roman"/>
          <w:sz w:val="20"/>
          <w:szCs w:val="20"/>
          <w:lang w:val="fr-CA"/>
        </w:rPr>
        <w:t xml:space="preserve">, 2010 / </w:t>
      </w:r>
      <w:proofErr w:type="spellStart"/>
      <w:r w:rsidRPr="003B3977">
        <w:rPr>
          <w:rFonts w:cs="Times New Roman"/>
          <w:sz w:val="20"/>
          <w:szCs w:val="20"/>
          <w:lang w:val="fr-CA"/>
        </w:rPr>
        <w:t>Judgment</w:t>
      </w:r>
      <w:proofErr w:type="spellEnd"/>
      <w:r w:rsidRPr="003B3977">
        <w:rPr>
          <w:rFonts w:cs="Times New Roman"/>
          <w:sz w:val="20"/>
          <w:szCs w:val="20"/>
          <w:lang w:val="fr-CA"/>
        </w:rPr>
        <w:t xml:space="preserve">:  </w:t>
      </w:r>
      <w:r w:rsidR="005B0FDE">
        <w:rPr>
          <w:rFonts w:cs="Times New Roman"/>
          <w:sz w:val="20"/>
          <w:szCs w:val="20"/>
          <w:lang w:val="fr-CA"/>
        </w:rPr>
        <w:t>March 18</w:t>
      </w:r>
      <w:r w:rsidRPr="003B3977">
        <w:rPr>
          <w:rFonts w:cs="Times New Roman"/>
          <w:sz w:val="20"/>
          <w:szCs w:val="20"/>
          <w:lang w:val="fr-CA"/>
        </w:rPr>
        <w:t>, 201</w:t>
      </w:r>
      <w:r w:rsidR="005B0FDE">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52324E">
        <w:rPr>
          <w:rFonts w:cs="Times New Roman"/>
          <w:sz w:val="20"/>
          <w:szCs w:val="20"/>
          <w:lang w:val="fr-CA"/>
        </w:rPr>
        <w:t>12 mai</w:t>
      </w:r>
      <w:r w:rsidRPr="003B3977">
        <w:rPr>
          <w:rFonts w:cs="Times New Roman"/>
          <w:sz w:val="20"/>
          <w:szCs w:val="20"/>
          <w:lang w:val="fr-CA"/>
        </w:rPr>
        <w:t xml:space="preserve"> 2010 / Jugement : Le </w:t>
      </w:r>
      <w:r w:rsidR="005B0FDE">
        <w:rPr>
          <w:rFonts w:cs="Times New Roman"/>
          <w:sz w:val="20"/>
          <w:szCs w:val="20"/>
          <w:lang w:val="fr-CA"/>
        </w:rPr>
        <w:t>18 mars</w:t>
      </w:r>
      <w:r w:rsidRPr="003B3977">
        <w:rPr>
          <w:rFonts w:cs="Times New Roman"/>
          <w:sz w:val="20"/>
          <w:szCs w:val="20"/>
          <w:lang w:val="fr-CA"/>
        </w:rPr>
        <w:t xml:space="preserve"> 201</w:t>
      </w:r>
      <w:r w:rsidR="005B0FDE">
        <w:rPr>
          <w:rFonts w:cs="Times New Roman"/>
          <w:sz w:val="20"/>
          <w:szCs w:val="20"/>
          <w:lang w:val="fr-CA"/>
        </w:rPr>
        <w:t>1</w:t>
      </w:r>
    </w:p>
    <w:p w:rsidR="005C6840" w:rsidRPr="003B3977" w:rsidRDefault="00C478F8" w:rsidP="005C6840">
      <w:pPr>
        <w:rPr>
          <w:rFonts w:cs="Times New Roman"/>
          <w:sz w:val="20"/>
          <w:szCs w:val="20"/>
          <w:lang w:val="fr-CA"/>
        </w:rPr>
      </w:pPr>
      <w:r w:rsidRPr="00C478F8">
        <w:rPr>
          <w:rFonts w:cs="Times New Roman"/>
          <w:i/>
          <w:sz w:val="20"/>
          <w:szCs w:val="20"/>
        </w:rPr>
        <w:pict>
          <v:rect id="_x0000_i1080" style="width:480.95pt;height:1pt" o:hralign="center" o:hrstd="t" o:hrnoshade="t" o:hr="t" fillcolor="black [3213]" stroked="f"/>
        </w:pict>
      </w:r>
    </w:p>
    <w:p w:rsidR="005C6840" w:rsidRDefault="005C6840" w:rsidP="005C6840">
      <w:pPr>
        <w:rPr>
          <w:rFonts w:cs="Times New Roman"/>
          <w:sz w:val="20"/>
          <w:szCs w:val="20"/>
          <w:lang w:val="fr-CA"/>
        </w:rPr>
      </w:pPr>
    </w:p>
    <w:p w:rsidR="00CD4E1D" w:rsidRPr="00E659E0" w:rsidRDefault="00CD4E1D" w:rsidP="00CD4E1D">
      <w:pPr>
        <w:jc w:val="both"/>
        <w:rPr>
          <w:sz w:val="20"/>
          <w:szCs w:val="20"/>
        </w:rPr>
      </w:pPr>
      <w:r w:rsidRPr="00E659E0">
        <w:rPr>
          <w:sz w:val="20"/>
          <w:szCs w:val="20"/>
        </w:rPr>
        <w:t xml:space="preserve">Present:  </w:t>
      </w:r>
      <w:proofErr w:type="spellStart"/>
      <w:r w:rsidRPr="00E659E0">
        <w:rPr>
          <w:sz w:val="20"/>
          <w:szCs w:val="20"/>
        </w:rPr>
        <w:t>McLachlin</w:t>
      </w:r>
      <w:proofErr w:type="spellEnd"/>
      <w:r w:rsidRPr="00E659E0">
        <w:rPr>
          <w:sz w:val="20"/>
          <w:szCs w:val="20"/>
        </w:rPr>
        <w:t xml:space="preserve"> C.J. and </w:t>
      </w:r>
      <w:proofErr w:type="spellStart"/>
      <w:r w:rsidRPr="00E659E0">
        <w:rPr>
          <w:sz w:val="20"/>
          <w:szCs w:val="20"/>
        </w:rPr>
        <w:t>Binnie</w:t>
      </w:r>
      <w:proofErr w:type="spellEnd"/>
      <w:r w:rsidRPr="00E659E0">
        <w:rPr>
          <w:sz w:val="20"/>
          <w:szCs w:val="20"/>
        </w:rPr>
        <w:t xml:space="preserve">, </w:t>
      </w:r>
      <w:proofErr w:type="spellStart"/>
      <w:r w:rsidRPr="00E659E0">
        <w:rPr>
          <w:sz w:val="20"/>
          <w:szCs w:val="20"/>
        </w:rPr>
        <w:t>LeBel</w:t>
      </w:r>
      <w:proofErr w:type="spellEnd"/>
      <w:r w:rsidRPr="00E659E0">
        <w:rPr>
          <w:sz w:val="20"/>
          <w:szCs w:val="20"/>
        </w:rPr>
        <w:t xml:space="preserve">, </w:t>
      </w:r>
      <w:proofErr w:type="spellStart"/>
      <w:r w:rsidRPr="00E659E0">
        <w:rPr>
          <w:sz w:val="20"/>
          <w:szCs w:val="20"/>
        </w:rPr>
        <w:t>Deschamps</w:t>
      </w:r>
      <w:proofErr w:type="spellEnd"/>
      <w:r w:rsidRPr="00E659E0">
        <w:rPr>
          <w:sz w:val="20"/>
          <w:szCs w:val="20"/>
        </w:rPr>
        <w:t xml:space="preserve">, Fish, </w:t>
      </w:r>
      <w:proofErr w:type="spellStart"/>
      <w:r w:rsidRPr="00E659E0">
        <w:rPr>
          <w:sz w:val="20"/>
          <w:szCs w:val="20"/>
        </w:rPr>
        <w:t>Abella</w:t>
      </w:r>
      <w:proofErr w:type="spellEnd"/>
      <w:r w:rsidRPr="00E659E0">
        <w:rPr>
          <w:sz w:val="20"/>
          <w:szCs w:val="20"/>
        </w:rPr>
        <w:t xml:space="preserve">, </w:t>
      </w:r>
      <w:proofErr w:type="spellStart"/>
      <w:r w:rsidRPr="00E659E0">
        <w:rPr>
          <w:sz w:val="20"/>
          <w:szCs w:val="20"/>
        </w:rPr>
        <w:t>Charron</w:t>
      </w:r>
      <w:proofErr w:type="spellEnd"/>
      <w:r w:rsidRPr="00E659E0">
        <w:rPr>
          <w:sz w:val="20"/>
          <w:szCs w:val="20"/>
        </w:rPr>
        <w:t>, Rothstein and Cromwell JJ.</w:t>
      </w:r>
    </w:p>
    <w:p w:rsidR="00CD4E1D" w:rsidRPr="00E659E0" w:rsidRDefault="00CD4E1D" w:rsidP="00CD4E1D">
      <w:pPr>
        <w:pStyle w:val="SCCNormalDoubleSpacing"/>
        <w:spacing w:line="240" w:lineRule="auto"/>
        <w:rPr>
          <w:smallCaps/>
          <w:sz w:val="20"/>
        </w:rPr>
      </w:pPr>
    </w:p>
    <w:p w:rsidR="00CD4E1D" w:rsidRDefault="00CD4E1D" w:rsidP="00CD4E1D">
      <w:pPr>
        <w:pStyle w:val="SCCNormalDoubleSpacing"/>
        <w:spacing w:line="240" w:lineRule="auto"/>
        <w:rPr>
          <w:i/>
          <w:sz w:val="20"/>
          <w:lang w:val="en-US"/>
        </w:rPr>
      </w:pPr>
      <w:r w:rsidRPr="00E659E0">
        <w:rPr>
          <w:sz w:val="20"/>
          <w:lang w:val="en-US"/>
        </w:rPr>
        <w:tab/>
      </w:r>
      <w:r w:rsidRPr="00E659E0">
        <w:rPr>
          <w:i/>
          <w:sz w:val="20"/>
          <w:lang w:val="en-US"/>
        </w:rPr>
        <w:t xml:space="preserve">Consumer Protection — Contracts — Arbitration — Class actions — Stay of proceedings — Cell phone service contract containing private and confidential mediation and arbitration  and class action waiver clause — Customer filing claim in B.C. Supreme Court for declaratory and injunctive relief alleging cell phone service provider engaged in deceptive and unconscionable practices — Customer seeking relief as individual and as representative of class — Cell phone company obtaining stay of proceedings under Commercial Arbitration Act — British Columbia Business Practices and Consumer Protection Act (BPCPA) stating agreements waiving or releasing rights, benefits or protections under the Act are void — Whether BPCPA renders arbitration clause void such that the stay of the court proceedings should be lifted — Business Practices and Consumer Protection Act, S.B.C. 2004, c. 2, ss. 3, 171, 172. — Commercial Arbitration Act, R.S.B.C. 1996, c. 55, s. 15. </w:t>
      </w:r>
    </w:p>
    <w:p w:rsidR="00CD4E1D" w:rsidRPr="00E659E0" w:rsidRDefault="00CD4E1D" w:rsidP="00CD4E1D">
      <w:pPr>
        <w:pStyle w:val="SCCNormalDoubleSpacing"/>
        <w:spacing w:line="240" w:lineRule="auto"/>
        <w:rPr>
          <w:i/>
          <w:sz w:val="20"/>
          <w:lang w:val="en-US"/>
        </w:rPr>
      </w:pPr>
    </w:p>
    <w:p w:rsidR="00CD4E1D" w:rsidRDefault="00CD4E1D" w:rsidP="00CD4E1D">
      <w:pPr>
        <w:pStyle w:val="SCCNormalDoubleSpacing"/>
        <w:spacing w:line="240" w:lineRule="auto"/>
        <w:rPr>
          <w:i/>
          <w:sz w:val="20"/>
          <w:lang w:val="en-US"/>
        </w:rPr>
      </w:pPr>
      <w:r w:rsidRPr="00E659E0">
        <w:rPr>
          <w:i/>
          <w:sz w:val="20"/>
          <w:lang w:val="en-US"/>
        </w:rPr>
        <w:tab/>
        <w:t xml:space="preserve">Arbitration — </w:t>
      </w:r>
      <w:proofErr w:type="spellStart"/>
      <w:r w:rsidRPr="00E659E0">
        <w:rPr>
          <w:i/>
          <w:sz w:val="20"/>
          <w:lang w:val="en-US"/>
        </w:rPr>
        <w:t>Competence</w:t>
      </w:r>
      <w:r w:rsidRPr="00E659E0">
        <w:rPr>
          <w:i/>
          <w:sz w:val="20"/>
          <w:lang w:val="en-US"/>
        </w:rPr>
        <w:noBreakHyphen/>
        <w:t>competence</w:t>
      </w:r>
      <w:proofErr w:type="spellEnd"/>
      <w:r w:rsidRPr="00E659E0">
        <w:rPr>
          <w:i/>
          <w:sz w:val="20"/>
          <w:lang w:val="en-US"/>
        </w:rPr>
        <w:t xml:space="preserve"> principle — Effect of arbitration clause on jurisdiction of court — Customer signing contract with mobile phone service provider containing mandatory mediation and arbitration clause — Customer filing claim in B.C. Supreme Court for declaratory and injunctive relief under the BPCPA — Whether question of jurisdiction should be determined by court or arbitrator — Business Practices and Consumer Protection Act, S.B.C. 2004, c. 2, ss. 3, 171, 172 — Commercial Arbitration Act, R.S.B.C. 1996, c. 55, s. 22. </w:t>
      </w:r>
    </w:p>
    <w:p w:rsidR="00CD4E1D" w:rsidRPr="00E659E0" w:rsidRDefault="00CD4E1D" w:rsidP="00CD4E1D">
      <w:pPr>
        <w:pStyle w:val="SCCNormalDoubleSpacing"/>
        <w:spacing w:line="240" w:lineRule="auto"/>
        <w:rPr>
          <w:i/>
          <w:sz w:val="20"/>
          <w:lang w:val="en-US"/>
        </w:rPr>
      </w:pPr>
    </w:p>
    <w:p w:rsidR="00CD4E1D" w:rsidRDefault="00CD4E1D" w:rsidP="00CD4E1D">
      <w:pPr>
        <w:pStyle w:val="SCCNormalDoubleSpacing"/>
        <w:spacing w:line="240" w:lineRule="auto"/>
        <w:rPr>
          <w:sz w:val="20"/>
          <w:lang w:val="en-US"/>
        </w:rPr>
      </w:pPr>
      <w:r w:rsidRPr="00E659E0">
        <w:rPr>
          <w:sz w:val="20"/>
          <w:lang w:val="en-US"/>
        </w:rPr>
        <w:tab/>
        <w:t xml:space="preserve">TELUS and S entered into a written cellular phone services contract in 2000.  The standard form contract included a clause referring disputes to private and confidential mediation and arbitration.  It further purported to waive any right to commence or participate in a class action.  By statement of claim filed in the Supreme Court of British Columbia, S asserted a variety of claims, including (but not limited to) statutory causes of action under the </w:t>
      </w:r>
      <w:r w:rsidRPr="00E659E0">
        <w:rPr>
          <w:i/>
          <w:sz w:val="20"/>
          <w:lang w:val="en-US"/>
        </w:rPr>
        <w:t>BPCPA</w:t>
      </w:r>
      <w:r w:rsidRPr="00E659E0">
        <w:rPr>
          <w:sz w:val="20"/>
          <w:lang w:val="en-US"/>
        </w:rPr>
        <w:t xml:space="preserve">, alleging that TELUS falsely represented to her and other consumers how it calculates air time for billing purposes.  She sought remedial relief under ss. 171 and 172 of the </w:t>
      </w:r>
      <w:r w:rsidRPr="00E659E0">
        <w:rPr>
          <w:i/>
          <w:sz w:val="20"/>
          <w:lang w:val="en-US"/>
        </w:rPr>
        <w:t>BPCPA</w:t>
      </w:r>
      <w:r w:rsidRPr="00E659E0">
        <w:rPr>
          <w:sz w:val="20"/>
          <w:lang w:val="en-US"/>
        </w:rPr>
        <w:t xml:space="preserve"> in respect of what she contends are deceptive and unconscionable practices, as well as certification to act on her own behalf and as representative of a class of allegedly overcharged customers.</w:t>
      </w:r>
    </w:p>
    <w:p w:rsidR="00CD4E1D" w:rsidRPr="00E659E0" w:rsidRDefault="00CD4E1D" w:rsidP="00CD4E1D">
      <w:pPr>
        <w:pStyle w:val="SCCNormalDoubleSpacing"/>
        <w:spacing w:line="240" w:lineRule="auto"/>
        <w:rPr>
          <w:sz w:val="20"/>
          <w:lang w:val="en-US"/>
        </w:rPr>
      </w:pPr>
    </w:p>
    <w:p w:rsidR="00CD4E1D" w:rsidRDefault="00CD4E1D" w:rsidP="00CD4E1D">
      <w:pPr>
        <w:pStyle w:val="SCCNormalDoubleSpacing"/>
        <w:spacing w:line="240" w:lineRule="auto"/>
        <w:rPr>
          <w:sz w:val="20"/>
          <w:lang w:val="en-US"/>
        </w:rPr>
      </w:pPr>
      <w:r w:rsidRPr="00E659E0">
        <w:rPr>
          <w:sz w:val="20"/>
          <w:lang w:val="en-US"/>
        </w:rPr>
        <w:tab/>
        <w:t xml:space="preserve">In the course of S’s application to have her claim certified as a class action, TELUS applied for a stay of all proceedings on the basis of the arbitration clause, pursuant to s. 15 of the </w:t>
      </w:r>
      <w:r w:rsidRPr="00E659E0">
        <w:rPr>
          <w:i/>
          <w:sz w:val="20"/>
          <w:lang w:val="en-US"/>
        </w:rPr>
        <w:t>Commercial Arbitration Act</w:t>
      </w:r>
      <w:r w:rsidRPr="00E659E0">
        <w:rPr>
          <w:sz w:val="20"/>
          <w:lang w:val="en-US"/>
        </w:rPr>
        <w:t xml:space="preserve">.  The trial judge denied TELUS’s application finding it was premature to determine whether the action should be stayed until the certification application had been decided.  Applying the </w:t>
      </w:r>
      <w:proofErr w:type="spellStart"/>
      <w:r w:rsidRPr="00E659E0">
        <w:rPr>
          <w:sz w:val="20"/>
          <w:lang w:val="en-US"/>
        </w:rPr>
        <w:t>competence</w:t>
      </w:r>
      <w:r w:rsidRPr="00E659E0">
        <w:rPr>
          <w:sz w:val="20"/>
          <w:lang w:val="en-US"/>
        </w:rPr>
        <w:noBreakHyphen/>
        <w:t>competence</w:t>
      </w:r>
      <w:proofErr w:type="spellEnd"/>
      <w:r w:rsidRPr="00E659E0">
        <w:rPr>
          <w:sz w:val="20"/>
          <w:lang w:val="en-US"/>
        </w:rPr>
        <w:t xml:space="preserve"> principle, the Court of Appeal held that S was bound by the arbitration clause contained in the contract of adhesion in respect of all claims.  In the result, the Court of Appeal allowed the appeal and entered a stay of S’s action in its entirety, holding that it is for the arbitrator to determine which claims are subject to arbitration and which should go before a court.</w:t>
      </w:r>
    </w:p>
    <w:p w:rsidR="00CD4E1D" w:rsidRPr="00E659E0" w:rsidRDefault="00CD4E1D" w:rsidP="00CD4E1D">
      <w:pPr>
        <w:pStyle w:val="SCCNormalDoubleSpacing"/>
        <w:spacing w:line="240" w:lineRule="auto"/>
        <w:rPr>
          <w:sz w:val="20"/>
          <w:lang w:val="en-US"/>
        </w:rPr>
      </w:pPr>
    </w:p>
    <w:p w:rsidR="00CD4E1D" w:rsidRDefault="00CD4E1D" w:rsidP="00CD4E1D">
      <w:pPr>
        <w:pStyle w:val="SCCNormalDoubleSpacing"/>
        <w:spacing w:line="240" w:lineRule="auto"/>
        <w:rPr>
          <w:sz w:val="20"/>
        </w:rPr>
      </w:pPr>
      <w:r w:rsidRPr="00CD4E1D">
        <w:rPr>
          <w:rStyle w:val="QuoteChar"/>
          <w:sz w:val="20"/>
          <w:lang w:val="en-CA"/>
        </w:rPr>
        <w:tab/>
        <w:t>Held (</w:t>
      </w:r>
      <w:proofErr w:type="spellStart"/>
      <w:r w:rsidRPr="00CD4E1D">
        <w:rPr>
          <w:rStyle w:val="QuoteChar"/>
          <w:sz w:val="20"/>
          <w:lang w:val="en-CA"/>
        </w:rPr>
        <w:t>LeBel</w:t>
      </w:r>
      <w:proofErr w:type="spellEnd"/>
      <w:r w:rsidRPr="00CD4E1D">
        <w:rPr>
          <w:rStyle w:val="QuoteChar"/>
          <w:sz w:val="20"/>
          <w:lang w:val="en-CA"/>
        </w:rPr>
        <w:t xml:space="preserve">, </w:t>
      </w:r>
      <w:proofErr w:type="spellStart"/>
      <w:r w:rsidRPr="00CD4E1D">
        <w:rPr>
          <w:rStyle w:val="QuoteChar"/>
          <w:sz w:val="20"/>
          <w:lang w:val="en-CA"/>
        </w:rPr>
        <w:t>Deschamps</w:t>
      </w:r>
      <w:proofErr w:type="spellEnd"/>
      <w:r w:rsidRPr="00CD4E1D">
        <w:rPr>
          <w:rStyle w:val="QuoteChar"/>
          <w:sz w:val="20"/>
          <w:lang w:val="en-CA"/>
        </w:rPr>
        <w:t xml:space="preserve">, </w:t>
      </w:r>
      <w:proofErr w:type="spellStart"/>
      <w:r w:rsidRPr="00CD4E1D">
        <w:rPr>
          <w:rStyle w:val="QuoteChar"/>
          <w:sz w:val="20"/>
          <w:lang w:val="en-CA"/>
        </w:rPr>
        <w:t>Abella</w:t>
      </w:r>
      <w:proofErr w:type="spellEnd"/>
      <w:r w:rsidRPr="00CD4E1D">
        <w:rPr>
          <w:rStyle w:val="QuoteChar"/>
          <w:sz w:val="20"/>
          <w:lang w:val="en-CA"/>
        </w:rPr>
        <w:t xml:space="preserve"> and </w:t>
      </w:r>
      <w:proofErr w:type="spellStart"/>
      <w:r w:rsidRPr="00CD4E1D">
        <w:rPr>
          <w:rStyle w:val="QuoteChar"/>
          <w:sz w:val="20"/>
          <w:lang w:val="en-CA"/>
        </w:rPr>
        <w:t>Charron</w:t>
      </w:r>
      <w:proofErr w:type="spellEnd"/>
      <w:r w:rsidRPr="00CD4E1D">
        <w:rPr>
          <w:rStyle w:val="QuoteChar"/>
          <w:sz w:val="20"/>
          <w:lang w:val="en-CA"/>
        </w:rPr>
        <w:t xml:space="preserve"> JJ. </w:t>
      </w:r>
      <w:proofErr w:type="gramStart"/>
      <w:r w:rsidRPr="00CD4E1D">
        <w:rPr>
          <w:rStyle w:val="QuoteChar"/>
          <w:sz w:val="20"/>
          <w:lang w:val="en-CA"/>
        </w:rPr>
        <w:t>dissenting)</w:t>
      </w:r>
      <w:proofErr w:type="gramEnd"/>
      <w:r w:rsidRPr="00CD4E1D">
        <w:rPr>
          <w:rStyle w:val="QuoteChar"/>
          <w:sz w:val="20"/>
          <w:lang w:val="en-CA"/>
        </w:rPr>
        <w:t>:</w:t>
      </w:r>
      <w:r w:rsidRPr="00E659E0">
        <w:rPr>
          <w:sz w:val="20"/>
        </w:rPr>
        <w:t xml:space="preserve">  The appeal should be allowed in part, and the stay lifted in relation to the s. 172 claims.</w:t>
      </w:r>
    </w:p>
    <w:p w:rsidR="00CD4E1D" w:rsidRPr="00E659E0" w:rsidRDefault="00CD4E1D" w:rsidP="00CD4E1D">
      <w:pPr>
        <w:pStyle w:val="SCCNormalDoubleSpacing"/>
        <w:spacing w:line="240" w:lineRule="auto"/>
        <w:rPr>
          <w:sz w:val="20"/>
        </w:rPr>
      </w:pPr>
    </w:p>
    <w:p w:rsidR="00CD4E1D" w:rsidRDefault="00CD4E1D" w:rsidP="00CD4E1D">
      <w:pPr>
        <w:pStyle w:val="SCCNormalDoubleSpacing"/>
        <w:spacing w:line="240" w:lineRule="auto"/>
        <w:rPr>
          <w:sz w:val="20"/>
          <w:lang w:val="en-US"/>
        </w:rPr>
      </w:pPr>
      <w:r w:rsidRPr="00E659E0">
        <w:rPr>
          <w:i/>
          <w:sz w:val="20"/>
          <w:lang w:val="en-US"/>
        </w:rPr>
        <w:tab/>
        <w:t>Per</w:t>
      </w:r>
      <w:r w:rsidRPr="00E659E0">
        <w:rPr>
          <w:sz w:val="20"/>
          <w:lang w:val="en-US"/>
        </w:rPr>
        <w:t xml:space="preserve"> </w:t>
      </w:r>
      <w:proofErr w:type="spellStart"/>
      <w:r w:rsidRPr="00E659E0">
        <w:rPr>
          <w:sz w:val="20"/>
          <w:lang w:val="en-US"/>
        </w:rPr>
        <w:t>McLachlin</w:t>
      </w:r>
      <w:proofErr w:type="spellEnd"/>
      <w:r w:rsidRPr="00E659E0">
        <w:rPr>
          <w:sz w:val="20"/>
          <w:lang w:val="en-US"/>
        </w:rPr>
        <w:t xml:space="preserve"> C.J. and </w:t>
      </w:r>
      <w:proofErr w:type="spellStart"/>
      <w:r w:rsidRPr="00E659E0">
        <w:rPr>
          <w:b/>
          <w:sz w:val="20"/>
          <w:lang w:val="en-US"/>
        </w:rPr>
        <w:t>Binnie</w:t>
      </w:r>
      <w:proofErr w:type="spellEnd"/>
      <w:r w:rsidRPr="00E659E0">
        <w:rPr>
          <w:sz w:val="20"/>
          <w:lang w:val="en-US"/>
        </w:rPr>
        <w:t xml:space="preserve">, Fish, Rothstein and Cromwell JJ.:  The purpose of the </w:t>
      </w:r>
      <w:r w:rsidRPr="00E659E0">
        <w:rPr>
          <w:i/>
          <w:sz w:val="20"/>
          <w:lang w:val="en-US"/>
        </w:rPr>
        <w:t xml:space="preserve">BPCPA </w:t>
      </w:r>
      <w:r w:rsidRPr="00E659E0">
        <w:rPr>
          <w:sz w:val="20"/>
          <w:lang w:val="en-US"/>
        </w:rPr>
        <w:t xml:space="preserve">is consumer protection.  As such, its terms should be interpreted generously in </w:t>
      </w:r>
      <w:proofErr w:type="spellStart"/>
      <w:r w:rsidRPr="00E659E0">
        <w:rPr>
          <w:sz w:val="20"/>
          <w:lang w:val="en-US"/>
        </w:rPr>
        <w:t>favour</w:t>
      </w:r>
      <w:proofErr w:type="spellEnd"/>
      <w:r w:rsidRPr="00E659E0">
        <w:rPr>
          <w:sz w:val="20"/>
          <w:lang w:val="en-US"/>
        </w:rPr>
        <w:t xml:space="preserve"> of consumers.  Section 172 of the </w:t>
      </w:r>
      <w:r w:rsidRPr="00E659E0">
        <w:rPr>
          <w:i/>
          <w:sz w:val="20"/>
          <w:lang w:val="en-US"/>
        </w:rPr>
        <w:t xml:space="preserve">BPCPA </w:t>
      </w:r>
      <w:r w:rsidRPr="00E659E0">
        <w:rPr>
          <w:sz w:val="20"/>
          <w:lang w:val="en-US"/>
        </w:rPr>
        <w:t xml:space="preserve">contains a statutory remedy whereby a person other than a supplier may bring an action in the Supreme Court to enforce the statute’s consumer protection standards whether or not the person bringing the action has a special interest or is affected by the consumer transaction that gives rise to the action.  Such a plaintiff is properly characterized as a public interest plaintiff.  This conclusion is reinforced by s. 3 of the </w:t>
      </w:r>
      <w:r w:rsidRPr="00E659E0">
        <w:rPr>
          <w:i/>
          <w:sz w:val="20"/>
          <w:lang w:val="en-US"/>
        </w:rPr>
        <w:t xml:space="preserve">BPCPA </w:t>
      </w:r>
      <w:r w:rsidRPr="00E659E0">
        <w:rPr>
          <w:sz w:val="20"/>
          <w:lang w:val="en-US"/>
        </w:rPr>
        <w:t xml:space="preserve">which provides that any agreement between parties that would waive or release “rights, benefits or protections” conferred by the </w:t>
      </w:r>
      <w:r w:rsidRPr="00E659E0">
        <w:rPr>
          <w:i/>
          <w:sz w:val="20"/>
          <w:lang w:val="en-US"/>
        </w:rPr>
        <w:t xml:space="preserve">BPCPA </w:t>
      </w:r>
      <w:r w:rsidRPr="00E659E0">
        <w:rPr>
          <w:sz w:val="20"/>
          <w:lang w:val="en-US"/>
        </w:rPr>
        <w:t xml:space="preserve">is void.  To the </w:t>
      </w:r>
      <w:r w:rsidRPr="00E659E0">
        <w:rPr>
          <w:sz w:val="20"/>
          <w:lang w:val="en-US"/>
        </w:rPr>
        <w:lastRenderedPageBreak/>
        <w:t xml:space="preserve">extent S’s claim in the Supreme Court invokes s. 172 remedies in respect of rights, benefits or protections conferred by the </w:t>
      </w:r>
      <w:r w:rsidRPr="00E659E0">
        <w:rPr>
          <w:i/>
          <w:sz w:val="20"/>
          <w:lang w:val="en-US"/>
        </w:rPr>
        <w:t>BPCPA</w:t>
      </w:r>
      <w:r w:rsidRPr="00E659E0">
        <w:rPr>
          <w:sz w:val="20"/>
          <w:lang w:val="en-US"/>
        </w:rPr>
        <w:t>, her court action must be allowed to proceed notwithstanding the mediation/arbitration clause.</w:t>
      </w:r>
    </w:p>
    <w:p w:rsidR="00CD4E1D" w:rsidRPr="00E659E0" w:rsidRDefault="00CD4E1D" w:rsidP="00CD4E1D">
      <w:pPr>
        <w:pStyle w:val="SCCNormalDoubleSpacing"/>
        <w:spacing w:line="240" w:lineRule="auto"/>
        <w:rPr>
          <w:sz w:val="20"/>
          <w:lang w:val="en-US"/>
        </w:rPr>
      </w:pPr>
    </w:p>
    <w:p w:rsidR="00CD4E1D" w:rsidRDefault="00CD4E1D" w:rsidP="00CD4E1D">
      <w:pPr>
        <w:pStyle w:val="SCCNormalDoubleSpacing"/>
        <w:spacing w:line="240" w:lineRule="auto"/>
        <w:rPr>
          <w:sz w:val="20"/>
          <w:lang w:val="en-US"/>
        </w:rPr>
      </w:pPr>
      <w:r w:rsidRPr="00E659E0">
        <w:rPr>
          <w:sz w:val="20"/>
          <w:lang w:val="en-US"/>
        </w:rPr>
        <w:tab/>
        <w:t xml:space="preserve">The choice to restrict or not restrict arbitration clauses in consumer contracts is a matter for the legislature.  Absent legislative intervention, the courts will generally give effect to the terms of a commercial contract freely entered into, even a contract of adhesion, including an arbitration clause.  Section 172 is clearly designed to encourage </w:t>
      </w:r>
      <w:r w:rsidRPr="00E659E0">
        <w:rPr>
          <w:i/>
          <w:sz w:val="20"/>
          <w:lang w:val="en-US"/>
        </w:rPr>
        <w:t>private</w:t>
      </w:r>
      <w:r w:rsidRPr="00E659E0">
        <w:rPr>
          <w:sz w:val="20"/>
          <w:lang w:val="en-US"/>
        </w:rPr>
        <w:t xml:space="preserve"> enforcement in the </w:t>
      </w:r>
      <w:r w:rsidRPr="00E659E0">
        <w:rPr>
          <w:i/>
          <w:sz w:val="20"/>
          <w:lang w:val="en-US"/>
        </w:rPr>
        <w:t>public</w:t>
      </w:r>
      <w:r w:rsidRPr="00E659E0">
        <w:rPr>
          <w:sz w:val="20"/>
          <w:lang w:val="en-US"/>
        </w:rPr>
        <w:t xml:space="preserve"> interest.  It was open to the legislature to prefer the vindication and denunciation available through a </w:t>
      </w:r>
      <w:proofErr w:type="spellStart"/>
      <w:r w:rsidRPr="00E659E0">
        <w:rPr>
          <w:sz w:val="20"/>
          <w:lang w:val="en-US"/>
        </w:rPr>
        <w:t>well</w:t>
      </w:r>
      <w:r w:rsidRPr="00E659E0">
        <w:rPr>
          <w:sz w:val="20"/>
          <w:lang w:val="en-US"/>
        </w:rPr>
        <w:noBreakHyphen/>
        <w:t>publicized</w:t>
      </w:r>
      <w:proofErr w:type="spellEnd"/>
      <w:r w:rsidRPr="00E659E0">
        <w:rPr>
          <w:sz w:val="20"/>
          <w:lang w:val="en-US"/>
        </w:rPr>
        <w:t xml:space="preserve"> court action to promote adherence to consumer standards.  The legislature understood that the policy objectives of s. </w:t>
      </w:r>
      <w:proofErr w:type="gramStart"/>
      <w:r w:rsidRPr="00E659E0">
        <w:rPr>
          <w:sz w:val="20"/>
          <w:lang w:val="en-US"/>
        </w:rPr>
        <w:t>172,</w:t>
      </w:r>
      <w:proofErr w:type="gramEnd"/>
      <w:r w:rsidRPr="00E659E0">
        <w:rPr>
          <w:sz w:val="20"/>
          <w:lang w:val="en-US"/>
        </w:rPr>
        <w:t xml:space="preserve"> would not be well served by a series of isolated </w:t>
      </w:r>
      <w:proofErr w:type="spellStart"/>
      <w:r w:rsidRPr="00E659E0">
        <w:rPr>
          <w:sz w:val="20"/>
          <w:lang w:val="en-US"/>
        </w:rPr>
        <w:t>low</w:t>
      </w:r>
      <w:r w:rsidRPr="00E659E0">
        <w:rPr>
          <w:sz w:val="20"/>
          <w:lang w:val="en-US"/>
        </w:rPr>
        <w:noBreakHyphen/>
        <w:t>profile</w:t>
      </w:r>
      <w:proofErr w:type="spellEnd"/>
      <w:r w:rsidRPr="00E659E0">
        <w:rPr>
          <w:sz w:val="20"/>
          <w:lang w:val="en-US"/>
        </w:rPr>
        <w:t xml:space="preserve">, private and confidential arbitrations.  </w:t>
      </w:r>
    </w:p>
    <w:p w:rsidR="00CD4E1D" w:rsidRPr="00E659E0" w:rsidRDefault="00CD4E1D" w:rsidP="00CD4E1D">
      <w:pPr>
        <w:pStyle w:val="SCCNormalDoubleSpacing"/>
        <w:spacing w:line="240" w:lineRule="auto"/>
        <w:rPr>
          <w:sz w:val="20"/>
          <w:lang w:val="en-US"/>
        </w:rPr>
      </w:pPr>
    </w:p>
    <w:p w:rsidR="00CD4E1D" w:rsidRDefault="00CD4E1D" w:rsidP="00CD4E1D">
      <w:pPr>
        <w:pStyle w:val="SCCNormalDoubleSpacing"/>
        <w:spacing w:line="240" w:lineRule="auto"/>
        <w:rPr>
          <w:sz w:val="20"/>
          <w:lang w:val="en-US"/>
        </w:rPr>
      </w:pPr>
      <w:r w:rsidRPr="00E659E0">
        <w:rPr>
          <w:sz w:val="20"/>
          <w:lang w:val="en-US"/>
        </w:rPr>
        <w:tab/>
        <w:t xml:space="preserve">A proper interpretation of s. 172 of the </w:t>
      </w:r>
      <w:r w:rsidRPr="00E659E0">
        <w:rPr>
          <w:i/>
          <w:sz w:val="20"/>
          <w:lang w:val="en-US"/>
        </w:rPr>
        <w:t xml:space="preserve">BPCPA </w:t>
      </w:r>
      <w:r w:rsidRPr="00E659E0">
        <w:rPr>
          <w:sz w:val="20"/>
          <w:lang w:val="en-US"/>
        </w:rPr>
        <w:t xml:space="preserve">must be approached textually, contextually and purposively.  Whether characterized as procedural or substantive, </w:t>
      </w:r>
      <w:proofErr w:type="gramStart"/>
      <w:r w:rsidRPr="00E659E0">
        <w:rPr>
          <w:sz w:val="20"/>
          <w:lang w:val="en-US"/>
        </w:rPr>
        <w:t>a</w:t>
      </w:r>
      <w:proofErr w:type="gramEnd"/>
      <w:r w:rsidRPr="00E659E0">
        <w:rPr>
          <w:sz w:val="20"/>
          <w:lang w:val="en-US"/>
        </w:rPr>
        <w:t xml:space="preserve"> s. 172 right is indubitably a “right” conferred by the statute and cannot be waived by contract.  S therefore possesses a statutory “right” to take her action invoking s. 172 remedies to the Supreme Court. </w:t>
      </w:r>
    </w:p>
    <w:p w:rsidR="00CD4E1D" w:rsidRPr="00E659E0" w:rsidRDefault="00CD4E1D" w:rsidP="00CD4E1D">
      <w:pPr>
        <w:pStyle w:val="SCCNormalDoubleSpacing"/>
        <w:spacing w:line="240" w:lineRule="auto"/>
        <w:rPr>
          <w:sz w:val="20"/>
          <w:lang w:val="en-US"/>
        </w:rPr>
      </w:pPr>
    </w:p>
    <w:p w:rsidR="00CD4E1D" w:rsidRDefault="00CD4E1D" w:rsidP="00CD4E1D">
      <w:pPr>
        <w:pStyle w:val="SCCNormalDoubleSpacing"/>
        <w:spacing w:line="240" w:lineRule="auto"/>
        <w:rPr>
          <w:i/>
          <w:sz w:val="20"/>
          <w:lang w:val="en-US"/>
        </w:rPr>
      </w:pPr>
      <w:r w:rsidRPr="00E659E0">
        <w:rPr>
          <w:sz w:val="20"/>
          <w:lang w:val="en-US"/>
        </w:rPr>
        <w:tab/>
        <w:t xml:space="preserve">As to her alternative complaints, however, whether under other sections of the </w:t>
      </w:r>
      <w:r w:rsidRPr="00E659E0">
        <w:rPr>
          <w:i/>
          <w:sz w:val="20"/>
          <w:lang w:val="en-US"/>
        </w:rPr>
        <w:t>BPCPA</w:t>
      </w:r>
      <w:r w:rsidRPr="00E659E0">
        <w:rPr>
          <w:sz w:val="20"/>
          <w:lang w:val="en-US"/>
        </w:rPr>
        <w:t xml:space="preserve">, the now repealed </w:t>
      </w:r>
      <w:r w:rsidRPr="00E659E0">
        <w:rPr>
          <w:i/>
          <w:sz w:val="20"/>
          <w:lang w:val="en-US"/>
        </w:rPr>
        <w:t>Trade Practice Act</w:t>
      </w:r>
      <w:r w:rsidRPr="00E659E0">
        <w:rPr>
          <w:sz w:val="20"/>
          <w:lang w:val="en-US"/>
        </w:rPr>
        <w:t xml:space="preserve">, or at common law, the TELUS arbitration clause is valid and enforceable. Accordingly S’s court action in these respects should be stayed pursuant to s. 15 of the </w:t>
      </w:r>
      <w:r w:rsidRPr="00E659E0">
        <w:rPr>
          <w:i/>
          <w:sz w:val="20"/>
          <w:lang w:val="en-US"/>
        </w:rPr>
        <w:t>Commercial Arbitration Act.</w:t>
      </w:r>
    </w:p>
    <w:p w:rsidR="00CD4E1D" w:rsidRDefault="00CD4E1D" w:rsidP="00CD4E1D">
      <w:pPr>
        <w:pStyle w:val="SCCNormalDoubleSpacing"/>
        <w:spacing w:line="240" w:lineRule="auto"/>
        <w:rPr>
          <w:sz w:val="20"/>
          <w:lang w:val="en-US"/>
        </w:rPr>
      </w:pPr>
    </w:p>
    <w:p w:rsidR="00CD4E1D" w:rsidRDefault="00CD4E1D" w:rsidP="00CD4E1D">
      <w:pPr>
        <w:pStyle w:val="SCCNormalDoubleSpacing"/>
        <w:spacing w:line="240" w:lineRule="auto"/>
        <w:rPr>
          <w:i/>
          <w:sz w:val="20"/>
          <w:lang w:val="en-US"/>
        </w:rPr>
      </w:pPr>
      <w:r w:rsidRPr="00E659E0">
        <w:rPr>
          <w:sz w:val="20"/>
          <w:lang w:val="en-US"/>
        </w:rPr>
        <w:tab/>
        <w:t xml:space="preserve">The class action waiver is not severable from the arbitration clause as a whole. Accordingly, it is also rendered void by s. 3 of the </w:t>
      </w:r>
      <w:r w:rsidRPr="00E659E0">
        <w:rPr>
          <w:i/>
          <w:sz w:val="20"/>
          <w:lang w:val="en-US"/>
        </w:rPr>
        <w:t>BPCPA</w:t>
      </w:r>
      <w:r w:rsidRPr="00E659E0">
        <w:rPr>
          <w:sz w:val="20"/>
          <w:lang w:val="en-US"/>
        </w:rPr>
        <w:t xml:space="preserve">.  If there is any ambiguity in the TELUS clause, it must be resolved in </w:t>
      </w:r>
      <w:proofErr w:type="spellStart"/>
      <w:r w:rsidRPr="00E659E0">
        <w:rPr>
          <w:sz w:val="20"/>
          <w:lang w:val="en-US"/>
        </w:rPr>
        <w:t>favour</w:t>
      </w:r>
      <w:proofErr w:type="spellEnd"/>
      <w:r w:rsidRPr="00E659E0">
        <w:rPr>
          <w:sz w:val="20"/>
          <w:lang w:val="en-US"/>
        </w:rPr>
        <w:t xml:space="preserve"> of S’s right of access to the court by the principles of </w:t>
      </w:r>
      <w:r w:rsidRPr="00E659E0">
        <w:rPr>
          <w:i/>
          <w:sz w:val="20"/>
          <w:lang w:val="en-US"/>
        </w:rPr>
        <w:t xml:space="preserve">contra </w:t>
      </w:r>
      <w:proofErr w:type="spellStart"/>
      <w:r w:rsidRPr="00E659E0">
        <w:rPr>
          <w:i/>
          <w:sz w:val="20"/>
          <w:lang w:val="en-US"/>
        </w:rPr>
        <w:t>proferentum</w:t>
      </w:r>
      <w:proofErr w:type="spellEnd"/>
      <w:r w:rsidRPr="00E659E0">
        <w:rPr>
          <w:sz w:val="20"/>
          <w:lang w:val="en-US"/>
        </w:rPr>
        <w:t>.  Accordingly, S is not barred from continuing to seek certification of her s. 172 claims as a class action</w:t>
      </w:r>
      <w:r w:rsidRPr="00E659E0">
        <w:rPr>
          <w:i/>
          <w:sz w:val="20"/>
          <w:lang w:val="en-US"/>
        </w:rPr>
        <w:t>.</w:t>
      </w:r>
    </w:p>
    <w:p w:rsidR="00CD4E1D" w:rsidRPr="00E659E0" w:rsidRDefault="00CD4E1D" w:rsidP="00CD4E1D">
      <w:pPr>
        <w:pStyle w:val="SCCNormalDoubleSpacing"/>
        <w:spacing w:line="240" w:lineRule="auto"/>
        <w:rPr>
          <w:sz w:val="20"/>
          <w:lang w:val="en-US"/>
        </w:rPr>
      </w:pPr>
    </w:p>
    <w:p w:rsidR="00CD4E1D" w:rsidRDefault="00CD4E1D" w:rsidP="00CD4E1D">
      <w:pPr>
        <w:pStyle w:val="SCCNormalDoubleSpacing"/>
        <w:spacing w:line="240" w:lineRule="auto"/>
        <w:rPr>
          <w:sz w:val="20"/>
          <w:lang w:val="en-US"/>
        </w:rPr>
      </w:pPr>
      <w:r w:rsidRPr="00E659E0">
        <w:rPr>
          <w:sz w:val="20"/>
          <w:lang w:val="en-US"/>
        </w:rPr>
        <w:tab/>
        <w:t xml:space="preserve">As for the procedural issues raised in this appeal, British Columbia has adopted the </w:t>
      </w:r>
      <w:proofErr w:type="spellStart"/>
      <w:r w:rsidRPr="00E659E0">
        <w:rPr>
          <w:sz w:val="20"/>
          <w:lang w:val="en-US"/>
        </w:rPr>
        <w:t>competence</w:t>
      </w:r>
      <w:r w:rsidRPr="00E659E0">
        <w:rPr>
          <w:sz w:val="20"/>
          <w:lang w:val="en-US"/>
        </w:rPr>
        <w:noBreakHyphen/>
        <w:t>competence</w:t>
      </w:r>
      <w:proofErr w:type="spellEnd"/>
      <w:r w:rsidRPr="00E659E0">
        <w:rPr>
          <w:sz w:val="20"/>
          <w:lang w:val="en-US"/>
        </w:rPr>
        <w:t xml:space="preserve"> principle through the combined operation of s. 22 of the </w:t>
      </w:r>
      <w:r w:rsidRPr="00E659E0">
        <w:rPr>
          <w:i/>
          <w:sz w:val="20"/>
          <w:lang w:val="en-US"/>
        </w:rPr>
        <w:t>Commercial Arbitration Act</w:t>
      </w:r>
      <w:r w:rsidRPr="00E659E0">
        <w:rPr>
          <w:sz w:val="20"/>
          <w:lang w:val="en-US"/>
        </w:rPr>
        <w:t xml:space="preserve"> and s. 20(2) of the Rules of the British Columbia International Commercial Arbitration Centre</w:t>
      </w:r>
      <w:r w:rsidRPr="00E659E0">
        <w:rPr>
          <w:i/>
          <w:sz w:val="20"/>
          <w:lang w:val="en-US"/>
        </w:rPr>
        <w:t xml:space="preserve"> </w:t>
      </w:r>
      <w:r w:rsidRPr="00E659E0">
        <w:rPr>
          <w:sz w:val="20"/>
          <w:lang w:val="en-US"/>
        </w:rPr>
        <w:t>(“BCICAC Rules”)</w:t>
      </w:r>
      <w:r w:rsidRPr="00E659E0">
        <w:rPr>
          <w:i/>
          <w:sz w:val="20"/>
          <w:lang w:val="en-US"/>
        </w:rPr>
        <w:t xml:space="preserve">. </w:t>
      </w:r>
      <w:r w:rsidRPr="00E659E0">
        <w:rPr>
          <w:sz w:val="20"/>
          <w:lang w:val="en-US"/>
        </w:rPr>
        <w:t xml:space="preserve"> Absent legislated exception, any challenge to an arbitrator’s jurisdiction over S’s dispute with TELUS should first be determined by the arbitrator, unless the challenge were to involve a pure question of law, or one of mixed fact and law that requires for its disposition “only superficial consideration of the documentary evidence in the record”.  Whether or not s. 172 of the </w:t>
      </w:r>
      <w:r w:rsidRPr="00E659E0">
        <w:rPr>
          <w:i/>
          <w:sz w:val="20"/>
          <w:lang w:val="en-US"/>
        </w:rPr>
        <w:t xml:space="preserve">BPCPA </w:t>
      </w:r>
      <w:r w:rsidRPr="00E659E0">
        <w:rPr>
          <w:sz w:val="20"/>
          <w:lang w:val="en-US"/>
        </w:rPr>
        <w:t xml:space="preserve">has the legal effect claimed for it by S was a question of law to be determined on undisputed facts.  This matter was properly entertained by the Supreme Court in the first instance, and the </w:t>
      </w:r>
      <w:proofErr w:type="spellStart"/>
      <w:r w:rsidRPr="00E659E0">
        <w:rPr>
          <w:sz w:val="20"/>
          <w:lang w:val="en-US"/>
        </w:rPr>
        <w:t>competence</w:t>
      </w:r>
      <w:r w:rsidRPr="00E659E0">
        <w:rPr>
          <w:sz w:val="20"/>
          <w:lang w:val="en-US"/>
        </w:rPr>
        <w:noBreakHyphen/>
        <w:t>competence</w:t>
      </w:r>
      <w:proofErr w:type="spellEnd"/>
      <w:r w:rsidRPr="00E659E0">
        <w:rPr>
          <w:sz w:val="20"/>
          <w:lang w:val="en-US"/>
        </w:rPr>
        <w:t xml:space="preserve"> principle was not violated.</w:t>
      </w:r>
    </w:p>
    <w:p w:rsidR="00CD4E1D" w:rsidRPr="00E659E0" w:rsidRDefault="00CD4E1D" w:rsidP="00CD4E1D">
      <w:pPr>
        <w:pStyle w:val="SCCNormalDoubleSpacing"/>
        <w:spacing w:line="240" w:lineRule="auto"/>
        <w:rPr>
          <w:sz w:val="20"/>
          <w:lang w:val="en-US"/>
        </w:rPr>
      </w:pPr>
    </w:p>
    <w:p w:rsidR="00CD4E1D" w:rsidRDefault="00CD4E1D" w:rsidP="00CD4E1D">
      <w:pPr>
        <w:pStyle w:val="SCCNormalDoubleSpacing"/>
        <w:spacing w:line="240" w:lineRule="auto"/>
        <w:rPr>
          <w:sz w:val="20"/>
          <w:lang w:val="en-US"/>
        </w:rPr>
      </w:pPr>
      <w:r w:rsidRPr="00E659E0">
        <w:rPr>
          <w:i/>
          <w:sz w:val="20"/>
          <w:lang w:val="en-US"/>
        </w:rPr>
        <w:tab/>
      </w:r>
      <w:proofErr w:type="gramStart"/>
      <w:r w:rsidRPr="00E659E0">
        <w:rPr>
          <w:i/>
          <w:sz w:val="20"/>
          <w:lang w:val="en-US"/>
        </w:rPr>
        <w:t>Per</w:t>
      </w:r>
      <w:r w:rsidRPr="00E659E0">
        <w:rPr>
          <w:sz w:val="20"/>
          <w:lang w:val="en-US"/>
        </w:rPr>
        <w:t xml:space="preserve"> </w:t>
      </w:r>
      <w:proofErr w:type="spellStart"/>
      <w:r w:rsidRPr="00E659E0">
        <w:rPr>
          <w:b/>
          <w:sz w:val="20"/>
          <w:lang w:val="en-US"/>
        </w:rPr>
        <w:t>LeBel</w:t>
      </w:r>
      <w:proofErr w:type="spellEnd"/>
      <w:r w:rsidRPr="00E659E0">
        <w:rPr>
          <w:b/>
          <w:sz w:val="20"/>
          <w:lang w:val="en-US"/>
        </w:rPr>
        <w:t xml:space="preserve">, </w:t>
      </w:r>
      <w:proofErr w:type="spellStart"/>
      <w:r w:rsidRPr="00E659E0">
        <w:rPr>
          <w:b/>
          <w:sz w:val="20"/>
          <w:lang w:val="en-US"/>
        </w:rPr>
        <w:t>Deschamps</w:t>
      </w:r>
      <w:proofErr w:type="spellEnd"/>
      <w:r w:rsidRPr="00E659E0">
        <w:rPr>
          <w:b/>
          <w:sz w:val="20"/>
          <w:lang w:val="en-US"/>
        </w:rPr>
        <w:t>,</w:t>
      </w:r>
      <w:r w:rsidRPr="00E659E0">
        <w:rPr>
          <w:sz w:val="20"/>
          <w:lang w:val="en-US"/>
        </w:rPr>
        <w:t xml:space="preserve"> </w:t>
      </w:r>
      <w:proofErr w:type="spellStart"/>
      <w:r w:rsidRPr="00E659E0">
        <w:rPr>
          <w:sz w:val="20"/>
          <w:lang w:val="en-US"/>
        </w:rPr>
        <w:t>Abella</w:t>
      </w:r>
      <w:proofErr w:type="spellEnd"/>
      <w:r w:rsidRPr="00E659E0">
        <w:rPr>
          <w:sz w:val="20"/>
          <w:lang w:val="en-US"/>
        </w:rPr>
        <w:t xml:space="preserve"> and </w:t>
      </w:r>
      <w:proofErr w:type="spellStart"/>
      <w:r w:rsidRPr="00E659E0">
        <w:rPr>
          <w:sz w:val="20"/>
          <w:lang w:val="en-US"/>
        </w:rPr>
        <w:t>Charron</w:t>
      </w:r>
      <w:proofErr w:type="spellEnd"/>
      <w:r w:rsidRPr="00E659E0">
        <w:rPr>
          <w:sz w:val="20"/>
          <w:lang w:val="en-US"/>
        </w:rPr>
        <w:t> JJ.</w:t>
      </w:r>
      <w:proofErr w:type="gramEnd"/>
      <w:r w:rsidRPr="00E659E0">
        <w:rPr>
          <w:sz w:val="20"/>
          <w:lang w:val="en-US"/>
        </w:rPr>
        <w:t xml:space="preserve"> (</w:t>
      </w:r>
      <w:proofErr w:type="gramStart"/>
      <w:r w:rsidRPr="00E659E0">
        <w:rPr>
          <w:sz w:val="20"/>
          <w:lang w:val="en-US"/>
        </w:rPr>
        <w:t>dissenting</w:t>
      </w:r>
      <w:proofErr w:type="gramEnd"/>
      <w:r w:rsidRPr="00E659E0">
        <w:rPr>
          <w:sz w:val="20"/>
          <w:lang w:val="en-US"/>
        </w:rPr>
        <w:t xml:space="preserve">):  Absent a clear statement by the legislature of an intention to the contrary, a consumer claim that could potentially proceed either by way of arbitration or class action must first be submitted to arbitration.  The </w:t>
      </w:r>
      <w:r w:rsidRPr="00E659E0">
        <w:rPr>
          <w:i/>
          <w:sz w:val="20"/>
          <w:lang w:val="en-US"/>
        </w:rPr>
        <w:t>BPCPA</w:t>
      </w:r>
      <w:r w:rsidRPr="00E659E0">
        <w:rPr>
          <w:sz w:val="20"/>
          <w:lang w:val="en-US"/>
        </w:rPr>
        <w:t xml:space="preserve"> does not manifest explicit legislative intent to foreclose the use of arbitration as a vehicle for the resolution of disputes under that Act in British Columbia.  As such, a clause in a standard form consumer contract for the supply of mobile phone services, which mandates that all disputes with the service provider be resolved by way of </w:t>
      </w:r>
      <w:proofErr w:type="gramStart"/>
      <w:r w:rsidRPr="00E659E0">
        <w:rPr>
          <w:sz w:val="20"/>
          <w:lang w:val="en-US"/>
        </w:rPr>
        <w:t>arbitration</w:t>
      </w:r>
      <w:proofErr w:type="gramEnd"/>
      <w:r w:rsidRPr="00E659E0">
        <w:rPr>
          <w:sz w:val="20"/>
          <w:lang w:val="en-US"/>
        </w:rPr>
        <w:t xml:space="preserve"> displaces the availability of class proceedings in the province of British Columbia. </w:t>
      </w:r>
    </w:p>
    <w:p w:rsidR="00CD4E1D" w:rsidRPr="00E659E0" w:rsidRDefault="00CD4E1D" w:rsidP="00CD4E1D">
      <w:pPr>
        <w:pStyle w:val="SCCNormalDoubleSpacing"/>
        <w:spacing w:line="240" w:lineRule="auto"/>
        <w:rPr>
          <w:sz w:val="20"/>
          <w:lang w:val="en-US"/>
        </w:rPr>
      </w:pPr>
    </w:p>
    <w:p w:rsidR="00CD4E1D" w:rsidRDefault="00CD4E1D" w:rsidP="00CD4E1D">
      <w:pPr>
        <w:pStyle w:val="SCCNormalDoubleSpacing"/>
        <w:spacing w:line="240" w:lineRule="auto"/>
        <w:rPr>
          <w:sz w:val="20"/>
          <w:lang w:val="en-US"/>
        </w:rPr>
      </w:pPr>
      <w:r w:rsidRPr="00E659E0">
        <w:rPr>
          <w:sz w:val="20"/>
          <w:lang w:val="en-US"/>
        </w:rPr>
        <w:tab/>
        <w:t xml:space="preserve">Canadian courts, both in Quebec and in the common law jurisdictions, have endorsed the use of arbitration as a dispute resolution mechanism and now encourage its use.  Lower courts across Canada swiftly followed this Court’s lead in accepting and endorsing arbitration as a legitimate dispute resolution mechanism, and this shift in attitude where there is no longer hostility towards arbitration clearly took root.  It is now settled that if a legislature intends to exclude arbitration as a vehicle for resolving a particular category of legal disputes, it must do so explicitly.  In British Columbia, the current approach to arbitration was adopted with the enactment of the </w:t>
      </w:r>
      <w:r w:rsidRPr="00E659E0">
        <w:rPr>
          <w:i/>
          <w:sz w:val="20"/>
          <w:lang w:val="en-US"/>
        </w:rPr>
        <w:t>Commercial Arbitration Act</w:t>
      </w:r>
      <w:r w:rsidRPr="00E659E0">
        <w:rPr>
          <w:sz w:val="20"/>
          <w:lang w:val="en-US"/>
        </w:rPr>
        <w:t xml:space="preserve">.  British Columbia’s modern commercial arbitration legislation was influenced in part by the </w:t>
      </w:r>
      <w:r w:rsidRPr="00E659E0">
        <w:rPr>
          <w:i/>
          <w:sz w:val="20"/>
          <w:lang w:val="en-US"/>
        </w:rPr>
        <w:t>UNCITRAL Model Law on International Commercial Arbitration</w:t>
      </w:r>
      <w:r w:rsidRPr="00E659E0">
        <w:rPr>
          <w:sz w:val="20"/>
          <w:lang w:val="en-US"/>
        </w:rPr>
        <w:t xml:space="preserve"> and the legislature clearly intended to incorporate the </w:t>
      </w:r>
      <w:proofErr w:type="spellStart"/>
      <w:r w:rsidRPr="00E659E0">
        <w:rPr>
          <w:sz w:val="20"/>
          <w:lang w:val="en-US"/>
        </w:rPr>
        <w:t>competence</w:t>
      </w:r>
      <w:r w:rsidRPr="00E659E0">
        <w:rPr>
          <w:sz w:val="20"/>
          <w:lang w:val="en-US"/>
        </w:rPr>
        <w:noBreakHyphen/>
        <w:t>competence</w:t>
      </w:r>
      <w:proofErr w:type="spellEnd"/>
      <w:r w:rsidRPr="00E659E0">
        <w:rPr>
          <w:sz w:val="20"/>
          <w:lang w:val="en-US"/>
        </w:rPr>
        <w:t xml:space="preserve"> principle into the province’s domestic arbitration legislation.  Challenges to the arbitrator’s jurisdiction — namely arguments that an agreement is void, inoperative or incapable of being performed — should be resolved first by the arbitrator.  A court should depart from this general rule only if the challenge is based on a question of law, or on questions of mixed fact and law that require only superficial consideration of the documentary evidence in the record, and is not merely a delaying tactic.  This requirement of deference to the arbitrator’s jurisdiction is related directly to </w:t>
      </w:r>
      <w:r w:rsidRPr="00E659E0">
        <w:rPr>
          <w:sz w:val="20"/>
          <w:lang w:val="en-US"/>
        </w:rPr>
        <w:lastRenderedPageBreak/>
        <w:t xml:space="preserve">the role of the court that must, in considering an application for a stay of proceedings, determine whether the agreement is “void, inoperative or incapable of being performed”, which must be narrowly construed.  Courts should therefore be mindful to avoid an interpretation that makes it possible to sidestep the </w:t>
      </w:r>
      <w:proofErr w:type="spellStart"/>
      <w:r w:rsidRPr="00E659E0">
        <w:rPr>
          <w:sz w:val="20"/>
          <w:lang w:val="en-US"/>
        </w:rPr>
        <w:t>competence</w:t>
      </w:r>
      <w:r w:rsidRPr="00E659E0">
        <w:rPr>
          <w:sz w:val="20"/>
          <w:lang w:val="en-US"/>
        </w:rPr>
        <w:noBreakHyphen/>
        <w:t>competence</w:t>
      </w:r>
      <w:proofErr w:type="spellEnd"/>
      <w:r w:rsidRPr="00E659E0">
        <w:rPr>
          <w:sz w:val="20"/>
          <w:lang w:val="en-US"/>
        </w:rPr>
        <w:t xml:space="preserve"> principle and turns the “inoperative” exception into a back door for a party wanting to “escape” the agreement.  The British Columbia Court of Appeal recognized that the </w:t>
      </w:r>
      <w:proofErr w:type="spellStart"/>
      <w:r w:rsidRPr="00E659E0">
        <w:rPr>
          <w:sz w:val="20"/>
          <w:lang w:val="en-US"/>
        </w:rPr>
        <w:t>competence</w:t>
      </w:r>
      <w:r w:rsidRPr="00E659E0">
        <w:rPr>
          <w:sz w:val="20"/>
          <w:lang w:val="en-US"/>
        </w:rPr>
        <w:noBreakHyphen/>
        <w:t>competence</w:t>
      </w:r>
      <w:proofErr w:type="spellEnd"/>
      <w:r w:rsidRPr="00E659E0">
        <w:rPr>
          <w:sz w:val="20"/>
          <w:lang w:val="en-US"/>
        </w:rPr>
        <w:t xml:space="preserve"> principle is part of the province’s law. It did not err in doing so.  Therefore, absent a challenge to the arbitrator’s jurisdiction based solely on a question of law or on one of mixed fact and law requiring only superficial consideration of the evidence in the record, the existence or validity of an arbitration agreement to which the </w:t>
      </w:r>
      <w:r w:rsidRPr="00E659E0">
        <w:rPr>
          <w:i/>
          <w:sz w:val="20"/>
          <w:lang w:val="en-US"/>
        </w:rPr>
        <w:t>Commercial Arbitration Act</w:t>
      </w:r>
      <w:r w:rsidRPr="00E659E0">
        <w:rPr>
          <w:sz w:val="20"/>
          <w:lang w:val="en-US"/>
        </w:rPr>
        <w:t xml:space="preserve"> applies must be considered first by the arbitrator and the court should grant the stay. </w:t>
      </w:r>
    </w:p>
    <w:p w:rsidR="00CD4E1D" w:rsidRPr="00E659E0" w:rsidRDefault="00CD4E1D" w:rsidP="00CD4E1D">
      <w:pPr>
        <w:pStyle w:val="SCCNormalDoubleSpacing"/>
        <w:spacing w:line="240" w:lineRule="auto"/>
        <w:rPr>
          <w:sz w:val="20"/>
          <w:lang w:val="en-US"/>
        </w:rPr>
      </w:pPr>
    </w:p>
    <w:p w:rsidR="00CD4E1D" w:rsidRDefault="00CD4E1D" w:rsidP="00CD4E1D">
      <w:pPr>
        <w:pStyle w:val="SCCNormalDoubleSpacing"/>
        <w:spacing w:line="240" w:lineRule="auto"/>
        <w:rPr>
          <w:sz w:val="20"/>
          <w:lang w:val="en-US"/>
        </w:rPr>
      </w:pPr>
      <w:r w:rsidRPr="00E659E0">
        <w:rPr>
          <w:sz w:val="20"/>
          <w:lang w:val="en-US"/>
        </w:rPr>
        <w:tab/>
        <w:t xml:space="preserve">S argues that the effect of the arbitration clause is to deny her the exercise of her rights under the </w:t>
      </w:r>
      <w:r w:rsidRPr="00E659E0">
        <w:rPr>
          <w:i/>
          <w:sz w:val="20"/>
          <w:lang w:val="en-US"/>
        </w:rPr>
        <w:t>BPCPA</w:t>
      </w:r>
      <w:r w:rsidRPr="00E659E0">
        <w:rPr>
          <w:sz w:val="20"/>
          <w:lang w:val="en-US"/>
        </w:rPr>
        <w:t>.  The purpose of consumer protection legislation like the</w:t>
      </w:r>
      <w:r w:rsidRPr="00E659E0">
        <w:rPr>
          <w:i/>
          <w:sz w:val="20"/>
          <w:lang w:val="en-US"/>
        </w:rPr>
        <w:t xml:space="preserve"> BPCPA</w:t>
      </w:r>
      <w:r w:rsidRPr="00E659E0">
        <w:rPr>
          <w:sz w:val="20"/>
          <w:lang w:val="en-US"/>
        </w:rPr>
        <w:t xml:space="preserve"> is to protect consumers from losses suffered when they purchase goods and services that do not meet existing standards.  Class actions have a significant social and legal role in Canadian law.  However, since a class action is only a way to group together a number of individual claims, it concerns the procedure for bringing an action.  As this Court has put it, the certification of a class action confers a procedural right.  It does not change either the substantive law or the substantive rights of the parties.  Where a court would, because of an arbitration agreement, not have jurisdiction over a dispute, that jurisdiction cannot be conferred on it by commencing a class proceeding. </w:t>
      </w:r>
    </w:p>
    <w:p w:rsidR="00CD4E1D" w:rsidRPr="00E659E0" w:rsidRDefault="00CD4E1D" w:rsidP="00CD4E1D">
      <w:pPr>
        <w:pStyle w:val="SCCNormalDoubleSpacing"/>
        <w:spacing w:line="240" w:lineRule="auto"/>
        <w:rPr>
          <w:sz w:val="20"/>
          <w:lang w:val="en-US"/>
        </w:rPr>
      </w:pPr>
    </w:p>
    <w:p w:rsidR="00CD4E1D" w:rsidRDefault="00CD4E1D" w:rsidP="00CD4E1D">
      <w:pPr>
        <w:pStyle w:val="SCCNormalDoubleSpacing"/>
        <w:spacing w:line="240" w:lineRule="auto"/>
        <w:rPr>
          <w:sz w:val="20"/>
          <w:lang w:val="en-US"/>
        </w:rPr>
      </w:pPr>
      <w:r w:rsidRPr="00E659E0">
        <w:rPr>
          <w:sz w:val="20"/>
          <w:lang w:val="en-US"/>
        </w:rPr>
        <w:tab/>
        <w:t xml:space="preserve">In British Columbia, no explicit legislative direction has been enacted which would remove consumer disputes from the reach of arbitration legislation.  S nevertheless argues that an arbitrator lacks the jurisdiction to grant either of the specific remedies contemplated in s. 172 of the </w:t>
      </w:r>
      <w:r w:rsidRPr="00E659E0">
        <w:rPr>
          <w:i/>
          <w:sz w:val="20"/>
          <w:lang w:val="en-US"/>
        </w:rPr>
        <w:t>BPCPA</w:t>
      </w:r>
      <w:r w:rsidRPr="00E659E0">
        <w:rPr>
          <w:sz w:val="20"/>
          <w:lang w:val="en-US"/>
        </w:rPr>
        <w:t xml:space="preserve">.  She submits that these remedies can be granted only by the Supreme Court and, therefore, that s. 172(1) itself creates a substantive right to have a dispute resolved in the public court system.  As a result, the agreement to submit this dispute to arbitration constitutes a waiver — in violation of s. 3 of the </w:t>
      </w:r>
      <w:r w:rsidRPr="00E659E0">
        <w:rPr>
          <w:i/>
          <w:sz w:val="20"/>
          <w:lang w:val="en-US"/>
        </w:rPr>
        <w:t>BPCPA</w:t>
      </w:r>
      <w:r w:rsidRPr="00E659E0">
        <w:rPr>
          <w:sz w:val="20"/>
          <w:lang w:val="en-US"/>
        </w:rPr>
        <w:t xml:space="preserve"> — of the substantive right to those particular remedies.  In light of ss. 171 and 172 and of the powers conferred on arbitrators in British Columbia, it is evident that the legislature has not barred the submission of such claims to arbitration.  The remedy sought by a claimant under s. 172 is a declaration or an injunction.   Either an arbitrator or a court can adjudicate a monetary claim under s. 171.  What is important here is that the adjudicator has jurisdiction to make a declaration or order an injunction, which are the same remedies as are contemplated in s. 172.  Arbitrators exercising their jurisdiction under arbitration legislation are generally understood to have jurisdiction to make any award a court could make.  But the British Columbia legislation goes further, as it explicitly grants arbitrators broad remedial powers.  An arbitrator deriving his or her authority from the </w:t>
      </w:r>
      <w:r w:rsidRPr="00E659E0">
        <w:rPr>
          <w:i/>
          <w:sz w:val="20"/>
          <w:lang w:val="en-US"/>
        </w:rPr>
        <w:t>Commercial Arbitration Act</w:t>
      </w:r>
      <w:r w:rsidRPr="00E659E0">
        <w:rPr>
          <w:sz w:val="20"/>
          <w:lang w:val="en-US"/>
        </w:rPr>
        <w:t xml:space="preserve">, and by extension from the BCICAC Rules, also has broad remedial powers including injunctions and other equitable remedies and the arbitrator can therefore, unless the parties have agreed otherwise, grant the declaratory and injunctive relief sought by S under ss. 172(1)(a) and (b) of the </w:t>
      </w:r>
      <w:r w:rsidRPr="00E659E0">
        <w:rPr>
          <w:i/>
          <w:sz w:val="20"/>
          <w:lang w:val="en-US"/>
        </w:rPr>
        <w:t>BPCPA</w:t>
      </w:r>
      <w:r w:rsidRPr="00E659E0">
        <w:rPr>
          <w:sz w:val="20"/>
          <w:lang w:val="en-US"/>
        </w:rPr>
        <w:t xml:space="preserve">. </w:t>
      </w:r>
    </w:p>
    <w:p w:rsidR="00CD4E1D" w:rsidRPr="00E659E0" w:rsidRDefault="00CD4E1D" w:rsidP="00CD4E1D">
      <w:pPr>
        <w:pStyle w:val="SCCNormalDoubleSpacing"/>
        <w:spacing w:line="240" w:lineRule="auto"/>
        <w:rPr>
          <w:sz w:val="20"/>
          <w:lang w:val="en-US"/>
        </w:rPr>
      </w:pPr>
    </w:p>
    <w:p w:rsidR="00CD4E1D" w:rsidRDefault="00CD4E1D" w:rsidP="00CD4E1D">
      <w:pPr>
        <w:pStyle w:val="SCCNormalDoubleSpacing"/>
        <w:spacing w:line="240" w:lineRule="auto"/>
        <w:rPr>
          <w:sz w:val="20"/>
          <w:lang w:val="en-US"/>
        </w:rPr>
      </w:pPr>
      <w:r w:rsidRPr="00E659E0">
        <w:rPr>
          <w:sz w:val="20"/>
          <w:lang w:val="en-US"/>
        </w:rPr>
        <w:tab/>
        <w:t xml:space="preserve">Access to justice is protected both by the broad powers given to arbitrators and by the representative action provided for in the </w:t>
      </w:r>
      <w:r w:rsidRPr="00E659E0">
        <w:rPr>
          <w:i/>
          <w:sz w:val="20"/>
          <w:lang w:val="en-US"/>
        </w:rPr>
        <w:t>BPCPA</w:t>
      </w:r>
      <w:r w:rsidRPr="00E659E0">
        <w:rPr>
          <w:sz w:val="20"/>
          <w:lang w:val="en-US"/>
        </w:rPr>
        <w:t xml:space="preserve">.  Although third party consumers would not be bound by the arbitrator’s order, TELUS would be bound by it.  There is no requirement that the arbitral award itself, which would incorporate the remedy S seeks, be private and confidential.  Therefore, an arbitrator could order a supplier, in this case TELUS, to advertise the particulars of any order or award granted against it to the public at large.  This would fulfill a public purpose. Given their broad remedial powers, arbitrators are authorized to grant this very public remedy. </w:t>
      </w:r>
    </w:p>
    <w:p w:rsidR="00CD4E1D" w:rsidRDefault="00CD4E1D" w:rsidP="00CD4E1D">
      <w:pPr>
        <w:pStyle w:val="SCCNormalDoubleSpacing"/>
        <w:spacing w:line="240" w:lineRule="auto"/>
        <w:rPr>
          <w:sz w:val="20"/>
          <w:lang w:val="en-US"/>
        </w:rPr>
      </w:pPr>
    </w:p>
    <w:p w:rsidR="00CD4E1D" w:rsidRDefault="00CD4E1D" w:rsidP="00CD4E1D">
      <w:pPr>
        <w:pStyle w:val="SCCNormalDoubleSpacing"/>
        <w:spacing w:line="240" w:lineRule="auto"/>
        <w:rPr>
          <w:sz w:val="20"/>
          <w:lang w:val="en-US"/>
        </w:rPr>
      </w:pPr>
      <w:r w:rsidRPr="00E659E0">
        <w:rPr>
          <w:sz w:val="20"/>
          <w:lang w:val="en-US"/>
        </w:rPr>
        <w:tab/>
        <w:t xml:space="preserve">The reference in s. 172 to the Supreme Court as the forum in which claims </w:t>
      </w:r>
      <w:r w:rsidRPr="00E659E0">
        <w:rPr>
          <w:i/>
          <w:sz w:val="20"/>
          <w:lang w:val="en-US"/>
        </w:rPr>
        <w:t>may</w:t>
      </w:r>
      <w:r w:rsidRPr="00E659E0">
        <w:rPr>
          <w:sz w:val="20"/>
          <w:lang w:val="en-US"/>
        </w:rPr>
        <w:t xml:space="preserve"> be brought does not confer exclusive jurisdiction on that court to adjudicate claims under that section.  The purpose of that reference is to clarify that the Supreme Court, not the Provincial Court, may grant declaratory and injunctive relief.  Further the use of the word “may” makes it even clearer that the Supreme Court is not intended to be the only forum in which these remedies can be sought.  By enacting s. 172, the legislature provided a means not only to have claims dealt with by the director or any person, both of whom seek orders on behalf of consumers, but also to have the arbitration rules apply.  In doing so, it provided a way to use the private dispute resolution system to obtain the same declaratory or injunctive relief against a supplier as can be obtained by means of a class action.  Access to justice can only be enhanced by this approach.</w:t>
      </w:r>
    </w:p>
    <w:p w:rsidR="00CD4E1D" w:rsidRPr="00E659E0" w:rsidRDefault="00CD4E1D" w:rsidP="00CD4E1D">
      <w:pPr>
        <w:pStyle w:val="SCCNormalDoubleSpacing"/>
        <w:spacing w:line="240" w:lineRule="auto"/>
        <w:rPr>
          <w:sz w:val="20"/>
          <w:lang w:val="en-US"/>
        </w:rPr>
      </w:pPr>
    </w:p>
    <w:p w:rsidR="00CD4E1D" w:rsidRDefault="00CD4E1D" w:rsidP="00CD4E1D">
      <w:pPr>
        <w:pStyle w:val="SCCNormalDoubleSpacing"/>
        <w:spacing w:line="240" w:lineRule="auto"/>
        <w:rPr>
          <w:sz w:val="20"/>
          <w:lang w:val="en-US"/>
        </w:rPr>
      </w:pPr>
      <w:r w:rsidRPr="00E659E0">
        <w:rPr>
          <w:sz w:val="20"/>
          <w:lang w:val="en-US"/>
        </w:rPr>
        <w:tab/>
        <w:t xml:space="preserve">Any argument based on the view that access to justice requires claims based on s. 172 of the </w:t>
      </w:r>
      <w:r w:rsidRPr="00E659E0">
        <w:rPr>
          <w:i/>
          <w:sz w:val="20"/>
          <w:lang w:val="en-US"/>
        </w:rPr>
        <w:t>BPCPA</w:t>
      </w:r>
      <w:r w:rsidRPr="00E659E0">
        <w:rPr>
          <w:sz w:val="20"/>
          <w:lang w:val="en-US"/>
        </w:rPr>
        <w:t xml:space="preserve"> to be made by way of a class proceeding is without merit.  Access to justice is fully preserved by arbitration, and there is no </w:t>
      </w:r>
      <w:r w:rsidRPr="00E659E0">
        <w:rPr>
          <w:sz w:val="20"/>
          <w:lang w:val="en-US"/>
        </w:rPr>
        <w:lastRenderedPageBreak/>
        <w:t xml:space="preserve">need to resort to a class proceeding to so ensure.  The arbitrator can grant the remedies contemplated in s.172 of the </w:t>
      </w:r>
      <w:r w:rsidRPr="00E659E0">
        <w:rPr>
          <w:i/>
          <w:sz w:val="20"/>
          <w:lang w:val="en-US"/>
        </w:rPr>
        <w:t xml:space="preserve">BPCPA </w:t>
      </w:r>
      <w:r w:rsidRPr="00E659E0">
        <w:rPr>
          <w:sz w:val="20"/>
          <w:lang w:val="en-US"/>
        </w:rPr>
        <w:t xml:space="preserve">against TELUS.  The arbitration agreement between S and TELUS does not therefore constitute an improper waiver of S’s rights, benefits or protections for the purposes of s. 3 of that Act.  Section 172 of the </w:t>
      </w:r>
      <w:r w:rsidRPr="00E659E0">
        <w:rPr>
          <w:i/>
          <w:sz w:val="20"/>
          <w:lang w:val="en-US"/>
        </w:rPr>
        <w:t>BPCPA</w:t>
      </w:r>
      <w:r w:rsidRPr="00E659E0">
        <w:rPr>
          <w:sz w:val="20"/>
          <w:lang w:val="en-US"/>
        </w:rPr>
        <w:t xml:space="preserve"> merely identifies the procedural forum in which an action with respect to the rights, benefits and protections provided for in s. 172 may be brought in the public court system.  It does not explicitly exclude alternate </w:t>
      </w:r>
      <w:proofErr w:type="spellStart"/>
      <w:r w:rsidRPr="00E659E0">
        <w:rPr>
          <w:sz w:val="20"/>
          <w:lang w:val="en-US"/>
        </w:rPr>
        <w:t>fora</w:t>
      </w:r>
      <w:proofErr w:type="spellEnd"/>
      <w:r w:rsidRPr="00E659E0">
        <w:rPr>
          <w:sz w:val="20"/>
          <w:lang w:val="en-US"/>
        </w:rPr>
        <w:t xml:space="preserve">, such as an arbitration tribunal from acquiring jurisdiction. </w:t>
      </w:r>
    </w:p>
    <w:p w:rsidR="00CD4E1D" w:rsidRPr="00E659E0" w:rsidRDefault="00CD4E1D" w:rsidP="00CD4E1D">
      <w:pPr>
        <w:pStyle w:val="SCCNormalDoubleSpacing"/>
        <w:spacing w:line="240" w:lineRule="auto"/>
        <w:rPr>
          <w:sz w:val="20"/>
          <w:lang w:val="en-US"/>
        </w:rPr>
      </w:pPr>
    </w:p>
    <w:p w:rsidR="00CD4E1D" w:rsidRDefault="00CD4E1D" w:rsidP="00CD4E1D">
      <w:pPr>
        <w:pStyle w:val="SCCNormalDoubleSpacing"/>
        <w:spacing w:line="240" w:lineRule="auto"/>
        <w:rPr>
          <w:sz w:val="20"/>
          <w:lang w:val="en-US"/>
        </w:rPr>
      </w:pPr>
      <w:r w:rsidRPr="00E659E0">
        <w:rPr>
          <w:sz w:val="20"/>
          <w:lang w:val="en-US"/>
        </w:rPr>
        <w:tab/>
        <w:t xml:space="preserve">Whether an arbitration clause in a consumer contract is unfair or unconscionable must always be determined on a </w:t>
      </w:r>
      <w:proofErr w:type="spellStart"/>
      <w:r w:rsidRPr="00E659E0">
        <w:rPr>
          <w:sz w:val="20"/>
          <w:lang w:val="en-US"/>
        </w:rPr>
        <w:t>case</w:t>
      </w:r>
      <w:r w:rsidRPr="00E659E0">
        <w:rPr>
          <w:sz w:val="20"/>
          <w:lang w:val="en-US"/>
        </w:rPr>
        <w:noBreakHyphen/>
        <w:t>by</w:t>
      </w:r>
      <w:r w:rsidRPr="00E659E0">
        <w:rPr>
          <w:sz w:val="20"/>
          <w:lang w:val="en-US"/>
        </w:rPr>
        <w:noBreakHyphen/>
        <w:t>case</w:t>
      </w:r>
      <w:proofErr w:type="spellEnd"/>
      <w:r w:rsidRPr="00E659E0">
        <w:rPr>
          <w:sz w:val="20"/>
          <w:lang w:val="en-US"/>
        </w:rPr>
        <w:t xml:space="preserve"> basis in light of the relevant facts.  In Canada, the courts have left the question whether arbitration is appropriate for particular categories of disputes to the discretion of the legislatures.  The British Columbia legislature remains free to address any unfairness or harshness that might be perceived to be imposed as a result of the inclusion of arbitration clauses in commercial contracts.  The legislatures of Quebec, Ontario and Alberta¸ have seen fit to amend their consumer protection legislation to prohibit or limit waivers of class proceedings and arbitration clauses in agreements to which their consumer protection legislation applies.  The British Columbia legislature made a choice both by incorporating the provisions of the </w:t>
      </w:r>
      <w:r w:rsidRPr="00E659E0">
        <w:rPr>
          <w:i/>
          <w:sz w:val="20"/>
          <w:lang w:val="en-US"/>
        </w:rPr>
        <w:t>Convention on the Recognition and Enforcement of Foreign Arbitral Awards</w:t>
      </w:r>
      <w:r w:rsidRPr="00E659E0">
        <w:rPr>
          <w:sz w:val="20"/>
          <w:lang w:val="en-US"/>
        </w:rPr>
        <w:t xml:space="preserve"> and the </w:t>
      </w:r>
      <w:r w:rsidRPr="00E659E0">
        <w:rPr>
          <w:i/>
          <w:sz w:val="20"/>
          <w:lang w:val="en-US"/>
        </w:rPr>
        <w:t>UNCITRAL Model Law on International Commercial Arbitration</w:t>
      </w:r>
      <w:r w:rsidRPr="00E659E0">
        <w:rPr>
          <w:sz w:val="20"/>
          <w:lang w:val="en-US"/>
        </w:rPr>
        <w:t xml:space="preserve"> and by refraining from enacting provisions expressly limiting arbitration clauses and waivers of class proceedings in the consumer context.  It also made another choice: to confer broad remedial jurisdiction on arbitrators.  These choices are ones to which this Court must defer. </w:t>
      </w:r>
    </w:p>
    <w:p w:rsidR="00CD4E1D" w:rsidRDefault="00CD4E1D" w:rsidP="00CD4E1D">
      <w:pPr>
        <w:pStyle w:val="SCCNormalDoubleSpacing"/>
        <w:spacing w:line="240" w:lineRule="auto"/>
        <w:rPr>
          <w:sz w:val="20"/>
          <w:lang w:val="en-US"/>
        </w:rPr>
      </w:pPr>
    </w:p>
    <w:p w:rsidR="00CD4E1D" w:rsidRDefault="00CD4E1D" w:rsidP="00CD4E1D">
      <w:pPr>
        <w:pStyle w:val="SCCNormalDoubleSpacing"/>
        <w:spacing w:line="240" w:lineRule="auto"/>
        <w:rPr>
          <w:sz w:val="20"/>
          <w:lang w:val="en-US"/>
        </w:rPr>
      </w:pPr>
      <w:r w:rsidRPr="00E659E0">
        <w:rPr>
          <w:sz w:val="20"/>
        </w:rPr>
        <w:tab/>
        <w:t>APPEAL from a judgment of the British Columbia Court of Appeal (</w:t>
      </w:r>
      <w:r w:rsidR="00C478F8" w:rsidRPr="00E659E0">
        <w:rPr>
          <w:sz w:val="20"/>
        </w:rPr>
        <w:fldChar w:fldCharType="begin"/>
      </w:r>
      <w:r w:rsidRPr="00E659E0">
        <w:rPr>
          <w:sz w:val="20"/>
        </w:rPr>
        <w:instrText xml:space="preserve"> SEQ CHAPTER \h \r 1</w:instrText>
      </w:r>
      <w:r w:rsidR="00C478F8" w:rsidRPr="00E659E0">
        <w:rPr>
          <w:sz w:val="20"/>
        </w:rPr>
        <w:fldChar w:fldCharType="end"/>
      </w:r>
      <w:r w:rsidRPr="00E659E0">
        <w:rPr>
          <w:sz w:val="20"/>
          <w:lang w:val="en-US"/>
        </w:rPr>
        <w:t xml:space="preserve">Finch C.J.B.C. and </w:t>
      </w:r>
      <w:proofErr w:type="spellStart"/>
      <w:r w:rsidRPr="00E659E0">
        <w:rPr>
          <w:sz w:val="20"/>
          <w:lang w:val="en-US"/>
        </w:rPr>
        <w:t>Rowles</w:t>
      </w:r>
      <w:proofErr w:type="spellEnd"/>
      <w:r w:rsidRPr="00E659E0">
        <w:rPr>
          <w:sz w:val="20"/>
          <w:lang w:val="en-US"/>
        </w:rPr>
        <w:t xml:space="preserve">, Newbury, </w:t>
      </w:r>
      <w:proofErr w:type="spellStart"/>
      <w:r w:rsidRPr="00E659E0">
        <w:rPr>
          <w:sz w:val="20"/>
          <w:lang w:val="en-US"/>
        </w:rPr>
        <w:t>Tysoe</w:t>
      </w:r>
      <w:proofErr w:type="spellEnd"/>
      <w:r w:rsidRPr="00E659E0">
        <w:rPr>
          <w:sz w:val="20"/>
          <w:lang w:val="en-US"/>
        </w:rPr>
        <w:t xml:space="preserve"> and Neilson JJ.A.), 2009 BCCA 104, 88 B.C.L.R. (4th) 212, [2009] 5 W.W.R. 466, 68 C.P.C. (6th) 57, 267 B.C.A.C. 266, 450 W.A.C. 266, 304 D.L.R. (4th) 564, [2009] B.C.J. No. 469 (QL), </w:t>
      </w:r>
      <w:r w:rsidR="00C478F8" w:rsidRPr="00E659E0">
        <w:rPr>
          <w:sz w:val="20"/>
        </w:rPr>
        <w:fldChar w:fldCharType="begin"/>
      </w:r>
      <w:r w:rsidRPr="00E659E0">
        <w:rPr>
          <w:sz w:val="20"/>
        </w:rPr>
        <w:instrText xml:space="preserve"> SEQ CHAPTER \h \r 1</w:instrText>
      </w:r>
      <w:r w:rsidR="00C478F8" w:rsidRPr="00E659E0">
        <w:rPr>
          <w:sz w:val="20"/>
        </w:rPr>
        <w:fldChar w:fldCharType="end"/>
      </w:r>
      <w:r w:rsidRPr="00E659E0">
        <w:rPr>
          <w:sz w:val="20"/>
          <w:lang w:val="en-US"/>
        </w:rPr>
        <w:t xml:space="preserve">2009 </w:t>
      </w:r>
      <w:proofErr w:type="spellStart"/>
      <w:r w:rsidRPr="00E659E0">
        <w:rPr>
          <w:sz w:val="20"/>
          <w:lang w:val="en-US"/>
        </w:rPr>
        <w:t>CarswellBC</w:t>
      </w:r>
      <w:proofErr w:type="spellEnd"/>
      <w:r w:rsidRPr="00E659E0">
        <w:rPr>
          <w:sz w:val="20"/>
          <w:lang w:val="en-US"/>
        </w:rPr>
        <w:t xml:space="preserve"> 608, reversing a decision of </w:t>
      </w:r>
      <w:r w:rsidR="00C478F8" w:rsidRPr="00E659E0">
        <w:rPr>
          <w:sz w:val="20"/>
        </w:rPr>
        <w:fldChar w:fldCharType="begin"/>
      </w:r>
      <w:r w:rsidRPr="00E659E0">
        <w:rPr>
          <w:sz w:val="20"/>
        </w:rPr>
        <w:instrText xml:space="preserve"> SEQ CHAPTER \h \r 1</w:instrText>
      </w:r>
      <w:r w:rsidR="00C478F8" w:rsidRPr="00E659E0">
        <w:rPr>
          <w:sz w:val="20"/>
        </w:rPr>
        <w:fldChar w:fldCharType="end"/>
      </w:r>
      <w:proofErr w:type="spellStart"/>
      <w:r w:rsidRPr="00E659E0">
        <w:rPr>
          <w:sz w:val="20"/>
          <w:lang w:val="en-US"/>
        </w:rPr>
        <w:t>Masuhara</w:t>
      </w:r>
      <w:proofErr w:type="spellEnd"/>
      <w:r w:rsidRPr="00E659E0">
        <w:rPr>
          <w:sz w:val="20"/>
          <w:lang w:val="en-US"/>
        </w:rPr>
        <w:t xml:space="preserve"> J., </w:t>
      </w:r>
      <w:r w:rsidR="00C478F8" w:rsidRPr="00E659E0">
        <w:rPr>
          <w:sz w:val="20"/>
        </w:rPr>
        <w:fldChar w:fldCharType="begin"/>
      </w:r>
      <w:r w:rsidRPr="00E659E0">
        <w:rPr>
          <w:sz w:val="20"/>
        </w:rPr>
        <w:instrText xml:space="preserve"> SEQ CHAPTER \h \r 1</w:instrText>
      </w:r>
      <w:r w:rsidR="00C478F8" w:rsidRPr="00E659E0">
        <w:rPr>
          <w:sz w:val="20"/>
        </w:rPr>
        <w:fldChar w:fldCharType="end"/>
      </w:r>
      <w:r w:rsidRPr="00E659E0">
        <w:rPr>
          <w:sz w:val="20"/>
          <w:lang w:val="en-US"/>
        </w:rPr>
        <w:t xml:space="preserve">2008 BCSC 933, 85 B.C.L.R. (4th) 372, 295 D.L.R. (4th) 511, [2008] B.C.J. No. 1347 (QL), 2008 </w:t>
      </w:r>
      <w:proofErr w:type="spellStart"/>
      <w:r w:rsidRPr="00E659E0">
        <w:rPr>
          <w:sz w:val="20"/>
          <w:lang w:val="en-US"/>
        </w:rPr>
        <w:t>CarswellBC</w:t>
      </w:r>
      <w:proofErr w:type="spellEnd"/>
      <w:r w:rsidRPr="00E659E0">
        <w:rPr>
          <w:sz w:val="20"/>
          <w:lang w:val="en-US"/>
        </w:rPr>
        <w:t xml:space="preserve"> 1490.  Appeal allowed in part, </w:t>
      </w:r>
      <w:proofErr w:type="spellStart"/>
      <w:r w:rsidRPr="00E659E0">
        <w:rPr>
          <w:sz w:val="20"/>
          <w:lang w:val="en-US"/>
        </w:rPr>
        <w:t>LeBel</w:t>
      </w:r>
      <w:proofErr w:type="spellEnd"/>
      <w:r w:rsidRPr="00E659E0">
        <w:rPr>
          <w:sz w:val="20"/>
          <w:lang w:val="en-US"/>
        </w:rPr>
        <w:t xml:space="preserve">, </w:t>
      </w:r>
      <w:proofErr w:type="spellStart"/>
      <w:r w:rsidRPr="00E659E0">
        <w:rPr>
          <w:sz w:val="20"/>
          <w:lang w:val="en-US"/>
        </w:rPr>
        <w:t>Deschamps</w:t>
      </w:r>
      <w:proofErr w:type="spellEnd"/>
      <w:r w:rsidRPr="00E659E0">
        <w:rPr>
          <w:sz w:val="20"/>
          <w:lang w:val="en-US"/>
        </w:rPr>
        <w:t xml:space="preserve">, </w:t>
      </w:r>
      <w:proofErr w:type="spellStart"/>
      <w:r w:rsidRPr="00E659E0">
        <w:rPr>
          <w:sz w:val="20"/>
          <w:lang w:val="en-US"/>
        </w:rPr>
        <w:t>Abella</w:t>
      </w:r>
      <w:proofErr w:type="spellEnd"/>
      <w:r w:rsidRPr="00E659E0">
        <w:rPr>
          <w:sz w:val="20"/>
          <w:lang w:val="en-US"/>
        </w:rPr>
        <w:t xml:space="preserve"> and </w:t>
      </w:r>
      <w:proofErr w:type="spellStart"/>
      <w:r w:rsidRPr="00E659E0">
        <w:rPr>
          <w:sz w:val="20"/>
          <w:lang w:val="en-US"/>
        </w:rPr>
        <w:t>Charron</w:t>
      </w:r>
      <w:proofErr w:type="spellEnd"/>
      <w:r w:rsidRPr="00E659E0">
        <w:rPr>
          <w:sz w:val="20"/>
          <w:lang w:val="en-US"/>
        </w:rPr>
        <w:t xml:space="preserve"> dissenting.</w:t>
      </w:r>
    </w:p>
    <w:p w:rsidR="00CD4E1D" w:rsidRPr="00E659E0" w:rsidRDefault="00CD4E1D" w:rsidP="00CD4E1D">
      <w:pPr>
        <w:pStyle w:val="SCCNormalDoubleSpacing"/>
        <w:spacing w:line="240" w:lineRule="auto"/>
        <w:rPr>
          <w:sz w:val="20"/>
          <w:lang w:val="en-US"/>
        </w:rPr>
      </w:pPr>
    </w:p>
    <w:p w:rsidR="00CD4E1D" w:rsidRDefault="00CD4E1D" w:rsidP="00CD4E1D">
      <w:pPr>
        <w:pStyle w:val="SCCNormalDoubleSpacing"/>
        <w:spacing w:line="240" w:lineRule="auto"/>
        <w:rPr>
          <w:rStyle w:val="SCCCounselPartyRoleChar"/>
          <w:sz w:val="20"/>
        </w:rPr>
      </w:pPr>
      <w:r w:rsidRPr="00E659E0">
        <w:rPr>
          <w:rStyle w:val="SCCCounselNameChar"/>
          <w:sz w:val="20"/>
        </w:rPr>
        <w:tab/>
      </w:r>
      <w:proofErr w:type="gramStart"/>
      <w:r w:rsidRPr="00E659E0">
        <w:rPr>
          <w:rStyle w:val="SCCCounselNameChar"/>
          <w:sz w:val="20"/>
        </w:rPr>
        <w:t>Arthur M. Grant</w:t>
      </w:r>
      <w:r w:rsidRPr="00CD4E1D">
        <w:rPr>
          <w:rStyle w:val="SCCCounselSeparatorChar"/>
          <w:sz w:val="20"/>
          <w:lang w:val="en-CA"/>
        </w:rPr>
        <w:t xml:space="preserve"> and </w:t>
      </w:r>
      <w:r w:rsidRPr="00E659E0">
        <w:rPr>
          <w:rStyle w:val="SCCCounselNameChar"/>
          <w:sz w:val="20"/>
        </w:rPr>
        <w:t xml:space="preserve">Bruce W. </w:t>
      </w:r>
      <w:proofErr w:type="spellStart"/>
      <w:r w:rsidRPr="00E659E0">
        <w:rPr>
          <w:rStyle w:val="SCCCounselNameChar"/>
          <w:sz w:val="20"/>
        </w:rPr>
        <w:t>Lemer</w:t>
      </w:r>
      <w:proofErr w:type="spellEnd"/>
      <w:r w:rsidRPr="00E659E0">
        <w:rPr>
          <w:rStyle w:val="SCCCounselPartyRoleChar"/>
          <w:sz w:val="20"/>
        </w:rPr>
        <w:t>, for the appellant.</w:t>
      </w:r>
      <w:proofErr w:type="gramEnd"/>
    </w:p>
    <w:p w:rsidR="00CD4E1D" w:rsidRDefault="00CD4E1D" w:rsidP="00CD4E1D">
      <w:pPr>
        <w:pStyle w:val="SCCNormalDoubleSpacing"/>
        <w:spacing w:line="240" w:lineRule="auto"/>
        <w:rPr>
          <w:sz w:val="20"/>
        </w:rPr>
      </w:pPr>
    </w:p>
    <w:p w:rsidR="00CD4E1D" w:rsidRDefault="00CD4E1D" w:rsidP="00CD4E1D">
      <w:pPr>
        <w:pStyle w:val="SCCNormalDoubleSpacing"/>
        <w:spacing w:line="240" w:lineRule="auto"/>
        <w:rPr>
          <w:rStyle w:val="SCCCounselPartyRoleChar"/>
          <w:sz w:val="20"/>
        </w:rPr>
      </w:pPr>
      <w:r w:rsidRPr="00E659E0">
        <w:rPr>
          <w:rStyle w:val="SCCCounselNameChar"/>
          <w:sz w:val="20"/>
        </w:rPr>
        <w:tab/>
      </w:r>
      <w:proofErr w:type="gramStart"/>
      <w:r w:rsidRPr="00E659E0">
        <w:rPr>
          <w:rStyle w:val="SCCCounselNameChar"/>
          <w:sz w:val="20"/>
        </w:rPr>
        <w:t>Robert S. Anderson</w:t>
      </w:r>
      <w:r w:rsidRPr="00E659E0">
        <w:rPr>
          <w:rStyle w:val="SCCCounselNameChar"/>
          <w:i w:val="0"/>
          <w:sz w:val="20"/>
        </w:rPr>
        <w:t xml:space="preserve">, </w:t>
      </w:r>
      <w:r w:rsidRPr="00E659E0">
        <w:rPr>
          <w:rStyle w:val="SCCCounselNameChar"/>
          <w:sz w:val="20"/>
        </w:rPr>
        <w:t>Q.C.</w:t>
      </w:r>
      <w:r w:rsidRPr="00CD4E1D">
        <w:rPr>
          <w:rStyle w:val="SCCCounselSeparatorChar"/>
          <w:sz w:val="20"/>
          <w:lang w:val="en-CA"/>
        </w:rPr>
        <w:t xml:space="preserve">, </w:t>
      </w:r>
      <w:r w:rsidRPr="00E659E0">
        <w:rPr>
          <w:rStyle w:val="SCCCounselNameChar"/>
          <w:sz w:val="20"/>
        </w:rPr>
        <w:t xml:space="preserve">Sean </w:t>
      </w:r>
      <w:proofErr w:type="spellStart"/>
      <w:r w:rsidRPr="00E659E0">
        <w:rPr>
          <w:rStyle w:val="SCCCounselNameChar"/>
          <w:sz w:val="20"/>
        </w:rPr>
        <w:t>Hern</w:t>
      </w:r>
      <w:proofErr w:type="spellEnd"/>
      <w:r w:rsidRPr="00CD4E1D">
        <w:rPr>
          <w:rStyle w:val="SCCCounselSeparatorChar"/>
          <w:sz w:val="20"/>
          <w:lang w:val="en-CA"/>
        </w:rPr>
        <w:t xml:space="preserve"> and </w:t>
      </w:r>
      <w:r w:rsidRPr="00E659E0">
        <w:rPr>
          <w:rStyle w:val="SCCCounselNameChar"/>
          <w:sz w:val="20"/>
        </w:rPr>
        <w:t xml:space="preserve">Nicholas T. </w:t>
      </w:r>
      <w:proofErr w:type="spellStart"/>
      <w:r w:rsidRPr="00E659E0">
        <w:rPr>
          <w:rStyle w:val="SCCCounselNameChar"/>
          <w:sz w:val="20"/>
        </w:rPr>
        <w:t>Hooge</w:t>
      </w:r>
      <w:proofErr w:type="spellEnd"/>
      <w:r w:rsidRPr="00E659E0">
        <w:rPr>
          <w:rStyle w:val="SCCCounselPartyRoleChar"/>
          <w:sz w:val="20"/>
        </w:rPr>
        <w:t>, for the respondent.</w:t>
      </w:r>
      <w:proofErr w:type="gramEnd"/>
    </w:p>
    <w:p w:rsidR="00CD4E1D" w:rsidRPr="00E659E0" w:rsidRDefault="00CD4E1D" w:rsidP="00CD4E1D">
      <w:pPr>
        <w:pStyle w:val="SCCNormalDoubleSpacing"/>
        <w:spacing w:line="240" w:lineRule="auto"/>
        <w:rPr>
          <w:sz w:val="20"/>
        </w:rPr>
      </w:pPr>
    </w:p>
    <w:p w:rsidR="00CD4E1D" w:rsidRDefault="00CD4E1D" w:rsidP="00CD4E1D">
      <w:pPr>
        <w:pStyle w:val="SCCNormalDoubleSpacing"/>
        <w:spacing w:line="240" w:lineRule="auto"/>
        <w:rPr>
          <w:rStyle w:val="SCCCounselPartyRoleChar"/>
          <w:sz w:val="20"/>
          <w:lang w:val="en-US"/>
        </w:rPr>
      </w:pPr>
      <w:r w:rsidRPr="00E659E0">
        <w:rPr>
          <w:rStyle w:val="SCCCounselNameChar"/>
          <w:sz w:val="20"/>
        </w:rPr>
        <w:tab/>
      </w:r>
      <w:proofErr w:type="spellStart"/>
      <w:proofErr w:type="gramStart"/>
      <w:r w:rsidRPr="00E659E0">
        <w:rPr>
          <w:rStyle w:val="SCCCounselNameChar"/>
          <w:sz w:val="20"/>
          <w:lang w:val="en-US"/>
        </w:rPr>
        <w:t>Babak</w:t>
      </w:r>
      <w:proofErr w:type="spellEnd"/>
      <w:r w:rsidRPr="00E659E0">
        <w:rPr>
          <w:rStyle w:val="SCCCounselNameChar"/>
          <w:sz w:val="20"/>
          <w:lang w:val="en-US"/>
        </w:rPr>
        <w:t xml:space="preserve"> </w:t>
      </w:r>
      <w:proofErr w:type="spellStart"/>
      <w:r w:rsidRPr="00E659E0">
        <w:rPr>
          <w:rStyle w:val="SCCCounselNameChar"/>
          <w:sz w:val="20"/>
          <w:lang w:val="en-US"/>
        </w:rPr>
        <w:t>Barin</w:t>
      </w:r>
      <w:proofErr w:type="spellEnd"/>
      <w:r w:rsidRPr="00E659E0">
        <w:rPr>
          <w:rStyle w:val="SCCCounselSeparatorChar"/>
          <w:sz w:val="20"/>
          <w:lang w:val="en-US"/>
        </w:rPr>
        <w:t xml:space="preserve">, </w:t>
      </w:r>
      <w:r w:rsidRPr="00E659E0">
        <w:rPr>
          <w:rStyle w:val="SCCCounselNameChar"/>
          <w:sz w:val="20"/>
          <w:lang w:val="en-US"/>
        </w:rPr>
        <w:t xml:space="preserve">Gaston Gauthier </w:t>
      </w:r>
      <w:r w:rsidRPr="00E659E0">
        <w:rPr>
          <w:rStyle w:val="SCCCounselNameChar"/>
          <w:i w:val="0"/>
          <w:sz w:val="20"/>
          <w:lang w:val="en-US"/>
        </w:rPr>
        <w:t>and</w:t>
      </w:r>
      <w:r w:rsidRPr="00E659E0">
        <w:rPr>
          <w:rStyle w:val="SCCCounselNameChar"/>
          <w:sz w:val="20"/>
          <w:lang w:val="en-US"/>
        </w:rPr>
        <w:t xml:space="preserve"> </w:t>
      </w:r>
      <w:proofErr w:type="spellStart"/>
      <w:r w:rsidRPr="00E659E0">
        <w:rPr>
          <w:rStyle w:val="SCCCounselNameChar"/>
          <w:sz w:val="20"/>
          <w:lang w:val="en-US"/>
        </w:rPr>
        <w:t>Frédéric</w:t>
      </w:r>
      <w:proofErr w:type="spellEnd"/>
      <w:r w:rsidRPr="00E659E0">
        <w:rPr>
          <w:rStyle w:val="SCCCounselNameChar"/>
          <w:sz w:val="20"/>
          <w:lang w:val="en-US"/>
        </w:rPr>
        <w:t xml:space="preserve"> </w:t>
      </w:r>
      <w:proofErr w:type="spellStart"/>
      <w:r w:rsidRPr="00E659E0">
        <w:rPr>
          <w:rStyle w:val="SCCCounselNameChar"/>
          <w:sz w:val="20"/>
          <w:lang w:val="en-US"/>
        </w:rPr>
        <w:t>Côté</w:t>
      </w:r>
      <w:proofErr w:type="spellEnd"/>
      <w:r w:rsidRPr="00E659E0">
        <w:rPr>
          <w:rStyle w:val="SCCCounselPartyRoleChar"/>
          <w:sz w:val="20"/>
          <w:lang w:val="en-US"/>
        </w:rPr>
        <w:t xml:space="preserve">, for the intervener </w:t>
      </w:r>
      <w:proofErr w:type="spellStart"/>
      <w:r w:rsidRPr="00E659E0">
        <w:rPr>
          <w:rStyle w:val="SCCCounselPartyRoleChar"/>
          <w:sz w:val="20"/>
          <w:lang w:val="en-US"/>
        </w:rPr>
        <w:t>Barreau</w:t>
      </w:r>
      <w:proofErr w:type="spellEnd"/>
      <w:r w:rsidRPr="00E659E0">
        <w:rPr>
          <w:rStyle w:val="SCCCounselPartyRoleChar"/>
          <w:sz w:val="20"/>
          <w:lang w:val="en-US"/>
        </w:rPr>
        <w:t xml:space="preserve"> du Québec.</w:t>
      </w:r>
      <w:proofErr w:type="gramEnd"/>
    </w:p>
    <w:p w:rsidR="00CD4E1D" w:rsidRPr="00E659E0" w:rsidRDefault="00CD4E1D" w:rsidP="00CD4E1D">
      <w:pPr>
        <w:pStyle w:val="SCCNormalDoubleSpacing"/>
        <w:spacing w:line="240" w:lineRule="auto"/>
        <w:rPr>
          <w:sz w:val="20"/>
          <w:lang w:val="en-US"/>
        </w:rPr>
      </w:pPr>
    </w:p>
    <w:p w:rsidR="00CD4E1D" w:rsidRDefault="00CD4E1D" w:rsidP="00CD4E1D">
      <w:pPr>
        <w:pStyle w:val="SCCNormalDoubleSpacing"/>
        <w:spacing w:line="240" w:lineRule="auto"/>
        <w:rPr>
          <w:rStyle w:val="SCCCounselPartyRoleChar"/>
          <w:sz w:val="20"/>
        </w:rPr>
      </w:pPr>
      <w:r w:rsidRPr="00E659E0">
        <w:rPr>
          <w:rStyle w:val="SCCCounselNameChar"/>
          <w:sz w:val="20"/>
          <w:lang w:val="en-US"/>
        </w:rPr>
        <w:tab/>
      </w:r>
      <w:proofErr w:type="gramStart"/>
      <w:r w:rsidRPr="00E659E0">
        <w:rPr>
          <w:rStyle w:val="SCCCounselNameChar"/>
          <w:sz w:val="20"/>
        </w:rPr>
        <w:t>Ivan G. Whitehall</w:t>
      </w:r>
      <w:r w:rsidRPr="00E659E0">
        <w:rPr>
          <w:rStyle w:val="SCCCounselNameChar"/>
          <w:i w:val="0"/>
          <w:sz w:val="20"/>
        </w:rPr>
        <w:t xml:space="preserve">, </w:t>
      </w:r>
      <w:r w:rsidRPr="00E659E0">
        <w:rPr>
          <w:rStyle w:val="SCCCounselNameChar"/>
          <w:sz w:val="20"/>
        </w:rPr>
        <w:t>Q.C.</w:t>
      </w:r>
      <w:r w:rsidRPr="00CD4E1D">
        <w:rPr>
          <w:rStyle w:val="SCCCounselSeparatorChar"/>
          <w:sz w:val="20"/>
          <w:lang w:val="en-CA"/>
        </w:rPr>
        <w:t xml:space="preserve">, and </w:t>
      </w:r>
      <w:r w:rsidRPr="00E659E0">
        <w:rPr>
          <w:rStyle w:val="SCCCounselNameChar"/>
          <w:sz w:val="20"/>
        </w:rPr>
        <w:t xml:space="preserve">Alejandro </w:t>
      </w:r>
      <w:proofErr w:type="spellStart"/>
      <w:r w:rsidRPr="00E659E0">
        <w:rPr>
          <w:rStyle w:val="SCCCounselNameChar"/>
          <w:sz w:val="20"/>
        </w:rPr>
        <w:t>Manevich</w:t>
      </w:r>
      <w:proofErr w:type="spellEnd"/>
      <w:r w:rsidRPr="00E659E0">
        <w:rPr>
          <w:rStyle w:val="SCCCounselPartyRoleChar"/>
          <w:sz w:val="20"/>
        </w:rPr>
        <w:t>, for the intervener the Canadian Arbitration Congress.</w:t>
      </w:r>
      <w:proofErr w:type="gramEnd"/>
    </w:p>
    <w:p w:rsidR="00CD4E1D" w:rsidRPr="00E659E0" w:rsidRDefault="00CD4E1D" w:rsidP="00CD4E1D">
      <w:pPr>
        <w:pStyle w:val="SCCNormalDoubleSpacing"/>
        <w:spacing w:line="240" w:lineRule="auto"/>
        <w:rPr>
          <w:sz w:val="20"/>
        </w:rPr>
      </w:pPr>
    </w:p>
    <w:p w:rsidR="00CD4E1D" w:rsidRDefault="00CD4E1D" w:rsidP="00CD4E1D">
      <w:pPr>
        <w:pStyle w:val="SCCNormalDoubleSpacing"/>
        <w:spacing w:line="240" w:lineRule="auto"/>
        <w:rPr>
          <w:rStyle w:val="SCCCounselPartyRoleChar"/>
          <w:sz w:val="20"/>
        </w:rPr>
      </w:pPr>
      <w:r w:rsidRPr="00E659E0">
        <w:rPr>
          <w:rStyle w:val="SCCCounselNameChar"/>
          <w:sz w:val="20"/>
        </w:rPr>
        <w:tab/>
      </w:r>
      <w:proofErr w:type="gramStart"/>
      <w:r w:rsidRPr="00E659E0">
        <w:rPr>
          <w:rStyle w:val="SCCCounselNameChar"/>
          <w:sz w:val="20"/>
        </w:rPr>
        <w:t>Barry Leon</w:t>
      </w:r>
      <w:r w:rsidRPr="00CD4E1D">
        <w:rPr>
          <w:rStyle w:val="SCCCounselSeparatorChar"/>
          <w:sz w:val="20"/>
          <w:lang w:val="en-CA"/>
        </w:rPr>
        <w:t xml:space="preserve">, </w:t>
      </w:r>
      <w:r w:rsidRPr="00E659E0">
        <w:rPr>
          <w:rStyle w:val="SCCCounselNameChar"/>
          <w:sz w:val="20"/>
        </w:rPr>
        <w:t xml:space="preserve">Andrew de </w:t>
      </w:r>
      <w:proofErr w:type="spellStart"/>
      <w:r w:rsidRPr="00E659E0">
        <w:rPr>
          <w:rStyle w:val="SCCCounselNameChar"/>
          <w:sz w:val="20"/>
        </w:rPr>
        <w:t>Lotbinière</w:t>
      </w:r>
      <w:proofErr w:type="spellEnd"/>
      <w:r w:rsidRPr="00E659E0">
        <w:rPr>
          <w:rStyle w:val="SCCCounselNameChar"/>
          <w:sz w:val="20"/>
        </w:rPr>
        <w:t xml:space="preserve"> McDougall</w:t>
      </w:r>
      <w:r w:rsidRPr="00CD4E1D">
        <w:rPr>
          <w:rStyle w:val="SCCCounselSeparatorChar"/>
          <w:sz w:val="20"/>
          <w:lang w:val="en-CA"/>
        </w:rPr>
        <w:t xml:space="preserve"> and </w:t>
      </w:r>
      <w:r w:rsidRPr="00E659E0">
        <w:rPr>
          <w:rStyle w:val="SCCCounselNameChar"/>
          <w:sz w:val="20"/>
        </w:rPr>
        <w:t>Daniel Taylor</w:t>
      </w:r>
      <w:r w:rsidRPr="00E659E0">
        <w:rPr>
          <w:rStyle w:val="SCCCounselPartyRoleChar"/>
          <w:sz w:val="20"/>
        </w:rPr>
        <w:t>, for the intervener ADR Chambers Inc.</w:t>
      </w:r>
      <w:proofErr w:type="gramEnd"/>
    </w:p>
    <w:p w:rsidR="00CD4E1D" w:rsidRPr="00E659E0" w:rsidRDefault="00CD4E1D" w:rsidP="00CD4E1D">
      <w:pPr>
        <w:pStyle w:val="SCCNormalDoubleSpacing"/>
        <w:spacing w:line="240" w:lineRule="auto"/>
        <w:rPr>
          <w:sz w:val="20"/>
        </w:rPr>
      </w:pPr>
    </w:p>
    <w:p w:rsidR="00CD4E1D" w:rsidRDefault="00CD4E1D" w:rsidP="00CD4E1D">
      <w:pPr>
        <w:pStyle w:val="SCCNormalDoubleSpacing"/>
        <w:spacing w:line="240" w:lineRule="auto"/>
        <w:rPr>
          <w:i/>
          <w:sz w:val="20"/>
        </w:rPr>
      </w:pPr>
      <w:r w:rsidRPr="00E659E0">
        <w:rPr>
          <w:sz w:val="20"/>
        </w:rPr>
        <w:tab/>
      </w:r>
      <w:r w:rsidRPr="00E659E0">
        <w:rPr>
          <w:i/>
          <w:sz w:val="20"/>
        </w:rPr>
        <w:t xml:space="preserve">Solicitors for the appellant:  Grant Kovacs </w:t>
      </w:r>
      <w:proofErr w:type="spellStart"/>
      <w:r w:rsidRPr="00E659E0">
        <w:rPr>
          <w:i/>
          <w:sz w:val="20"/>
        </w:rPr>
        <w:t>Norell</w:t>
      </w:r>
      <w:proofErr w:type="spellEnd"/>
      <w:r w:rsidRPr="00E659E0">
        <w:rPr>
          <w:i/>
          <w:sz w:val="20"/>
        </w:rPr>
        <w:t>, Vancouver.</w:t>
      </w:r>
    </w:p>
    <w:p w:rsidR="00CD4E1D" w:rsidRPr="00E659E0" w:rsidRDefault="00CD4E1D" w:rsidP="00CD4E1D">
      <w:pPr>
        <w:pStyle w:val="SCCNormalDoubleSpacing"/>
        <w:spacing w:line="240" w:lineRule="auto"/>
        <w:rPr>
          <w:i/>
          <w:sz w:val="20"/>
        </w:rPr>
      </w:pPr>
    </w:p>
    <w:p w:rsidR="00CD4E1D" w:rsidRDefault="00CD4E1D" w:rsidP="00CD4E1D">
      <w:pPr>
        <w:pStyle w:val="SCCNormalDoubleSpacing"/>
        <w:spacing w:line="240" w:lineRule="auto"/>
        <w:rPr>
          <w:i/>
          <w:sz w:val="20"/>
        </w:rPr>
      </w:pPr>
      <w:r w:rsidRPr="00E659E0">
        <w:rPr>
          <w:i/>
          <w:sz w:val="20"/>
        </w:rPr>
        <w:tab/>
        <w:t>Solicitors for the respondent:  Farris, Vaughan, Wills &amp; Murphy, Vancouver.</w:t>
      </w:r>
    </w:p>
    <w:p w:rsidR="00CD4E1D" w:rsidRPr="00E659E0" w:rsidRDefault="00CD4E1D" w:rsidP="00CD4E1D">
      <w:pPr>
        <w:pStyle w:val="SCCNormalDoubleSpacing"/>
        <w:spacing w:line="240" w:lineRule="auto"/>
        <w:rPr>
          <w:i/>
          <w:sz w:val="20"/>
        </w:rPr>
      </w:pPr>
    </w:p>
    <w:p w:rsidR="00CD4E1D" w:rsidRDefault="00CD4E1D" w:rsidP="00CD4E1D">
      <w:pPr>
        <w:pStyle w:val="SCCNormalDoubleSpacing"/>
        <w:spacing w:line="240" w:lineRule="auto"/>
        <w:rPr>
          <w:i/>
          <w:sz w:val="20"/>
        </w:rPr>
      </w:pPr>
      <w:r w:rsidRPr="00E659E0">
        <w:rPr>
          <w:i/>
          <w:sz w:val="20"/>
        </w:rPr>
        <w:tab/>
        <w:t xml:space="preserve">Solicitors for the intervener </w:t>
      </w:r>
      <w:proofErr w:type="spellStart"/>
      <w:r w:rsidRPr="00E659E0">
        <w:rPr>
          <w:i/>
          <w:sz w:val="20"/>
        </w:rPr>
        <w:t>Barreau</w:t>
      </w:r>
      <w:proofErr w:type="spellEnd"/>
      <w:r w:rsidRPr="00E659E0">
        <w:rPr>
          <w:i/>
          <w:sz w:val="20"/>
        </w:rPr>
        <w:t xml:space="preserve"> du Québec:  B C F, Montréal.</w:t>
      </w:r>
    </w:p>
    <w:p w:rsidR="00CD4E1D" w:rsidRPr="00E659E0" w:rsidRDefault="00CD4E1D" w:rsidP="00CD4E1D">
      <w:pPr>
        <w:pStyle w:val="SCCNormalDoubleSpacing"/>
        <w:spacing w:line="240" w:lineRule="auto"/>
        <w:rPr>
          <w:i/>
          <w:sz w:val="20"/>
        </w:rPr>
      </w:pPr>
    </w:p>
    <w:p w:rsidR="00CD4E1D" w:rsidRDefault="00CD4E1D" w:rsidP="00CD4E1D">
      <w:pPr>
        <w:pStyle w:val="SCCNormalDoubleSpacing"/>
        <w:spacing w:line="240" w:lineRule="auto"/>
        <w:rPr>
          <w:i/>
          <w:sz w:val="20"/>
        </w:rPr>
      </w:pPr>
      <w:r w:rsidRPr="00E659E0">
        <w:rPr>
          <w:i/>
          <w:sz w:val="20"/>
        </w:rPr>
        <w:tab/>
        <w:t>Solicitors for the intervener the Canadian Arbitration Congress:  </w:t>
      </w:r>
      <w:proofErr w:type="spellStart"/>
      <w:r w:rsidRPr="00E659E0">
        <w:rPr>
          <w:i/>
          <w:sz w:val="20"/>
        </w:rPr>
        <w:t>Heenan</w:t>
      </w:r>
      <w:proofErr w:type="spellEnd"/>
      <w:r w:rsidRPr="00E659E0">
        <w:rPr>
          <w:i/>
          <w:sz w:val="20"/>
        </w:rPr>
        <w:t xml:space="preserve"> </w:t>
      </w:r>
      <w:proofErr w:type="spellStart"/>
      <w:r w:rsidRPr="00E659E0">
        <w:rPr>
          <w:i/>
          <w:sz w:val="20"/>
        </w:rPr>
        <w:t>Blaikie</w:t>
      </w:r>
      <w:proofErr w:type="spellEnd"/>
      <w:r w:rsidRPr="00E659E0">
        <w:rPr>
          <w:i/>
          <w:sz w:val="20"/>
        </w:rPr>
        <w:t>, Ottawa.</w:t>
      </w:r>
    </w:p>
    <w:p w:rsidR="00CD4E1D" w:rsidRPr="00E659E0" w:rsidRDefault="00CD4E1D" w:rsidP="00CD4E1D">
      <w:pPr>
        <w:pStyle w:val="SCCNormalDoubleSpacing"/>
        <w:spacing w:line="240" w:lineRule="auto"/>
        <w:rPr>
          <w:i/>
          <w:sz w:val="20"/>
        </w:rPr>
      </w:pPr>
    </w:p>
    <w:p w:rsidR="00CD4E1D" w:rsidRDefault="00CD4E1D" w:rsidP="00CD4E1D">
      <w:pPr>
        <w:pStyle w:val="SCCNormalDoubleSpacing"/>
        <w:spacing w:line="240" w:lineRule="auto"/>
        <w:rPr>
          <w:i/>
          <w:sz w:val="20"/>
        </w:rPr>
      </w:pPr>
      <w:r w:rsidRPr="00E659E0">
        <w:rPr>
          <w:i/>
          <w:sz w:val="20"/>
        </w:rPr>
        <w:tab/>
        <w:t>Solicitors for the intervener ADR Chambers Inc.:  </w:t>
      </w:r>
      <w:proofErr w:type="spellStart"/>
      <w:r w:rsidRPr="00E659E0">
        <w:rPr>
          <w:i/>
          <w:sz w:val="20"/>
        </w:rPr>
        <w:t>Perley</w:t>
      </w:r>
      <w:r w:rsidRPr="00E659E0">
        <w:rPr>
          <w:i/>
          <w:sz w:val="20"/>
        </w:rPr>
        <w:noBreakHyphen/>
        <w:t>Robertson</w:t>
      </w:r>
      <w:proofErr w:type="spellEnd"/>
      <w:r w:rsidRPr="00E659E0">
        <w:rPr>
          <w:i/>
          <w:sz w:val="20"/>
        </w:rPr>
        <w:t>, Hill &amp; McDougall, Ottawa.</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Default="00DD0B49" w:rsidP="00DD0B49">
      <w:pPr>
        <w:rPr>
          <w:rFonts w:cs="Times New Roman"/>
          <w:sz w:val="20"/>
          <w:szCs w:val="20"/>
          <w:lang w:val="fr-CA"/>
        </w:rPr>
      </w:pPr>
    </w:p>
    <w:p w:rsidR="00C17D29" w:rsidRPr="00C17D29" w:rsidRDefault="00C17D29" w:rsidP="00C17D29">
      <w:pPr>
        <w:jc w:val="both"/>
        <w:rPr>
          <w:sz w:val="20"/>
          <w:lang w:val="fr-CA"/>
        </w:rPr>
      </w:pPr>
      <w:r w:rsidRPr="00C17D29">
        <w:rPr>
          <w:sz w:val="20"/>
          <w:lang w:val="fr-CA"/>
        </w:rPr>
        <w:t xml:space="preserve">Présents : La juge en chef </w:t>
      </w:r>
      <w:proofErr w:type="spellStart"/>
      <w:r w:rsidRPr="00C17D29">
        <w:rPr>
          <w:sz w:val="20"/>
          <w:lang w:val="fr-CA"/>
        </w:rPr>
        <w:t>McLachlin</w:t>
      </w:r>
      <w:proofErr w:type="spellEnd"/>
      <w:r w:rsidRPr="00C17D29">
        <w:rPr>
          <w:sz w:val="20"/>
          <w:lang w:val="fr-CA"/>
        </w:rPr>
        <w:t xml:space="preserve"> et les juges </w:t>
      </w:r>
      <w:proofErr w:type="spellStart"/>
      <w:r w:rsidRPr="00C17D29">
        <w:rPr>
          <w:sz w:val="20"/>
          <w:lang w:val="fr-CA"/>
        </w:rPr>
        <w:t>Binnie</w:t>
      </w:r>
      <w:proofErr w:type="spellEnd"/>
      <w:r w:rsidRPr="00C17D29">
        <w:rPr>
          <w:sz w:val="20"/>
          <w:lang w:val="fr-CA"/>
        </w:rPr>
        <w:t xml:space="preserve">, </w:t>
      </w:r>
      <w:proofErr w:type="spellStart"/>
      <w:r w:rsidRPr="00C17D29">
        <w:rPr>
          <w:sz w:val="20"/>
          <w:lang w:val="fr-CA"/>
        </w:rPr>
        <w:t>LeBel</w:t>
      </w:r>
      <w:proofErr w:type="spellEnd"/>
      <w:r w:rsidRPr="00C17D29">
        <w:rPr>
          <w:sz w:val="20"/>
          <w:lang w:val="fr-CA"/>
        </w:rPr>
        <w:t xml:space="preserve">, Deschamps, Fish, Abella, Charron, </w:t>
      </w:r>
      <w:proofErr w:type="spellStart"/>
      <w:r w:rsidRPr="00C17D29">
        <w:rPr>
          <w:sz w:val="20"/>
          <w:lang w:val="fr-CA"/>
        </w:rPr>
        <w:t>Rothstein</w:t>
      </w:r>
      <w:proofErr w:type="spellEnd"/>
      <w:r w:rsidRPr="00C17D29">
        <w:rPr>
          <w:sz w:val="20"/>
          <w:lang w:val="fr-CA"/>
        </w:rPr>
        <w:t xml:space="preserve"> et Cromwell.</w:t>
      </w:r>
    </w:p>
    <w:p w:rsidR="00C17D29" w:rsidRPr="00916521" w:rsidRDefault="00C17D29" w:rsidP="00C17D29">
      <w:pPr>
        <w:pStyle w:val="SCCLowerCourtNameLowercase"/>
        <w:spacing w:line="240" w:lineRule="auto"/>
        <w:rPr>
          <w:sz w:val="20"/>
        </w:rPr>
      </w:pPr>
    </w:p>
    <w:p w:rsidR="00C17D29" w:rsidRPr="00C17D29" w:rsidRDefault="00C17D29" w:rsidP="00C17D29">
      <w:pPr>
        <w:pStyle w:val="SCCNormalDoubleSpacing"/>
        <w:spacing w:line="240" w:lineRule="auto"/>
        <w:rPr>
          <w:i/>
          <w:sz w:val="20"/>
          <w:lang w:val="fr-CA"/>
        </w:rPr>
      </w:pPr>
      <w:r w:rsidRPr="00C17D29">
        <w:rPr>
          <w:sz w:val="20"/>
          <w:lang w:val="fr-CA"/>
        </w:rPr>
        <w:tab/>
      </w:r>
      <w:r w:rsidRPr="00C17D29">
        <w:rPr>
          <w:i/>
          <w:sz w:val="20"/>
          <w:lang w:val="fr-CA"/>
        </w:rPr>
        <w:t>Protection du consommateur — Contrats — Arbitrage — Recours collectifs — Suspension d’instance — Clause du contrat du fournisseur de services de téléphonie cellulaire prévoyant la médiation et l’arbitrage privés et confidentiels et une renonciation au recours collectif — Cliente demandant à la Cour suprême de la C.</w:t>
      </w:r>
      <w:r w:rsidRPr="00C17D29">
        <w:rPr>
          <w:i/>
          <w:sz w:val="20"/>
          <w:lang w:val="fr-CA"/>
        </w:rPr>
        <w:noBreakHyphen/>
        <w:t xml:space="preserve">B. une injonction et un jugement déclarant que le fournisseur de services de téléphonie cellulaire s’est livré à des pratiques trompeuses et abusives — Cliente demandant une réparation pour </w:t>
      </w:r>
      <w:proofErr w:type="spellStart"/>
      <w:r w:rsidRPr="00C17D29">
        <w:rPr>
          <w:i/>
          <w:sz w:val="20"/>
          <w:lang w:val="fr-CA"/>
        </w:rPr>
        <w:t>elle</w:t>
      </w:r>
      <w:r w:rsidRPr="00C17D29">
        <w:rPr>
          <w:i/>
          <w:sz w:val="20"/>
          <w:lang w:val="fr-CA"/>
        </w:rPr>
        <w:noBreakHyphen/>
        <w:t>même</w:t>
      </w:r>
      <w:proofErr w:type="spellEnd"/>
      <w:r w:rsidRPr="00C17D29">
        <w:rPr>
          <w:i/>
          <w:sz w:val="20"/>
          <w:lang w:val="fr-CA"/>
        </w:rPr>
        <w:t xml:space="preserve"> et en tant que représentante d’une </w:t>
      </w:r>
      <w:r w:rsidRPr="00C17D29">
        <w:rPr>
          <w:i/>
          <w:sz w:val="20"/>
          <w:lang w:val="fr-CA"/>
        </w:rPr>
        <w:lastRenderedPageBreak/>
        <w:t xml:space="preserve">catégorie de consommateurs — Suspension d’instance accordée à la société de téléphonie cellulaire aux termes de la Commercial Arbitration </w:t>
      </w:r>
      <w:proofErr w:type="spellStart"/>
      <w:r w:rsidRPr="00C17D29">
        <w:rPr>
          <w:i/>
          <w:sz w:val="20"/>
          <w:lang w:val="fr-CA"/>
        </w:rPr>
        <w:t>Act</w:t>
      </w:r>
      <w:proofErr w:type="spellEnd"/>
      <w:r w:rsidRPr="00C17D29">
        <w:rPr>
          <w:i/>
          <w:sz w:val="20"/>
          <w:lang w:val="fr-CA"/>
        </w:rPr>
        <w:t xml:space="preserve"> — Business Practices and Consumer Protection </w:t>
      </w:r>
      <w:proofErr w:type="spellStart"/>
      <w:r w:rsidRPr="00C17D29">
        <w:rPr>
          <w:i/>
          <w:sz w:val="20"/>
          <w:lang w:val="fr-CA"/>
        </w:rPr>
        <w:t>Act</w:t>
      </w:r>
      <w:proofErr w:type="spellEnd"/>
      <w:r w:rsidRPr="00C17D29">
        <w:rPr>
          <w:i/>
          <w:sz w:val="20"/>
          <w:lang w:val="fr-CA"/>
        </w:rPr>
        <w:t xml:space="preserve"> (BPCPA) de la C.</w:t>
      </w:r>
      <w:r w:rsidRPr="00C17D29">
        <w:rPr>
          <w:i/>
          <w:sz w:val="20"/>
          <w:lang w:val="fr-CA"/>
        </w:rPr>
        <w:noBreakHyphen/>
        <w:t xml:space="preserve">B. déclarant nulles les ententes de renonciation aux droits, avantages et protections conférés par cette loi — La BPCPA </w:t>
      </w:r>
      <w:proofErr w:type="spellStart"/>
      <w:r w:rsidRPr="00C17D29">
        <w:rPr>
          <w:i/>
          <w:sz w:val="20"/>
          <w:lang w:val="fr-CA"/>
        </w:rPr>
        <w:t>annule</w:t>
      </w:r>
      <w:r w:rsidRPr="00C17D29">
        <w:rPr>
          <w:i/>
          <w:sz w:val="20"/>
          <w:lang w:val="fr-CA"/>
        </w:rPr>
        <w:noBreakHyphen/>
        <w:t>t</w:t>
      </w:r>
      <w:r w:rsidRPr="00C17D29">
        <w:rPr>
          <w:i/>
          <w:sz w:val="20"/>
          <w:lang w:val="fr-CA"/>
        </w:rPr>
        <w:noBreakHyphen/>
        <w:t>elle</w:t>
      </w:r>
      <w:proofErr w:type="spellEnd"/>
      <w:r w:rsidRPr="00C17D29">
        <w:rPr>
          <w:i/>
          <w:sz w:val="20"/>
          <w:lang w:val="fr-CA"/>
        </w:rPr>
        <w:t xml:space="preserve"> la clause d’arbitrage de sorte qu’il y a lieu de lever la suspension d’instance? — Business Practices and Consumer Protection </w:t>
      </w:r>
      <w:proofErr w:type="spellStart"/>
      <w:r w:rsidRPr="00C17D29">
        <w:rPr>
          <w:i/>
          <w:sz w:val="20"/>
          <w:lang w:val="fr-CA"/>
        </w:rPr>
        <w:t>Act</w:t>
      </w:r>
      <w:proofErr w:type="spellEnd"/>
      <w:r w:rsidRPr="00C17D29">
        <w:rPr>
          <w:i/>
          <w:sz w:val="20"/>
          <w:lang w:val="fr-CA"/>
        </w:rPr>
        <w:t xml:space="preserve">, S.B.C. 2004, ch. 2, art. 3, 171, 172 — Commercial Arbitration </w:t>
      </w:r>
      <w:proofErr w:type="spellStart"/>
      <w:r w:rsidRPr="00C17D29">
        <w:rPr>
          <w:i/>
          <w:sz w:val="20"/>
          <w:lang w:val="fr-CA"/>
        </w:rPr>
        <w:t>Act</w:t>
      </w:r>
      <w:proofErr w:type="spellEnd"/>
      <w:r w:rsidRPr="00C17D29">
        <w:rPr>
          <w:i/>
          <w:sz w:val="20"/>
          <w:lang w:val="fr-CA"/>
        </w:rPr>
        <w:t>, R.S.B.C. 1996, ch. 55, art. 15.</w:t>
      </w:r>
    </w:p>
    <w:p w:rsidR="00C17D29" w:rsidRPr="00C17D29" w:rsidRDefault="00C17D29" w:rsidP="00C17D29">
      <w:pPr>
        <w:pStyle w:val="SCCNormalDoubleSpacing"/>
        <w:spacing w:line="240" w:lineRule="auto"/>
        <w:rPr>
          <w:i/>
          <w:sz w:val="20"/>
          <w:lang w:val="fr-CA"/>
        </w:rPr>
      </w:pPr>
    </w:p>
    <w:p w:rsidR="00C17D29" w:rsidRPr="00C17D29" w:rsidRDefault="00C17D29" w:rsidP="00C17D29">
      <w:pPr>
        <w:pStyle w:val="SCCNormalDoubleSpacing"/>
        <w:spacing w:line="240" w:lineRule="auto"/>
        <w:rPr>
          <w:i/>
          <w:sz w:val="20"/>
          <w:lang w:val="fr-CA"/>
        </w:rPr>
      </w:pPr>
      <w:r w:rsidRPr="00C17D29">
        <w:rPr>
          <w:sz w:val="20"/>
          <w:lang w:val="fr-CA"/>
        </w:rPr>
        <w:tab/>
      </w:r>
      <w:r w:rsidRPr="00C17D29">
        <w:rPr>
          <w:i/>
          <w:sz w:val="20"/>
          <w:lang w:val="fr-CA"/>
        </w:rPr>
        <w:t xml:space="preserve">Arbitrage — Principe de </w:t>
      </w:r>
      <w:proofErr w:type="spellStart"/>
      <w:r w:rsidRPr="00C17D29">
        <w:rPr>
          <w:i/>
          <w:sz w:val="20"/>
          <w:lang w:val="fr-CA"/>
        </w:rPr>
        <w:t>compétence</w:t>
      </w:r>
      <w:r w:rsidRPr="00C17D29">
        <w:rPr>
          <w:i/>
          <w:sz w:val="20"/>
          <w:lang w:val="fr-CA"/>
        </w:rPr>
        <w:noBreakHyphen/>
        <w:t>compétence</w:t>
      </w:r>
      <w:proofErr w:type="spellEnd"/>
      <w:r w:rsidRPr="00C17D29">
        <w:rPr>
          <w:i/>
          <w:sz w:val="20"/>
          <w:lang w:val="fr-CA"/>
        </w:rPr>
        <w:t xml:space="preserve"> — Effet de la clause d’arbitrage sur la compétence de la cour — Contrat de services de téléphonie cellulaire comportant une clause de médiation et d’arbitrage obligatoires conclu entre la cliente et le fournisseur de services — Recours de la cliente devant la Cour suprême de la C.</w:t>
      </w:r>
      <w:r w:rsidRPr="00C17D29">
        <w:rPr>
          <w:i/>
          <w:sz w:val="20"/>
          <w:lang w:val="fr-CA"/>
        </w:rPr>
        <w:noBreakHyphen/>
        <w:t xml:space="preserve">B. en vue d’obtenir un jugement déclaratoire et une injonction en vertu de la BPCPA — Qui, de la cour ou de l’arbitre, doit trancher la question de compétence? — Business Practices and Consumer Protection </w:t>
      </w:r>
      <w:proofErr w:type="spellStart"/>
      <w:r w:rsidRPr="00C17D29">
        <w:rPr>
          <w:i/>
          <w:sz w:val="20"/>
          <w:lang w:val="fr-CA"/>
        </w:rPr>
        <w:t>Act</w:t>
      </w:r>
      <w:proofErr w:type="spellEnd"/>
      <w:r w:rsidRPr="00C17D29">
        <w:rPr>
          <w:i/>
          <w:sz w:val="20"/>
          <w:lang w:val="fr-CA"/>
        </w:rPr>
        <w:t xml:space="preserve">, S.B.C. 2004, ch. 2, art. 3, 171, 172 — Commercial Arbitration </w:t>
      </w:r>
      <w:proofErr w:type="spellStart"/>
      <w:r w:rsidRPr="00C17D29">
        <w:rPr>
          <w:i/>
          <w:sz w:val="20"/>
          <w:lang w:val="fr-CA"/>
        </w:rPr>
        <w:t>Act</w:t>
      </w:r>
      <w:proofErr w:type="spellEnd"/>
      <w:r w:rsidRPr="00C17D29">
        <w:rPr>
          <w:i/>
          <w:sz w:val="20"/>
          <w:lang w:val="fr-CA"/>
        </w:rPr>
        <w:t xml:space="preserve">, R.S.B.C. 1996, ch. 55, art. 22. </w:t>
      </w:r>
    </w:p>
    <w:p w:rsidR="00C17D29" w:rsidRPr="00C17D29" w:rsidRDefault="00C17D29" w:rsidP="00C17D29">
      <w:pPr>
        <w:pStyle w:val="SCCNormalDoubleSpacing"/>
        <w:spacing w:line="240" w:lineRule="auto"/>
        <w:rPr>
          <w:i/>
          <w:sz w:val="20"/>
          <w:lang w:val="fr-CA"/>
        </w:rPr>
      </w:pPr>
    </w:p>
    <w:p w:rsidR="00C17D29" w:rsidRDefault="00C17D29" w:rsidP="00C17D29">
      <w:pPr>
        <w:pStyle w:val="SCCNormalDoubleSpacing"/>
        <w:spacing w:line="240" w:lineRule="auto"/>
        <w:rPr>
          <w:sz w:val="20"/>
          <w:lang w:val="fr-FR"/>
        </w:rPr>
      </w:pPr>
      <w:r w:rsidRPr="00C17D29">
        <w:rPr>
          <w:sz w:val="20"/>
          <w:lang w:val="fr-CA"/>
        </w:rPr>
        <w:tab/>
      </w:r>
      <w:r w:rsidRPr="00916521">
        <w:rPr>
          <w:sz w:val="20"/>
          <w:lang w:val="fr-FR"/>
        </w:rPr>
        <w:t xml:space="preserve">TELUS et S ont conclu par écrit un contrat de services de téléphonie cellulaire en 2000.  Une clause du contrat type prévoyait que les litiges devaient être soumis à la médiation et à l’arbitrage privés et confidentiels.  Le contrat prévoyait de plus une renonciation à tout droit d’intenter un recours collectif ou d’y participer.  Dans une déclaration déposée en Cour suprême de la </w:t>
      </w:r>
      <w:proofErr w:type="spellStart"/>
      <w:r w:rsidRPr="00916521">
        <w:rPr>
          <w:sz w:val="20"/>
          <w:lang w:val="fr-FR"/>
        </w:rPr>
        <w:t>Colombie</w:t>
      </w:r>
      <w:r w:rsidRPr="00916521">
        <w:rPr>
          <w:sz w:val="20"/>
          <w:lang w:val="fr-FR"/>
        </w:rPr>
        <w:noBreakHyphen/>
        <w:t>Britannique</w:t>
      </w:r>
      <w:proofErr w:type="spellEnd"/>
      <w:r w:rsidRPr="00916521">
        <w:rPr>
          <w:sz w:val="20"/>
          <w:lang w:val="fr-FR"/>
        </w:rPr>
        <w:t xml:space="preserve">, S a invoqué diverses causes d’action, notamment un recours prévu par la </w:t>
      </w:r>
      <w:r w:rsidRPr="00916521">
        <w:rPr>
          <w:i/>
          <w:sz w:val="20"/>
          <w:lang w:val="fr-FR"/>
        </w:rPr>
        <w:t>BPCPA</w:t>
      </w:r>
      <w:r w:rsidRPr="00916521">
        <w:rPr>
          <w:sz w:val="20"/>
          <w:lang w:val="fr-FR"/>
        </w:rPr>
        <w:t xml:space="preserve">, prétendant que TELUS lui avait faussement indiqué, ainsi qu’à d’autres consommateurs, la façon dont l’entreprise calcule le temps d’antenne à des fins de facturation.  Elle a demandé, en vertu </w:t>
      </w:r>
      <w:proofErr w:type="gramStart"/>
      <w:r w:rsidRPr="00916521">
        <w:rPr>
          <w:sz w:val="20"/>
          <w:lang w:val="fr-FR"/>
        </w:rPr>
        <w:t>des art</w:t>
      </w:r>
      <w:proofErr w:type="gramEnd"/>
      <w:r w:rsidRPr="00916521">
        <w:rPr>
          <w:sz w:val="20"/>
          <w:lang w:val="fr-FR"/>
        </w:rPr>
        <w:t xml:space="preserve">. 171 et 172 de la </w:t>
      </w:r>
      <w:r w:rsidRPr="00916521">
        <w:rPr>
          <w:i/>
          <w:sz w:val="20"/>
          <w:lang w:val="fr-FR"/>
        </w:rPr>
        <w:t>BPCPA</w:t>
      </w:r>
      <w:r w:rsidRPr="00916521">
        <w:rPr>
          <w:sz w:val="20"/>
          <w:lang w:val="fr-FR"/>
        </w:rPr>
        <w:t>, une réparation pour ce qu’elle prétend être des pratiques trompeuses et abusives, ainsi que l’autorisation d’agir en son nom et en qualité de représentante d’une catégorie de consommateurs auxquels on aurait facturé des sommes excessives.</w:t>
      </w:r>
    </w:p>
    <w:p w:rsidR="00C17D29" w:rsidRPr="00916521" w:rsidRDefault="00C17D29" w:rsidP="00C17D29">
      <w:pPr>
        <w:pStyle w:val="SCCNormalDoubleSpacing"/>
        <w:spacing w:line="240" w:lineRule="auto"/>
        <w:rPr>
          <w:sz w:val="20"/>
          <w:lang w:val="fr-FR"/>
        </w:rPr>
      </w:pPr>
    </w:p>
    <w:p w:rsidR="00C17D29" w:rsidRDefault="00C17D29" w:rsidP="00C17D29">
      <w:pPr>
        <w:pStyle w:val="SCCNormalDoubleSpacing"/>
        <w:spacing w:line="240" w:lineRule="auto"/>
        <w:rPr>
          <w:sz w:val="20"/>
          <w:lang w:val="fr-FR"/>
        </w:rPr>
      </w:pPr>
      <w:r w:rsidRPr="00916521">
        <w:rPr>
          <w:sz w:val="20"/>
          <w:lang w:val="fr-FR"/>
        </w:rPr>
        <w:tab/>
      </w:r>
      <w:r w:rsidRPr="00C17D29">
        <w:rPr>
          <w:sz w:val="20"/>
          <w:lang w:val="fr-CA"/>
        </w:rPr>
        <w:t xml:space="preserve">Dans le cadre de l’instance portant sur la demande d’autorisation d’exercer un recours collectif présentée par S, TELUS a cherché à obtenir la suspension de toutes les demandes, invoquant la clause d’arbitrage en application de l’art. 15 de la </w:t>
      </w:r>
      <w:r w:rsidRPr="00C17D29">
        <w:rPr>
          <w:i/>
          <w:sz w:val="20"/>
          <w:lang w:val="fr-CA"/>
        </w:rPr>
        <w:t xml:space="preserve">Commercial Arbitration </w:t>
      </w:r>
      <w:proofErr w:type="spellStart"/>
      <w:r w:rsidRPr="00C17D29">
        <w:rPr>
          <w:i/>
          <w:sz w:val="20"/>
          <w:lang w:val="fr-CA"/>
        </w:rPr>
        <w:t>Act</w:t>
      </w:r>
      <w:proofErr w:type="spellEnd"/>
      <w:r w:rsidRPr="00C17D29">
        <w:rPr>
          <w:sz w:val="20"/>
          <w:lang w:val="fr-CA"/>
        </w:rPr>
        <w:t xml:space="preserve">.  Le juge de première instance a rejeté la demande de TELUS, estimant qu’il était prématuré de déterminer si l’action devrait être suspendue en attendant que la cour se prononce sur la demande d’autorisation.  Appliquant le principe de </w:t>
      </w:r>
      <w:proofErr w:type="spellStart"/>
      <w:r w:rsidRPr="00C17D29">
        <w:rPr>
          <w:sz w:val="20"/>
          <w:lang w:val="fr-CA"/>
        </w:rPr>
        <w:t>compétence</w:t>
      </w:r>
      <w:r w:rsidRPr="00C17D29">
        <w:rPr>
          <w:sz w:val="20"/>
          <w:lang w:val="fr-CA"/>
        </w:rPr>
        <w:noBreakHyphen/>
        <w:t>compétence</w:t>
      </w:r>
      <w:proofErr w:type="spellEnd"/>
      <w:r w:rsidRPr="00C17D29">
        <w:rPr>
          <w:sz w:val="20"/>
          <w:lang w:val="fr-CA"/>
        </w:rPr>
        <w:t>, l</w:t>
      </w:r>
      <w:r w:rsidRPr="00916521">
        <w:rPr>
          <w:sz w:val="20"/>
          <w:lang w:val="fr-FR"/>
        </w:rPr>
        <w:t xml:space="preserve">a Cour d’appel a jugé que S était </w:t>
      </w:r>
      <w:proofErr w:type="gramStart"/>
      <w:r w:rsidRPr="00916521">
        <w:rPr>
          <w:sz w:val="20"/>
          <w:lang w:val="fr-FR"/>
        </w:rPr>
        <w:t>liée</w:t>
      </w:r>
      <w:proofErr w:type="gramEnd"/>
      <w:r w:rsidRPr="00916521">
        <w:rPr>
          <w:sz w:val="20"/>
          <w:lang w:val="fr-FR"/>
        </w:rPr>
        <w:t xml:space="preserve"> par la clause d’arbitrage figurant dans le contrat d’adhésion à l’égard de toutes les demandes.  En définitive, la Cour d’appel a accueilli l’appel et ordonné la suspension de l’action de S dans sa totalité, concluant qu’il revient à l’arbitre de déterminer les demandes qui sont assujetties à l’arbitrage et celles qui devraient être soumises à une cour.</w:t>
      </w:r>
    </w:p>
    <w:p w:rsidR="00C17D29" w:rsidRPr="00C17D29" w:rsidRDefault="00C17D29" w:rsidP="00C17D29">
      <w:pPr>
        <w:pStyle w:val="SCCNormalDoubleSpacing"/>
        <w:spacing w:line="240" w:lineRule="auto"/>
        <w:rPr>
          <w:sz w:val="20"/>
          <w:lang w:val="fr-CA"/>
        </w:rPr>
      </w:pPr>
    </w:p>
    <w:p w:rsidR="00C17D29" w:rsidRDefault="00C17D29" w:rsidP="00C17D29">
      <w:pPr>
        <w:pStyle w:val="SCCNormalDoubleSpacing"/>
        <w:spacing w:line="240" w:lineRule="auto"/>
        <w:rPr>
          <w:sz w:val="20"/>
          <w:lang w:val="fr-FR"/>
        </w:rPr>
      </w:pPr>
      <w:r w:rsidRPr="00916521">
        <w:rPr>
          <w:sz w:val="20"/>
          <w:lang w:val="fr-FR"/>
        </w:rPr>
        <w:tab/>
      </w:r>
      <w:r w:rsidRPr="00916521">
        <w:rPr>
          <w:i/>
          <w:sz w:val="20"/>
          <w:lang w:val="fr-FR"/>
        </w:rPr>
        <w:t>Arrêt</w:t>
      </w:r>
      <w:r w:rsidRPr="00916521">
        <w:rPr>
          <w:rStyle w:val="QuoteChar"/>
          <w:i w:val="0"/>
          <w:lang w:val="fr-FR"/>
        </w:rPr>
        <w:t xml:space="preserve"> (les juges </w:t>
      </w:r>
      <w:proofErr w:type="spellStart"/>
      <w:r w:rsidRPr="00916521">
        <w:rPr>
          <w:rStyle w:val="QuoteChar"/>
          <w:i w:val="0"/>
          <w:lang w:val="fr-FR"/>
        </w:rPr>
        <w:t>LeBel</w:t>
      </w:r>
      <w:proofErr w:type="spellEnd"/>
      <w:r w:rsidRPr="00916521">
        <w:rPr>
          <w:rStyle w:val="QuoteChar"/>
          <w:i w:val="0"/>
          <w:lang w:val="fr-FR"/>
        </w:rPr>
        <w:t>, Deschamps, Abella et Charron sont dissidents) :</w:t>
      </w:r>
      <w:r w:rsidRPr="00916521">
        <w:rPr>
          <w:sz w:val="20"/>
          <w:lang w:val="fr-FR"/>
        </w:rPr>
        <w:t xml:space="preserve"> Le pourvoi est accueilli en partie et la suspension d’instance est levée relativement aux demandes fondées sur l’art. 172.</w:t>
      </w:r>
    </w:p>
    <w:p w:rsidR="00C17D29" w:rsidRPr="00916521" w:rsidRDefault="00C17D29" w:rsidP="00C17D29">
      <w:pPr>
        <w:pStyle w:val="SCCNormalDoubleSpacing"/>
        <w:spacing w:line="240" w:lineRule="auto"/>
        <w:rPr>
          <w:sz w:val="20"/>
          <w:lang w:val="fr-FR"/>
        </w:rPr>
      </w:pPr>
    </w:p>
    <w:p w:rsidR="00C17D29" w:rsidRPr="00C17D29" w:rsidRDefault="00C17D29" w:rsidP="00C17D29">
      <w:pPr>
        <w:pStyle w:val="SCCNormalDoubleSpacing"/>
        <w:spacing w:line="240" w:lineRule="auto"/>
        <w:rPr>
          <w:sz w:val="20"/>
          <w:lang w:val="fr-CA"/>
        </w:rPr>
      </w:pPr>
      <w:r w:rsidRPr="00916521">
        <w:rPr>
          <w:sz w:val="20"/>
          <w:lang w:val="fr-FR"/>
        </w:rPr>
        <w:tab/>
      </w:r>
      <w:r w:rsidRPr="00916521">
        <w:rPr>
          <w:i/>
          <w:sz w:val="20"/>
          <w:lang w:val="fr-FR"/>
        </w:rPr>
        <w:t>La</w:t>
      </w:r>
      <w:r w:rsidRPr="00916521">
        <w:rPr>
          <w:sz w:val="20"/>
          <w:lang w:val="fr-FR"/>
        </w:rPr>
        <w:t xml:space="preserve"> juge en chef </w:t>
      </w:r>
      <w:proofErr w:type="spellStart"/>
      <w:r w:rsidRPr="00916521">
        <w:rPr>
          <w:sz w:val="20"/>
          <w:lang w:val="fr-FR"/>
        </w:rPr>
        <w:t>McLachlin</w:t>
      </w:r>
      <w:proofErr w:type="spellEnd"/>
      <w:r w:rsidRPr="00916521">
        <w:rPr>
          <w:sz w:val="20"/>
          <w:lang w:val="fr-FR"/>
        </w:rPr>
        <w:t xml:space="preserve"> et les juges </w:t>
      </w:r>
      <w:proofErr w:type="spellStart"/>
      <w:r w:rsidRPr="00916521">
        <w:rPr>
          <w:b/>
          <w:sz w:val="20"/>
          <w:lang w:val="fr-FR"/>
        </w:rPr>
        <w:t>Binnie</w:t>
      </w:r>
      <w:proofErr w:type="spellEnd"/>
      <w:r w:rsidRPr="00916521">
        <w:rPr>
          <w:sz w:val="20"/>
          <w:lang w:val="fr-FR"/>
        </w:rPr>
        <w:t xml:space="preserve">, Fish, </w:t>
      </w:r>
      <w:proofErr w:type="spellStart"/>
      <w:r w:rsidRPr="00916521">
        <w:rPr>
          <w:sz w:val="20"/>
          <w:lang w:val="fr-FR"/>
        </w:rPr>
        <w:t>Rothstein</w:t>
      </w:r>
      <w:proofErr w:type="spellEnd"/>
      <w:r w:rsidRPr="00916521">
        <w:rPr>
          <w:sz w:val="20"/>
          <w:lang w:val="fr-FR"/>
        </w:rPr>
        <w:t xml:space="preserve"> et Cromwell : </w:t>
      </w:r>
      <w:r w:rsidRPr="00C17D29">
        <w:rPr>
          <w:sz w:val="20"/>
          <w:lang w:val="fr-CA"/>
        </w:rPr>
        <w:t xml:space="preserve">La </w:t>
      </w:r>
      <w:r w:rsidRPr="00C17D29">
        <w:rPr>
          <w:i/>
          <w:sz w:val="20"/>
          <w:lang w:val="fr-CA"/>
        </w:rPr>
        <w:t>BPCPA</w:t>
      </w:r>
      <w:r w:rsidRPr="00C17D29">
        <w:rPr>
          <w:sz w:val="20"/>
          <w:lang w:val="fr-CA"/>
        </w:rPr>
        <w:t xml:space="preserve"> vise à assurer la protection des consommateurs.  Elle commande donc une interprétation libérale favorable aux consommateurs.  L’article 172 de la </w:t>
      </w:r>
      <w:r w:rsidRPr="00C17D29">
        <w:rPr>
          <w:i/>
          <w:sz w:val="20"/>
          <w:lang w:val="fr-CA"/>
        </w:rPr>
        <w:t>BPCPA</w:t>
      </w:r>
      <w:r w:rsidRPr="00C17D29">
        <w:rPr>
          <w:sz w:val="20"/>
          <w:lang w:val="fr-CA"/>
        </w:rPr>
        <w:t xml:space="preserve"> prévoit un recours suivant lequel une personne autre qu’un fournisseur peut intenter une action devant la Cour suprême en vue de faire respecter les normes relatives à la protection des consommateurs, peu importe que cette personne ait ou non un intérêt particulier à faire valoir ou qu’elle soit ou non touchée par l’opération commerciale à l’origine du litige.  Le demandeur dans ce cas est considéré à juste titre comme un défenseur de l’intérêt public.  Cette conclusion est renforcée par l’art. 3 de la </w:t>
      </w:r>
      <w:r w:rsidRPr="00C17D29">
        <w:rPr>
          <w:i/>
          <w:sz w:val="20"/>
          <w:lang w:val="fr-CA"/>
        </w:rPr>
        <w:t>BPCPA</w:t>
      </w:r>
      <w:r w:rsidRPr="00C17D29">
        <w:rPr>
          <w:sz w:val="20"/>
          <w:lang w:val="fr-CA"/>
        </w:rPr>
        <w:t xml:space="preserve">, suivant lequel toute entente qui comporte une renonciation aux « droits, avantages ou protections » prévus par la </w:t>
      </w:r>
      <w:r w:rsidRPr="00C17D29">
        <w:rPr>
          <w:i/>
          <w:sz w:val="20"/>
          <w:lang w:val="fr-CA"/>
        </w:rPr>
        <w:t>BPCPA</w:t>
      </w:r>
      <w:r w:rsidRPr="00C17D29">
        <w:rPr>
          <w:sz w:val="20"/>
          <w:lang w:val="fr-CA"/>
        </w:rPr>
        <w:t xml:space="preserve"> est nulle.  Dans la mesure où S cherche, devant la Cour suprême, à obtenir des mesures de réparation prévues à l’art. 172 en ce qui concerne des droits, avantages ou protections conférés par la </w:t>
      </w:r>
      <w:r w:rsidRPr="00C17D29">
        <w:rPr>
          <w:i/>
          <w:sz w:val="20"/>
          <w:lang w:val="fr-CA"/>
        </w:rPr>
        <w:t>BPCPA</w:t>
      </w:r>
      <w:r w:rsidRPr="00C17D29">
        <w:rPr>
          <w:sz w:val="20"/>
          <w:lang w:val="fr-CA"/>
        </w:rPr>
        <w:t>, son action doit suivre son cours malgré la clause de médiation et d’arbitrage.</w:t>
      </w:r>
    </w:p>
    <w:p w:rsidR="00C17D29" w:rsidRPr="00C17D29" w:rsidRDefault="00C17D29" w:rsidP="00C17D29">
      <w:pPr>
        <w:pStyle w:val="SCCNormalDoubleSpacing"/>
        <w:spacing w:line="240" w:lineRule="auto"/>
        <w:rPr>
          <w:sz w:val="20"/>
          <w:lang w:val="fr-CA"/>
        </w:rPr>
      </w:pPr>
    </w:p>
    <w:p w:rsidR="00C17D29" w:rsidRPr="00C17D29" w:rsidRDefault="00C17D29" w:rsidP="00C17D29">
      <w:pPr>
        <w:pStyle w:val="SCCNormalDoubleSpacing"/>
        <w:spacing w:line="240" w:lineRule="auto"/>
        <w:rPr>
          <w:sz w:val="20"/>
          <w:lang w:val="fr-CA"/>
        </w:rPr>
      </w:pPr>
      <w:r w:rsidRPr="00916521">
        <w:rPr>
          <w:sz w:val="20"/>
          <w:lang w:val="fr-FR"/>
        </w:rPr>
        <w:tab/>
        <w:t xml:space="preserve">La décision de restreindre ou non les clauses d’arbitrage dans les contrats de consommation revient à la législature.  En l’absence d’intervention de la législature, les tribunaux donnent généralement effet aux clauses d’un contrat commercial librement conclu, même un contrat d’adhésion, qui comporte une clause d’arbitrage.  L’art. 172 vise de toute évidence à </w:t>
      </w:r>
      <w:r w:rsidRPr="00C17D29">
        <w:rPr>
          <w:sz w:val="20"/>
          <w:lang w:val="fr-CA"/>
        </w:rPr>
        <w:t xml:space="preserve">encourager les recours d’initiative </w:t>
      </w:r>
      <w:r w:rsidRPr="00C17D29">
        <w:rPr>
          <w:i/>
          <w:sz w:val="20"/>
          <w:lang w:val="fr-CA"/>
        </w:rPr>
        <w:t>privée</w:t>
      </w:r>
      <w:r w:rsidRPr="00C17D29">
        <w:rPr>
          <w:sz w:val="20"/>
          <w:lang w:val="fr-CA"/>
        </w:rPr>
        <w:t xml:space="preserve"> dans l’intérêt </w:t>
      </w:r>
      <w:r w:rsidRPr="00C17D29">
        <w:rPr>
          <w:i/>
          <w:sz w:val="20"/>
          <w:lang w:val="fr-CA"/>
        </w:rPr>
        <w:t>public</w:t>
      </w:r>
      <w:r w:rsidRPr="00C17D29">
        <w:rPr>
          <w:sz w:val="20"/>
          <w:lang w:val="fr-CA"/>
        </w:rPr>
        <w:t xml:space="preserve">.  En vue de promouvoir le respect des normes de protection des consommateurs, le législateur pouvait à loisir marquer sa préférence pour la réparation et la dénonciation dans le cadre d’une action en justice très médiatisée.  La législature a reconnu qu’une multiplicité de séances d’arbitrage discret, privé et confidentiel est susceptible de nuire aux objectifs de politique générale de l’art. 172. </w:t>
      </w:r>
    </w:p>
    <w:p w:rsidR="00C17D29" w:rsidRPr="00C17D29" w:rsidRDefault="00C17D29" w:rsidP="00C17D29">
      <w:pPr>
        <w:pStyle w:val="SCCNormalDoubleSpacing"/>
        <w:spacing w:line="240" w:lineRule="auto"/>
        <w:rPr>
          <w:sz w:val="20"/>
          <w:lang w:val="fr-CA"/>
        </w:rPr>
      </w:pPr>
    </w:p>
    <w:p w:rsidR="00C17D29" w:rsidRPr="00C17D29" w:rsidRDefault="00C17D29" w:rsidP="00C17D29">
      <w:pPr>
        <w:pStyle w:val="SCCNormalDoubleSpacing"/>
        <w:spacing w:line="240" w:lineRule="auto"/>
        <w:rPr>
          <w:sz w:val="20"/>
          <w:lang w:val="fr-CA"/>
        </w:rPr>
      </w:pPr>
      <w:r w:rsidRPr="00C17D29">
        <w:rPr>
          <w:sz w:val="20"/>
          <w:lang w:val="fr-CA"/>
        </w:rPr>
        <w:lastRenderedPageBreak/>
        <w:tab/>
        <w:t xml:space="preserve">Il faut interpréter l’art. 172 de la </w:t>
      </w:r>
      <w:r w:rsidRPr="00C17D29">
        <w:rPr>
          <w:i/>
          <w:sz w:val="20"/>
          <w:lang w:val="fr-CA"/>
        </w:rPr>
        <w:t>BPCPA</w:t>
      </w:r>
      <w:r w:rsidRPr="00C17D29">
        <w:rPr>
          <w:sz w:val="20"/>
          <w:lang w:val="fr-CA"/>
        </w:rPr>
        <w:t xml:space="preserve"> de manière textuelle, contextuelle et téléologique.  Peu importe sa nature, procédurale ou substantielle, un droit prévu à l’art. 172 constitue indubitablement un « droit » conféré par la loi et on ne peut y renoncer par contrat.  S possède donc, suivant la Loi, le « droit » d’intenter devant la Cour suprême son action en vue d’obtenir les mesures de réparation prévues à l’art. 172.</w:t>
      </w:r>
    </w:p>
    <w:p w:rsidR="00C17D29" w:rsidRPr="00C17D29" w:rsidRDefault="00C17D29" w:rsidP="00C17D29">
      <w:pPr>
        <w:pStyle w:val="SCCNormalDoubleSpacing"/>
        <w:spacing w:line="240" w:lineRule="auto"/>
        <w:rPr>
          <w:sz w:val="20"/>
          <w:lang w:val="fr-CA"/>
        </w:rPr>
      </w:pPr>
    </w:p>
    <w:p w:rsidR="00C17D29" w:rsidRPr="00C17D29" w:rsidRDefault="00C17D29" w:rsidP="00C17D29">
      <w:pPr>
        <w:pStyle w:val="SCCNormalDoubleSpacing"/>
        <w:spacing w:line="240" w:lineRule="auto"/>
        <w:rPr>
          <w:sz w:val="20"/>
          <w:lang w:val="fr-CA"/>
        </w:rPr>
      </w:pPr>
      <w:r w:rsidRPr="00C17D29">
        <w:rPr>
          <w:sz w:val="20"/>
          <w:lang w:val="fr-CA"/>
        </w:rPr>
        <w:tab/>
        <w:t xml:space="preserve">Pour ce qui est des plaintes subsidiaires de S, lesquelles reposent sur d’autres dispositions de la </w:t>
      </w:r>
      <w:r w:rsidRPr="00C17D29">
        <w:rPr>
          <w:i/>
          <w:sz w:val="20"/>
          <w:lang w:val="fr-CA"/>
        </w:rPr>
        <w:t>BPCPA</w:t>
      </w:r>
      <w:r w:rsidRPr="00C17D29">
        <w:rPr>
          <w:sz w:val="20"/>
          <w:lang w:val="fr-CA"/>
        </w:rPr>
        <w:t xml:space="preserve">, sur la </w:t>
      </w:r>
      <w:r w:rsidRPr="00C17D29">
        <w:rPr>
          <w:i/>
          <w:sz w:val="20"/>
          <w:lang w:val="fr-CA"/>
        </w:rPr>
        <w:t xml:space="preserve">Trade Practice </w:t>
      </w:r>
      <w:proofErr w:type="spellStart"/>
      <w:r w:rsidRPr="00C17D29">
        <w:rPr>
          <w:i/>
          <w:sz w:val="20"/>
          <w:lang w:val="fr-CA"/>
        </w:rPr>
        <w:t>Act</w:t>
      </w:r>
      <w:proofErr w:type="spellEnd"/>
      <w:r w:rsidRPr="00C17D29">
        <w:rPr>
          <w:sz w:val="20"/>
          <w:lang w:val="fr-CA"/>
        </w:rPr>
        <w:t xml:space="preserve">, maintenant abrogée, ou sur la </w:t>
      </w:r>
      <w:proofErr w:type="spellStart"/>
      <w:r w:rsidRPr="00C17D29">
        <w:rPr>
          <w:sz w:val="20"/>
          <w:lang w:val="fr-CA"/>
        </w:rPr>
        <w:t>common</w:t>
      </w:r>
      <w:proofErr w:type="spellEnd"/>
      <w:r w:rsidRPr="00C17D29">
        <w:rPr>
          <w:sz w:val="20"/>
          <w:lang w:val="fr-CA"/>
        </w:rPr>
        <w:t xml:space="preserve"> </w:t>
      </w:r>
      <w:proofErr w:type="spellStart"/>
      <w:r w:rsidRPr="00C17D29">
        <w:rPr>
          <w:sz w:val="20"/>
          <w:lang w:val="fr-CA"/>
        </w:rPr>
        <w:t>law</w:t>
      </w:r>
      <w:proofErr w:type="spellEnd"/>
      <w:r w:rsidRPr="00C17D29">
        <w:rPr>
          <w:sz w:val="20"/>
          <w:lang w:val="fr-CA"/>
        </w:rPr>
        <w:t xml:space="preserve">, la clause d’arbitrage de TELUS est valide et exécutoire.  L’action intentée par S à l’égard de ces demandes devrait donc être suspendue en application de l’art. 15 de la </w:t>
      </w:r>
      <w:r w:rsidRPr="00C17D29">
        <w:rPr>
          <w:i/>
          <w:sz w:val="20"/>
          <w:lang w:val="fr-CA"/>
        </w:rPr>
        <w:t xml:space="preserve">Commercial Arbitration </w:t>
      </w:r>
      <w:proofErr w:type="spellStart"/>
      <w:r w:rsidRPr="00C17D29">
        <w:rPr>
          <w:i/>
          <w:sz w:val="20"/>
          <w:lang w:val="fr-CA"/>
        </w:rPr>
        <w:t>Act</w:t>
      </w:r>
      <w:proofErr w:type="spellEnd"/>
      <w:r w:rsidRPr="00C17D29">
        <w:rPr>
          <w:sz w:val="20"/>
          <w:lang w:val="fr-CA"/>
        </w:rPr>
        <w:t>.</w:t>
      </w:r>
    </w:p>
    <w:p w:rsidR="00C17D29" w:rsidRPr="00C17D29" w:rsidRDefault="00C17D29" w:rsidP="00C17D29">
      <w:pPr>
        <w:pStyle w:val="SCCNormalDoubleSpacing"/>
        <w:spacing w:line="240" w:lineRule="auto"/>
        <w:rPr>
          <w:sz w:val="20"/>
          <w:lang w:val="fr-CA"/>
        </w:rPr>
      </w:pPr>
    </w:p>
    <w:p w:rsidR="00C17D29" w:rsidRPr="00C17D29" w:rsidRDefault="00C17D29" w:rsidP="00C17D29">
      <w:pPr>
        <w:pStyle w:val="SCCNormalDoubleSpacing"/>
        <w:spacing w:line="240" w:lineRule="auto"/>
        <w:rPr>
          <w:sz w:val="20"/>
          <w:lang w:val="fr-CA"/>
        </w:rPr>
      </w:pPr>
      <w:r w:rsidRPr="00C17D29">
        <w:rPr>
          <w:sz w:val="20"/>
          <w:lang w:val="fr-CA"/>
        </w:rPr>
        <w:tab/>
        <w:t xml:space="preserve">La clause de renonciation au recours collectif ne peut être dissociée de l’ensemble de la clause d’arbitrage.  Par conséquent, elle est également nulle selon l’art. 3 de la </w:t>
      </w:r>
      <w:r w:rsidRPr="00C17D29">
        <w:rPr>
          <w:i/>
          <w:sz w:val="20"/>
          <w:lang w:val="fr-CA"/>
        </w:rPr>
        <w:t>BPCPA</w:t>
      </w:r>
      <w:r w:rsidRPr="00C17D29">
        <w:rPr>
          <w:sz w:val="20"/>
          <w:lang w:val="fr-CA"/>
        </w:rPr>
        <w:t xml:space="preserve">.  Si la clause émanant de TELUS est ambiguë, il faut favoriser le maintien du droit de S de s’adresser aux tribunaux conformément à la règle </w:t>
      </w:r>
      <w:r w:rsidRPr="00C17D29">
        <w:rPr>
          <w:i/>
          <w:sz w:val="20"/>
          <w:lang w:val="fr-CA"/>
        </w:rPr>
        <w:t xml:space="preserve">contra </w:t>
      </w:r>
      <w:proofErr w:type="spellStart"/>
      <w:r w:rsidRPr="00C17D29">
        <w:rPr>
          <w:i/>
          <w:sz w:val="20"/>
          <w:lang w:val="fr-CA"/>
        </w:rPr>
        <w:t>proferentum</w:t>
      </w:r>
      <w:proofErr w:type="spellEnd"/>
      <w:r w:rsidRPr="00C17D29">
        <w:rPr>
          <w:sz w:val="20"/>
          <w:lang w:val="fr-CA"/>
        </w:rPr>
        <w:t>.  Ainsi, rien n’empêche S de poursuivre sa demande d’autorisation d’un recours collectif en ce qui concerne ses réclamations fondées sur l’art. 172.</w:t>
      </w:r>
    </w:p>
    <w:p w:rsidR="00C17D29" w:rsidRPr="00C17D29" w:rsidRDefault="00C17D29" w:rsidP="00C17D29">
      <w:pPr>
        <w:pStyle w:val="SCCNormalDoubleSpacing"/>
        <w:spacing w:line="240" w:lineRule="auto"/>
        <w:rPr>
          <w:sz w:val="20"/>
          <w:lang w:val="fr-CA"/>
        </w:rPr>
      </w:pPr>
    </w:p>
    <w:p w:rsidR="00C17D29" w:rsidRPr="00C17D29" w:rsidRDefault="00C17D29" w:rsidP="00C17D29">
      <w:pPr>
        <w:pStyle w:val="SCCNormalDoubleSpacing"/>
        <w:spacing w:line="240" w:lineRule="auto"/>
        <w:rPr>
          <w:sz w:val="20"/>
          <w:lang w:val="fr-CA"/>
        </w:rPr>
      </w:pPr>
      <w:r w:rsidRPr="00C17D29">
        <w:rPr>
          <w:sz w:val="20"/>
          <w:lang w:val="fr-CA"/>
        </w:rPr>
        <w:tab/>
        <w:t xml:space="preserve">Pour ce qui est des questions procédurales soulevées en l’espèce, la </w:t>
      </w:r>
      <w:proofErr w:type="spellStart"/>
      <w:r w:rsidRPr="00C17D29">
        <w:rPr>
          <w:sz w:val="20"/>
          <w:lang w:val="fr-CA"/>
        </w:rPr>
        <w:t>Colombie</w:t>
      </w:r>
      <w:r w:rsidRPr="00C17D29">
        <w:rPr>
          <w:sz w:val="20"/>
          <w:lang w:val="fr-CA"/>
        </w:rPr>
        <w:noBreakHyphen/>
        <w:t>Britannique</w:t>
      </w:r>
      <w:proofErr w:type="spellEnd"/>
      <w:r w:rsidRPr="00C17D29">
        <w:rPr>
          <w:sz w:val="20"/>
          <w:lang w:val="fr-CA"/>
        </w:rPr>
        <w:t xml:space="preserve"> a adopté le principe de </w:t>
      </w:r>
      <w:proofErr w:type="spellStart"/>
      <w:r w:rsidRPr="00C17D29">
        <w:rPr>
          <w:sz w:val="20"/>
          <w:lang w:val="fr-CA"/>
        </w:rPr>
        <w:t>compétence</w:t>
      </w:r>
      <w:r w:rsidRPr="00C17D29">
        <w:rPr>
          <w:sz w:val="20"/>
          <w:lang w:val="fr-CA"/>
        </w:rPr>
        <w:noBreakHyphen/>
        <w:t>compétence</w:t>
      </w:r>
      <w:proofErr w:type="spellEnd"/>
      <w:r w:rsidRPr="00C17D29">
        <w:rPr>
          <w:sz w:val="20"/>
          <w:lang w:val="fr-CA"/>
        </w:rPr>
        <w:t xml:space="preserve"> au moyen de l’application conjointe de l’art. 22 de la </w:t>
      </w:r>
      <w:r w:rsidRPr="00C17D29">
        <w:rPr>
          <w:i/>
          <w:sz w:val="20"/>
          <w:lang w:val="fr-CA"/>
        </w:rPr>
        <w:t xml:space="preserve">Commercial Arbitration </w:t>
      </w:r>
      <w:proofErr w:type="spellStart"/>
      <w:r w:rsidRPr="00C17D29">
        <w:rPr>
          <w:i/>
          <w:sz w:val="20"/>
          <w:lang w:val="fr-CA"/>
        </w:rPr>
        <w:t>Act</w:t>
      </w:r>
      <w:proofErr w:type="spellEnd"/>
      <w:r w:rsidRPr="00C17D29">
        <w:rPr>
          <w:sz w:val="20"/>
          <w:lang w:val="fr-CA"/>
        </w:rPr>
        <w:t xml:space="preserve"> et du par. 20(2) des règles du British Columbia International Commercial Arbitration Centre (les « règles du BCICAC »).  </w:t>
      </w:r>
      <w:r w:rsidRPr="00916521">
        <w:rPr>
          <w:sz w:val="20"/>
          <w:lang w:val="fr-FR"/>
        </w:rPr>
        <w:t>Sauf exception établie par le législateur, toute contestation de la compétence de l’arbitre sur le litige opposant S à TELUS devrait d’abord être tranchée par l’arbitre, à moins que la contestation ne fasse intervenir une pure question de droit ou une question mixte de fait et de droit n’impliquant « qu’un examen superficiel de la preuve documentaire au dossier ».  L</w:t>
      </w:r>
      <w:r w:rsidRPr="00C17D29">
        <w:rPr>
          <w:sz w:val="20"/>
          <w:lang w:val="fr-CA"/>
        </w:rPr>
        <w:t xml:space="preserve">’effet juridique attribué à l’art. 172 de la </w:t>
      </w:r>
      <w:r w:rsidRPr="00C17D29">
        <w:rPr>
          <w:i/>
          <w:sz w:val="20"/>
          <w:lang w:val="fr-CA"/>
        </w:rPr>
        <w:t>BPCPA</w:t>
      </w:r>
      <w:r w:rsidRPr="00C17D29">
        <w:rPr>
          <w:sz w:val="20"/>
          <w:lang w:val="fr-CA"/>
        </w:rPr>
        <w:t xml:space="preserve"> par S est une question de droit qu’il fallait trancher en fonction des faits non contestés.  C’est à juste titre que la Cour suprême de la </w:t>
      </w:r>
      <w:proofErr w:type="spellStart"/>
      <w:r w:rsidRPr="00C17D29">
        <w:rPr>
          <w:sz w:val="20"/>
          <w:lang w:val="fr-CA"/>
        </w:rPr>
        <w:t>Colombie</w:t>
      </w:r>
      <w:r w:rsidRPr="00C17D29">
        <w:rPr>
          <w:sz w:val="20"/>
          <w:lang w:val="fr-CA"/>
        </w:rPr>
        <w:noBreakHyphen/>
        <w:t>Britannique</w:t>
      </w:r>
      <w:proofErr w:type="spellEnd"/>
      <w:r w:rsidRPr="00C17D29">
        <w:rPr>
          <w:sz w:val="20"/>
          <w:lang w:val="fr-CA"/>
        </w:rPr>
        <w:t xml:space="preserve"> a été la première à connaître de cette question, et le principe de </w:t>
      </w:r>
      <w:proofErr w:type="spellStart"/>
      <w:r w:rsidRPr="00C17D29">
        <w:rPr>
          <w:sz w:val="20"/>
          <w:lang w:val="fr-CA"/>
        </w:rPr>
        <w:t>compétence</w:t>
      </w:r>
      <w:r w:rsidRPr="00C17D29">
        <w:rPr>
          <w:sz w:val="20"/>
          <w:lang w:val="fr-CA"/>
        </w:rPr>
        <w:noBreakHyphen/>
        <w:t>compétence</w:t>
      </w:r>
      <w:proofErr w:type="spellEnd"/>
      <w:r w:rsidRPr="00C17D29">
        <w:rPr>
          <w:sz w:val="20"/>
          <w:lang w:val="fr-CA"/>
        </w:rPr>
        <w:t xml:space="preserve"> n’a pas été violé.</w:t>
      </w:r>
    </w:p>
    <w:p w:rsidR="00C17D29" w:rsidRPr="00C17D29" w:rsidRDefault="00C17D29" w:rsidP="00C17D29">
      <w:pPr>
        <w:pStyle w:val="SCCNormalDoubleSpacing"/>
        <w:spacing w:line="240" w:lineRule="auto"/>
        <w:rPr>
          <w:sz w:val="20"/>
          <w:lang w:val="fr-CA"/>
        </w:rPr>
      </w:pPr>
    </w:p>
    <w:p w:rsidR="00C17D29" w:rsidRDefault="00C17D29" w:rsidP="00C17D29">
      <w:pPr>
        <w:pStyle w:val="SCCNormalDoubleSpacing"/>
        <w:spacing w:line="240" w:lineRule="auto"/>
        <w:rPr>
          <w:sz w:val="20"/>
          <w:lang w:val="fr-FR"/>
        </w:rPr>
      </w:pPr>
      <w:r w:rsidRPr="00C17D29">
        <w:rPr>
          <w:sz w:val="20"/>
          <w:lang w:val="fr-CA"/>
        </w:rPr>
        <w:tab/>
      </w:r>
      <w:r w:rsidRPr="00916521">
        <w:rPr>
          <w:i/>
          <w:sz w:val="20"/>
          <w:lang w:val="fr-FR"/>
        </w:rPr>
        <w:t>Les</w:t>
      </w:r>
      <w:r w:rsidRPr="00916521">
        <w:rPr>
          <w:sz w:val="20"/>
          <w:lang w:val="fr-FR"/>
        </w:rPr>
        <w:t xml:space="preserve"> juges </w:t>
      </w:r>
      <w:proofErr w:type="spellStart"/>
      <w:r w:rsidRPr="00916521">
        <w:rPr>
          <w:b/>
          <w:sz w:val="20"/>
          <w:lang w:val="fr-FR"/>
        </w:rPr>
        <w:t>LeBel</w:t>
      </w:r>
      <w:proofErr w:type="spellEnd"/>
      <w:r w:rsidRPr="00916521">
        <w:rPr>
          <w:b/>
          <w:sz w:val="20"/>
          <w:lang w:val="fr-FR"/>
        </w:rPr>
        <w:t>, Deschamps,</w:t>
      </w:r>
      <w:r w:rsidRPr="00916521">
        <w:rPr>
          <w:sz w:val="20"/>
          <w:lang w:val="fr-FR"/>
        </w:rPr>
        <w:t xml:space="preserve"> Abella et Charron (dissidents) : En l’absence d’une déclaration claire, dans laquelle la législature manifeste une intention contraire, tout litige de consommation susceptible de faire l’objet d’un arbitrage ou d’un recours collectif doit d’abord être soumis à l’arbitrage.  Dans la </w:t>
      </w:r>
      <w:r w:rsidRPr="00916521">
        <w:rPr>
          <w:i/>
          <w:sz w:val="20"/>
          <w:lang w:val="fr-FR"/>
        </w:rPr>
        <w:t>BPCPA</w:t>
      </w:r>
      <w:r w:rsidRPr="00916521">
        <w:rPr>
          <w:sz w:val="20"/>
          <w:lang w:val="fr-FR"/>
        </w:rPr>
        <w:t xml:space="preserve">, le législateur n’exprime pas explicitement l’intention d’écarter en </w:t>
      </w:r>
      <w:proofErr w:type="spellStart"/>
      <w:r w:rsidRPr="00916521">
        <w:rPr>
          <w:sz w:val="20"/>
          <w:lang w:val="fr-FR"/>
        </w:rPr>
        <w:t>Colombie</w:t>
      </w:r>
      <w:r w:rsidRPr="00916521">
        <w:rPr>
          <w:sz w:val="20"/>
          <w:lang w:val="fr-FR"/>
        </w:rPr>
        <w:noBreakHyphen/>
        <w:t>Britannique</w:t>
      </w:r>
      <w:proofErr w:type="spellEnd"/>
      <w:r w:rsidRPr="00916521">
        <w:rPr>
          <w:sz w:val="20"/>
          <w:lang w:val="fr-FR"/>
        </w:rPr>
        <w:t xml:space="preserve"> le recours à l’arbitrage comme mécanisme de règlement des différends.  Par conséquent, une clause d’un contrat type relatif à des services de téléphonie cellulaire, qui impose le recours à l’arbitrage de tout différend avec le fournisseur de service, empêche l’exercice d’un recours collectif dans la province de la </w:t>
      </w:r>
      <w:proofErr w:type="spellStart"/>
      <w:r w:rsidRPr="00916521">
        <w:rPr>
          <w:sz w:val="20"/>
          <w:lang w:val="fr-FR"/>
        </w:rPr>
        <w:t>Colombie</w:t>
      </w:r>
      <w:r w:rsidRPr="00916521">
        <w:rPr>
          <w:sz w:val="20"/>
          <w:lang w:val="fr-FR"/>
        </w:rPr>
        <w:noBreakHyphen/>
        <w:t>Britannique</w:t>
      </w:r>
      <w:proofErr w:type="spellEnd"/>
      <w:r w:rsidRPr="00916521">
        <w:rPr>
          <w:sz w:val="20"/>
          <w:lang w:val="fr-FR"/>
        </w:rPr>
        <w:t xml:space="preserve">.  </w:t>
      </w:r>
    </w:p>
    <w:p w:rsidR="00C17D29" w:rsidRPr="00916521" w:rsidRDefault="00C17D29" w:rsidP="00C17D29">
      <w:pPr>
        <w:pStyle w:val="SCCNormalDoubleSpacing"/>
        <w:spacing w:line="240" w:lineRule="auto"/>
        <w:rPr>
          <w:sz w:val="20"/>
          <w:lang w:val="fr-FR"/>
        </w:rPr>
      </w:pPr>
    </w:p>
    <w:p w:rsidR="00C17D29" w:rsidRDefault="00C17D29" w:rsidP="00C17D29">
      <w:pPr>
        <w:pStyle w:val="SCCNormalDoubleSpacing"/>
        <w:spacing w:line="240" w:lineRule="auto"/>
        <w:rPr>
          <w:sz w:val="20"/>
          <w:lang w:val="fr-FR"/>
        </w:rPr>
      </w:pPr>
      <w:r w:rsidRPr="00916521">
        <w:rPr>
          <w:sz w:val="20"/>
          <w:lang w:val="fr-FR"/>
        </w:rPr>
        <w:tab/>
        <w:t xml:space="preserve">Les tribunaux canadiens, au Québec comme dans les provinces de </w:t>
      </w:r>
      <w:proofErr w:type="spellStart"/>
      <w:r w:rsidRPr="00916521">
        <w:rPr>
          <w:sz w:val="20"/>
          <w:lang w:val="fr-FR"/>
        </w:rPr>
        <w:t>common</w:t>
      </w:r>
      <w:proofErr w:type="spellEnd"/>
      <w:r w:rsidRPr="00916521">
        <w:rPr>
          <w:sz w:val="20"/>
          <w:lang w:val="fr-FR"/>
        </w:rPr>
        <w:t xml:space="preserve"> </w:t>
      </w:r>
      <w:proofErr w:type="spellStart"/>
      <w:r w:rsidRPr="00916521">
        <w:rPr>
          <w:sz w:val="20"/>
          <w:lang w:val="fr-FR"/>
        </w:rPr>
        <w:t>law</w:t>
      </w:r>
      <w:proofErr w:type="spellEnd"/>
      <w:r w:rsidRPr="00916521">
        <w:rPr>
          <w:sz w:val="20"/>
          <w:lang w:val="fr-FR"/>
        </w:rPr>
        <w:t xml:space="preserve">, ont admis le recours à l’arbitrage en tant que mécanisme de règlement des différends, et ils encouragent même son utilisation.  Les tribunaux d’instance inférieure du pays n’ont pas tardé à suivre l’exemple de notre Cour.  Ils ont accepté et reconnu la légitimité de l’arbitrage comme mécanisme de règlement des différends, et ce changement d’attitude, désormais dénuée d’hostilité envers l’arbitrage, a manifestement pris racine.  Il est maintenant établi que, si une législature souhaite exclure la possibilité de recourir à l’arbitrage pour régler une catégorie donnée de litiges d’ordre juridique, elle doit le faire de manière explicite.  L’approche qui prévaut maintenant en </w:t>
      </w:r>
      <w:proofErr w:type="spellStart"/>
      <w:r w:rsidRPr="00916521">
        <w:rPr>
          <w:sz w:val="20"/>
          <w:lang w:val="fr-FR"/>
        </w:rPr>
        <w:t>Colombie</w:t>
      </w:r>
      <w:r w:rsidRPr="00916521">
        <w:rPr>
          <w:sz w:val="20"/>
          <w:lang w:val="fr-FR"/>
        </w:rPr>
        <w:noBreakHyphen/>
        <w:t>Britannique</w:t>
      </w:r>
      <w:proofErr w:type="spellEnd"/>
      <w:r w:rsidRPr="00916521">
        <w:rPr>
          <w:sz w:val="20"/>
          <w:lang w:val="fr-FR"/>
        </w:rPr>
        <w:t xml:space="preserve"> remonte à l’adoption de la </w:t>
      </w:r>
      <w:r w:rsidRPr="00916521">
        <w:rPr>
          <w:i/>
          <w:sz w:val="20"/>
          <w:lang w:val="fr-FR"/>
        </w:rPr>
        <w:t xml:space="preserve">Commercial Arbitration </w:t>
      </w:r>
      <w:proofErr w:type="spellStart"/>
      <w:r w:rsidRPr="00916521">
        <w:rPr>
          <w:i/>
          <w:sz w:val="20"/>
          <w:lang w:val="fr-FR"/>
        </w:rPr>
        <w:t>Act</w:t>
      </w:r>
      <w:proofErr w:type="spellEnd"/>
      <w:r w:rsidRPr="00916521">
        <w:rPr>
          <w:sz w:val="20"/>
          <w:lang w:val="fr-FR"/>
        </w:rPr>
        <w:t xml:space="preserve">.  La législation plus récente de la </w:t>
      </w:r>
      <w:proofErr w:type="spellStart"/>
      <w:r w:rsidRPr="00916521">
        <w:rPr>
          <w:sz w:val="20"/>
          <w:lang w:val="fr-FR"/>
        </w:rPr>
        <w:t>Colombie</w:t>
      </w:r>
      <w:r w:rsidRPr="00916521">
        <w:rPr>
          <w:sz w:val="20"/>
          <w:lang w:val="fr-FR"/>
        </w:rPr>
        <w:noBreakHyphen/>
        <w:t>Britannique</w:t>
      </w:r>
      <w:proofErr w:type="spellEnd"/>
      <w:r w:rsidRPr="00916521">
        <w:rPr>
          <w:sz w:val="20"/>
          <w:lang w:val="fr-FR"/>
        </w:rPr>
        <w:t xml:space="preserve"> sur l’arbitrage commercial s’inspire en partie de la </w:t>
      </w:r>
      <w:r w:rsidRPr="00916521">
        <w:rPr>
          <w:i/>
          <w:sz w:val="20"/>
          <w:lang w:val="fr-FR"/>
        </w:rPr>
        <w:t>Loi type de la CNUDCI sur l’arbitrage commercial international</w:t>
      </w:r>
      <w:r w:rsidRPr="00916521">
        <w:rPr>
          <w:sz w:val="20"/>
          <w:lang w:val="fr-FR"/>
        </w:rPr>
        <w:t xml:space="preserve">, et la législature a clairement voulu incorporer le principe de </w:t>
      </w:r>
      <w:proofErr w:type="spellStart"/>
      <w:r w:rsidRPr="00916521">
        <w:rPr>
          <w:sz w:val="20"/>
          <w:lang w:val="fr-FR"/>
        </w:rPr>
        <w:t>compétence</w:t>
      </w:r>
      <w:r w:rsidRPr="00916521">
        <w:rPr>
          <w:sz w:val="20"/>
          <w:lang w:val="fr-FR"/>
        </w:rPr>
        <w:noBreakHyphen/>
        <w:t>compétence</w:t>
      </w:r>
      <w:proofErr w:type="spellEnd"/>
      <w:r w:rsidRPr="00916521">
        <w:rPr>
          <w:sz w:val="20"/>
          <w:lang w:val="fr-FR"/>
        </w:rPr>
        <w:t xml:space="preserve"> dans sa législation relative à l’arbitrage.  Toute contestation de la compétence de l’arbitre — au motif que la convention d’arbitrage est nulle, inopérante ou non susceptible d’être exécutée — </w:t>
      </w:r>
      <w:proofErr w:type="gramStart"/>
      <w:r w:rsidRPr="00916521">
        <w:rPr>
          <w:sz w:val="20"/>
          <w:lang w:val="fr-FR"/>
        </w:rPr>
        <w:t>devrait</w:t>
      </w:r>
      <w:proofErr w:type="gramEnd"/>
      <w:r w:rsidRPr="00916521">
        <w:rPr>
          <w:sz w:val="20"/>
          <w:lang w:val="fr-FR"/>
        </w:rPr>
        <w:t xml:space="preserve"> d’abord être tranchée par l’arbitre.  Un tribunal judiciaire ne devrait déroger à cette règle générale que si la contestation de la compétence repose sur une question de droit ou une question mixte de fait et de droit dont l’examen n’exige qu’une étude superficielle de la preuve documentaire au dossier, et qu’elle ne constitue pas simplement une tactique dilatoire.  Cette obligation de déférence envers la compétence de l’arbitre se rattache directement au rôle du tribunal judiciaire appelé à décider, dans l’examen d’une demande de suspension d’instance, si la convention est « nulle, inopérante ou non susceptible d’être exécutée », cette expression devant recevoir une </w:t>
      </w:r>
      <w:r w:rsidRPr="00C17D29">
        <w:rPr>
          <w:sz w:val="20"/>
          <w:lang w:val="fr-CA"/>
        </w:rPr>
        <w:t>interprétation stricte</w:t>
      </w:r>
      <w:r w:rsidRPr="00916521">
        <w:rPr>
          <w:sz w:val="20"/>
          <w:lang w:val="fr-FR"/>
        </w:rPr>
        <w:t xml:space="preserve">.  Les tribunaux judiciaires devraient donc se garder de recourir à une interprétation qui permet d’écarter le principe de </w:t>
      </w:r>
      <w:proofErr w:type="spellStart"/>
      <w:r w:rsidRPr="00916521">
        <w:rPr>
          <w:sz w:val="20"/>
          <w:lang w:val="fr-FR"/>
        </w:rPr>
        <w:t>compétence</w:t>
      </w:r>
      <w:r w:rsidRPr="00916521">
        <w:rPr>
          <w:sz w:val="20"/>
          <w:lang w:val="fr-FR"/>
        </w:rPr>
        <w:noBreakHyphen/>
        <w:t>compétence</w:t>
      </w:r>
      <w:proofErr w:type="spellEnd"/>
      <w:r w:rsidRPr="00916521">
        <w:rPr>
          <w:sz w:val="20"/>
          <w:lang w:val="fr-FR"/>
        </w:rPr>
        <w:t xml:space="preserve"> et de transformer l’exception fondée sur le caractère « inopérant » de la convention en un moyen détourné dont disposerait la partie qui souhaite échapper à son application.  La Cour d’appel de la </w:t>
      </w:r>
      <w:proofErr w:type="spellStart"/>
      <w:r w:rsidRPr="00916521">
        <w:rPr>
          <w:sz w:val="20"/>
          <w:lang w:val="fr-FR"/>
        </w:rPr>
        <w:t>Colombie</w:t>
      </w:r>
      <w:r w:rsidRPr="00916521">
        <w:rPr>
          <w:sz w:val="20"/>
          <w:lang w:val="fr-FR"/>
        </w:rPr>
        <w:noBreakHyphen/>
        <w:t>Britannique</w:t>
      </w:r>
      <w:proofErr w:type="spellEnd"/>
      <w:r w:rsidRPr="00916521">
        <w:rPr>
          <w:sz w:val="20"/>
          <w:lang w:val="fr-FR"/>
        </w:rPr>
        <w:t xml:space="preserve"> a reconnu que la législation de la province incorpore le principe de </w:t>
      </w:r>
      <w:proofErr w:type="spellStart"/>
      <w:r w:rsidRPr="00916521">
        <w:rPr>
          <w:sz w:val="20"/>
          <w:lang w:val="fr-FR"/>
        </w:rPr>
        <w:lastRenderedPageBreak/>
        <w:t>compétence</w:t>
      </w:r>
      <w:r w:rsidRPr="00916521">
        <w:rPr>
          <w:sz w:val="20"/>
          <w:lang w:val="fr-FR"/>
        </w:rPr>
        <w:noBreakHyphen/>
        <w:t>compétence</w:t>
      </w:r>
      <w:proofErr w:type="spellEnd"/>
      <w:r w:rsidRPr="00916521">
        <w:rPr>
          <w:sz w:val="20"/>
          <w:lang w:val="fr-FR"/>
        </w:rPr>
        <w:t xml:space="preserve">.  Elle n’a pas commis d’erreur en se prononçant en ce sens.  Ainsi, en l’absence de contestation de la compétence de l’arbitre fondée exclusivement sur une question de droit ou une question mixte de fait et de droit n’impliquant qu’un examen superficiel de la preuve au dossier, il revient à l’arbitre d’être le premier à analyser la validité ou l’existence d’une convention d’arbitrage régie par la </w:t>
      </w:r>
      <w:r w:rsidRPr="00916521">
        <w:rPr>
          <w:i/>
          <w:sz w:val="20"/>
          <w:lang w:val="fr-FR"/>
        </w:rPr>
        <w:t xml:space="preserve">Commercial Arbitration </w:t>
      </w:r>
      <w:proofErr w:type="spellStart"/>
      <w:r w:rsidRPr="00916521">
        <w:rPr>
          <w:i/>
          <w:sz w:val="20"/>
          <w:lang w:val="fr-FR"/>
        </w:rPr>
        <w:t>Act</w:t>
      </w:r>
      <w:proofErr w:type="spellEnd"/>
      <w:r w:rsidRPr="00916521">
        <w:rPr>
          <w:sz w:val="20"/>
          <w:lang w:val="fr-FR"/>
        </w:rPr>
        <w:t xml:space="preserve">, et le tribunal judiciaire devrait donc suspendre l’instance. </w:t>
      </w:r>
    </w:p>
    <w:p w:rsidR="00C17D29" w:rsidRPr="00916521" w:rsidRDefault="00C17D29" w:rsidP="00C17D29">
      <w:pPr>
        <w:pStyle w:val="SCCNormalDoubleSpacing"/>
        <w:spacing w:line="240" w:lineRule="auto"/>
        <w:rPr>
          <w:sz w:val="20"/>
          <w:lang w:val="fr-FR"/>
        </w:rPr>
      </w:pPr>
    </w:p>
    <w:p w:rsidR="00C17D29" w:rsidRDefault="00C17D29" w:rsidP="00C17D29">
      <w:pPr>
        <w:pStyle w:val="SCCNormalDoubleSpacing"/>
        <w:spacing w:line="240" w:lineRule="auto"/>
        <w:rPr>
          <w:sz w:val="20"/>
          <w:lang w:val="fr-FR"/>
        </w:rPr>
      </w:pPr>
      <w:r w:rsidRPr="00916521">
        <w:rPr>
          <w:sz w:val="20"/>
          <w:lang w:val="fr-FR"/>
        </w:rPr>
        <w:tab/>
        <w:t xml:space="preserve">S fait valoir que la clause d’arbitrage a pour effet de l’empêcher d’exercer les droits que lui confère la </w:t>
      </w:r>
      <w:r w:rsidRPr="00916521">
        <w:rPr>
          <w:i/>
          <w:sz w:val="20"/>
          <w:lang w:val="fr-FR"/>
        </w:rPr>
        <w:t>BPCPA</w:t>
      </w:r>
      <w:r w:rsidRPr="00916521">
        <w:rPr>
          <w:sz w:val="20"/>
          <w:lang w:val="fr-FR"/>
        </w:rPr>
        <w:t xml:space="preserve">.  Les lois sur la protection du consommateur, comme la </w:t>
      </w:r>
      <w:r w:rsidRPr="00916521">
        <w:rPr>
          <w:i/>
          <w:sz w:val="20"/>
          <w:lang w:val="fr-FR"/>
        </w:rPr>
        <w:t>BPCPA</w:t>
      </w:r>
      <w:r w:rsidRPr="00916521">
        <w:rPr>
          <w:sz w:val="20"/>
          <w:lang w:val="fr-FR"/>
        </w:rPr>
        <w:t xml:space="preserve">, visent à  protéger les consommateurs </w:t>
      </w:r>
      <w:r w:rsidRPr="00C17D29">
        <w:rPr>
          <w:sz w:val="20"/>
          <w:lang w:val="fr-CA"/>
        </w:rPr>
        <w:t xml:space="preserve">contre les dommages résultant de </w:t>
      </w:r>
      <w:r w:rsidRPr="00916521">
        <w:rPr>
          <w:sz w:val="20"/>
          <w:lang w:val="fr-FR"/>
        </w:rPr>
        <w:t xml:space="preserve">l’achat de biens ou de services qui ne respectent pas les normes prescrites.  Le recours collectif joue un rôle social et juridique considérable en droit canadien.  Toutefois, étant donné qu’un recours collectif n’est qu’un moyen de regrouper des réclamations individuelles, il concerne la procédure utilisée pour introduire une action.  Comme l’a affirmé notre Cour, l’autorisation d’un recours collectif confère un droit procédural.  Cette autorisation ne modifie ni le droit substantiel applicable, ni les droits substantiels des parties </w:t>
      </w:r>
      <w:proofErr w:type="spellStart"/>
      <w:r w:rsidRPr="00916521">
        <w:rPr>
          <w:sz w:val="20"/>
          <w:lang w:val="fr-FR"/>
        </w:rPr>
        <w:t>elles</w:t>
      </w:r>
      <w:r w:rsidRPr="00916521">
        <w:rPr>
          <w:sz w:val="20"/>
          <w:lang w:val="fr-FR"/>
        </w:rPr>
        <w:noBreakHyphen/>
        <w:t>mêmes</w:t>
      </w:r>
      <w:proofErr w:type="spellEnd"/>
      <w:r w:rsidRPr="00916521">
        <w:rPr>
          <w:sz w:val="20"/>
          <w:lang w:val="fr-FR"/>
        </w:rPr>
        <w:t xml:space="preserve">.  L’introduction d’un recours collectif ne peut attribuer à un tribunal judiciaire compétence sur un litige dont il ne pouvait se saisir en raison d’une convention d’arbitrage. </w:t>
      </w:r>
    </w:p>
    <w:p w:rsidR="00C17D29" w:rsidRPr="00916521" w:rsidRDefault="00C17D29" w:rsidP="00C17D29">
      <w:pPr>
        <w:pStyle w:val="SCCNormalDoubleSpacing"/>
        <w:spacing w:line="240" w:lineRule="auto"/>
        <w:rPr>
          <w:sz w:val="20"/>
          <w:lang w:val="fr-FR"/>
        </w:rPr>
      </w:pPr>
    </w:p>
    <w:p w:rsidR="00C17D29" w:rsidRDefault="00C17D29" w:rsidP="00C17D29">
      <w:pPr>
        <w:pStyle w:val="SCCNormalDoubleSpacing"/>
        <w:spacing w:line="240" w:lineRule="auto"/>
        <w:rPr>
          <w:sz w:val="20"/>
          <w:lang w:val="fr-FR"/>
        </w:rPr>
      </w:pPr>
      <w:r w:rsidRPr="00916521">
        <w:rPr>
          <w:sz w:val="20"/>
          <w:lang w:val="fr-FR"/>
        </w:rPr>
        <w:tab/>
        <w:t xml:space="preserve">En </w:t>
      </w:r>
      <w:proofErr w:type="spellStart"/>
      <w:r w:rsidRPr="00916521">
        <w:rPr>
          <w:sz w:val="20"/>
          <w:lang w:val="fr-FR"/>
        </w:rPr>
        <w:t>Colombie</w:t>
      </w:r>
      <w:r w:rsidRPr="00916521">
        <w:rPr>
          <w:sz w:val="20"/>
          <w:lang w:val="fr-FR"/>
        </w:rPr>
        <w:noBreakHyphen/>
        <w:t>Britannique</w:t>
      </w:r>
      <w:proofErr w:type="spellEnd"/>
      <w:r w:rsidRPr="00916521">
        <w:rPr>
          <w:sz w:val="20"/>
          <w:lang w:val="fr-FR"/>
        </w:rPr>
        <w:t xml:space="preserve">, la législature n’a pas explicitement légiféré de manière à soustraire les litiges de consommation à la législation en matière d’arbitrage.  S soutient néanmoins que l’arbitre n’a pas compétence pour accorder l’une ou l’autre des mesures de réparation prévues à l’art. 172 de la </w:t>
      </w:r>
      <w:r w:rsidRPr="00916521">
        <w:rPr>
          <w:i/>
          <w:sz w:val="20"/>
          <w:lang w:val="fr-FR"/>
        </w:rPr>
        <w:t>BPCPA</w:t>
      </w:r>
      <w:r w:rsidRPr="00916521">
        <w:rPr>
          <w:sz w:val="20"/>
          <w:lang w:val="fr-FR"/>
        </w:rPr>
        <w:t xml:space="preserve">.  Selon S, seule la Cour suprême de la </w:t>
      </w:r>
      <w:proofErr w:type="spellStart"/>
      <w:r w:rsidRPr="00916521">
        <w:rPr>
          <w:sz w:val="20"/>
          <w:lang w:val="fr-FR"/>
        </w:rPr>
        <w:t>Colombie</w:t>
      </w:r>
      <w:r w:rsidRPr="00916521">
        <w:rPr>
          <w:sz w:val="20"/>
          <w:lang w:val="fr-FR"/>
        </w:rPr>
        <w:noBreakHyphen/>
        <w:t>Britannique</w:t>
      </w:r>
      <w:proofErr w:type="spellEnd"/>
      <w:r w:rsidRPr="00916521">
        <w:rPr>
          <w:sz w:val="20"/>
          <w:lang w:val="fr-FR"/>
        </w:rPr>
        <w:t xml:space="preserve"> peut le faire, de sorte que le par. 172(1) </w:t>
      </w:r>
      <w:proofErr w:type="spellStart"/>
      <w:r w:rsidRPr="00916521">
        <w:rPr>
          <w:sz w:val="20"/>
          <w:lang w:val="fr-FR"/>
        </w:rPr>
        <w:t>lui</w:t>
      </w:r>
      <w:r w:rsidRPr="00916521">
        <w:rPr>
          <w:sz w:val="20"/>
          <w:lang w:val="fr-FR"/>
        </w:rPr>
        <w:noBreakHyphen/>
        <w:t>même</w:t>
      </w:r>
      <w:proofErr w:type="spellEnd"/>
      <w:r w:rsidRPr="00916521">
        <w:rPr>
          <w:sz w:val="20"/>
          <w:lang w:val="fr-FR"/>
        </w:rPr>
        <w:t xml:space="preserve"> crée un droit substantiel de demander à l’appareil judiciaire public de trancher un litige.  L’entente visant à soumettre le présent litige à l’arbitrage constituerait donc une renonciation — contraire à l’art. 3 de la </w:t>
      </w:r>
      <w:r w:rsidRPr="00916521">
        <w:rPr>
          <w:i/>
          <w:sz w:val="20"/>
          <w:lang w:val="fr-FR"/>
        </w:rPr>
        <w:t>BPCPA</w:t>
      </w:r>
      <w:r w:rsidRPr="00916521">
        <w:rPr>
          <w:sz w:val="20"/>
          <w:lang w:val="fr-FR"/>
        </w:rPr>
        <w:t xml:space="preserve"> — au droit substantiel de solliciter les réparations susmentionnées.  Compte tenu </w:t>
      </w:r>
      <w:proofErr w:type="gramStart"/>
      <w:r w:rsidRPr="00916521">
        <w:rPr>
          <w:sz w:val="20"/>
          <w:lang w:val="fr-FR"/>
        </w:rPr>
        <w:t>des art</w:t>
      </w:r>
      <w:proofErr w:type="gramEnd"/>
      <w:r w:rsidRPr="00916521">
        <w:rPr>
          <w:sz w:val="20"/>
          <w:lang w:val="fr-FR"/>
        </w:rPr>
        <w:t xml:space="preserve">. 171 et 172 ainsi que des pouvoirs conférés aux arbitres en </w:t>
      </w:r>
      <w:proofErr w:type="spellStart"/>
      <w:r w:rsidRPr="00916521">
        <w:rPr>
          <w:sz w:val="20"/>
          <w:lang w:val="fr-FR"/>
        </w:rPr>
        <w:t>Colombie</w:t>
      </w:r>
      <w:r w:rsidRPr="00916521">
        <w:rPr>
          <w:sz w:val="20"/>
          <w:lang w:val="fr-FR"/>
        </w:rPr>
        <w:noBreakHyphen/>
        <w:t>Britannique</w:t>
      </w:r>
      <w:proofErr w:type="spellEnd"/>
      <w:r w:rsidRPr="00916521">
        <w:rPr>
          <w:sz w:val="20"/>
          <w:lang w:val="fr-FR"/>
        </w:rPr>
        <w:t xml:space="preserve">, il est évident que la législature n’a pas exclu le renvoi à l’arbitrage de ces demandes.  Le demandeur qui se fonde sur l’art. 172 cherche à obtenir un jugement déclaratoire ou une injonction.  Tant l’arbitre que les tribunaux peuvent trancher une demande pécuniaire fondée sur l’art. 171, et l’important en l’espèce, c’est que le décideur possède le pouvoir de rendre un jugement déclaratoire ou une injonction, les réparations mêmes qu’envisage l’art. 172.  De façon générale, on reconnaît que, dans l’exercice de leur compétence sous le régime des lois en matière d’arbitrage, les arbitres possèdent le pouvoir de rendre les ordonnances que pourraient rendre les tribunaux judiciaires.  Mais la législation de la </w:t>
      </w:r>
      <w:proofErr w:type="spellStart"/>
      <w:r w:rsidRPr="00916521">
        <w:rPr>
          <w:sz w:val="20"/>
          <w:lang w:val="fr-FR"/>
        </w:rPr>
        <w:t>Colombie</w:t>
      </w:r>
      <w:r w:rsidRPr="00916521">
        <w:rPr>
          <w:sz w:val="20"/>
          <w:lang w:val="fr-FR"/>
        </w:rPr>
        <w:noBreakHyphen/>
        <w:t>Britannique</w:t>
      </w:r>
      <w:proofErr w:type="spellEnd"/>
      <w:r w:rsidRPr="00916521">
        <w:rPr>
          <w:sz w:val="20"/>
          <w:lang w:val="fr-FR"/>
        </w:rPr>
        <w:t xml:space="preserve"> va plus loin, en accordant explicitement aux arbitres de larges pouvoirs de réparation.  L’arbitre qui tire sa compétence de la </w:t>
      </w:r>
      <w:r w:rsidRPr="00916521">
        <w:rPr>
          <w:i/>
          <w:sz w:val="20"/>
          <w:lang w:val="fr-FR"/>
        </w:rPr>
        <w:t xml:space="preserve">Commercial Arbitration </w:t>
      </w:r>
      <w:proofErr w:type="spellStart"/>
      <w:r w:rsidRPr="00916521">
        <w:rPr>
          <w:i/>
          <w:sz w:val="20"/>
          <w:lang w:val="fr-FR"/>
        </w:rPr>
        <w:t>Act</w:t>
      </w:r>
      <w:proofErr w:type="spellEnd"/>
      <w:r w:rsidRPr="00916521">
        <w:rPr>
          <w:sz w:val="20"/>
          <w:lang w:val="fr-FR"/>
        </w:rPr>
        <w:t xml:space="preserve">, et de ce fait des règles du BCICAC, possède lui aussi de larges pouvoirs de réparation, y compris celui de prononcer des injonctions et d’ordonner d’autres mesures de réparation reconnues en </w:t>
      </w:r>
      <w:proofErr w:type="spellStart"/>
      <w:r w:rsidRPr="00916521">
        <w:rPr>
          <w:i/>
          <w:sz w:val="20"/>
          <w:lang w:val="fr-FR"/>
        </w:rPr>
        <w:t>equity</w:t>
      </w:r>
      <w:proofErr w:type="spellEnd"/>
      <w:r w:rsidRPr="00916521">
        <w:rPr>
          <w:sz w:val="20"/>
          <w:lang w:val="fr-FR"/>
        </w:rPr>
        <w:t>, et l’arbitre peut donc, sauf en cas d’entente contraire des parties, prononcer le jugement déclaratoire et l’injonction sollicités par S sur le fondement des alinéas 172(1)</w:t>
      </w:r>
      <w:r w:rsidRPr="00916521">
        <w:rPr>
          <w:i/>
          <w:sz w:val="20"/>
          <w:lang w:val="fr-FR"/>
        </w:rPr>
        <w:t>a</w:t>
      </w:r>
      <w:r w:rsidRPr="00916521">
        <w:rPr>
          <w:sz w:val="20"/>
          <w:lang w:val="fr-FR"/>
        </w:rPr>
        <w:t xml:space="preserve">) et </w:t>
      </w:r>
      <w:r w:rsidRPr="00916521">
        <w:rPr>
          <w:i/>
          <w:sz w:val="20"/>
          <w:lang w:val="fr-FR"/>
        </w:rPr>
        <w:t>b</w:t>
      </w:r>
      <w:r w:rsidRPr="00916521">
        <w:rPr>
          <w:sz w:val="20"/>
          <w:lang w:val="fr-FR"/>
        </w:rPr>
        <w:t xml:space="preserve">) de la </w:t>
      </w:r>
      <w:r w:rsidRPr="00916521">
        <w:rPr>
          <w:i/>
          <w:sz w:val="20"/>
          <w:lang w:val="fr-FR"/>
        </w:rPr>
        <w:t>BPCPA</w:t>
      </w:r>
      <w:r w:rsidRPr="00916521">
        <w:rPr>
          <w:sz w:val="20"/>
          <w:lang w:val="fr-FR"/>
        </w:rPr>
        <w:t>.</w:t>
      </w:r>
    </w:p>
    <w:p w:rsidR="00C17D29" w:rsidRPr="00916521" w:rsidRDefault="00C17D29" w:rsidP="00C17D29">
      <w:pPr>
        <w:pStyle w:val="SCCNormalDoubleSpacing"/>
        <w:spacing w:line="240" w:lineRule="auto"/>
        <w:rPr>
          <w:sz w:val="20"/>
          <w:lang w:val="fr-FR"/>
        </w:rPr>
      </w:pPr>
    </w:p>
    <w:p w:rsidR="00C17D29" w:rsidRDefault="00C17D29" w:rsidP="00C17D29">
      <w:pPr>
        <w:pStyle w:val="SCCNormalDoubleSpacing"/>
        <w:spacing w:line="240" w:lineRule="auto"/>
        <w:rPr>
          <w:sz w:val="20"/>
          <w:lang w:val="fr-FR"/>
        </w:rPr>
      </w:pPr>
      <w:r w:rsidRPr="00916521">
        <w:rPr>
          <w:sz w:val="20"/>
          <w:lang w:val="fr-FR"/>
        </w:rPr>
        <w:tab/>
        <w:t xml:space="preserve">L’accès à la justice est protégé tant par les vastes pouvoirs dévolus aux arbitres que par la possibilité, pour le représentant, d’exercer un recours sous le régime de la </w:t>
      </w:r>
      <w:r w:rsidRPr="00916521">
        <w:rPr>
          <w:i/>
          <w:sz w:val="20"/>
          <w:lang w:val="fr-FR"/>
        </w:rPr>
        <w:t>BPCPA</w:t>
      </w:r>
      <w:r w:rsidRPr="00916521">
        <w:rPr>
          <w:sz w:val="20"/>
          <w:lang w:val="fr-FR"/>
        </w:rPr>
        <w:t xml:space="preserve">.  Les consommateurs tiers ne seraient pas liés par l’ordonnance de l’arbitre, mais TELUS le serait.  Il n’existe aucune obligation de garder confidentielle la décision arbitrale </w:t>
      </w:r>
      <w:proofErr w:type="spellStart"/>
      <w:r w:rsidRPr="00916521">
        <w:rPr>
          <w:sz w:val="20"/>
          <w:lang w:val="fr-FR"/>
        </w:rPr>
        <w:t>elle</w:t>
      </w:r>
      <w:r w:rsidRPr="00916521">
        <w:rPr>
          <w:sz w:val="20"/>
          <w:lang w:val="fr-FR"/>
        </w:rPr>
        <w:noBreakHyphen/>
        <w:t>même</w:t>
      </w:r>
      <w:proofErr w:type="spellEnd"/>
      <w:r w:rsidRPr="00916521">
        <w:rPr>
          <w:sz w:val="20"/>
          <w:lang w:val="fr-FR"/>
        </w:rPr>
        <w:t xml:space="preserve">, dans laquelle serait prévue la réparation sollicité par S si cette dernière a gain de cause.  Ainsi, un arbitre pourrait ordonner à un fournisseur, en l’espèce TELUS, d’informer le public en général du contenu de tout jugement ou ordonnance prononcé contre elle.  Une telle ordonnance remplirait un objectif d’ordre public.  Les vastes pouvoirs de réparation dévolus aux arbitres leur permettent d’accorder cette réparation publique. </w:t>
      </w:r>
    </w:p>
    <w:p w:rsidR="00C17D29" w:rsidRPr="00916521" w:rsidRDefault="00C17D29" w:rsidP="00C17D29">
      <w:pPr>
        <w:pStyle w:val="SCCNormalDoubleSpacing"/>
        <w:spacing w:line="240" w:lineRule="auto"/>
        <w:rPr>
          <w:sz w:val="20"/>
          <w:lang w:val="fr-FR"/>
        </w:rPr>
      </w:pPr>
    </w:p>
    <w:p w:rsidR="00C17D29" w:rsidRDefault="00C17D29" w:rsidP="00C17D29">
      <w:pPr>
        <w:pStyle w:val="SCCNormalDoubleSpacing"/>
        <w:spacing w:line="240" w:lineRule="auto"/>
        <w:rPr>
          <w:sz w:val="20"/>
          <w:lang w:val="fr-FR"/>
        </w:rPr>
      </w:pPr>
      <w:r w:rsidRPr="00916521">
        <w:rPr>
          <w:sz w:val="20"/>
          <w:lang w:val="fr-FR"/>
        </w:rPr>
        <w:tab/>
        <w:t xml:space="preserve">La désignation, à l’art. 172, de la Cour suprême de la </w:t>
      </w:r>
      <w:proofErr w:type="spellStart"/>
      <w:r w:rsidRPr="00916521">
        <w:rPr>
          <w:sz w:val="20"/>
          <w:lang w:val="fr-FR"/>
        </w:rPr>
        <w:t>Colombie</w:t>
      </w:r>
      <w:r w:rsidRPr="00916521">
        <w:rPr>
          <w:sz w:val="20"/>
          <w:lang w:val="fr-FR"/>
        </w:rPr>
        <w:noBreakHyphen/>
        <w:t>Britannique</w:t>
      </w:r>
      <w:proofErr w:type="spellEnd"/>
      <w:r w:rsidRPr="00916521">
        <w:rPr>
          <w:sz w:val="20"/>
          <w:lang w:val="fr-FR"/>
        </w:rPr>
        <w:t xml:space="preserve"> comme instance où des demandes </w:t>
      </w:r>
      <w:r w:rsidRPr="00916521">
        <w:rPr>
          <w:i/>
          <w:sz w:val="20"/>
          <w:lang w:val="fr-FR"/>
        </w:rPr>
        <w:t>peuvent</w:t>
      </w:r>
      <w:r w:rsidRPr="00916521">
        <w:rPr>
          <w:sz w:val="20"/>
          <w:lang w:val="fr-FR"/>
        </w:rPr>
        <w:t xml:space="preserve"> être introduites </w:t>
      </w:r>
      <w:r w:rsidRPr="00C17D29">
        <w:rPr>
          <w:sz w:val="20"/>
          <w:lang w:val="fr-CA"/>
        </w:rPr>
        <w:t xml:space="preserve">ne </w:t>
      </w:r>
      <w:r w:rsidRPr="00916521">
        <w:rPr>
          <w:sz w:val="20"/>
          <w:lang w:val="fr-FR"/>
        </w:rPr>
        <w:t xml:space="preserve">confère </w:t>
      </w:r>
      <w:r w:rsidRPr="00C17D29">
        <w:rPr>
          <w:sz w:val="20"/>
          <w:lang w:val="fr-CA"/>
        </w:rPr>
        <w:t>pas</w:t>
      </w:r>
      <w:r w:rsidRPr="00916521">
        <w:rPr>
          <w:sz w:val="20"/>
          <w:lang w:val="fr-FR"/>
        </w:rPr>
        <w:t xml:space="preserve"> à cette cour la compétence exclusive de trancher ces demandes en vertu de cet article.  Cette mention de la Cour suprême </w:t>
      </w:r>
      <w:r w:rsidRPr="00C17D29">
        <w:rPr>
          <w:sz w:val="20"/>
          <w:lang w:val="fr-CA"/>
        </w:rPr>
        <w:t xml:space="preserve">vise à préciser que c’est la Cour suprême, et non la Cour provinciale, qui peut rendre des jugements déclaratoires et accorder des injonctions.  En outre, l’usage du mot « peut » dans cet article révèle encore plus clairement l’intention de ne pas attribuer seulement à la Cour suprême le pouvoir d’attribuer les réparations en question.  </w:t>
      </w:r>
      <w:r w:rsidRPr="00916521">
        <w:rPr>
          <w:sz w:val="20"/>
          <w:lang w:val="fr-FR"/>
        </w:rPr>
        <w:t xml:space="preserve">En édictant l’art. 172, la législature a permis non seulement au directeur et à toute autre personne qui sollicite des ordonnances au nom de l’ensemble des consommateurs de poursuivre les demandes, mais elle a aussi autorisé le traitement de ces demandes en vertu des règles d’arbitrage.  La législature a ainsi fourni un moyen d’obtenir le même jugement déclaratoire ou la même injonction à l’encontre d’un fournisseur par le recours au régime privé de règlement des différends que par l’exercice d’un recours collectif.  Cette façon de faire ne peut qu’être bénéfique pour l’accès à la justice. </w:t>
      </w:r>
    </w:p>
    <w:p w:rsidR="00C17D29" w:rsidRPr="00C17D29" w:rsidRDefault="00C17D29" w:rsidP="00C17D29">
      <w:pPr>
        <w:pStyle w:val="SCCNormalDoubleSpacing"/>
        <w:spacing w:line="240" w:lineRule="auto"/>
        <w:rPr>
          <w:sz w:val="20"/>
          <w:lang w:val="fr-CA"/>
        </w:rPr>
      </w:pPr>
    </w:p>
    <w:p w:rsidR="00C17D29" w:rsidRPr="00C17D29" w:rsidRDefault="00C17D29" w:rsidP="00C17D29">
      <w:pPr>
        <w:pStyle w:val="SCCNormalDoubleSpacing"/>
        <w:spacing w:line="240" w:lineRule="auto"/>
        <w:rPr>
          <w:sz w:val="20"/>
          <w:lang w:val="fr-CA"/>
        </w:rPr>
      </w:pPr>
      <w:r w:rsidRPr="00C17D29">
        <w:rPr>
          <w:sz w:val="20"/>
          <w:lang w:val="fr-CA"/>
        </w:rPr>
        <w:lastRenderedPageBreak/>
        <w:tab/>
        <w:t xml:space="preserve">Tout argument fondé sur la thèse voulant que le principe d’accès à la </w:t>
      </w:r>
      <w:proofErr w:type="gramStart"/>
      <w:r w:rsidRPr="00C17D29">
        <w:rPr>
          <w:sz w:val="20"/>
          <w:lang w:val="fr-CA"/>
        </w:rPr>
        <w:t>justice exige</w:t>
      </w:r>
      <w:proofErr w:type="gramEnd"/>
      <w:r w:rsidRPr="00C17D29">
        <w:rPr>
          <w:sz w:val="20"/>
          <w:lang w:val="fr-CA"/>
        </w:rPr>
        <w:t xml:space="preserve"> que les actions fondées sur l’art. 172 de la </w:t>
      </w:r>
      <w:r w:rsidRPr="00C17D29">
        <w:rPr>
          <w:i/>
          <w:sz w:val="20"/>
          <w:lang w:val="fr-CA"/>
        </w:rPr>
        <w:t>BPCPA</w:t>
      </w:r>
      <w:r w:rsidRPr="00C17D29">
        <w:rPr>
          <w:sz w:val="20"/>
          <w:lang w:val="fr-CA"/>
        </w:rPr>
        <w:t xml:space="preserve"> prennent la forme d’un recours collectif s’avère sans fondement.  L’accès à la justice est préservé par l’arbitrage sans qu’il soit nécessaire de procéder par voie de recours collectif.  L’arbitre peut accorder, à l’encontre de TELUS, les réparations prévues à l’art. 172 de la </w:t>
      </w:r>
      <w:r w:rsidRPr="00C17D29">
        <w:rPr>
          <w:i/>
          <w:sz w:val="20"/>
          <w:lang w:val="fr-CA"/>
        </w:rPr>
        <w:t>BPCPA</w:t>
      </w:r>
      <w:r w:rsidRPr="00C17D29">
        <w:rPr>
          <w:sz w:val="20"/>
          <w:lang w:val="fr-CA"/>
        </w:rPr>
        <w:t xml:space="preserve">.  La convention d’arbitrage entre S et TELUS ne constitue donc pas une renonciation irrégulière aux droits, avantages ou protections que l’art. 3 de la </w:t>
      </w:r>
      <w:r w:rsidRPr="00C17D29">
        <w:rPr>
          <w:i/>
          <w:sz w:val="20"/>
          <w:lang w:val="fr-CA"/>
        </w:rPr>
        <w:t>BPCPA</w:t>
      </w:r>
      <w:r w:rsidRPr="00C17D29">
        <w:rPr>
          <w:sz w:val="20"/>
          <w:lang w:val="fr-CA"/>
        </w:rPr>
        <w:t xml:space="preserve"> confère à S.  L’article 172 de la </w:t>
      </w:r>
      <w:r w:rsidRPr="00C17D29">
        <w:rPr>
          <w:i/>
          <w:sz w:val="20"/>
          <w:lang w:val="fr-CA"/>
        </w:rPr>
        <w:t>BPCPA</w:t>
      </w:r>
      <w:r w:rsidRPr="00C17D29">
        <w:rPr>
          <w:sz w:val="20"/>
          <w:lang w:val="fr-CA"/>
        </w:rPr>
        <w:t xml:space="preserve"> désigne simplement l’instance appelée à statuer, dans le système judiciaire public, sur les droits, avantages et protections qu’offre cet article.  Il n’exclut pas explicitement la possibilité pour d’autres tribunaux, comme les tribunaux d’arbitrage, d’avoir compétence en la matière.</w:t>
      </w:r>
    </w:p>
    <w:p w:rsidR="00C17D29" w:rsidRPr="00C17D29" w:rsidRDefault="00C17D29" w:rsidP="00C17D29">
      <w:pPr>
        <w:pStyle w:val="SCCNormalDoubleSpacing"/>
        <w:spacing w:line="240" w:lineRule="auto"/>
        <w:rPr>
          <w:sz w:val="20"/>
          <w:lang w:val="fr-CA"/>
        </w:rPr>
      </w:pPr>
    </w:p>
    <w:p w:rsidR="00C17D29" w:rsidRPr="00C17D29" w:rsidRDefault="00C17D29" w:rsidP="00C17D29">
      <w:pPr>
        <w:pStyle w:val="SCCNormalDoubleSpacing"/>
        <w:spacing w:line="240" w:lineRule="auto"/>
        <w:rPr>
          <w:sz w:val="20"/>
          <w:lang w:val="fr-CA"/>
        </w:rPr>
      </w:pPr>
      <w:r w:rsidRPr="00C17D29">
        <w:rPr>
          <w:sz w:val="20"/>
          <w:lang w:val="fr-CA"/>
        </w:rPr>
        <w:tab/>
        <w:t xml:space="preserve">Il faut toujours examiner au cas par cas, en tenant compte des faits pertinents, la question de savoir si une clause d’arbitrage se trouvant dans un contrat de consommation est inéquitable ou abusive.  Au Canada, les tribunaux judiciaires ont laissé à la discrétion des législatures le soin de déterminer s’il convient ou non de soumettre une catégorie particulière de différends à l’arbitrage.  La législature de la </w:t>
      </w:r>
      <w:proofErr w:type="spellStart"/>
      <w:r w:rsidRPr="00C17D29">
        <w:rPr>
          <w:sz w:val="20"/>
          <w:lang w:val="fr-CA"/>
        </w:rPr>
        <w:t>Colombie</w:t>
      </w:r>
      <w:r w:rsidRPr="00C17D29">
        <w:rPr>
          <w:sz w:val="20"/>
          <w:lang w:val="fr-CA"/>
        </w:rPr>
        <w:noBreakHyphen/>
        <w:t>Britannique</w:t>
      </w:r>
      <w:proofErr w:type="spellEnd"/>
      <w:r w:rsidRPr="00C17D29">
        <w:rPr>
          <w:sz w:val="20"/>
          <w:lang w:val="fr-CA"/>
        </w:rPr>
        <w:t xml:space="preserve"> demeure libre de remédier à toute injustice ou difficulté qui paraîtrait résulter de l’insertion de clauses d’arbitrage dans des contrats de consommation.  Les législatures du Québec, de l’Ontario et de l’Alberta ont jugé bon de modifier leur législation en matière de protection du consommateur et choisi d’interdire ou de limiter la renonciation au recours collectif et l’insertion de clauses d’arbitrages dans les contrats régis par leurs lois sur la protection du consommateur.  La législature de la </w:t>
      </w:r>
      <w:proofErr w:type="spellStart"/>
      <w:r w:rsidRPr="00C17D29">
        <w:rPr>
          <w:sz w:val="20"/>
          <w:lang w:val="fr-CA"/>
        </w:rPr>
        <w:t>Colombie</w:t>
      </w:r>
      <w:r w:rsidRPr="00C17D29">
        <w:rPr>
          <w:sz w:val="20"/>
          <w:lang w:val="fr-CA"/>
        </w:rPr>
        <w:noBreakHyphen/>
        <w:t>Britannique</w:t>
      </w:r>
      <w:proofErr w:type="spellEnd"/>
      <w:r w:rsidRPr="00C17D29">
        <w:rPr>
          <w:sz w:val="20"/>
          <w:lang w:val="fr-CA"/>
        </w:rPr>
        <w:t xml:space="preserve"> a fait son choix en incorporant la </w:t>
      </w:r>
      <w:r w:rsidRPr="00C17D29">
        <w:rPr>
          <w:i/>
          <w:sz w:val="20"/>
          <w:lang w:val="fr-CA"/>
        </w:rPr>
        <w:t>Convention</w:t>
      </w:r>
      <w:r w:rsidRPr="00C17D29">
        <w:rPr>
          <w:sz w:val="20"/>
          <w:lang w:val="fr-CA" w:eastAsia="en-US"/>
        </w:rPr>
        <w:t xml:space="preserve"> </w:t>
      </w:r>
      <w:r w:rsidRPr="00C17D29">
        <w:rPr>
          <w:i/>
          <w:sz w:val="20"/>
          <w:lang w:val="fr-CA" w:eastAsia="en-US"/>
        </w:rPr>
        <w:t>pour la reconnaissance et l’exécution des sentences arbitrales étrangères</w:t>
      </w:r>
      <w:r w:rsidRPr="00C17D29">
        <w:rPr>
          <w:sz w:val="20"/>
          <w:lang w:val="fr-CA"/>
        </w:rPr>
        <w:t xml:space="preserve"> et la </w:t>
      </w:r>
      <w:r w:rsidRPr="00C17D29">
        <w:rPr>
          <w:i/>
          <w:iCs/>
          <w:sz w:val="20"/>
          <w:lang w:val="fr-CA" w:eastAsia="en-US"/>
        </w:rPr>
        <w:t>Loi type de la CNUDCI sur l’arbitrage commercial international</w:t>
      </w:r>
      <w:r w:rsidRPr="00C17D29">
        <w:rPr>
          <w:sz w:val="20"/>
          <w:lang w:val="fr-CA"/>
        </w:rPr>
        <w:t xml:space="preserve"> dans sa législation interne et en omettant d’adopter des dispositions limitant expressément les clauses d’arbitrage et les renonciations aux recours collectifs en matière de consommation.  Elle a fait un autre choix, celui d’investir les arbitres de vastes pouvoirs de réparation.  Notre Cour doit respecter ces choix.</w:t>
      </w:r>
    </w:p>
    <w:p w:rsidR="00C17D29" w:rsidRPr="00C17D29" w:rsidRDefault="00C17D29" w:rsidP="00C17D29">
      <w:pPr>
        <w:pStyle w:val="SCCNormalDoubleSpacing"/>
        <w:spacing w:line="240" w:lineRule="auto"/>
        <w:rPr>
          <w:sz w:val="20"/>
          <w:lang w:val="fr-CA"/>
        </w:rPr>
      </w:pPr>
    </w:p>
    <w:p w:rsidR="00C17D29" w:rsidRPr="00C17D29" w:rsidRDefault="00C17D29" w:rsidP="00C17D29">
      <w:pPr>
        <w:jc w:val="both"/>
        <w:rPr>
          <w:sz w:val="20"/>
          <w:lang w:val="fr-CA"/>
        </w:rPr>
      </w:pPr>
      <w:r w:rsidRPr="00C17D29">
        <w:rPr>
          <w:sz w:val="20"/>
          <w:lang w:val="fr-CA"/>
        </w:rPr>
        <w:tab/>
        <w:t xml:space="preserve">POURVOI contre un arrêt de la Cour d’appel de la </w:t>
      </w:r>
      <w:proofErr w:type="spellStart"/>
      <w:r w:rsidRPr="00C17D29">
        <w:rPr>
          <w:sz w:val="20"/>
          <w:lang w:val="fr-CA"/>
        </w:rPr>
        <w:t>Colombie</w:t>
      </w:r>
      <w:r w:rsidRPr="00C17D29">
        <w:rPr>
          <w:sz w:val="20"/>
          <w:lang w:val="fr-CA"/>
        </w:rPr>
        <w:noBreakHyphen/>
        <w:t>Britannique</w:t>
      </w:r>
      <w:proofErr w:type="spellEnd"/>
      <w:r w:rsidRPr="00C17D29">
        <w:rPr>
          <w:sz w:val="20"/>
          <w:lang w:val="fr-CA"/>
        </w:rPr>
        <w:t xml:space="preserve"> (le juge en chef </w:t>
      </w:r>
      <w:r w:rsidR="00C478F8" w:rsidRPr="00916521">
        <w:rPr>
          <w:sz w:val="20"/>
        </w:rPr>
        <w:fldChar w:fldCharType="begin"/>
      </w:r>
      <w:r w:rsidRPr="00C17D29">
        <w:rPr>
          <w:sz w:val="20"/>
          <w:lang w:val="fr-CA"/>
        </w:rPr>
        <w:instrText xml:space="preserve"> SEQ CHAPTER \h \r 1</w:instrText>
      </w:r>
      <w:r w:rsidR="00C478F8" w:rsidRPr="00916521">
        <w:rPr>
          <w:sz w:val="20"/>
        </w:rPr>
        <w:fldChar w:fldCharType="end"/>
      </w:r>
      <w:proofErr w:type="spellStart"/>
      <w:r w:rsidRPr="00C17D29">
        <w:rPr>
          <w:sz w:val="20"/>
          <w:lang w:val="fr-CA"/>
        </w:rPr>
        <w:t>Finch</w:t>
      </w:r>
      <w:proofErr w:type="spellEnd"/>
      <w:r w:rsidRPr="00C17D29">
        <w:rPr>
          <w:sz w:val="20"/>
          <w:lang w:val="fr-CA"/>
        </w:rPr>
        <w:t xml:space="preserve"> et les juges </w:t>
      </w:r>
      <w:proofErr w:type="spellStart"/>
      <w:r w:rsidRPr="00C17D29">
        <w:rPr>
          <w:sz w:val="20"/>
          <w:lang w:val="fr-CA"/>
        </w:rPr>
        <w:t>Rowles</w:t>
      </w:r>
      <w:proofErr w:type="spellEnd"/>
      <w:r w:rsidRPr="00C17D29">
        <w:rPr>
          <w:sz w:val="20"/>
          <w:lang w:val="fr-CA"/>
        </w:rPr>
        <w:t xml:space="preserve">, Newbury, </w:t>
      </w:r>
      <w:proofErr w:type="spellStart"/>
      <w:r w:rsidRPr="00C17D29">
        <w:rPr>
          <w:sz w:val="20"/>
          <w:lang w:val="fr-CA"/>
        </w:rPr>
        <w:t>Tysoe</w:t>
      </w:r>
      <w:proofErr w:type="spellEnd"/>
      <w:r w:rsidRPr="00C17D29">
        <w:rPr>
          <w:sz w:val="20"/>
          <w:lang w:val="fr-CA"/>
        </w:rPr>
        <w:t xml:space="preserve"> et </w:t>
      </w:r>
      <w:proofErr w:type="spellStart"/>
      <w:r w:rsidRPr="00C17D29">
        <w:rPr>
          <w:sz w:val="20"/>
          <w:lang w:val="fr-CA"/>
        </w:rPr>
        <w:t>Neilson</w:t>
      </w:r>
      <w:proofErr w:type="spellEnd"/>
      <w:r w:rsidRPr="00C17D29">
        <w:rPr>
          <w:sz w:val="20"/>
          <w:lang w:val="fr-CA"/>
        </w:rPr>
        <w:t xml:space="preserve">), 2009 BCCA 104, 88 B.C.L.R. (4th) 212, [2009] 5 W.W.R. 466, 68 C.P.C. (6th) 57, 267 B.C.A.C. 266, 450 W.A.C. 266, 304 D.L.R. (4th) 564, [2009] B.C.J. No. 469 (QL), </w:t>
      </w:r>
      <w:r w:rsidR="00C478F8" w:rsidRPr="00916521">
        <w:rPr>
          <w:sz w:val="20"/>
        </w:rPr>
        <w:fldChar w:fldCharType="begin"/>
      </w:r>
      <w:r w:rsidRPr="00C17D29">
        <w:rPr>
          <w:sz w:val="20"/>
          <w:lang w:val="fr-CA"/>
        </w:rPr>
        <w:instrText xml:space="preserve"> SEQ CHAPTER \h \r 1</w:instrText>
      </w:r>
      <w:r w:rsidR="00C478F8" w:rsidRPr="00916521">
        <w:rPr>
          <w:sz w:val="20"/>
        </w:rPr>
        <w:fldChar w:fldCharType="end"/>
      </w:r>
      <w:r w:rsidRPr="00C17D29">
        <w:rPr>
          <w:sz w:val="20"/>
          <w:lang w:val="fr-CA"/>
        </w:rPr>
        <w:t xml:space="preserve">2009 </w:t>
      </w:r>
      <w:proofErr w:type="spellStart"/>
      <w:r w:rsidRPr="00C17D29">
        <w:rPr>
          <w:sz w:val="20"/>
          <w:lang w:val="fr-CA"/>
        </w:rPr>
        <w:t>CarswellBC</w:t>
      </w:r>
      <w:proofErr w:type="spellEnd"/>
      <w:r w:rsidRPr="00C17D29">
        <w:rPr>
          <w:sz w:val="20"/>
          <w:lang w:val="fr-CA"/>
        </w:rPr>
        <w:t xml:space="preserve"> 608, qui a infirmé une décision du juge </w:t>
      </w:r>
      <w:r w:rsidR="00C478F8" w:rsidRPr="00916521">
        <w:rPr>
          <w:sz w:val="20"/>
        </w:rPr>
        <w:fldChar w:fldCharType="begin"/>
      </w:r>
      <w:r w:rsidRPr="00C17D29">
        <w:rPr>
          <w:sz w:val="20"/>
          <w:lang w:val="fr-CA"/>
        </w:rPr>
        <w:instrText xml:space="preserve"> SEQ CHAPTER \h \r 1</w:instrText>
      </w:r>
      <w:r w:rsidR="00C478F8" w:rsidRPr="00916521">
        <w:rPr>
          <w:sz w:val="20"/>
        </w:rPr>
        <w:fldChar w:fldCharType="end"/>
      </w:r>
      <w:proofErr w:type="spellStart"/>
      <w:r w:rsidRPr="00C17D29">
        <w:rPr>
          <w:sz w:val="20"/>
          <w:lang w:val="fr-CA"/>
        </w:rPr>
        <w:t>Masuhara</w:t>
      </w:r>
      <w:proofErr w:type="spellEnd"/>
      <w:r w:rsidRPr="00C17D29">
        <w:rPr>
          <w:sz w:val="20"/>
          <w:lang w:val="fr-CA"/>
        </w:rPr>
        <w:t xml:space="preserve">, </w:t>
      </w:r>
      <w:r w:rsidR="00C478F8" w:rsidRPr="00916521">
        <w:rPr>
          <w:sz w:val="20"/>
        </w:rPr>
        <w:fldChar w:fldCharType="begin"/>
      </w:r>
      <w:r w:rsidRPr="00C17D29">
        <w:rPr>
          <w:sz w:val="20"/>
          <w:lang w:val="fr-CA"/>
        </w:rPr>
        <w:instrText xml:space="preserve"> SEQ CHAPTER \h \r 1</w:instrText>
      </w:r>
      <w:r w:rsidR="00C478F8" w:rsidRPr="00916521">
        <w:rPr>
          <w:sz w:val="20"/>
        </w:rPr>
        <w:fldChar w:fldCharType="end"/>
      </w:r>
      <w:r w:rsidRPr="00C17D29">
        <w:rPr>
          <w:sz w:val="20"/>
          <w:lang w:val="fr-CA"/>
        </w:rPr>
        <w:t xml:space="preserve">2008 BCSC 933, 85 B.C.L.R. (4th) 372, 295 D.L.R. (4th) 511, [2008] B.C.J. No. 1347 (QL), 2008 </w:t>
      </w:r>
      <w:proofErr w:type="spellStart"/>
      <w:r w:rsidRPr="00C17D29">
        <w:rPr>
          <w:sz w:val="20"/>
          <w:lang w:val="fr-CA"/>
        </w:rPr>
        <w:t>CarswellBC</w:t>
      </w:r>
      <w:proofErr w:type="spellEnd"/>
      <w:r w:rsidRPr="00C17D29">
        <w:rPr>
          <w:sz w:val="20"/>
          <w:lang w:val="fr-CA"/>
        </w:rPr>
        <w:t xml:space="preserve"> 1490.  Pourvoi accueilli en partie, les juges </w:t>
      </w:r>
      <w:proofErr w:type="spellStart"/>
      <w:r w:rsidRPr="00C17D29">
        <w:rPr>
          <w:sz w:val="20"/>
          <w:lang w:val="fr-CA"/>
        </w:rPr>
        <w:t>LeBel</w:t>
      </w:r>
      <w:proofErr w:type="spellEnd"/>
      <w:r w:rsidRPr="00C17D29">
        <w:rPr>
          <w:sz w:val="20"/>
          <w:lang w:val="fr-CA"/>
        </w:rPr>
        <w:t>, Deschamps, Abella et Charron sont dissidents.</w:t>
      </w:r>
    </w:p>
    <w:p w:rsidR="00C17D29" w:rsidRPr="00C17D29" w:rsidRDefault="00C17D29" w:rsidP="00C17D29">
      <w:pPr>
        <w:jc w:val="both"/>
        <w:rPr>
          <w:sz w:val="20"/>
          <w:lang w:val="fr-CA"/>
        </w:rPr>
      </w:pPr>
    </w:p>
    <w:p w:rsidR="00C17D29" w:rsidRPr="00C17D29" w:rsidRDefault="00C17D29" w:rsidP="00C17D29">
      <w:pPr>
        <w:pStyle w:val="SCCNormalDoubleSpacing"/>
        <w:spacing w:line="240" w:lineRule="auto"/>
        <w:rPr>
          <w:rStyle w:val="SCCCounselPartyRoleChar"/>
          <w:sz w:val="20"/>
          <w:lang w:val="fr-CA"/>
        </w:rPr>
      </w:pPr>
      <w:r w:rsidRPr="00C17D29">
        <w:rPr>
          <w:rStyle w:val="SCCCounselNameChar"/>
          <w:sz w:val="20"/>
          <w:lang w:val="fr-CA"/>
        </w:rPr>
        <w:tab/>
        <w:t>Arthur M. Grant</w:t>
      </w:r>
      <w:r w:rsidRPr="00916521">
        <w:rPr>
          <w:rStyle w:val="SCCCounselSeparatorChar"/>
          <w:sz w:val="20"/>
        </w:rPr>
        <w:t xml:space="preserve"> et </w:t>
      </w:r>
      <w:r w:rsidRPr="00C17D29">
        <w:rPr>
          <w:rStyle w:val="SCCCounselNameChar"/>
          <w:sz w:val="20"/>
          <w:lang w:val="fr-CA"/>
        </w:rPr>
        <w:t xml:space="preserve">Bruce W. </w:t>
      </w:r>
      <w:proofErr w:type="spellStart"/>
      <w:r w:rsidRPr="00C17D29">
        <w:rPr>
          <w:rStyle w:val="SCCCounselNameChar"/>
          <w:sz w:val="20"/>
          <w:lang w:val="fr-CA"/>
        </w:rPr>
        <w:t>Lemer</w:t>
      </w:r>
      <w:proofErr w:type="spellEnd"/>
      <w:r w:rsidRPr="00C17D29">
        <w:rPr>
          <w:rStyle w:val="SCCCounselPartyRoleChar"/>
          <w:sz w:val="20"/>
          <w:lang w:val="fr-CA"/>
        </w:rPr>
        <w:t>, pour l’appelante.</w:t>
      </w:r>
    </w:p>
    <w:p w:rsidR="00C17D29" w:rsidRPr="00C17D29" w:rsidRDefault="00C17D29" w:rsidP="00C17D29">
      <w:pPr>
        <w:pStyle w:val="SCCNormalDoubleSpacing"/>
        <w:spacing w:line="240" w:lineRule="auto"/>
        <w:rPr>
          <w:sz w:val="20"/>
          <w:lang w:val="fr-CA"/>
        </w:rPr>
      </w:pPr>
    </w:p>
    <w:p w:rsidR="00C17D29" w:rsidRPr="00C17D29" w:rsidRDefault="00C17D29" w:rsidP="00C17D29">
      <w:pPr>
        <w:pStyle w:val="SCCNormalDoubleSpacing"/>
        <w:spacing w:line="240" w:lineRule="auto"/>
        <w:rPr>
          <w:rStyle w:val="SCCCounselPartyRoleChar"/>
          <w:sz w:val="20"/>
          <w:lang w:val="fr-CA"/>
        </w:rPr>
      </w:pPr>
      <w:r w:rsidRPr="00C17D29">
        <w:rPr>
          <w:rStyle w:val="SCCCounselNameChar"/>
          <w:sz w:val="20"/>
          <w:lang w:val="fr-CA"/>
        </w:rPr>
        <w:tab/>
        <w:t>Robert S. Anderson</w:t>
      </w:r>
      <w:r w:rsidRPr="00C17D29">
        <w:rPr>
          <w:rStyle w:val="SCCCounselNameChar"/>
          <w:i w:val="0"/>
          <w:sz w:val="20"/>
          <w:lang w:val="fr-CA"/>
        </w:rPr>
        <w:t xml:space="preserve">, </w:t>
      </w:r>
      <w:proofErr w:type="gramStart"/>
      <w:r w:rsidRPr="00C17D29">
        <w:rPr>
          <w:rStyle w:val="SCCCounselNameChar"/>
          <w:sz w:val="20"/>
          <w:lang w:val="fr-CA"/>
        </w:rPr>
        <w:t>c.r.</w:t>
      </w:r>
      <w:r w:rsidRPr="00916521">
        <w:rPr>
          <w:rStyle w:val="SCCCounselSeparatorChar"/>
          <w:sz w:val="20"/>
        </w:rPr>
        <w:t>,</w:t>
      </w:r>
      <w:proofErr w:type="gramEnd"/>
      <w:r w:rsidRPr="00916521">
        <w:rPr>
          <w:rStyle w:val="SCCCounselSeparatorChar"/>
          <w:sz w:val="20"/>
        </w:rPr>
        <w:t xml:space="preserve"> </w:t>
      </w:r>
      <w:r w:rsidRPr="00C17D29">
        <w:rPr>
          <w:rStyle w:val="SCCCounselNameChar"/>
          <w:sz w:val="20"/>
          <w:lang w:val="fr-CA"/>
        </w:rPr>
        <w:t xml:space="preserve">Sean </w:t>
      </w:r>
      <w:proofErr w:type="spellStart"/>
      <w:r w:rsidRPr="00C17D29">
        <w:rPr>
          <w:rStyle w:val="SCCCounselNameChar"/>
          <w:sz w:val="20"/>
          <w:lang w:val="fr-CA"/>
        </w:rPr>
        <w:t>Hern</w:t>
      </w:r>
      <w:proofErr w:type="spellEnd"/>
      <w:r w:rsidRPr="00916521">
        <w:rPr>
          <w:rStyle w:val="SCCCounselSeparatorChar"/>
          <w:sz w:val="20"/>
        </w:rPr>
        <w:t xml:space="preserve"> et </w:t>
      </w:r>
      <w:r w:rsidRPr="00C17D29">
        <w:rPr>
          <w:rStyle w:val="SCCCounselNameChar"/>
          <w:sz w:val="20"/>
          <w:lang w:val="fr-CA"/>
        </w:rPr>
        <w:t xml:space="preserve">Nicholas T. </w:t>
      </w:r>
      <w:proofErr w:type="spellStart"/>
      <w:r w:rsidRPr="00C17D29">
        <w:rPr>
          <w:rStyle w:val="SCCCounselNameChar"/>
          <w:sz w:val="20"/>
          <w:lang w:val="fr-CA"/>
        </w:rPr>
        <w:t>Hooge</w:t>
      </w:r>
      <w:proofErr w:type="spellEnd"/>
      <w:r w:rsidRPr="00C17D29">
        <w:rPr>
          <w:rStyle w:val="SCCCounselPartyRoleChar"/>
          <w:sz w:val="20"/>
          <w:lang w:val="fr-CA"/>
        </w:rPr>
        <w:t>, pour l’intimée.</w:t>
      </w:r>
    </w:p>
    <w:p w:rsidR="00C17D29" w:rsidRPr="00C17D29" w:rsidRDefault="00C17D29" w:rsidP="00C17D29">
      <w:pPr>
        <w:pStyle w:val="SCCNormalDoubleSpacing"/>
        <w:spacing w:line="240" w:lineRule="auto"/>
        <w:rPr>
          <w:sz w:val="20"/>
          <w:lang w:val="fr-CA"/>
        </w:rPr>
      </w:pPr>
    </w:p>
    <w:p w:rsidR="00C17D29" w:rsidRPr="00C17D29" w:rsidRDefault="00C17D29" w:rsidP="00C17D29">
      <w:pPr>
        <w:pStyle w:val="SCCNormalDoubleSpacing"/>
        <w:spacing w:line="240" w:lineRule="auto"/>
        <w:rPr>
          <w:rStyle w:val="SCCCounselPartyRoleChar"/>
          <w:sz w:val="20"/>
          <w:lang w:val="fr-CA"/>
        </w:rPr>
      </w:pPr>
      <w:r w:rsidRPr="00C17D29">
        <w:rPr>
          <w:rStyle w:val="SCCCounselNameChar"/>
          <w:sz w:val="20"/>
          <w:lang w:val="fr-CA"/>
        </w:rPr>
        <w:tab/>
      </w:r>
      <w:proofErr w:type="spellStart"/>
      <w:r w:rsidRPr="00C17D29">
        <w:rPr>
          <w:rStyle w:val="SCCCounselNameChar"/>
          <w:sz w:val="20"/>
          <w:lang w:val="fr-CA"/>
        </w:rPr>
        <w:t>Babak</w:t>
      </w:r>
      <w:proofErr w:type="spellEnd"/>
      <w:r w:rsidRPr="00C17D29">
        <w:rPr>
          <w:rStyle w:val="SCCCounselNameChar"/>
          <w:sz w:val="20"/>
          <w:lang w:val="fr-CA"/>
        </w:rPr>
        <w:t xml:space="preserve"> </w:t>
      </w:r>
      <w:proofErr w:type="spellStart"/>
      <w:r w:rsidRPr="00C17D29">
        <w:rPr>
          <w:rStyle w:val="SCCCounselNameChar"/>
          <w:sz w:val="20"/>
          <w:lang w:val="fr-CA"/>
        </w:rPr>
        <w:t>Barin</w:t>
      </w:r>
      <w:proofErr w:type="spellEnd"/>
      <w:r w:rsidRPr="00916521">
        <w:rPr>
          <w:rStyle w:val="SCCCounselSeparatorChar"/>
          <w:sz w:val="20"/>
        </w:rPr>
        <w:t xml:space="preserve">, </w:t>
      </w:r>
      <w:r w:rsidRPr="00C17D29">
        <w:rPr>
          <w:rStyle w:val="SCCCounselNameChar"/>
          <w:sz w:val="20"/>
          <w:lang w:val="fr-CA"/>
        </w:rPr>
        <w:t xml:space="preserve">Gaston Gauthier </w:t>
      </w:r>
      <w:r w:rsidRPr="00C17D29">
        <w:rPr>
          <w:rStyle w:val="SCCCounselNameChar"/>
          <w:i w:val="0"/>
          <w:sz w:val="20"/>
          <w:lang w:val="fr-CA"/>
        </w:rPr>
        <w:t>et</w:t>
      </w:r>
      <w:r w:rsidRPr="00C17D29">
        <w:rPr>
          <w:rStyle w:val="SCCCounselNameChar"/>
          <w:sz w:val="20"/>
          <w:lang w:val="fr-CA"/>
        </w:rPr>
        <w:t xml:space="preserve"> Frédéric Côté</w:t>
      </w:r>
      <w:r w:rsidRPr="00C17D29">
        <w:rPr>
          <w:rStyle w:val="SCCCounselPartyRoleChar"/>
          <w:sz w:val="20"/>
          <w:lang w:val="fr-CA"/>
        </w:rPr>
        <w:t>, pour l’intervenant le Barreau du Québec.</w:t>
      </w:r>
    </w:p>
    <w:p w:rsidR="00C17D29" w:rsidRPr="00C17D29" w:rsidRDefault="00C17D29" w:rsidP="00C17D29">
      <w:pPr>
        <w:pStyle w:val="SCCNormalDoubleSpacing"/>
        <w:spacing w:line="240" w:lineRule="auto"/>
        <w:rPr>
          <w:sz w:val="20"/>
          <w:lang w:val="fr-CA"/>
        </w:rPr>
      </w:pPr>
    </w:p>
    <w:p w:rsidR="00C17D29" w:rsidRPr="00C17D29" w:rsidRDefault="00C17D29" w:rsidP="00C17D29">
      <w:pPr>
        <w:pStyle w:val="SCCNormalDoubleSpacing"/>
        <w:spacing w:line="240" w:lineRule="auto"/>
        <w:rPr>
          <w:rStyle w:val="SCCCounselPartyRoleChar"/>
          <w:sz w:val="20"/>
          <w:lang w:val="fr-CA"/>
        </w:rPr>
      </w:pPr>
      <w:r w:rsidRPr="00C17D29">
        <w:rPr>
          <w:rStyle w:val="SCCCounselNameChar"/>
          <w:sz w:val="20"/>
          <w:lang w:val="fr-CA"/>
        </w:rPr>
        <w:tab/>
        <w:t>Ivan G. Whitehall</w:t>
      </w:r>
      <w:r w:rsidRPr="00C17D29">
        <w:rPr>
          <w:rStyle w:val="SCCCounselNameChar"/>
          <w:i w:val="0"/>
          <w:sz w:val="20"/>
          <w:lang w:val="fr-CA"/>
        </w:rPr>
        <w:t xml:space="preserve">, </w:t>
      </w:r>
      <w:proofErr w:type="gramStart"/>
      <w:r w:rsidRPr="00C17D29">
        <w:rPr>
          <w:rStyle w:val="SCCCounselNameChar"/>
          <w:sz w:val="20"/>
          <w:lang w:val="fr-CA"/>
        </w:rPr>
        <w:t>c.r.</w:t>
      </w:r>
      <w:r w:rsidRPr="00916521">
        <w:rPr>
          <w:rStyle w:val="SCCCounselSeparatorChar"/>
          <w:sz w:val="20"/>
        </w:rPr>
        <w:t>,</w:t>
      </w:r>
      <w:proofErr w:type="gramEnd"/>
      <w:r w:rsidRPr="00916521">
        <w:rPr>
          <w:rStyle w:val="SCCCounselSeparatorChar"/>
          <w:sz w:val="20"/>
        </w:rPr>
        <w:t xml:space="preserve"> et </w:t>
      </w:r>
      <w:r w:rsidRPr="00C17D29">
        <w:rPr>
          <w:rStyle w:val="SCCCounselNameChar"/>
          <w:sz w:val="20"/>
          <w:lang w:val="fr-CA"/>
        </w:rPr>
        <w:t xml:space="preserve">Alejandro </w:t>
      </w:r>
      <w:proofErr w:type="spellStart"/>
      <w:r w:rsidRPr="00C17D29">
        <w:rPr>
          <w:rStyle w:val="SCCCounselNameChar"/>
          <w:sz w:val="20"/>
          <w:lang w:val="fr-CA"/>
        </w:rPr>
        <w:t>Manevich</w:t>
      </w:r>
      <w:proofErr w:type="spellEnd"/>
      <w:r w:rsidRPr="00C17D29">
        <w:rPr>
          <w:rStyle w:val="SCCCounselPartyRoleChar"/>
          <w:sz w:val="20"/>
          <w:lang w:val="fr-CA"/>
        </w:rPr>
        <w:t>, pour l’intervenant le Congrès d’arbitrage canadien.</w:t>
      </w:r>
    </w:p>
    <w:p w:rsidR="00C17D29" w:rsidRPr="00C17D29" w:rsidRDefault="00C17D29" w:rsidP="00C17D29">
      <w:pPr>
        <w:pStyle w:val="SCCNormalDoubleSpacing"/>
        <w:spacing w:line="240" w:lineRule="auto"/>
        <w:rPr>
          <w:sz w:val="20"/>
          <w:lang w:val="fr-CA"/>
        </w:rPr>
      </w:pPr>
    </w:p>
    <w:p w:rsidR="00C17D29" w:rsidRPr="00C17D29" w:rsidRDefault="00C17D29" w:rsidP="00C17D29">
      <w:pPr>
        <w:pStyle w:val="SCCNormalDoubleSpacing"/>
        <w:spacing w:line="240" w:lineRule="auto"/>
        <w:rPr>
          <w:rStyle w:val="SCCCounselPartyRoleChar"/>
          <w:sz w:val="20"/>
          <w:lang w:val="fr-CA"/>
        </w:rPr>
      </w:pPr>
      <w:r w:rsidRPr="00C17D29">
        <w:rPr>
          <w:rStyle w:val="SCCCounselNameChar"/>
          <w:sz w:val="20"/>
          <w:lang w:val="fr-CA"/>
        </w:rPr>
        <w:tab/>
        <w:t xml:space="preserve">Barry </w:t>
      </w:r>
      <w:proofErr w:type="spellStart"/>
      <w:r w:rsidRPr="00C17D29">
        <w:rPr>
          <w:rStyle w:val="SCCCounselNameChar"/>
          <w:sz w:val="20"/>
          <w:lang w:val="fr-CA"/>
        </w:rPr>
        <w:t>Leon</w:t>
      </w:r>
      <w:proofErr w:type="spellEnd"/>
      <w:r w:rsidRPr="00916521">
        <w:rPr>
          <w:rStyle w:val="SCCCounselSeparatorChar"/>
          <w:sz w:val="20"/>
        </w:rPr>
        <w:t xml:space="preserve">, </w:t>
      </w:r>
      <w:r w:rsidRPr="00C17D29">
        <w:rPr>
          <w:rStyle w:val="SCCCounselNameChar"/>
          <w:sz w:val="20"/>
          <w:lang w:val="fr-CA"/>
        </w:rPr>
        <w:t xml:space="preserve">Andrew de </w:t>
      </w:r>
      <w:proofErr w:type="spellStart"/>
      <w:r w:rsidRPr="00C17D29">
        <w:rPr>
          <w:rStyle w:val="SCCCounselNameChar"/>
          <w:sz w:val="20"/>
          <w:lang w:val="fr-CA"/>
        </w:rPr>
        <w:t>Lotbinière</w:t>
      </w:r>
      <w:proofErr w:type="spellEnd"/>
      <w:r w:rsidRPr="00C17D29">
        <w:rPr>
          <w:rStyle w:val="SCCCounselNameChar"/>
          <w:sz w:val="20"/>
          <w:lang w:val="fr-CA"/>
        </w:rPr>
        <w:t xml:space="preserve"> McDougall</w:t>
      </w:r>
      <w:r w:rsidRPr="00916521">
        <w:rPr>
          <w:rStyle w:val="SCCCounselSeparatorChar"/>
          <w:sz w:val="20"/>
        </w:rPr>
        <w:t xml:space="preserve"> et </w:t>
      </w:r>
      <w:r w:rsidRPr="00C17D29">
        <w:rPr>
          <w:rStyle w:val="SCCCounselNameChar"/>
          <w:sz w:val="20"/>
          <w:lang w:val="fr-CA"/>
        </w:rPr>
        <w:t>Daniel Taylor</w:t>
      </w:r>
      <w:r w:rsidRPr="00C17D29">
        <w:rPr>
          <w:rStyle w:val="SCCCounselPartyRoleChar"/>
          <w:sz w:val="20"/>
          <w:lang w:val="fr-CA"/>
        </w:rPr>
        <w:t>, pour l’intervenante ADR Chambers Inc.</w:t>
      </w:r>
    </w:p>
    <w:p w:rsidR="00C17D29" w:rsidRPr="00C17D29" w:rsidRDefault="00C17D29" w:rsidP="00C17D29">
      <w:pPr>
        <w:pStyle w:val="SCCNormalDoubleSpacing"/>
        <w:spacing w:line="240" w:lineRule="auto"/>
        <w:rPr>
          <w:sz w:val="20"/>
          <w:lang w:val="fr-CA"/>
        </w:rPr>
      </w:pPr>
    </w:p>
    <w:p w:rsidR="00C17D29" w:rsidRPr="00C17D29" w:rsidRDefault="00C17D29" w:rsidP="00C17D29">
      <w:pPr>
        <w:pStyle w:val="SCCLawFirm"/>
        <w:spacing w:line="240" w:lineRule="auto"/>
        <w:rPr>
          <w:sz w:val="20"/>
          <w:lang w:val="fr-CA"/>
        </w:rPr>
      </w:pPr>
      <w:r w:rsidRPr="00C17D29">
        <w:rPr>
          <w:sz w:val="20"/>
          <w:lang w:val="fr-CA"/>
        </w:rPr>
        <w:tab/>
        <w:t xml:space="preserve">Procureurs de l’appelante : Grant </w:t>
      </w:r>
      <w:proofErr w:type="spellStart"/>
      <w:r w:rsidRPr="00C17D29">
        <w:rPr>
          <w:sz w:val="20"/>
          <w:lang w:val="fr-CA"/>
        </w:rPr>
        <w:t>Kovacs</w:t>
      </w:r>
      <w:proofErr w:type="spellEnd"/>
      <w:r w:rsidRPr="00C17D29">
        <w:rPr>
          <w:sz w:val="20"/>
          <w:lang w:val="fr-CA"/>
        </w:rPr>
        <w:t xml:space="preserve"> </w:t>
      </w:r>
      <w:proofErr w:type="spellStart"/>
      <w:r w:rsidRPr="00C17D29">
        <w:rPr>
          <w:sz w:val="20"/>
          <w:lang w:val="fr-CA"/>
        </w:rPr>
        <w:t>Norell</w:t>
      </w:r>
      <w:proofErr w:type="spellEnd"/>
      <w:r w:rsidRPr="00C17D29">
        <w:rPr>
          <w:sz w:val="20"/>
          <w:lang w:val="fr-CA"/>
        </w:rPr>
        <w:t>, Vancouver.</w:t>
      </w:r>
    </w:p>
    <w:p w:rsidR="00C17D29" w:rsidRPr="00C17D29" w:rsidRDefault="00C17D29" w:rsidP="00C17D29">
      <w:pPr>
        <w:pStyle w:val="SCCNormalDoubleSpacing"/>
        <w:spacing w:line="240" w:lineRule="auto"/>
        <w:rPr>
          <w:lang w:val="fr-CA"/>
        </w:rPr>
      </w:pPr>
    </w:p>
    <w:p w:rsidR="00C17D29" w:rsidRPr="00C17D29" w:rsidRDefault="00C17D29" w:rsidP="00C17D29">
      <w:pPr>
        <w:pStyle w:val="SCCLawFirm"/>
        <w:spacing w:line="240" w:lineRule="auto"/>
        <w:rPr>
          <w:sz w:val="20"/>
          <w:lang w:val="fr-CA"/>
        </w:rPr>
      </w:pPr>
      <w:r w:rsidRPr="00C17D29">
        <w:rPr>
          <w:sz w:val="20"/>
          <w:lang w:val="fr-CA"/>
        </w:rPr>
        <w:tab/>
        <w:t>Procureurs de l’intimée : </w:t>
      </w:r>
      <w:proofErr w:type="spellStart"/>
      <w:r w:rsidRPr="00C17D29">
        <w:rPr>
          <w:sz w:val="20"/>
          <w:lang w:val="fr-CA"/>
        </w:rPr>
        <w:t>Farris</w:t>
      </w:r>
      <w:proofErr w:type="spellEnd"/>
      <w:r w:rsidRPr="00C17D29">
        <w:rPr>
          <w:sz w:val="20"/>
          <w:lang w:val="fr-CA"/>
        </w:rPr>
        <w:t>, Vaughan, Wills &amp; Murphy, Vancouver.</w:t>
      </w:r>
    </w:p>
    <w:p w:rsidR="00C17D29" w:rsidRPr="00C17D29" w:rsidRDefault="00C17D29" w:rsidP="00C17D29">
      <w:pPr>
        <w:pStyle w:val="SCCNormalDoubleSpacing"/>
        <w:spacing w:line="240" w:lineRule="auto"/>
        <w:rPr>
          <w:lang w:val="fr-CA"/>
        </w:rPr>
      </w:pPr>
    </w:p>
    <w:p w:rsidR="00C17D29" w:rsidRPr="00C17D29" w:rsidRDefault="00C17D29" w:rsidP="00C17D29">
      <w:pPr>
        <w:pStyle w:val="SCCLawFirm"/>
        <w:spacing w:line="240" w:lineRule="auto"/>
        <w:rPr>
          <w:sz w:val="20"/>
          <w:lang w:val="fr-CA"/>
        </w:rPr>
      </w:pPr>
      <w:r w:rsidRPr="00C17D29">
        <w:rPr>
          <w:sz w:val="20"/>
          <w:lang w:val="fr-CA"/>
        </w:rPr>
        <w:tab/>
        <w:t>Procureurs de l’intervenant le Barreau du Québec : B C F, Montréal.</w:t>
      </w:r>
    </w:p>
    <w:p w:rsidR="00C17D29" w:rsidRPr="00C17D29" w:rsidRDefault="00C17D29" w:rsidP="00C17D29">
      <w:pPr>
        <w:pStyle w:val="SCCNormalDoubleSpacing"/>
        <w:spacing w:line="240" w:lineRule="auto"/>
        <w:rPr>
          <w:lang w:val="fr-CA"/>
        </w:rPr>
      </w:pPr>
    </w:p>
    <w:p w:rsidR="00C17D29" w:rsidRPr="00C17D29" w:rsidRDefault="00C17D29" w:rsidP="00C17D29">
      <w:pPr>
        <w:pStyle w:val="SCCLawFirm"/>
        <w:spacing w:line="240" w:lineRule="auto"/>
        <w:rPr>
          <w:sz w:val="20"/>
          <w:lang w:val="fr-CA"/>
        </w:rPr>
      </w:pPr>
      <w:r w:rsidRPr="00C17D29">
        <w:rPr>
          <w:sz w:val="20"/>
          <w:lang w:val="fr-CA"/>
        </w:rPr>
        <w:tab/>
        <w:t>Procureurs de l’intervenant le Congrès d’arbitrage canadien : </w:t>
      </w:r>
      <w:proofErr w:type="spellStart"/>
      <w:r w:rsidRPr="00C17D29">
        <w:rPr>
          <w:sz w:val="20"/>
          <w:lang w:val="fr-CA"/>
        </w:rPr>
        <w:t>Heenan</w:t>
      </w:r>
      <w:proofErr w:type="spellEnd"/>
      <w:r w:rsidRPr="00C17D29">
        <w:rPr>
          <w:sz w:val="20"/>
          <w:lang w:val="fr-CA"/>
        </w:rPr>
        <w:t xml:space="preserve"> </w:t>
      </w:r>
      <w:proofErr w:type="spellStart"/>
      <w:r w:rsidRPr="00C17D29">
        <w:rPr>
          <w:sz w:val="20"/>
          <w:lang w:val="fr-CA"/>
        </w:rPr>
        <w:t>Blaikie</w:t>
      </w:r>
      <w:proofErr w:type="spellEnd"/>
      <w:r w:rsidRPr="00C17D29">
        <w:rPr>
          <w:sz w:val="20"/>
          <w:lang w:val="fr-CA"/>
        </w:rPr>
        <w:t>, Ottawa.</w:t>
      </w:r>
    </w:p>
    <w:p w:rsidR="00C17D29" w:rsidRPr="00C17D29" w:rsidRDefault="00C17D29" w:rsidP="00C17D29">
      <w:pPr>
        <w:pStyle w:val="SCCNormalDoubleSpacing"/>
        <w:spacing w:line="240" w:lineRule="auto"/>
        <w:rPr>
          <w:lang w:val="fr-CA"/>
        </w:rPr>
      </w:pPr>
    </w:p>
    <w:p w:rsidR="00C17D29" w:rsidRDefault="00C17D29" w:rsidP="00C17D29">
      <w:pPr>
        <w:pStyle w:val="SCCLawFirm"/>
        <w:spacing w:line="240" w:lineRule="auto"/>
        <w:rPr>
          <w:sz w:val="20"/>
        </w:rPr>
      </w:pPr>
      <w:r w:rsidRPr="00C17D29">
        <w:rPr>
          <w:sz w:val="20"/>
          <w:lang w:val="fr-CA"/>
        </w:rPr>
        <w:tab/>
      </w:r>
      <w:proofErr w:type="spellStart"/>
      <w:r w:rsidRPr="00916521">
        <w:rPr>
          <w:sz w:val="20"/>
        </w:rPr>
        <w:t>Procureurs</w:t>
      </w:r>
      <w:proofErr w:type="spellEnd"/>
      <w:r w:rsidRPr="00916521">
        <w:rPr>
          <w:sz w:val="20"/>
        </w:rPr>
        <w:t xml:space="preserve"> de </w:t>
      </w:r>
      <w:proofErr w:type="spellStart"/>
      <w:r w:rsidRPr="00916521">
        <w:rPr>
          <w:sz w:val="20"/>
        </w:rPr>
        <w:t>l’intervenante</w:t>
      </w:r>
      <w:proofErr w:type="spellEnd"/>
      <w:r w:rsidRPr="00916521">
        <w:rPr>
          <w:sz w:val="20"/>
        </w:rPr>
        <w:t xml:space="preserve"> ADR Chambers Inc</w:t>
      </w:r>
      <w:proofErr w:type="gramStart"/>
      <w:r w:rsidRPr="00916521">
        <w:rPr>
          <w:sz w:val="20"/>
        </w:rPr>
        <w:t>. :</w:t>
      </w:r>
      <w:proofErr w:type="gramEnd"/>
      <w:r w:rsidRPr="00916521">
        <w:rPr>
          <w:sz w:val="20"/>
        </w:rPr>
        <w:t> </w:t>
      </w:r>
      <w:proofErr w:type="spellStart"/>
      <w:r w:rsidRPr="00916521">
        <w:rPr>
          <w:sz w:val="20"/>
        </w:rPr>
        <w:t>Perley</w:t>
      </w:r>
      <w:r w:rsidRPr="00916521">
        <w:rPr>
          <w:sz w:val="20"/>
        </w:rPr>
        <w:noBreakHyphen/>
        <w:t>Robertson</w:t>
      </w:r>
      <w:proofErr w:type="spellEnd"/>
      <w:r w:rsidRPr="00916521">
        <w:rPr>
          <w:sz w:val="20"/>
        </w:rPr>
        <w:t>, Hill &amp; McDougall, Ottawa.</w:t>
      </w:r>
    </w:p>
    <w:p w:rsidR="003B3977" w:rsidRDefault="003B3977" w:rsidP="005C6840">
      <w:pPr>
        <w:rPr>
          <w:rFonts w:cs="Times New Roman"/>
          <w:sz w:val="20"/>
          <w:szCs w:val="20"/>
          <w:lang w:val="fr-CA"/>
        </w:rPr>
      </w:pPr>
    </w:p>
    <w:p w:rsidR="003B3977" w:rsidRPr="003F4721" w:rsidRDefault="00C478F8" w:rsidP="00C17D29">
      <w:pPr>
        <w:rPr>
          <w:sz w:val="20"/>
          <w:szCs w:val="20"/>
        </w:rPr>
      </w:pPr>
      <w:r w:rsidRPr="00C478F8">
        <w:rPr>
          <w:rFonts w:cs="Times New Roman"/>
          <w:sz w:val="20"/>
          <w:szCs w:val="20"/>
          <w:lang w:val="fr-CA"/>
        </w:rPr>
        <w:pict>
          <v:rect id="_x0000_i1081"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576" w:footer="960" w:gutter="0"/>
          <w:cols w:space="720"/>
          <w:titlePg/>
          <w:docGrid w:linePitch="272"/>
        </w:sectPr>
      </w:pPr>
    </w:p>
    <w:p w:rsidR="00924065" w:rsidRPr="00DE5525" w:rsidRDefault="00C478F8"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59"/>
      <w:footerReference w:type="default" r:id="rId60"/>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D3C" w:rsidRDefault="00406D3C" w:rsidP="00A87207">
      <w:r>
        <w:separator/>
      </w:r>
    </w:p>
  </w:endnote>
  <w:endnote w:type="continuationSeparator" w:id="0">
    <w:p w:rsidR="00406D3C" w:rsidRDefault="00406D3C"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pStyle w:val="Footer"/>
      <w:rPr>
        <w:lang w:val="fr-CA"/>
      </w:rPr>
    </w:pPr>
    <w:r w:rsidRPr="00C478F8">
      <w:rPr>
        <w:lang w:val="fr-CA"/>
      </w:rPr>
      <w:pict>
        <v:rect id="_x0000_i1054" style="width:480.95pt;height:1pt" o:hralign="center" o:hrstd="t" o:hrnoshade="t" o:hr="t" fillcolor="black [3213]" stroked="f"/>
      </w:pict>
    </w:r>
  </w:p>
  <w:p w:rsidR="00406D3C" w:rsidRDefault="00406D3C" w:rsidP="00245129">
    <w:pPr>
      <w:tabs>
        <w:tab w:val="center" w:pos="4680"/>
      </w:tabs>
    </w:pPr>
    <w:r>
      <w:tab/>
    </w:r>
    <w:r w:rsidRPr="0009648D">
      <w:t xml:space="preserve">- </w:t>
    </w:r>
    <w:fldSimple w:instr=" PAGE   \* MERGEFORMAT ">
      <w:r>
        <w:rPr>
          <w:noProof/>
        </w:rPr>
        <w:t>377</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06D3C"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06D3C" w:rsidRDefault="00406D3C">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rsidP="00755F22">
    <w:pPr>
      <w:tabs>
        <w:tab w:val="left" w:pos="-1440"/>
        <w:tab w:val="left" w:pos="-720"/>
      </w:tabs>
    </w:pPr>
    <w:r>
      <w:pict>
        <v:rect id="_x0000_i1066" style="width:480.95pt;height:1pt" o:hralign="center" o:hrstd="t" o:hrnoshade="t" o:hr="t" fillcolor="black [3213]" stroked="f"/>
      </w:pict>
    </w:r>
  </w:p>
  <w:p w:rsidR="00406D3C" w:rsidRDefault="00406D3C" w:rsidP="00EB2B90">
    <w:pPr>
      <w:tabs>
        <w:tab w:val="center" w:pos="4680"/>
      </w:tabs>
    </w:pPr>
    <w:r>
      <w:tab/>
      <w:t xml:space="preserve">- </w:t>
    </w:r>
    <w:fldSimple w:instr=" PAGE   \* MERGEFORMAT ">
      <w:r w:rsidR="00273D04">
        <w:rPr>
          <w:noProof/>
        </w:rPr>
        <w:t>399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rsidP="00EB2B90">
    <w:pPr>
      <w:tabs>
        <w:tab w:val="center" w:pos="4680"/>
      </w:tabs>
    </w:pPr>
    <w:r>
      <w:pict>
        <v:rect id="_x0000_i1067" style="width:480.95pt;height:1pt" o:hralign="center" o:hrstd="t" o:hrnoshade="t" o:hr="t" fillcolor="black [3213]" stroked="f"/>
      </w:pict>
    </w:r>
  </w:p>
  <w:p w:rsidR="00406D3C" w:rsidRPr="0031432F" w:rsidRDefault="00406D3C" w:rsidP="00EB2B90">
    <w:pPr>
      <w:tabs>
        <w:tab w:val="center" w:pos="4680"/>
      </w:tabs>
    </w:pPr>
    <w:r>
      <w:tab/>
      <w:t xml:space="preserve">- </w:t>
    </w:r>
    <w:fldSimple w:instr=" PAGE   \* MERGEFORMAT ">
      <w:r w:rsidR="00273D04">
        <w:rPr>
          <w:noProof/>
        </w:rPr>
        <w:t>394</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06D3C"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06D3C" w:rsidRDefault="00406D3C">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78F8">
      <w:rPr>
        <w:lang w:val="fr-CA"/>
      </w:rPr>
      <w:pict>
        <v:rect id="_x0000_i1070" style="width:480.95pt;height:1pt" o:hralign="center" o:hrstd="t" o:hrnoshade="t" o:hr="t" fillcolor="black [3213]" stroked="f"/>
      </w:pict>
    </w:r>
  </w:p>
  <w:p w:rsidR="00406D3C" w:rsidRDefault="00406D3C"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pStyle w:val="Footer"/>
      <w:rPr>
        <w:lang w:val="fr-CA"/>
      </w:rPr>
    </w:pPr>
    <w:r w:rsidRPr="00C478F8">
      <w:rPr>
        <w:lang w:val="fr-CA"/>
      </w:rPr>
      <w:pict>
        <v:rect id="_x0000_i1071" style="width:480.95pt;height:1pt" o:hralign="center" o:hrstd="t" o:hrnoshade="t" o:hr="t" fillcolor="black [3213]" stroked="f"/>
      </w:pict>
    </w:r>
  </w:p>
  <w:p w:rsidR="00406D3C" w:rsidRDefault="00406D3C" w:rsidP="00EB2B90">
    <w:pPr>
      <w:tabs>
        <w:tab w:val="center" w:pos="4680"/>
      </w:tabs>
    </w:pPr>
    <w:r>
      <w:tab/>
      <w:t xml:space="preserve">- </w:t>
    </w:r>
    <w:fldSimple w:instr=" PAGE   \* MERGEFORMAT ">
      <w:r>
        <w:rPr>
          <w:noProof/>
        </w:rPr>
        <w:t>401</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06D3C"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06D3C" w:rsidRDefault="00406D3C">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rsidP="00732DB7">
    <w:r>
      <w:pict>
        <v:rect id="_x0000_i1075" style="width:480.95pt;height:1pt" o:hralign="center" o:hrstd="t" o:hrnoshade="t" o:hr="t" fillcolor="black" stroked="f"/>
      </w:pict>
    </w:r>
  </w:p>
  <w:p w:rsidR="00406D3C" w:rsidRDefault="00406D3C">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pStyle w:val="Footer"/>
    </w:pPr>
    <w:r>
      <w:pict>
        <v:rect id="_x0000_i1076" style="width:480.95pt;height:1pt" o:hralign="center" o:hrstd="t" o:hrnoshade="t" o:hr="t" fillcolor="black" stroked="f"/>
      </w:pict>
    </w:r>
  </w:p>
  <w:p w:rsidR="00406D3C" w:rsidRPr="00283C52" w:rsidRDefault="00406D3C">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06D3C"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06D3C" w:rsidRDefault="00406D3C">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rsidP="00732DB7">
    <w:r>
      <w:pict>
        <v:rect id="_x0000_i1078" style="width:480.95pt;height:1pt" o:hralign="center" o:hrstd="t" o:hrnoshade="t" o:hr="t" fillcolor="black" stroked="f"/>
      </w:pict>
    </w:r>
  </w:p>
  <w:p w:rsidR="00406D3C" w:rsidRDefault="00406D3C">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pStyle w:val="Footer"/>
    </w:pPr>
    <w:r>
      <w:pict>
        <v:rect id="_x0000_i1079" style="width:480.95pt;height:1pt" o:hralign="center" o:hrstd="t" o:hrnoshade="t" o:hr="t" fillcolor="black [3213]" stroked="f"/>
      </w:pict>
    </w:r>
  </w:p>
  <w:p w:rsidR="00406D3C" w:rsidRPr="003C2C0F" w:rsidRDefault="00406D3C" w:rsidP="00697C62">
    <w:pPr>
      <w:tabs>
        <w:tab w:val="center" w:pos="4680"/>
      </w:tabs>
    </w:pPr>
    <w:r>
      <w:tab/>
      <w:t xml:space="preserve">- </w:t>
    </w:r>
    <w:fldSimple w:instr=" PAGE   \* MERGEFORMAT ">
      <w:r w:rsidR="00273D04">
        <w:rPr>
          <w:noProof/>
        </w:rPr>
        <w:t>405</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06D3C"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06D3C" w:rsidRDefault="00406D3C">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06D3C"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2" style="width:480.95pt;height:1pt" o:hralign="center" o:hrstd="t" o:hrnoshade="t" o:hr="t" fillcolor="black [3213]" stroked="f"/>
      </w:pict>
    </w:r>
  </w:p>
  <w:p w:rsidR="00406D3C" w:rsidRDefault="00406D3C"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73D04">
      <w:rPr>
        <w:noProof/>
        <w:szCs w:val="24"/>
      </w:rPr>
      <w:t>413</w:t>
    </w:r>
    <w:r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rsidP="00782AE4">
    <w:pPr>
      <w:tabs>
        <w:tab w:val="center" w:pos="4680"/>
      </w:tabs>
    </w:pPr>
    <w:r>
      <w:pict>
        <v:rect id="_x0000_i1083" style="width:480.95pt;height:1pt" o:hralign="center" o:hrstd="t" o:hrnoshade="t" o:hr="t" fillcolor="black [3213]" stroked="f"/>
      </w:pict>
    </w:r>
  </w:p>
  <w:p w:rsidR="00406D3C" w:rsidRDefault="00406D3C"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406</w:t>
    </w:r>
    <w:r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Pr="00924065" w:rsidRDefault="00406D3C"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rsidP="00A87207">
    <w:pPr>
      <w:pStyle w:val="Footer"/>
    </w:pPr>
    <w:r>
      <w:pict>
        <v:rect id="_x0000_i1030" style="width:480.95pt;height:1pt" o:hralign="center" o:hrstd="t" o:hrnoshade="t" o:hr="t" fillcolor="black [3213]" stroked="f"/>
      </w:pict>
    </w:r>
  </w:p>
  <w:p w:rsidR="00406D3C" w:rsidRPr="00B7374B" w:rsidRDefault="00406D3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376</w:t>
    </w:r>
    <w:r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rsidP="00755F22">
    <w:pPr>
      <w:tabs>
        <w:tab w:val="left" w:pos="-1440"/>
        <w:tab w:val="left" w:pos="-720"/>
      </w:tabs>
    </w:pPr>
    <w:r>
      <w:pict>
        <v:rect id="_x0000_i1031" style="width:480.95pt;height:1pt" o:hralign="center" o:hrstd="t" o:hrnoshade="t" o:hr="t" fillcolor="black [3213]" stroked="f"/>
      </w:pict>
    </w:r>
  </w:p>
  <w:p w:rsidR="00406D3C" w:rsidRPr="00954D22" w:rsidRDefault="00406D3C"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Pr>
        <w:noProof/>
        <w:szCs w:val="24"/>
      </w:rPr>
      <w:t>375</w:t>
    </w:r>
    <w:r>
      <w:rPr>
        <w:szCs w:val="24"/>
      </w:rPr>
      <w:fldChar w:fldCharType="end"/>
    </w:r>
    <w:r w:rsidRPr="00954D22">
      <w:rPr>
        <w:szCs w:val="24"/>
      </w:rPr>
      <w:t xml:space="preserve"> -</w:t>
    </w:r>
  </w:p>
  <w:p w:rsidR="00406D3C" w:rsidRDefault="00406D3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rsidP="00A87207">
    <w:pPr>
      <w:pStyle w:val="Footer"/>
    </w:pPr>
    <w:r>
      <w:pict>
        <v:rect id="_x0000_i1033" style="width:480.95pt;height:1pt" o:hralign="center" o:hrstd="t" o:hrnoshade="t" o:hr="t" fillcolor="black [3213]" stroked="f"/>
      </w:pict>
    </w:r>
  </w:p>
  <w:p w:rsidR="00406D3C" w:rsidRPr="00B7374B" w:rsidRDefault="00406D3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377</w:t>
    </w:r>
    <w:r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406D3C" w:rsidRPr="00954D22" w:rsidRDefault="00406D3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376</w:t>
    </w:r>
    <w:r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06D3C"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06D3C" w:rsidRDefault="00406D3C">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78F8">
      <w:rPr>
        <w:lang w:val="fr-CA"/>
      </w:rPr>
      <w:pict>
        <v:rect id="_x0000_i1053" style="width:480.95pt;height:1pt" o:hralign="center" o:hrstd="t" o:hrnoshade="t" o:hr="t" fillcolor="black [3213]" stroked="f"/>
      </w:pict>
    </w:r>
  </w:p>
  <w:p w:rsidR="00406D3C" w:rsidRPr="0009648D" w:rsidRDefault="00406D3C" w:rsidP="00ED7E83">
    <w:pPr>
      <w:tabs>
        <w:tab w:val="center" w:pos="4680"/>
      </w:tabs>
    </w:pPr>
    <w:r>
      <w:tab/>
    </w:r>
    <w:r w:rsidRPr="0009648D">
      <w:t xml:space="preserve">- </w:t>
    </w:r>
    <w:fldSimple w:instr=" PAGE   \* MERGEFORMAT ">
      <w:r>
        <w:rPr>
          <w:noProof/>
        </w:rPr>
        <w:t>393</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D3C" w:rsidRDefault="00406D3C" w:rsidP="00A87207">
      <w:r>
        <w:separator/>
      </w:r>
    </w:p>
  </w:footnote>
  <w:footnote w:type="continuationSeparator" w:id="0">
    <w:p w:rsidR="00406D3C" w:rsidRDefault="00406D3C"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406D3C">
      <w:tc>
        <w:tcPr>
          <w:tcW w:w="4230" w:type="dxa"/>
          <w:tcMar>
            <w:left w:w="0" w:type="dxa"/>
            <w:right w:w="0" w:type="dxa"/>
          </w:tcMar>
        </w:tcPr>
        <w:p w:rsidR="00406D3C" w:rsidRDefault="00406D3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06D3C" w:rsidRDefault="00406D3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06D3C" w:rsidRDefault="00406D3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06D3C">
      <w:trPr>
        <w:gridAfter w:val="2"/>
        <w:wAfter w:w="5250" w:type="dxa"/>
      </w:trPr>
      <w:tc>
        <w:tcPr>
          <w:tcW w:w="4230" w:type="dxa"/>
          <w:tcMar>
            <w:left w:w="0" w:type="dxa"/>
            <w:right w:w="0" w:type="dxa"/>
          </w:tcMar>
        </w:tcPr>
        <w:p w:rsidR="00406D3C"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06D3C"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406D3C" w:rsidRPr="00755F22" w:rsidTr="00245129">
      <w:tc>
        <w:tcPr>
          <w:tcW w:w="4230" w:type="dxa"/>
          <w:tcMar>
            <w:left w:w="0" w:type="dxa"/>
            <w:right w:w="0" w:type="dxa"/>
          </w:tcMar>
        </w:tcPr>
        <w:p w:rsidR="00406D3C" w:rsidRPr="00755F22" w:rsidRDefault="00406D3C" w:rsidP="00831CA9">
          <w:pPr>
            <w:keepNext/>
            <w:keepLines/>
            <w:rPr>
              <w:sz w:val="20"/>
              <w:szCs w:val="20"/>
            </w:rPr>
          </w:pPr>
          <w:r w:rsidRPr="00755F22">
            <w:rPr>
              <w:sz w:val="20"/>
              <w:szCs w:val="20"/>
            </w:rPr>
            <w:t>MOTIONS</w:t>
          </w:r>
        </w:p>
      </w:tc>
      <w:tc>
        <w:tcPr>
          <w:tcW w:w="1170" w:type="dxa"/>
          <w:tcMar>
            <w:left w:w="0" w:type="dxa"/>
            <w:right w:w="0" w:type="dxa"/>
          </w:tcMar>
        </w:tcPr>
        <w:p w:rsidR="00406D3C" w:rsidRPr="00755F22" w:rsidRDefault="00406D3C" w:rsidP="00831CA9">
          <w:pPr>
            <w:keepLines/>
            <w:jc w:val="center"/>
            <w:rPr>
              <w:sz w:val="20"/>
              <w:szCs w:val="20"/>
            </w:rPr>
          </w:pPr>
        </w:p>
        <w:p w:rsidR="00406D3C" w:rsidRPr="00755F22" w:rsidRDefault="00406D3C" w:rsidP="00831CA9">
          <w:pPr>
            <w:keepLines/>
            <w:tabs>
              <w:tab w:val="left" w:pos="-1440"/>
              <w:tab w:val="left" w:pos="-720"/>
            </w:tabs>
            <w:jc w:val="center"/>
            <w:rPr>
              <w:sz w:val="20"/>
              <w:szCs w:val="20"/>
            </w:rPr>
          </w:pPr>
        </w:p>
      </w:tc>
      <w:tc>
        <w:tcPr>
          <w:tcW w:w="4080" w:type="dxa"/>
          <w:tcMar>
            <w:left w:w="0" w:type="dxa"/>
            <w:right w:w="0" w:type="dxa"/>
          </w:tcMar>
        </w:tcPr>
        <w:p w:rsidR="00406D3C" w:rsidRPr="00BA6468" w:rsidRDefault="00406D3C" w:rsidP="00BA6468">
          <w:pPr>
            <w:keepLines/>
            <w:rPr>
              <w:sz w:val="20"/>
              <w:szCs w:val="20"/>
              <w:lang w:val="fr-CA"/>
            </w:rPr>
          </w:pPr>
          <w:r w:rsidRPr="00BA6468">
            <w:rPr>
              <w:sz w:val="20"/>
              <w:szCs w:val="20"/>
              <w:lang w:val="fr-CA"/>
            </w:rPr>
            <w:t>REQUÊTES</w:t>
          </w:r>
        </w:p>
      </w:tc>
    </w:tr>
  </w:tbl>
  <w:p w:rsidR="00406D3C" w:rsidRDefault="00406D3C"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06D3C" w:rsidRPr="00406D3C">
      <w:tc>
        <w:tcPr>
          <w:tcW w:w="4200" w:type="dxa"/>
          <w:tcMar>
            <w:left w:w="0" w:type="dxa"/>
            <w:right w:w="0" w:type="dxa"/>
          </w:tcMar>
        </w:tcPr>
        <w:p w:rsidR="00406D3C" w:rsidRDefault="00406D3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406D3C" w:rsidRDefault="00406D3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06D3C" w:rsidRPr="00B01A03" w:rsidRDefault="00406D3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406D3C" w:rsidRPr="00B01A03"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06D3C" w:rsidRPr="00B01A03"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406D3C" w:rsidRPr="00406D3C" w:rsidTr="00245129">
      <w:tc>
        <w:tcPr>
          <w:tcW w:w="4200" w:type="dxa"/>
          <w:tcMar>
            <w:left w:w="0" w:type="dxa"/>
            <w:right w:w="0" w:type="dxa"/>
          </w:tcMar>
        </w:tcPr>
        <w:p w:rsidR="00406D3C" w:rsidRPr="00F40249" w:rsidRDefault="00406D3C"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406D3C" w:rsidRDefault="00406D3C" w:rsidP="00102926">
          <w:pPr>
            <w:keepNext/>
            <w:keepLines/>
            <w:tabs>
              <w:tab w:val="left" w:pos="-1440"/>
              <w:tab w:val="left" w:pos="-720"/>
            </w:tabs>
            <w:jc w:val="center"/>
            <w:rPr>
              <w:sz w:val="20"/>
              <w:szCs w:val="20"/>
            </w:rPr>
          </w:pPr>
        </w:p>
        <w:p w:rsidR="00406D3C" w:rsidRDefault="00406D3C" w:rsidP="00102926">
          <w:pPr>
            <w:keepNext/>
            <w:keepLines/>
            <w:tabs>
              <w:tab w:val="left" w:pos="-1440"/>
              <w:tab w:val="left" w:pos="-720"/>
            </w:tabs>
            <w:jc w:val="center"/>
            <w:rPr>
              <w:sz w:val="20"/>
              <w:szCs w:val="20"/>
            </w:rPr>
          </w:pPr>
        </w:p>
        <w:p w:rsidR="00406D3C" w:rsidRPr="00F40249" w:rsidRDefault="00406D3C" w:rsidP="00102926">
          <w:pPr>
            <w:keepNext/>
            <w:keepLines/>
            <w:tabs>
              <w:tab w:val="left" w:pos="-1440"/>
              <w:tab w:val="left" w:pos="-720"/>
            </w:tabs>
            <w:jc w:val="center"/>
            <w:rPr>
              <w:sz w:val="20"/>
              <w:szCs w:val="20"/>
            </w:rPr>
          </w:pPr>
        </w:p>
      </w:tc>
      <w:tc>
        <w:tcPr>
          <w:tcW w:w="4230" w:type="dxa"/>
          <w:tcMar>
            <w:left w:w="0" w:type="dxa"/>
            <w:right w:w="0" w:type="dxa"/>
          </w:tcMar>
        </w:tcPr>
        <w:p w:rsidR="00406D3C" w:rsidRPr="00F40249" w:rsidRDefault="00406D3C"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406D3C" w:rsidRPr="00B01A03" w:rsidRDefault="00406D3C"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06D3C" w:rsidRPr="00406D3C">
      <w:tc>
        <w:tcPr>
          <w:tcW w:w="4200" w:type="dxa"/>
          <w:tcMar>
            <w:left w:w="0" w:type="dxa"/>
            <w:right w:w="0" w:type="dxa"/>
          </w:tcMar>
        </w:tcPr>
        <w:p w:rsidR="00406D3C" w:rsidRDefault="00406D3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406D3C" w:rsidRDefault="00406D3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06D3C" w:rsidRPr="00283C52" w:rsidRDefault="00406D3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406D3C" w:rsidRPr="00283C52"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06D3C" w:rsidRPr="00283C52"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06D3C" w:rsidRPr="00406D3C" w:rsidTr="00245129">
      <w:tc>
        <w:tcPr>
          <w:tcW w:w="4200" w:type="dxa"/>
          <w:tcMar>
            <w:left w:w="0" w:type="dxa"/>
            <w:right w:w="0" w:type="dxa"/>
          </w:tcMar>
        </w:tcPr>
        <w:p w:rsidR="00406D3C" w:rsidRPr="00732DB7" w:rsidRDefault="00406D3C"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406D3C" w:rsidRPr="00732DB7" w:rsidRDefault="00406D3C" w:rsidP="00732DB7">
          <w:pPr>
            <w:keepNext/>
            <w:keepLines/>
            <w:tabs>
              <w:tab w:val="left" w:pos="-1440"/>
              <w:tab w:val="left" w:pos="-720"/>
            </w:tabs>
            <w:jc w:val="center"/>
            <w:rPr>
              <w:sz w:val="20"/>
              <w:szCs w:val="20"/>
            </w:rPr>
          </w:pPr>
        </w:p>
        <w:p w:rsidR="00406D3C" w:rsidRPr="00732DB7" w:rsidRDefault="00406D3C" w:rsidP="00732DB7">
          <w:pPr>
            <w:keepNext/>
            <w:keepLines/>
            <w:tabs>
              <w:tab w:val="left" w:pos="-1440"/>
              <w:tab w:val="left" w:pos="-720"/>
            </w:tabs>
            <w:jc w:val="center"/>
            <w:rPr>
              <w:sz w:val="20"/>
              <w:szCs w:val="20"/>
            </w:rPr>
          </w:pPr>
        </w:p>
        <w:p w:rsidR="00406D3C" w:rsidRPr="00732DB7" w:rsidRDefault="00406D3C" w:rsidP="00732DB7">
          <w:pPr>
            <w:keepNext/>
            <w:keepLines/>
            <w:tabs>
              <w:tab w:val="left" w:pos="-1440"/>
              <w:tab w:val="left" w:pos="-720"/>
            </w:tabs>
            <w:jc w:val="center"/>
            <w:rPr>
              <w:sz w:val="20"/>
              <w:szCs w:val="20"/>
            </w:rPr>
          </w:pPr>
        </w:p>
      </w:tc>
      <w:tc>
        <w:tcPr>
          <w:tcW w:w="4080" w:type="dxa"/>
          <w:tcMar>
            <w:left w:w="0" w:type="dxa"/>
            <w:right w:w="0" w:type="dxa"/>
          </w:tcMar>
        </w:tcPr>
        <w:p w:rsidR="00406D3C" w:rsidRPr="00732DB7" w:rsidRDefault="00406D3C"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406D3C" w:rsidRPr="00283C52" w:rsidRDefault="00406D3C"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06D3C" w:rsidRPr="00406D3C">
      <w:tc>
        <w:tcPr>
          <w:tcW w:w="4200" w:type="dxa"/>
          <w:tcMar>
            <w:left w:w="0" w:type="dxa"/>
            <w:right w:w="0" w:type="dxa"/>
          </w:tcMar>
        </w:tcPr>
        <w:p w:rsidR="00406D3C" w:rsidRDefault="00406D3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406D3C" w:rsidRDefault="00406D3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406D3C" w:rsidRDefault="00406D3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406D3C" w:rsidRPr="003C2C0F" w:rsidRDefault="00406D3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406D3C" w:rsidRPr="003C2C0F"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406D3C" w:rsidRPr="003C2C0F"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06D3C" w:rsidRPr="00406D3C" w:rsidTr="00245129">
      <w:tc>
        <w:tcPr>
          <w:tcW w:w="4200" w:type="dxa"/>
          <w:tcMar>
            <w:left w:w="0" w:type="dxa"/>
            <w:right w:w="0" w:type="dxa"/>
          </w:tcMar>
        </w:tcPr>
        <w:p w:rsidR="00406D3C" w:rsidRPr="00FF6EEC" w:rsidRDefault="00406D3C" w:rsidP="00FF6EEC">
          <w:pPr>
            <w:rPr>
              <w:sz w:val="20"/>
              <w:szCs w:val="20"/>
            </w:rPr>
          </w:pPr>
          <w:r w:rsidRPr="00FF6EEC">
            <w:rPr>
              <w:sz w:val="20"/>
              <w:szCs w:val="20"/>
            </w:rPr>
            <w:t>PRONOUNCEMENTS OF APPEALS RESERVED</w:t>
          </w:r>
        </w:p>
      </w:tc>
      <w:tc>
        <w:tcPr>
          <w:tcW w:w="1200" w:type="dxa"/>
          <w:tcMar>
            <w:left w:w="0" w:type="dxa"/>
            <w:right w:w="0" w:type="dxa"/>
          </w:tcMar>
        </w:tcPr>
        <w:p w:rsidR="00406D3C" w:rsidRPr="00FF6EEC" w:rsidRDefault="00406D3C" w:rsidP="00FF6EEC">
          <w:pPr>
            <w:jc w:val="center"/>
            <w:rPr>
              <w:sz w:val="20"/>
              <w:szCs w:val="20"/>
            </w:rPr>
          </w:pPr>
        </w:p>
        <w:p w:rsidR="00406D3C" w:rsidRPr="00FF6EEC" w:rsidRDefault="00406D3C" w:rsidP="00FF6EEC">
          <w:pPr>
            <w:jc w:val="center"/>
            <w:rPr>
              <w:sz w:val="20"/>
              <w:szCs w:val="20"/>
            </w:rPr>
          </w:pPr>
        </w:p>
        <w:p w:rsidR="00406D3C" w:rsidRPr="00FF6EEC" w:rsidRDefault="00406D3C" w:rsidP="00FF6EEC">
          <w:pPr>
            <w:jc w:val="center"/>
            <w:rPr>
              <w:sz w:val="20"/>
              <w:szCs w:val="20"/>
            </w:rPr>
          </w:pPr>
        </w:p>
      </w:tc>
      <w:tc>
        <w:tcPr>
          <w:tcW w:w="4080" w:type="dxa"/>
          <w:tcMar>
            <w:left w:w="0" w:type="dxa"/>
            <w:right w:w="0" w:type="dxa"/>
          </w:tcMar>
        </w:tcPr>
        <w:p w:rsidR="00406D3C" w:rsidRPr="00FF6EEC" w:rsidRDefault="00406D3C" w:rsidP="00FF6EEC">
          <w:pPr>
            <w:rPr>
              <w:sz w:val="20"/>
              <w:szCs w:val="20"/>
              <w:lang w:val="fr-CA"/>
            </w:rPr>
          </w:pPr>
          <w:r w:rsidRPr="00FF6EEC">
            <w:rPr>
              <w:sz w:val="20"/>
              <w:szCs w:val="20"/>
              <w:lang w:val="fr-CA"/>
            </w:rPr>
            <w:t>JUGEMENTS RENDUS SUR LES APPELS EN DÉLIBÉRÉ</w:t>
          </w:r>
        </w:p>
      </w:tc>
    </w:tr>
  </w:tbl>
  <w:p w:rsidR="00406D3C" w:rsidRPr="003C2C0F" w:rsidRDefault="00406D3C"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406D3C">
      <w:tc>
        <w:tcPr>
          <w:tcW w:w="4230" w:type="dxa"/>
          <w:tcMar>
            <w:left w:w="0" w:type="dxa"/>
            <w:right w:w="0" w:type="dxa"/>
          </w:tcMar>
        </w:tcPr>
        <w:p w:rsidR="00406D3C" w:rsidRDefault="00406D3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06D3C" w:rsidRDefault="00406D3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06D3C" w:rsidRDefault="00406D3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06D3C" w:rsidRDefault="00406D3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06D3C" w:rsidRDefault="00406D3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06D3C" w:rsidRDefault="00406D3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06D3C"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06D3C"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406D3C" w:rsidRPr="00782AE4" w:rsidTr="00245129">
      <w:tc>
        <w:tcPr>
          <w:tcW w:w="4230" w:type="dxa"/>
          <w:tcMar>
            <w:left w:w="0" w:type="dxa"/>
            <w:right w:w="0" w:type="dxa"/>
          </w:tcMar>
        </w:tcPr>
        <w:p w:rsidR="00406D3C" w:rsidRPr="00782AE4" w:rsidRDefault="00406D3C" w:rsidP="00102926">
          <w:pPr>
            <w:keepNext/>
            <w:keepLines/>
            <w:tabs>
              <w:tab w:val="left" w:pos="-1440"/>
              <w:tab w:val="left" w:pos="-720"/>
            </w:tabs>
            <w:rPr>
              <w:sz w:val="20"/>
              <w:szCs w:val="20"/>
            </w:rPr>
          </w:pPr>
          <w:r w:rsidRPr="00782AE4">
            <w:rPr>
              <w:sz w:val="20"/>
              <w:szCs w:val="20"/>
            </w:rPr>
            <w:t xml:space="preserve">HEADNOTES OF RECENT </w:t>
          </w:r>
        </w:p>
        <w:p w:rsidR="00406D3C" w:rsidRPr="00782AE4" w:rsidRDefault="00406D3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06D3C" w:rsidRDefault="00406D3C" w:rsidP="00102926">
          <w:pPr>
            <w:keepNext/>
            <w:keepLines/>
            <w:tabs>
              <w:tab w:val="left" w:pos="-1440"/>
              <w:tab w:val="left" w:pos="-720"/>
            </w:tabs>
            <w:jc w:val="center"/>
            <w:rPr>
              <w:sz w:val="20"/>
              <w:szCs w:val="20"/>
            </w:rPr>
          </w:pPr>
        </w:p>
        <w:p w:rsidR="00406D3C" w:rsidRDefault="00406D3C" w:rsidP="00102926">
          <w:pPr>
            <w:keepNext/>
            <w:keepLines/>
            <w:tabs>
              <w:tab w:val="left" w:pos="-1440"/>
              <w:tab w:val="left" w:pos="-720"/>
            </w:tabs>
            <w:jc w:val="center"/>
            <w:rPr>
              <w:sz w:val="20"/>
              <w:szCs w:val="20"/>
            </w:rPr>
          </w:pPr>
        </w:p>
        <w:p w:rsidR="00406D3C" w:rsidRPr="00782AE4" w:rsidRDefault="00406D3C" w:rsidP="00102926">
          <w:pPr>
            <w:keepNext/>
            <w:keepLines/>
            <w:tabs>
              <w:tab w:val="left" w:pos="-1440"/>
              <w:tab w:val="left" w:pos="-720"/>
            </w:tabs>
            <w:jc w:val="center"/>
            <w:rPr>
              <w:sz w:val="20"/>
              <w:szCs w:val="20"/>
            </w:rPr>
          </w:pPr>
        </w:p>
      </w:tc>
      <w:tc>
        <w:tcPr>
          <w:tcW w:w="4080" w:type="dxa"/>
          <w:tcMar>
            <w:left w:w="0" w:type="dxa"/>
            <w:right w:w="0" w:type="dxa"/>
          </w:tcMar>
        </w:tcPr>
        <w:p w:rsidR="00406D3C" w:rsidRPr="00102926" w:rsidRDefault="00406D3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06D3C" w:rsidRPr="00782AE4" w:rsidRDefault="00406D3C" w:rsidP="00102926">
          <w:pPr>
            <w:keepLines/>
            <w:tabs>
              <w:tab w:val="left" w:pos="-1440"/>
              <w:tab w:val="left" w:pos="-720"/>
            </w:tabs>
            <w:rPr>
              <w:sz w:val="20"/>
              <w:szCs w:val="20"/>
            </w:rPr>
          </w:pPr>
          <w:r w:rsidRPr="00102926">
            <w:rPr>
              <w:sz w:val="20"/>
              <w:szCs w:val="20"/>
              <w:lang w:val="fr-CA"/>
            </w:rPr>
            <w:t>RÉCENTS</w:t>
          </w:r>
        </w:p>
      </w:tc>
    </w:tr>
  </w:tbl>
  <w:p w:rsidR="00406D3C" w:rsidRDefault="00406D3C"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406D3C" w:rsidRPr="0044776A" w:rsidTr="00245129">
      <w:tc>
        <w:tcPr>
          <w:tcW w:w="4290" w:type="dxa"/>
          <w:tcMar>
            <w:left w:w="0" w:type="dxa"/>
            <w:right w:w="0" w:type="dxa"/>
          </w:tcMar>
        </w:tcPr>
        <w:p w:rsidR="00406D3C" w:rsidRPr="0044776A" w:rsidRDefault="00406D3C"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406D3C" w:rsidRPr="0044776A" w:rsidRDefault="00406D3C" w:rsidP="002E2327">
          <w:pPr>
            <w:keepNext/>
            <w:keepLines/>
            <w:tabs>
              <w:tab w:val="left" w:pos="-1440"/>
              <w:tab w:val="left" w:pos="-720"/>
            </w:tabs>
            <w:jc w:val="center"/>
            <w:rPr>
              <w:sz w:val="20"/>
              <w:szCs w:val="20"/>
            </w:rPr>
          </w:pPr>
        </w:p>
        <w:p w:rsidR="00406D3C" w:rsidRPr="0044776A" w:rsidRDefault="00406D3C" w:rsidP="002E2327">
          <w:pPr>
            <w:keepNext/>
            <w:keepLines/>
            <w:tabs>
              <w:tab w:val="left" w:pos="-1440"/>
              <w:tab w:val="left" w:pos="-720"/>
            </w:tabs>
            <w:jc w:val="center"/>
            <w:rPr>
              <w:sz w:val="20"/>
              <w:szCs w:val="20"/>
            </w:rPr>
          </w:pPr>
        </w:p>
        <w:p w:rsidR="00406D3C" w:rsidRPr="0044776A" w:rsidRDefault="00406D3C" w:rsidP="002E2327">
          <w:pPr>
            <w:keepNext/>
            <w:keepLines/>
            <w:tabs>
              <w:tab w:val="left" w:pos="-1440"/>
              <w:tab w:val="left" w:pos="-720"/>
            </w:tabs>
            <w:jc w:val="center"/>
            <w:rPr>
              <w:sz w:val="20"/>
              <w:szCs w:val="20"/>
            </w:rPr>
          </w:pPr>
        </w:p>
      </w:tc>
      <w:tc>
        <w:tcPr>
          <w:tcW w:w="4320" w:type="dxa"/>
          <w:tcMar>
            <w:left w:w="0" w:type="dxa"/>
            <w:right w:w="0" w:type="dxa"/>
          </w:tcMar>
        </w:tcPr>
        <w:p w:rsidR="00406D3C" w:rsidRPr="0044776A" w:rsidRDefault="00406D3C" w:rsidP="002E2327">
          <w:pPr>
            <w:keepLines/>
            <w:rPr>
              <w:sz w:val="20"/>
              <w:szCs w:val="20"/>
              <w:lang w:val="fr-CA"/>
            </w:rPr>
          </w:pPr>
          <w:r w:rsidRPr="0044776A">
            <w:rPr>
              <w:sz w:val="20"/>
              <w:szCs w:val="20"/>
              <w:lang w:val="fr-CA"/>
            </w:rPr>
            <w:t>DEMANDES D'AUTORISATION D'APPEL DÉPOSÉES</w:t>
          </w:r>
        </w:p>
      </w:tc>
    </w:tr>
  </w:tbl>
  <w:p w:rsidR="00406D3C" w:rsidRDefault="00406D3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06D3C" w:rsidRPr="00406D3C" w:rsidTr="00245129">
      <w:tc>
        <w:tcPr>
          <w:tcW w:w="4200" w:type="dxa"/>
          <w:tcMar>
            <w:left w:w="0" w:type="dxa"/>
            <w:right w:w="0" w:type="dxa"/>
          </w:tcMar>
        </w:tcPr>
        <w:p w:rsidR="00406D3C" w:rsidRPr="0044776A" w:rsidRDefault="00406D3C" w:rsidP="0044776A">
          <w:pPr>
            <w:keepNext/>
            <w:keepLines/>
            <w:widowControl w:val="0"/>
            <w:rPr>
              <w:sz w:val="20"/>
              <w:szCs w:val="20"/>
            </w:rPr>
          </w:pPr>
          <w:r>
            <w:rPr>
              <w:sz w:val="20"/>
              <w:szCs w:val="20"/>
            </w:rPr>
            <w:t>APPLICATIONS FOR LEAVE</w:t>
          </w:r>
        </w:p>
        <w:p w:rsidR="00406D3C" w:rsidRPr="0044776A" w:rsidRDefault="00406D3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06D3C" w:rsidRPr="0044776A" w:rsidRDefault="00406D3C" w:rsidP="0044776A">
          <w:pPr>
            <w:keepNext/>
            <w:keepLines/>
            <w:widowControl w:val="0"/>
            <w:jc w:val="center"/>
            <w:rPr>
              <w:sz w:val="20"/>
              <w:szCs w:val="20"/>
            </w:rPr>
          </w:pPr>
        </w:p>
        <w:p w:rsidR="00406D3C" w:rsidRPr="0044776A" w:rsidRDefault="00406D3C" w:rsidP="0044776A">
          <w:pPr>
            <w:keepNext/>
            <w:keepLines/>
            <w:widowControl w:val="0"/>
            <w:jc w:val="center"/>
            <w:rPr>
              <w:sz w:val="20"/>
              <w:szCs w:val="20"/>
            </w:rPr>
          </w:pPr>
        </w:p>
        <w:p w:rsidR="00406D3C" w:rsidRPr="0044776A" w:rsidRDefault="00406D3C" w:rsidP="0044776A">
          <w:pPr>
            <w:keepNext/>
            <w:keepLines/>
            <w:widowControl w:val="0"/>
            <w:jc w:val="center"/>
            <w:rPr>
              <w:sz w:val="20"/>
              <w:szCs w:val="20"/>
            </w:rPr>
          </w:pPr>
        </w:p>
      </w:tc>
      <w:tc>
        <w:tcPr>
          <w:tcW w:w="4080" w:type="dxa"/>
          <w:tcMar>
            <w:left w:w="0" w:type="dxa"/>
            <w:right w:w="0" w:type="dxa"/>
          </w:tcMar>
        </w:tcPr>
        <w:p w:rsidR="00406D3C" w:rsidRPr="0044776A" w:rsidRDefault="00406D3C" w:rsidP="0044776A">
          <w:pPr>
            <w:keepLines/>
            <w:widowControl w:val="0"/>
            <w:rPr>
              <w:sz w:val="20"/>
              <w:szCs w:val="20"/>
              <w:lang w:val="fr-CA"/>
            </w:rPr>
          </w:pPr>
          <w:r w:rsidRPr="0044776A">
            <w:rPr>
              <w:sz w:val="20"/>
              <w:szCs w:val="20"/>
              <w:lang w:val="fr-CA"/>
            </w:rPr>
            <w:t>DEMANDES SOUMISES À LA COUR DEPUIS LA DERNIÈRE PARUTION</w:t>
          </w:r>
        </w:p>
        <w:p w:rsidR="00406D3C" w:rsidRPr="0044776A" w:rsidRDefault="00406D3C" w:rsidP="0044776A">
          <w:pPr>
            <w:widowControl w:val="0"/>
            <w:rPr>
              <w:sz w:val="20"/>
              <w:szCs w:val="20"/>
              <w:lang w:val="fr-CA"/>
            </w:rPr>
          </w:pPr>
        </w:p>
      </w:tc>
    </w:tr>
  </w:tbl>
  <w:p w:rsidR="00406D3C" w:rsidRPr="002E2327" w:rsidRDefault="00406D3C">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3C" w:rsidRDefault="00406D3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06D3C" w:rsidRPr="00406D3C">
      <w:tc>
        <w:tcPr>
          <w:tcW w:w="4200" w:type="dxa"/>
          <w:tcMar>
            <w:left w:w="0" w:type="dxa"/>
            <w:right w:w="0" w:type="dxa"/>
          </w:tcMar>
        </w:tcPr>
        <w:p w:rsidR="00406D3C" w:rsidRDefault="00406D3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06D3C" w:rsidRDefault="00406D3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06D3C" w:rsidRDefault="00406D3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06D3C" w:rsidRPr="00FF6BA5" w:rsidRDefault="00406D3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06D3C" w:rsidRPr="00FF6BA5"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06D3C" w:rsidRPr="00FF6BA5"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06D3C" w:rsidRPr="00FF6BA5" w:rsidRDefault="00406D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06D3C" w:rsidRPr="00406D3C" w:rsidTr="00245129">
      <w:tc>
        <w:tcPr>
          <w:tcW w:w="4200" w:type="dxa"/>
          <w:tcMar>
            <w:left w:w="0" w:type="dxa"/>
            <w:right w:w="0" w:type="dxa"/>
          </w:tcMar>
        </w:tcPr>
        <w:p w:rsidR="00406D3C" w:rsidRPr="00755F22" w:rsidRDefault="00406D3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406D3C" w:rsidRPr="00755F22" w:rsidRDefault="00406D3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406D3C" w:rsidRPr="00755F22" w:rsidRDefault="00406D3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06D3C" w:rsidRPr="00755F22" w:rsidRDefault="00406D3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06D3C" w:rsidRPr="00755F22" w:rsidRDefault="00406D3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06D3C" w:rsidRPr="00755F22" w:rsidRDefault="00406D3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406D3C" w:rsidRPr="00FF6BA5" w:rsidRDefault="00406D3C"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9F2"/>
    <w:multiLevelType w:val="hybridMultilevel"/>
    <w:tmpl w:val="078CFDEE"/>
    <w:lvl w:ilvl="0" w:tplc="2318B77E">
      <w:start w:val="1"/>
      <w:numFmt w:val="decimal"/>
      <w:lvlText w:val="%1."/>
      <w:lvlJc w:val="left"/>
      <w:pPr>
        <w:ind w:left="1065" w:hanging="7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014944"/>
    <w:multiLevelType w:val="hybridMultilevel"/>
    <w:tmpl w:val="078CFDEE"/>
    <w:lvl w:ilvl="0" w:tplc="2318B77E">
      <w:start w:val="1"/>
      <w:numFmt w:val="decimal"/>
      <w:lvlText w:val="%1."/>
      <w:lvlJc w:val="left"/>
      <w:pPr>
        <w:ind w:left="1065" w:hanging="7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3569"/>
  </w:hdrShapeDefaults>
  <w:footnotePr>
    <w:footnote w:id="-1"/>
    <w:footnote w:id="0"/>
  </w:footnotePr>
  <w:endnotePr>
    <w:endnote w:id="-1"/>
    <w:endnote w:id="0"/>
  </w:endnotePr>
  <w:compat/>
  <w:rsids>
    <w:rsidRoot w:val="00192850"/>
    <w:rsid w:val="0002669B"/>
    <w:rsid w:val="000327B2"/>
    <w:rsid w:val="00096BD9"/>
    <w:rsid w:val="000B3C9A"/>
    <w:rsid w:val="000B40A2"/>
    <w:rsid w:val="000C0ACD"/>
    <w:rsid w:val="000F7718"/>
    <w:rsid w:val="00102926"/>
    <w:rsid w:val="0010587F"/>
    <w:rsid w:val="00111C6B"/>
    <w:rsid w:val="00122D4A"/>
    <w:rsid w:val="001249BE"/>
    <w:rsid w:val="00130D3F"/>
    <w:rsid w:val="0013369E"/>
    <w:rsid w:val="00135C24"/>
    <w:rsid w:val="00142FEA"/>
    <w:rsid w:val="00164E6D"/>
    <w:rsid w:val="00192850"/>
    <w:rsid w:val="001A3C7A"/>
    <w:rsid w:val="001B5C23"/>
    <w:rsid w:val="001D0D5F"/>
    <w:rsid w:val="001D6B8C"/>
    <w:rsid w:val="001F1F83"/>
    <w:rsid w:val="002021A9"/>
    <w:rsid w:val="002139A7"/>
    <w:rsid w:val="00215F7C"/>
    <w:rsid w:val="0022323B"/>
    <w:rsid w:val="002410B8"/>
    <w:rsid w:val="00242AEE"/>
    <w:rsid w:val="00245129"/>
    <w:rsid w:val="00245879"/>
    <w:rsid w:val="00266016"/>
    <w:rsid w:val="00267FD5"/>
    <w:rsid w:val="00273D04"/>
    <w:rsid w:val="0027596E"/>
    <w:rsid w:val="00281813"/>
    <w:rsid w:val="002868D0"/>
    <w:rsid w:val="002B516C"/>
    <w:rsid w:val="002D72EB"/>
    <w:rsid w:val="002E2327"/>
    <w:rsid w:val="002E3583"/>
    <w:rsid w:val="002E5576"/>
    <w:rsid w:val="00331B52"/>
    <w:rsid w:val="00355967"/>
    <w:rsid w:val="00382C47"/>
    <w:rsid w:val="00384384"/>
    <w:rsid w:val="00396261"/>
    <w:rsid w:val="003A40EC"/>
    <w:rsid w:val="003B3977"/>
    <w:rsid w:val="00406D3C"/>
    <w:rsid w:val="004267E3"/>
    <w:rsid w:val="00432989"/>
    <w:rsid w:val="00440E24"/>
    <w:rsid w:val="00441E63"/>
    <w:rsid w:val="0044776A"/>
    <w:rsid w:val="00460AFC"/>
    <w:rsid w:val="00460E5A"/>
    <w:rsid w:val="0047471F"/>
    <w:rsid w:val="00496DC7"/>
    <w:rsid w:val="004B66B4"/>
    <w:rsid w:val="004C1AAC"/>
    <w:rsid w:val="004C5B42"/>
    <w:rsid w:val="004F090E"/>
    <w:rsid w:val="004F651C"/>
    <w:rsid w:val="0050093C"/>
    <w:rsid w:val="00517D8A"/>
    <w:rsid w:val="0052324E"/>
    <w:rsid w:val="00527CC7"/>
    <w:rsid w:val="00571CA4"/>
    <w:rsid w:val="0057574B"/>
    <w:rsid w:val="00582136"/>
    <w:rsid w:val="005B0FDE"/>
    <w:rsid w:val="005C6840"/>
    <w:rsid w:val="005F263E"/>
    <w:rsid w:val="00600252"/>
    <w:rsid w:val="00610966"/>
    <w:rsid w:val="00612A40"/>
    <w:rsid w:val="00623967"/>
    <w:rsid w:val="00675479"/>
    <w:rsid w:val="00697C62"/>
    <w:rsid w:val="006A329B"/>
    <w:rsid w:val="006A7EB8"/>
    <w:rsid w:val="006B6926"/>
    <w:rsid w:val="006C3F47"/>
    <w:rsid w:val="006C5F7A"/>
    <w:rsid w:val="006F350F"/>
    <w:rsid w:val="00732DB7"/>
    <w:rsid w:val="00755F22"/>
    <w:rsid w:val="00756BD6"/>
    <w:rsid w:val="0076568E"/>
    <w:rsid w:val="00766E4A"/>
    <w:rsid w:val="007730A8"/>
    <w:rsid w:val="007820CE"/>
    <w:rsid w:val="00782AE4"/>
    <w:rsid w:val="0079724F"/>
    <w:rsid w:val="007A3EAE"/>
    <w:rsid w:val="007B225F"/>
    <w:rsid w:val="007C04FC"/>
    <w:rsid w:val="007D3E0F"/>
    <w:rsid w:val="007F387B"/>
    <w:rsid w:val="00802863"/>
    <w:rsid w:val="00815B3C"/>
    <w:rsid w:val="00826C6D"/>
    <w:rsid w:val="0082783A"/>
    <w:rsid w:val="00831CA9"/>
    <w:rsid w:val="00850B3E"/>
    <w:rsid w:val="00850E1F"/>
    <w:rsid w:val="0085476B"/>
    <w:rsid w:val="00856A0C"/>
    <w:rsid w:val="00890FEB"/>
    <w:rsid w:val="008D292F"/>
    <w:rsid w:val="008E03DC"/>
    <w:rsid w:val="00924065"/>
    <w:rsid w:val="00925A77"/>
    <w:rsid w:val="00927E65"/>
    <w:rsid w:val="00930D68"/>
    <w:rsid w:val="00932DB4"/>
    <w:rsid w:val="009349BD"/>
    <w:rsid w:val="00945DF8"/>
    <w:rsid w:val="00946242"/>
    <w:rsid w:val="0095096B"/>
    <w:rsid w:val="00970CD3"/>
    <w:rsid w:val="009723FA"/>
    <w:rsid w:val="00984546"/>
    <w:rsid w:val="00996510"/>
    <w:rsid w:val="009A1FCC"/>
    <w:rsid w:val="009D1F15"/>
    <w:rsid w:val="009D555E"/>
    <w:rsid w:val="009E6B0E"/>
    <w:rsid w:val="00A0355E"/>
    <w:rsid w:val="00A375D1"/>
    <w:rsid w:val="00A51D10"/>
    <w:rsid w:val="00A52A83"/>
    <w:rsid w:val="00A87207"/>
    <w:rsid w:val="00A935AA"/>
    <w:rsid w:val="00AA3631"/>
    <w:rsid w:val="00AB2201"/>
    <w:rsid w:val="00AC4FCA"/>
    <w:rsid w:val="00AF1715"/>
    <w:rsid w:val="00AF3904"/>
    <w:rsid w:val="00B010C0"/>
    <w:rsid w:val="00B41231"/>
    <w:rsid w:val="00B423D2"/>
    <w:rsid w:val="00B4740D"/>
    <w:rsid w:val="00B51AA1"/>
    <w:rsid w:val="00B61629"/>
    <w:rsid w:val="00B7374B"/>
    <w:rsid w:val="00B90DC0"/>
    <w:rsid w:val="00BA116A"/>
    <w:rsid w:val="00BA5582"/>
    <w:rsid w:val="00BA6468"/>
    <w:rsid w:val="00BD06DA"/>
    <w:rsid w:val="00BD4217"/>
    <w:rsid w:val="00BF25F3"/>
    <w:rsid w:val="00C1697B"/>
    <w:rsid w:val="00C17D29"/>
    <w:rsid w:val="00C478F8"/>
    <w:rsid w:val="00C50A5C"/>
    <w:rsid w:val="00C50FDF"/>
    <w:rsid w:val="00C73E1B"/>
    <w:rsid w:val="00C77713"/>
    <w:rsid w:val="00CB43D5"/>
    <w:rsid w:val="00CC4D84"/>
    <w:rsid w:val="00CD4E1D"/>
    <w:rsid w:val="00D64901"/>
    <w:rsid w:val="00D76BDF"/>
    <w:rsid w:val="00D862C1"/>
    <w:rsid w:val="00D93B50"/>
    <w:rsid w:val="00D94670"/>
    <w:rsid w:val="00DD0B49"/>
    <w:rsid w:val="00DD478F"/>
    <w:rsid w:val="00E06DFA"/>
    <w:rsid w:val="00E356C7"/>
    <w:rsid w:val="00E64FA7"/>
    <w:rsid w:val="00E770CB"/>
    <w:rsid w:val="00E940EB"/>
    <w:rsid w:val="00EA2D21"/>
    <w:rsid w:val="00EB2B90"/>
    <w:rsid w:val="00EB384B"/>
    <w:rsid w:val="00ED7E83"/>
    <w:rsid w:val="00EF4B63"/>
    <w:rsid w:val="00F0068D"/>
    <w:rsid w:val="00F0576D"/>
    <w:rsid w:val="00F05F87"/>
    <w:rsid w:val="00F121C7"/>
    <w:rsid w:val="00F15EA8"/>
    <w:rsid w:val="00F16C8D"/>
    <w:rsid w:val="00F26C61"/>
    <w:rsid w:val="00F33CCE"/>
    <w:rsid w:val="00F40249"/>
    <w:rsid w:val="00F47B43"/>
    <w:rsid w:val="00F526C8"/>
    <w:rsid w:val="00F74132"/>
    <w:rsid w:val="00F830B6"/>
    <w:rsid w:val="00F9518C"/>
    <w:rsid w:val="00FA075D"/>
    <w:rsid w:val="00FA316E"/>
    <w:rsid w:val="00FA4CDA"/>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qFormat/>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266016"/>
    <w:pPr>
      <w:jc w:val="center"/>
    </w:pPr>
    <w:rPr>
      <w:b/>
      <w:szCs w:val="24"/>
      <w:lang w:val="fr-CA"/>
    </w:rPr>
  </w:style>
  <w:style w:type="character" w:customStyle="1" w:styleId="SCCFileNumberChar">
    <w:name w:val="SCC.FileNumber Char"/>
    <w:basedOn w:val="DefaultParagraphFont"/>
    <w:link w:val="SCCFileNumber"/>
    <w:rsid w:val="00266016"/>
    <w:rPr>
      <w:b/>
      <w:szCs w:val="24"/>
      <w:lang w:val="fr-CA"/>
    </w:rPr>
  </w:style>
  <w:style w:type="paragraph" w:customStyle="1" w:styleId="SCCLsoc">
    <w:name w:val="SCC.Lsoc"/>
    <w:basedOn w:val="Normal"/>
    <w:next w:val="Normal"/>
    <w:link w:val="SCCLsocChar"/>
    <w:rsid w:val="00266016"/>
    <w:pPr>
      <w:jc w:val="center"/>
    </w:pPr>
    <w:rPr>
      <w:b/>
      <w:szCs w:val="24"/>
      <w:u w:val="single"/>
      <w:lang w:val="fr-CA"/>
    </w:rPr>
  </w:style>
  <w:style w:type="character" w:customStyle="1" w:styleId="SCCLsocChar">
    <w:name w:val="SCC.Lsoc Char"/>
    <w:basedOn w:val="DefaultParagraphFont"/>
    <w:link w:val="SCCLsoc"/>
    <w:rsid w:val="00266016"/>
    <w:rPr>
      <w:b/>
      <w:szCs w:val="24"/>
      <w:u w:val="single"/>
      <w:lang w:val="fr-CA"/>
    </w:rPr>
  </w:style>
  <w:style w:type="paragraph" w:customStyle="1" w:styleId="SCCCoram">
    <w:name w:val="SCC.Coram"/>
    <w:basedOn w:val="Normal"/>
    <w:next w:val="Normal"/>
    <w:link w:val="SCCCoramChar"/>
    <w:rsid w:val="00266016"/>
    <w:pPr>
      <w:jc w:val="center"/>
    </w:pPr>
    <w:rPr>
      <w:szCs w:val="24"/>
      <w:u w:val="single"/>
      <w:lang w:val="fr-CA"/>
    </w:rPr>
  </w:style>
  <w:style w:type="character" w:customStyle="1" w:styleId="SCCCoramChar">
    <w:name w:val="SCC.Coram Char"/>
    <w:basedOn w:val="DefaultParagraphFont"/>
    <w:link w:val="SCCCoram"/>
    <w:rsid w:val="00266016"/>
    <w:rPr>
      <w:szCs w:val="24"/>
      <w:u w:val="single"/>
      <w:lang w:val="fr-CA"/>
    </w:rPr>
  </w:style>
  <w:style w:type="paragraph" w:customStyle="1" w:styleId="SCCShortJudgment">
    <w:name w:val="SCC.ShortJudgment"/>
    <w:basedOn w:val="Normal"/>
    <w:qFormat/>
    <w:rsid w:val="00266016"/>
    <w:pPr>
      <w:ind w:firstLine="720"/>
      <w:jc w:val="both"/>
    </w:pPr>
    <w:rPr>
      <w:sz w:val="20"/>
      <w:szCs w:val="24"/>
    </w:rPr>
  </w:style>
  <w:style w:type="paragraph" w:styleId="Quote">
    <w:name w:val="Quote"/>
    <w:basedOn w:val="Normal"/>
    <w:next w:val="Normal"/>
    <w:link w:val="QuoteChar"/>
    <w:uiPriority w:val="29"/>
    <w:qFormat/>
    <w:rsid w:val="00CD4E1D"/>
    <w:rPr>
      <w:rFonts w:cs="Times New Roman"/>
      <w:i/>
      <w:iCs/>
      <w:color w:val="000000" w:themeColor="text1"/>
      <w:szCs w:val="20"/>
      <w:lang w:val="fr-CA" w:eastAsia="en-CA"/>
    </w:rPr>
  </w:style>
  <w:style w:type="character" w:customStyle="1" w:styleId="QuoteChar">
    <w:name w:val="Quote Char"/>
    <w:basedOn w:val="DefaultParagraphFont"/>
    <w:link w:val="Quote"/>
    <w:uiPriority w:val="29"/>
    <w:rsid w:val="00CD4E1D"/>
    <w:rPr>
      <w:rFonts w:cs="Times New Roman"/>
      <w:i/>
      <w:iCs/>
      <w:color w:val="000000" w:themeColor="text1"/>
      <w:szCs w:val="20"/>
      <w:lang w:val="fr-CA" w:eastAsia="en-CA"/>
    </w:rPr>
  </w:style>
  <w:style w:type="paragraph" w:customStyle="1" w:styleId="SCCLowerCourtNameLowercase">
    <w:name w:val="SCC.LowerCourtNameLowercase"/>
    <w:basedOn w:val="SCCNormalDoubleSpacing"/>
    <w:next w:val="SCCNormalDoubleSpacing"/>
    <w:rsid w:val="00C17D29"/>
    <w:rPr>
      <w:smallCaps/>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oter" Target="foot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header" Target="header25.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footer" Target="footer24.xml"/><Relationship Id="rId8" Type="http://schemas.openxmlformats.org/officeDocument/2006/relationships/image" Target="media/image1.wmf"/><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A57B4-7B43-4EF7-BCF7-A06245A6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16588</Words>
  <Characters>94552</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2011-03-18T13:48:00Z</dcterms:created>
  <dcterms:modified xsi:type="dcterms:W3CDTF">2011-03-18T18:04:00Z</dcterms:modified>
</cp:coreProperties>
</file>