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5088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5088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5088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C5088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50886" w:rsidTr="002E5576">
        <w:tc>
          <w:tcPr>
            <w:tcW w:w="4518" w:type="dxa"/>
          </w:tcPr>
          <w:p w:rsidR="00BF25F3" w:rsidRPr="002E2327" w:rsidRDefault="008C2B81"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C2B81"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862DB7" w:rsidP="00F0068D">
      <w:pPr>
        <w:pBdr>
          <w:bottom w:val="single" w:sz="6" w:space="1" w:color="auto"/>
        </w:pBdr>
        <w:tabs>
          <w:tab w:val="center" w:pos="4680"/>
          <w:tab w:val="right" w:pos="9360"/>
        </w:tabs>
        <w:rPr>
          <w:lang w:val="fr-CA"/>
        </w:rPr>
      </w:pPr>
      <w:r>
        <w:rPr>
          <w:lang w:val="fr-CA"/>
        </w:rPr>
        <w:t>May</w:t>
      </w:r>
      <w:r w:rsidR="00440E24" w:rsidRPr="00675479">
        <w:rPr>
          <w:lang w:val="fr-CA"/>
        </w:rPr>
        <w:t xml:space="preserve"> 2</w:t>
      </w:r>
      <w:r>
        <w:rPr>
          <w:lang w:val="fr-CA"/>
        </w:rPr>
        <w:t>7</w:t>
      </w:r>
      <w:r w:rsidR="00440E24" w:rsidRPr="00675479">
        <w:rPr>
          <w:lang w:val="fr-CA"/>
        </w:rPr>
        <w:t>, 201</w:t>
      </w:r>
      <w:r w:rsidR="003359D3">
        <w:rPr>
          <w:lang w:val="fr-CA"/>
        </w:rPr>
        <w:t>1</w:t>
      </w:r>
      <w:r w:rsidR="00F0068D" w:rsidRPr="00675479">
        <w:rPr>
          <w:lang w:val="fr-CA"/>
        </w:rPr>
        <w:tab/>
      </w:r>
      <w:r>
        <w:rPr>
          <w:lang w:val="fr-CA"/>
        </w:rPr>
        <w:t>834</w:t>
      </w:r>
      <w:r w:rsidR="00F0068D" w:rsidRPr="00675479">
        <w:rPr>
          <w:lang w:val="fr-CA"/>
        </w:rPr>
        <w:t xml:space="preserve"> - </w:t>
      </w:r>
      <w:r w:rsidR="00D83362">
        <w:rPr>
          <w:lang w:val="fr-CA"/>
        </w:rPr>
        <w:t>865</w:t>
      </w:r>
      <w:r w:rsidR="00440E24" w:rsidRPr="00675479">
        <w:rPr>
          <w:lang w:val="fr-CA"/>
        </w:rPr>
        <w:tab/>
      </w:r>
      <w:r w:rsidR="00440E24" w:rsidRPr="002E2327">
        <w:rPr>
          <w:lang w:val="fr-CA"/>
        </w:rPr>
        <w:t>Le 2</w:t>
      </w:r>
      <w:r>
        <w:rPr>
          <w:lang w:val="fr-CA"/>
        </w:rPr>
        <w:t>7 m</w:t>
      </w:r>
      <w:r w:rsidR="00440E24" w:rsidRPr="002E2327">
        <w:rPr>
          <w:lang w:val="fr-CA"/>
        </w:rPr>
        <w:t>ai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A24E7D"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C22793">
            <w:pPr>
              <w:tabs>
                <w:tab w:val="right" w:pos="9360"/>
              </w:tabs>
              <w:rPr>
                <w:rFonts w:cs="Times New Roman"/>
                <w:sz w:val="20"/>
                <w:szCs w:val="20"/>
              </w:rPr>
            </w:pPr>
          </w:p>
        </w:tc>
        <w:tc>
          <w:tcPr>
            <w:tcW w:w="1980" w:type="dxa"/>
          </w:tcPr>
          <w:p w:rsidR="0095096B" w:rsidRPr="002E2327" w:rsidRDefault="00862DB7" w:rsidP="0095096B">
            <w:pPr>
              <w:jc w:val="center"/>
              <w:rPr>
                <w:rFonts w:cs="Times New Roman"/>
                <w:sz w:val="20"/>
                <w:szCs w:val="20"/>
              </w:rPr>
            </w:pPr>
            <w:r>
              <w:rPr>
                <w:rFonts w:cs="Times New Roman"/>
                <w:sz w:val="20"/>
                <w:szCs w:val="20"/>
              </w:rPr>
              <w:t xml:space="preserve">834 </w:t>
            </w:r>
            <w:r w:rsidR="008C2B81" w:rsidRPr="002E2327">
              <w:rPr>
                <w:rFonts w:cs="Times New Roman"/>
                <w:sz w:val="20"/>
                <w:szCs w:val="20"/>
              </w:rPr>
              <w:fldChar w:fldCharType="begin"/>
            </w:r>
            <w:r w:rsidR="0095096B" w:rsidRPr="002E2327">
              <w:rPr>
                <w:rFonts w:cs="Times New Roman"/>
                <w:sz w:val="20"/>
                <w:szCs w:val="20"/>
              </w:rPr>
              <w:instrText xml:space="preserve"> SEQ CHAPTER \h \r 1</w:instrText>
            </w:r>
            <w:r w:rsidR="008C2B81" w:rsidRPr="002E2327">
              <w:rPr>
                <w:rFonts w:cs="Times New Roman"/>
                <w:sz w:val="20"/>
                <w:szCs w:val="20"/>
              </w:rPr>
              <w:fldChar w:fldCharType="end"/>
            </w:r>
            <w:r w:rsidR="0095096B" w:rsidRPr="002E2327">
              <w:rPr>
                <w:rFonts w:cs="Times New Roman"/>
                <w:sz w:val="20"/>
                <w:szCs w:val="20"/>
              </w:rPr>
              <w:t>-</w:t>
            </w:r>
            <w:r w:rsidR="00C22793">
              <w:rPr>
                <w:rFonts w:cs="Times New Roman"/>
                <w:sz w:val="20"/>
                <w:szCs w:val="20"/>
              </w:rPr>
              <w:t xml:space="preserve"> 835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22793" w:rsidP="0095096B">
            <w:pPr>
              <w:jc w:val="center"/>
              <w:rPr>
                <w:rFonts w:cs="Times New Roman"/>
                <w:sz w:val="20"/>
                <w:szCs w:val="20"/>
              </w:rPr>
            </w:pPr>
            <w:r>
              <w:rPr>
                <w:rFonts w:cs="Times New Roman"/>
                <w:sz w:val="20"/>
                <w:szCs w:val="20"/>
              </w:rPr>
              <w:t>836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22793" w:rsidP="0095096B">
            <w:pPr>
              <w:jc w:val="center"/>
              <w:rPr>
                <w:rFonts w:cs="Times New Roman"/>
                <w:sz w:val="20"/>
                <w:szCs w:val="20"/>
              </w:rPr>
            </w:pPr>
            <w:r>
              <w:rPr>
                <w:rFonts w:cs="Times New Roman"/>
                <w:sz w:val="20"/>
                <w:szCs w:val="20"/>
              </w:rPr>
              <w:t xml:space="preserve">837 </w:t>
            </w:r>
            <w:r w:rsidR="0095096B" w:rsidRPr="002E2327">
              <w:rPr>
                <w:rFonts w:cs="Times New Roman"/>
                <w:sz w:val="20"/>
                <w:szCs w:val="20"/>
              </w:rPr>
              <w:t>-</w:t>
            </w:r>
            <w:r>
              <w:rPr>
                <w:rFonts w:cs="Times New Roman"/>
                <w:sz w:val="20"/>
                <w:szCs w:val="20"/>
              </w:rPr>
              <w:t xml:space="preserve"> 850</w:t>
            </w:r>
          </w:p>
          <w:p w:rsidR="0095096B" w:rsidRPr="002E2327" w:rsidRDefault="0095096B" w:rsidP="0095096B">
            <w:pPr>
              <w:jc w:val="center"/>
              <w:rPr>
                <w:rFonts w:cs="Times New Roman"/>
                <w:sz w:val="20"/>
                <w:szCs w:val="20"/>
              </w:rPr>
            </w:pPr>
          </w:p>
          <w:p w:rsidR="00C22793" w:rsidRDefault="00C22793" w:rsidP="0095096B">
            <w:pPr>
              <w:jc w:val="center"/>
              <w:rPr>
                <w:rFonts w:cs="Times New Roman"/>
                <w:sz w:val="20"/>
                <w:szCs w:val="20"/>
              </w:rPr>
            </w:pPr>
          </w:p>
          <w:p w:rsidR="0095096B" w:rsidRPr="002E2327" w:rsidRDefault="00C22793" w:rsidP="0095096B">
            <w:pPr>
              <w:jc w:val="center"/>
              <w:rPr>
                <w:rFonts w:cs="Times New Roman"/>
                <w:sz w:val="20"/>
                <w:szCs w:val="20"/>
              </w:rPr>
            </w:pPr>
            <w:r>
              <w:rPr>
                <w:rFonts w:cs="Times New Roman"/>
                <w:sz w:val="20"/>
                <w:szCs w:val="20"/>
              </w:rPr>
              <w:t xml:space="preserve">851 </w:t>
            </w:r>
            <w:r w:rsidR="0095096B" w:rsidRPr="002E2327">
              <w:rPr>
                <w:rFonts w:cs="Times New Roman"/>
                <w:sz w:val="20"/>
                <w:szCs w:val="20"/>
              </w:rPr>
              <w:t>-</w:t>
            </w:r>
            <w:r>
              <w:rPr>
                <w:rFonts w:cs="Times New Roman"/>
                <w:sz w:val="20"/>
                <w:szCs w:val="20"/>
              </w:rPr>
              <w:t xml:space="preserve"> 853</w:t>
            </w:r>
          </w:p>
          <w:p w:rsidR="0095096B" w:rsidRPr="002E2327" w:rsidRDefault="0095096B" w:rsidP="0095096B">
            <w:pPr>
              <w:jc w:val="center"/>
              <w:rPr>
                <w:rFonts w:cs="Times New Roman"/>
                <w:sz w:val="20"/>
                <w:szCs w:val="20"/>
              </w:rPr>
            </w:pPr>
          </w:p>
          <w:p w:rsidR="0095096B" w:rsidRPr="002E2327" w:rsidRDefault="00C22793" w:rsidP="0095096B">
            <w:pPr>
              <w:jc w:val="center"/>
              <w:rPr>
                <w:rFonts w:cs="Times New Roman"/>
                <w:sz w:val="20"/>
                <w:szCs w:val="20"/>
              </w:rPr>
            </w:pPr>
            <w:r>
              <w:rPr>
                <w:rFonts w:cs="Times New Roman"/>
                <w:sz w:val="20"/>
                <w:szCs w:val="20"/>
              </w:rPr>
              <w:t>854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22793" w:rsidP="0095096B">
            <w:pPr>
              <w:jc w:val="center"/>
              <w:rPr>
                <w:rFonts w:cs="Times New Roman"/>
                <w:sz w:val="20"/>
                <w:szCs w:val="20"/>
              </w:rPr>
            </w:pPr>
            <w:r>
              <w:rPr>
                <w:rFonts w:cs="Times New Roman"/>
                <w:sz w:val="20"/>
                <w:szCs w:val="20"/>
              </w:rPr>
              <w:t>855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22793" w:rsidP="0095096B">
            <w:pPr>
              <w:jc w:val="center"/>
              <w:rPr>
                <w:rFonts w:cs="Times New Roman"/>
                <w:sz w:val="20"/>
                <w:szCs w:val="20"/>
              </w:rPr>
            </w:pPr>
            <w:r>
              <w:rPr>
                <w:rFonts w:cs="Times New Roman"/>
                <w:sz w:val="20"/>
                <w:szCs w:val="20"/>
              </w:rPr>
              <w:t xml:space="preserve">856 </w:t>
            </w:r>
            <w:r w:rsidR="0095096B" w:rsidRPr="002E2327">
              <w:rPr>
                <w:rFonts w:cs="Times New Roman"/>
                <w:sz w:val="20"/>
                <w:szCs w:val="20"/>
              </w:rPr>
              <w:t>-</w:t>
            </w:r>
            <w:r>
              <w:rPr>
                <w:rFonts w:cs="Times New Roman"/>
                <w:sz w:val="20"/>
                <w:szCs w:val="20"/>
              </w:rPr>
              <w:t xml:space="preserve"> </w:t>
            </w:r>
            <w:r w:rsidR="00D83362">
              <w:rPr>
                <w:rFonts w:cs="Times New Roman"/>
                <w:sz w:val="20"/>
                <w:szCs w:val="20"/>
              </w:rPr>
              <w:t>865</w:t>
            </w:r>
          </w:p>
          <w:p w:rsidR="00A87207" w:rsidRPr="002E2327" w:rsidRDefault="00A87207" w:rsidP="00A9165A">
            <w:pPr>
              <w:tabs>
                <w:tab w:val="right" w:pos="9360"/>
              </w:tabs>
              <w:jc w:val="center"/>
              <w:rPr>
                <w:rFonts w:cs="Times New Roman"/>
                <w:sz w:val="20"/>
                <w:szCs w:val="20"/>
              </w:rPr>
            </w:pPr>
          </w:p>
        </w:tc>
        <w:tc>
          <w:tcPr>
            <w:tcW w:w="3888" w:type="dxa"/>
          </w:tcPr>
          <w:p w:rsidR="0095096B" w:rsidRPr="002E2327" w:rsidRDefault="008C2B81"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C22793">
            <w:pPr>
              <w:tabs>
                <w:tab w:val="right" w:pos="9360"/>
              </w:tabs>
              <w:rPr>
                <w:rFonts w:cs="Times New Roman"/>
                <w:sz w:val="20"/>
                <w:szCs w:val="20"/>
                <w:lang w:val="fr-CA"/>
              </w:rPr>
            </w:pPr>
          </w:p>
        </w:tc>
      </w:tr>
    </w:tbl>
    <w:p w:rsidR="0095096B" w:rsidRDefault="0095096B" w:rsidP="0095096B">
      <w:pPr>
        <w:tabs>
          <w:tab w:val="right" w:pos="9360"/>
        </w:tabs>
        <w:rPr>
          <w:lang w:val="fr-CA"/>
        </w:rPr>
      </w:pPr>
    </w:p>
    <w:p w:rsidR="00A9165A" w:rsidRDefault="00A9165A" w:rsidP="0095096B">
      <w:pPr>
        <w:tabs>
          <w:tab w:val="right" w:pos="9360"/>
        </w:tabs>
        <w:rPr>
          <w:lang w:val="fr-CA"/>
        </w:rPr>
      </w:pPr>
    </w:p>
    <w:p w:rsidR="00A9165A" w:rsidRDefault="00A9165A" w:rsidP="0095096B">
      <w:pPr>
        <w:tabs>
          <w:tab w:val="right" w:pos="9360"/>
        </w:tabs>
        <w:rPr>
          <w:lang w:val="fr-CA"/>
        </w:rPr>
      </w:pPr>
    </w:p>
    <w:p w:rsidR="00A9165A" w:rsidRDefault="00A9165A" w:rsidP="0095096B">
      <w:pPr>
        <w:tabs>
          <w:tab w:val="right" w:pos="9360"/>
        </w:tabs>
        <w:rPr>
          <w:lang w:val="fr-CA"/>
        </w:rPr>
      </w:pPr>
    </w:p>
    <w:p w:rsidR="00A9165A" w:rsidRDefault="00A9165A" w:rsidP="0095096B">
      <w:pPr>
        <w:tabs>
          <w:tab w:val="right" w:pos="9360"/>
        </w:tabs>
        <w:rPr>
          <w:lang w:val="fr-CA"/>
        </w:rPr>
      </w:pPr>
    </w:p>
    <w:p w:rsidR="00A9165A" w:rsidRPr="00A9165A" w:rsidRDefault="00A9165A" w:rsidP="0095096B">
      <w:pPr>
        <w:tabs>
          <w:tab w:val="right" w:pos="9360"/>
        </w:tabs>
        <w:rPr>
          <w:lang w:val="fr-CA"/>
        </w:rPr>
      </w:pPr>
    </w:p>
    <w:tbl>
      <w:tblPr>
        <w:tblStyle w:val="TableGrid"/>
        <w:tblW w:w="0" w:type="auto"/>
        <w:tblLook w:val="04A0"/>
      </w:tblPr>
      <w:tblGrid>
        <w:gridCol w:w="9576"/>
      </w:tblGrid>
      <w:tr w:rsidR="0079724F" w:rsidRPr="00C5088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3D61A6" w:rsidTr="003B3977">
        <w:tc>
          <w:tcPr>
            <w:tcW w:w="4320" w:type="dxa"/>
            <w:shd w:val="clear" w:color="auto" w:fill="auto"/>
          </w:tcPr>
          <w:p w:rsidR="00242AEE" w:rsidRPr="00A935AA" w:rsidRDefault="008925B8" w:rsidP="003B3977">
            <w:pPr>
              <w:rPr>
                <w:b/>
                <w:sz w:val="20"/>
                <w:szCs w:val="20"/>
              </w:rPr>
            </w:pPr>
            <w:r>
              <w:rPr>
                <w:b/>
                <w:sz w:val="20"/>
                <w:szCs w:val="20"/>
              </w:rPr>
              <w:t>Cogeco Cable Inc.</w:t>
            </w:r>
          </w:p>
          <w:p w:rsidR="00242AEE" w:rsidRPr="00A935AA" w:rsidRDefault="00242AEE" w:rsidP="003B3977">
            <w:pPr>
              <w:tabs>
                <w:tab w:val="left" w:pos="-1440"/>
                <w:tab w:val="left" w:pos="-720"/>
              </w:tabs>
              <w:rPr>
                <w:sz w:val="20"/>
                <w:szCs w:val="20"/>
              </w:rPr>
            </w:pPr>
            <w:r w:rsidRPr="00A935AA">
              <w:rPr>
                <w:sz w:val="20"/>
                <w:szCs w:val="20"/>
              </w:rPr>
              <w:tab/>
            </w:r>
            <w:r w:rsidR="008925B8">
              <w:rPr>
                <w:sz w:val="20"/>
                <w:szCs w:val="20"/>
              </w:rPr>
              <w:t>Neil Finkelstein</w:t>
            </w:r>
          </w:p>
          <w:p w:rsidR="00242AEE" w:rsidRPr="00A935AA" w:rsidRDefault="00242AEE" w:rsidP="003B3977">
            <w:pPr>
              <w:tabs>
                <w:tab w:val="left" w:pos="-1440"/>
                <w:tab w:val="left" w:pos="-720"/>
              </w:tabs>
              <w:rPr>
                <w:sz w:val="20"/>
                <w:szCs w:val="20"/>
              </w:rPr>
            </w:pPr>
            <w:r w:rsidRPr="00A935AA">
              <w:rPr>
                <w:sz w:val="20"/>
                <w:szCs w:val="20"/>
              </w:rPr>
              <w:tab/>
            </w:r>
            <w:r w:rsidR="008925B8">
              <w:rPr>
                <w:sz w:val="20"/>
                <w:szCs w:val="20"/>
              </w:rPr>
              <w:t>McCarthy Tétrault LLP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862DB7">
              <w:rPr>
                <w:sz w:val="20"/>
                <w:szCs w:val="20"/>
              </w:rPr>
              <w:t>4</w:t>
            </w:r>
            <w:r w:rsidR="008925B8">
              <w:rPr>
                <w:sz w:val="20"/>
                <w:szCs w:val="20"/>
              </w:rPr>
              <w:t>231</w:t>
            </w:r>
            <w:r w:rsidRPr="00A935AA">
              <w:rPr>
                <w:sz w:val="20"/>
                <w:szCs w:val="20"/>
              </w:rPr>
              <w:t>)</w:t>
            </w:r>
          </w:p>
          <w:p w:rsidR="00242AEE" w:rsidRPr="00A935AA" w:rsidRDefault="00242AEE" w:rsidP="003B3977">
            <w:pPr>
              <w:tabs>
                <w:tab w:val="left" w:pos="-1440"/>
                <w:tab w:val="left" w:pos="-720"/>
              </w:tabs>
              <w:rPr>
                <w:sz w:val="20"/>
                <w:szCs w:val="20"/>
              </w:rPr>
            </w:pPr>
          </w:p>
          <w:p w:rsidR="00242AEE" w:rsidRPr="00DE0992" w:rsidRDefault="008925B8" w:rsidP="003B3977">
            <w:pPr>
              <w:tabs>
                <w:tab w:val="left" w:pos="-1440"/>
                <w:tab w:val="left" w:pos="-720"/>
              </w:tabs>
              <w:rPr>
                <w:b/>
                <w:sz w:val="20"/>
                <w:szCs w:val="20"/>
              </w:rPr>
            </w:pPr>
            <w:r w:rsidRPr="00DE0992">
              <w:rPr>
                <w:b/>
                <w:sz w:val="20"/>
                <w:szCs w:val="20"/>
              </w:rPr>
              <w:t xml:space="preserve">Bell Canada et al. </w:t>
            </w:r>
            <w:r w:rsidR="00242AEE" w:rsidRPr="00DE0992">
              <w:rPr>
                <w:b/>
                <w:sz w:val="20"/>
                <w:szCs w:val="20"/>
              </w:rPr>
              <w:t>(</w:t>
            </w:r>
            <w:r w:rsidRPr="00DE0992">
              <w:rPr>
                <w:b/>
                <w:sz w:val="20"/>
                <w:szCs w:val="20"/>
              </w:rPr>
              <w:t>F</w:t>
            </w:r>
            <w:r w:rsidR="00242AEE" w:rsidRPr="00DE0992">
              <w:rPr>
                <w:b/>
                <w:sz w:val="20"/>
                <w:szCs w:val="20"/>
              </w:rPr>
              <w:t>.C.)</w:t>
            </w:r>
          </w:p>
          <w:p w:rsidR="00242AEE" w:rsidRPr="008925B8" w:rsidRDefault="00242AEE" w:rsidP="003B3977">
            <w:pPr>
              <w:tabs>
                <w:tab w:val="left" w:pos="-1440"/>
                <w:tab w:val="left" w:pos="-720"/>
              </w:tabs>
              <w:rPr>
                <w:sz w:val="20"/>
                <w:szCs w:val="20"/>
              </w:rPr>
            </w:pPr>
            <w:r w:rsidRPr="00DE0992">
              <w:rPr>
                <w:sz w:val="20"/>
                <w:szCs w:val="20"/>
              </w:rPr>
              <w:tab/>
            </w:r>
            <w:r w:rsidR="008925B8" w:rsidRPr="008925B8">
              <w:rPr>
                <w:sz w:val="20"/>
                <w:szCs w:val="20"/>
              </w:rPr>
              <w:t>Denis E. Henry</w:t>
            </w:r>
          </w:p>
          <w:p w:rsidR="00242AEE" w:rsidRPr="008925B8" w:rsidRDefault="00242AEE" w:rsidP="003B3977">
            <w:pPr>
              <w:tabs>
                <w:tab w:val="left" w:pos="-1440"/>
                <w:tab w:val="left" w:pos="-720"/>
              </w:tabs>
              <w:rPr>
                <w:sz w:val="20"/>
                <w:szCs w:val="20"/>
              </w:rPr>
            </w:pPr>
            <w:r w:rsidRPr="008925B8">
              <w:rPr>
                <w:sz w:val="20"/>
                <w:szCs w:val="20"/>
              </w:rPr>
              <w:tab/>
            </w:r>
            <w:r w:rsidR="008925B8" w:rsidRPr="008925B8">
              <w:rPr>
                <w:sz w:val="20"/>
                <w:szCs w:val="20"/>
              </w:rPr>
              <w:t>Bell Canada</w:t>
            </w:r>
          </w:p>
          <w:p w:rsidR="00242AEE" w:rsidRPr="008925B8" w:rsidRDefault="00242AEE" w:rsidP="003B3977">
            <w:pPr>
              <w:tabs>
                <w:tab w:val="left" w:pos="-1440"/>
                <w:tab w:val="left" w:pos="-720"/>
              </w:tabs>
              <w:rPr>
                <w:sz w:val="20"/>
                <w:szCs w:val="20"/>
              </w:rPr>
            </w:pPr>
          </w:p>
          <w:p w:rsidR="008925B8" w:rsidRPr="008925B8" w:rsidRDefault="008925B8" w:rsidP="003B3977">
            <w:pPr>
              <w:rPr>
                <w:sz w:val="20"/>
                <w:szCs w:val="20"/>
              </w:rPr>
            </w:pPr>
            <w:r w:rsidRPr="008925B8">
              <w:rPr>
                <w:sz w:val="20"/>
                <w:szCs w:val="20"/>
              </w:rPr>
              <w:t xml:space="preserve">and between </w: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3D61A6" w:rsidRDefault="003D61A6" w:rsidP="003B3977">
            <w:pPr>
              <w:keepNext/>
              <w:keepLines/>
              <w:tabs>
                <w:tab w:val="left" w:pos="-1440"/>
                <w:tab w:val="left" w:pos="-720"/>
              </w:tabs>
              <w:rPr>
                <w:b/>
                <w:sz w:val="20"/>
                <w:szCs w:val="20"/>
                <w:lang w:val="fr-CA"/>
              </w:rPr>
            </w:pPr>
            <w:r w:rsidRPr="003D61A6">
              <w:rPr>
                <w:b/>
                <w:sz w:val="20"/>
                <w:szCs w:val="20"/>
                <w:lang w:val="fr-CA"/>
              </w:rPr>
              <w:t>Marc-Antoine Gagné</w:t>
            </w:r>
          </w:p>
          <w:p w:rsidR="00242AEE" w:rsidRPr="003D61A6" w:rsidRDefault="00242AEE" w:rsidP="003B3977">
            <w:pPr>
              <w:keepNext/>
              <w:keepLines/>
              <w:tabs>
                <w:tab w:val="left" w:pos="-1440"/>
                <w:tab w:val="left" w:pos="-720"/>
              </w:tabs>
              <w:rPr>
                <w:sz w:val="20"/>
                <w:szCs w:val="20"/>
                <w:lang w:val="fr-CA"/>
              </w:rPr>
            </w:pPr>
            <w:r w:rsidRPr="003D61A6">
              <w:rPr>
                <w:sz w:val="20"/>
                <w:szCs w:val="20"/>
                <w:lang w:val="fr-CA"/>
              </w:rPr>
              <w:tab/>
            </w:r>
            <w:r w:rsidR="003D61A6" w:rsidRPr="003D61A6">
              <w:rPr>
                <w:sz w:val="20"/>
                <w:szCs w:val="20"/>
                <w:lang w:val="fr-CA"/>
              </w:rPr>
              <w:t>Marc-Antoine Gagné</w:t>
            </w:r>
          </w:p>
          <w:p w:rsidR="00242AEE" w:rsidRPr="003D61A6" w:rsidRDefault="00242AEE" w:rsidP="003B3977">
            <w:pPr>
              <w:keepNext/>
              <w:keepLines/>
              <w:tabs>
                <w:tab w:val="left" w:pos="-1440"/>
                <w:tab w:val="left" w:pos="-720"/>
              </w:tabs>
              <w:rPr>
                <w:sz w:val="20"/>
                <w:szCs w:val="20"/>
                <w:lang w:val="fr-CA"/>
              </w:rPr>
            </w:pPr>
          </w:p>
          <w:p w:rsidR="00242AEE" w:rsidRPr="003D61A6" w:rsidRDefault="00242AEE" w:rsidP="003B3977">
            <w:pPr>
              <w:keepNext/>
              <w:keepLines/>
              <w:tabs>
                <w:tab w:val="left" w:pos="-1440"/>
                <w:tab w:val="left" w:pos="-720"/>
              </w:tabs>
              <w:rPr>
                <w:sz w:val="20"/>
                <w:szCs w:val="20"/>
                <w:lang w:val="fr-CA"/>
              </w:rPr>
            </w:pPr>
            <w:r w:rsidRPr="003D61A6">
              <w:rPr>
                <w:sz w:val="20"/>
                <w:szCs w:val="20"/>
                <w:lang w:val="fr-CA"/>
              </w:rPr>
              <w:tab/>
            </w:r>
            <w:r w:rsidR="003D61A6">
              <w:rPr>
                <w:sz w:val="20"/>
                <w:szCs w:val="20"/>
                <w:lang w:val="fr-CA"/>
              </w:rPr>
              <w:t>c</w:t>
            </w:r>
            <w:r w:rsidRPr="003D61A6">
              <w:rPr>
                <w:sz w:val="20"/>
                <w:szCs w:val="20"/>
                <w:lang w:val="fr-CA"/>
              </w:rPr>
              <w:t>. (3</w:t>
            </w:r>
            <w:r w:rsidR="00862DB7" w:rsidRPr="003D61A6">
              <w:rPr>
                <w:sz w:val="20"/>
                <w:szCs w:val="20"/>
                <w:lang w:val="fr-CA"/>
              </w:rPr>
              <w:t>4</w:t>
            </w:r>
            <w:r w:rsidR="003D61A6" w:rsidRPr="003D61A6">
              <w:rPr>
                <w:sz w:val="20"/>
                <w:szCs w:val="20"/>
                <w:lang w:val="fr-CA"/>
              </w:rPr>
              <w:t>221</w:t>
            </w:r>
            <w:r w:rsidRPr="003D61A6">
              <w:rPr>
                <w:sz w:val="20"/>
                <w:szCs w:val="20"/>
                <w:lang w:val="fr-CA"/>
              </w:rPr>
              <w:t>)</w:t>
            </w:r>
          </w:p>
          <w:p w:rsidR="00242AEE" w:rsidRPr="003D61A6" w:rsidRDefault="00242AEE" w:rsidP="003B3977">
            <w:pPr>
              <w:keepNext/>
              <w:keepLines/>
              <w:tabs>
                <w:tab w:val="left" w:pos="-1440"/>
                <w:tab w:val="left" w:pos="-720"/>
              </w:tabs>
              <w:rPr>
                <w:sz w:val="20"/>
                <w:szCs w:val="20"/>
                <w:lang w:val="fr-CA"/>
              </w:rPr>
            </w:pPr>
          </w:p>
          <w:p w:rsidR="00242AEE" w:rsidRPr="003D61A6" w:rsidRDefault="003D61A6" w:rsidP="003B3977">
            <w:pPr>
              <w:keepNext/>
              <w:keepLines/>
              <w:tabs>
                <w:tab w:val="left" w:pos="-1440"/>
                <w:tab w:val="left" w:pos="-720"/>
              </w:tabs>
              <w:rPr>
                <w:b/>
                <w:sz w:val="20"/>
                <w:szCs w:val="20"/>
                <w:lang w:val="fr-CA"/>
              </w:rPr>
            </w:pPr>
            <w:r w:rsidRPr="003D61A6">
              <w:rPr>
                <w:b/>
                <w:sz w:val="20"/>
                <w:szCs w:val="20"/>
                <w:lang w:val="fr-CA"/>
              </w:rPr>
              <w:t xml:space="preserve">Sa Majesté la Reine </w:t>
            </w:r>
            <w:r w:rsidR="00242AEE" w:rsidRPr="003D61A6">
              <w:rPr>
                <w:b/>
                <w:sz w:val="20"/>
                <w:szCs w:val="20"/>
                <w:lang w:val="fr-CA"/>
              </w:rPr>
              <w:t>(</w:t>
            </w:r>
            <w:r w:rsidRPr="003D61A6">
              <w:rPr>
                <w:b/>
                <w:sz w:val="20"/>
                <w:szCs w:val="20"/>
                <w:lang w:val="fr-CA"/>
              </w:rPr>
              <w:t>Qc</w:t>
            </w:r>
            <w:r w:rsidR="00242AEE" w:rsidRPr="003D61A6">
              <w:rPr>
                <w:b/>
                <w:sz w:val="20"/>
                <w:szCs w:val="20"/>
                <w:lang w:val="fr-CA"/>
              </w:rPr>
              <w:t>)</w:t>
            </w:r>
          </w:p>
          <w:p w:rsidR="00242AEE" w:rsidRPr="003D61A6" w:rsidRDefault="00242AEE" w:rsidP="003B3977">
            <w:pPr>
              <w:keepNext/>
              <w:keepLines/>
              <w:tabs>
                <w:tab w:val="left" w:pos="-1440"/>
                <w:tab w:val="left" w:pos="-720"/>
              </w:tabs>
              <w:rPr>
                <w:sz w:val="20"/>
                <w:szCs w:val="20"/>
                <w:lang w:val="fr-CA"/>
              </w:rPr>
            </w:pPr>
            <w:r w:rsidRPr="003D61A6">
              <w:rPr>
                <w:sz w:val="20"/>
                <w:szCs w:val="20"/>
                <w:lang w:val="fr-CA"/>
              </w:rPr>
              <w:tab/>
            </w:r>
            <w:r w:rsidR="003D61A6">
              <w:rPr>
                <w:sz w:val="20"/>
                <w:szCs w:val="20"/>
                <w:lang w:val="fr-CA"/>
              </w:rPr>
              <w:t>Michel Pennou</w:t>
            </w:r>
          </w:p>
          <w:p w:rsidR="00242AEE" w:rsidRPr="003D61A6" w:rsidRDefault="00242AEE" w:rsidP="003B3977">
            <w:pPr>
              <w:keepNext/>
              <w:keepLines/>
              <w:tabs>
                <w:tab w:val="left" w:pos="-1440"/>
                <w:tab w:val="left" w:pos="-720"/>
              </w:tabs>
              <w:rPr>
                <w:sz w:val="20"/>
                <w:szCs w:val="20"/>
                <w:lang w:val="fr-CA"/>
              </w:rPr>
            </w:pPr>
            <w:r w:rsidRPr="003D61A6">
              <w:rPr>
                <w:sz w:val="20"/>
                <w:szCs w:val="20"/>
                <w:lang w:val="fr-CA"/>
              </w:rPr>
              <w:tab/>
            </w:r>
            <w:r w:rsidR="003D61A6">
              <w:rPr>
                <w:sz w:val="20"/>
                <w:szCs w:val="20"/>
                <w:lang w:val="fr-CA"/>
              </w:rPr>
              <w:t>Poursuites criminelles et pénale</w:t>
            </w:r>
            <w:r w:rsidR="0068711B">
              <w:rPr>
                <w:sz w:val="20"/>
                <w:szCs w:val="20"/>
                <w:lang w:val="fr-CA"/>
              </w:rPr>
              <w:t>s</w:t>
            </w:r>
            <w:r w:rsidR="003D61A6">
              <w:rPr>
                <w:sz w:val="20"/>
                <w:szCs w:val="20"/>
                <w:lang w:val="fr-CA"/>
              </w:rPr>
              <w:t xml:space="preserve"> du </w:t>
            </w:r>
            <w:r w:rsidR="003D61A6">
              <w:rPr>
                <w:sz w:val="20"/>
                <w:szCs w:val="20"/>
                <w:lang w:val="fr-CA"/>
              </w:rPr>
              <w:tab/>
              <w:t>Québec</w:t>
            </w:r>
          </w:p>
          <w:p w:rsidR="00242AEE" w:rsidRPr="003D61A6" w:rsidRDefault="00242AEE" w:rsidP="003B3977">
            <w:pPr>
              <w:keepNext/>
              <w:keepLines/>
              <w:tabs>
                <w:tab w:val="left" w:pos="-1440"/>
                <w:tab w:val="left" w:pos="-720"/>
              </w:tabs>
              <w:rPr>
                <w:sz w:val="20"/>
                <w:szCs w:val="20"/>
                <w:lang w:val="fr-CA"/>
              </w:rPr>
            </w:pPr>
          </w:p>
          <w:p w:rsidR="00242AEE" w:rsidRPr="003D61A6" w:rsidRDefault="00242AEE" w:rsidP="003D61A6">
            <w:pPr>
              <w:rPr>
                <w:sz w:val="20"/>
                <w:szCs w:val="20"/>
                <w:lang w:val="fr-CA"/>
              </w:rPr>
            </w:pPr>
            <w:r w:rsidRPr="003D61A6">
              <w:rPr>
                <w:sz w:val="20"/>
                <w:szCs w:val="20"/>
                <w:lang w:val="fr-CA"/>
              </w:rPr>
              <w:t>DATE</w:t>
            </w:r>
            <w:r w:rsidR="003D61A6">
              <w:rPr>
                <w:sz w:val="20"/>
                <w:szCs w:val="20"/>
                <w:lang w:val="fr-CA"/>
              </w:rPr>
              <w:t xml:space="preserve"> DE PRODUCTION </w:t>
            </w:r>
            <w:r w:rsidRPr="003D61A6">
              <w:rPr>
                <w:sz w:val="20"/>
                <w:szCs w:val="20"/>
                <w:lang w:val="fr-CA"/>
              </w:rPr>
              <w:t>: 28.0</w:t>
            </w:r>
            <w:r w:rsidR="003D61A6">
              <w:rPr>
                <w:sz w:val="20"/>
                <w:szCs w:val="20"/>
                <w:lang w:val="fr-CA"/>
              </w:rPr>
              <w:t>3</w:t>
            </w:r>
            <w:r w:rsidRPr="003D61A6">
              <w:rPr>
                <w:sz w:val="20"/>
                <w:szCs w:val="20"/>
                <w:lang w:val="fr-CA"/>
              </w:rPr>
              <w:t>.201</w:t>
            </w:r>
            <w:r w:rsidR="00862DB7" w:rsidRPr="003D61A6">
              <w:rPr>
                <w:sz w:val="20"/>
                <w:szCs w:val="20"/>
                <w:lang w:val="fr-CA"/>
              </w:rPr>
              <w:t>1</w:t>
            </w:r>
            <w:r w:rsidR="008C2B81" w:rsidRPr="008C2B81">
              <w:rPr>
                <w:sz w:val="20"/>
                <w:szCs w:val="20"/>
                <w:lang w:val="fr-CA"/>
              </w:rPr>
              <w:pict>
                <v:rect id="_x0000_i1025" style="width:108pt;height:1pt" o:hrpct="0" o:hralign="center" o:hrstd="t" o:hrnoshade="t" o:hr="t" fillcolor="black [3213]" stroked="f"/>
              </w:pict>
            </w:r>
          </w:p>
        </w:tc>
      </w:tr>
      <w:tr w:rsidR="00A02950" w:rsidRPr="00A935AA" w:rsidTr="003B3977">
        <w:tc>
          <w:tcPr>
            <w:tcW w:w="4320" w:type="dxa"/>
            <w:shd w:val="clear" w:color="auto" w:fill="auto"/>
          </w:tcPr>
          <w:p w:rsidR="008925B8" w:rsidRPr="008925B8" w:rsidRDefault="008925B8" w:rsidP="00A53406">
            <w:pPr>
              <w:rPr>
                <w:b/>
                <w:sz w:val="20"/>
                <w:szCs w:val="20"/>
                <w:lang w:val="fr-CA"/>
              </w:rPr>
            </w:pPr>
            <w:r w:rsidRPr="008925B8">
              <w:rPr>
                <w:b/>
                <w:sz w:val="20"/>
                <w:szCs w:val="20"/>
                <w:lang w:val="fr-CA"/>
              </w:rPr>
              <w:t>Rogers Communications Inc. et al.</w:t>
            </w:r>
          </w:p>
          <w:p w:rsidR="00A02950" w:rsidRPr="00A9165A" w:rsidRDefault="00A02950" w:rsidP="00A53406">
            <w:pPr>
              <w:tabs>
                <w:tab w:val="left" w:pos="-1440"/>
                <w:tab w:val="left" w:pos="-720"/>
              </w:tabs>
              <w:rPr>
                <w:sz w:val="20"/>
                <w:szCs w:val="20"/>
              </w:rPr>
            </w:pPr>
            <w:r w:rsidRPr="008925B8">
              <w:rPr>
                <w:sz w:val="20"/>
                <w:szCs w:val="20"/>
                <w:lang w:val="fr-CA"/>
              </w:rPr>
              <w:tab/>
            </w:r>
            <w:r w:rsidR="008925B8" w:rsidRPr="00A9165A">
              <w:rPr>
                <w:sz w:val="20"/>
                <w:szCs w:val="20"/>
              </w:rPr>
              <w:t>Gerald L. (Jay) Kerr-Wilson</w:t>
            </w:r>
          </w:p>
          <w:p w:rsidR="00A02950" w:rsidRPr="00A9165A" w:rsidRDefault="00A02950" w:rsidP="00A53406">
            <w:pPr>
              <w:tabs>
                <w:tab w:val="left" w:pos="-1440"/>
                <w:tab w:val="left" w:pos="-720"/>
              </w:tabs>
              <w:rPr>
                <w:sz w:val="20"/>
                <w:szCs w:val="20"/>
              </w:rPr>
            </w:pPr>
            <w:r w:rsidRPr="00A9165A">
              <w:rPr>
                <w:sz w:val="20"/>
                <w:szCs w:val="20"/>
              </w:rPr>
              <w:tab/>
            </w:r>
            <w:r w:rsidR="008925B8" w:rsidRPr="00A9165A">
              <w:rPr>
                <w:sz w:val="20"/>
                <w:szCs w:val="20"/>
              </w:rPr>
              <w:t>Fasken Martineau DuMoulin LLP</w:t>
            </w:r>
          </w:p>
          <w:p w:rsidR="00A02950" w:rsidRPr="00A9165A" w:rsidRDefault="00A02950" w:rsidP="00A53406">
            <w:pPr>
              <w:tabs>
                <w:tab w:val="left" w:pos="-1440"/>
                <w:tab w:val="left" w:pos="-720"/>
              </w:tabs>
              <w:rPr>
                <w:sz w:val="20"/>
                <w:szCs w:val="20"/>
              </w:rPr>
            </w:pPr>
          </w:p>
          <w:p w:rsidR="00A02950" w:rsidRPr="00DE0992" w:rsidRDefault="00A02950" w:rsidP="00A53406">
            <w:pPr>
              <w:tabs>
                <w:tab w:val="left" w:pos="-1440"/>
                <w:tab w:val="left" w:pos="-720"/>
              </w:tabs>
              <w:rPr>
                <w:sz w:val="20"/>
                <w:szCs w:val="20"/>
                <w:lang w:val="fr-CA"/>
              </w:rPr>
            </w:pPr>
            <w:r w:rsidRPr="00A9165A">
              <w:rPr>
                <w:sz w:val="20"/>
                <w:szCs w:val="20"/>
              </w:rPr>
              <w:tab/>
            </w:r>
            <w:r w:rsidRPr="00DE0992">
              <w:rPr>
                <w:sz w:val="20"/>
                <w:szCs w:val="20"/>
                <w:lang w:val="fr-CA"/>
              </w:rPr>
              <w:t>v. (34</w:t>
            </w:r>
            <w:r w:rsidR="008925B8" w:rsidRPr="00DE0992">
              <w:rPr>
                <w:sz w:val="20"/>
                <w:szCs w:val="20"/>
                <w:lang w:val="fr-CA"/>
              </w:rPr>
              <w:t>231</w:t>
            </w:r>
            <w:r w:rsidRPr="00DE0992">
              <w:rPr>
                <w:sz w:val="20"/>
                <w:szCs w:val="20"/>
                <w:lang w:val="fr-CA"/>
              </w:rPr>
              <w:t>)</w:t>
            </w:r>
          </w:p>
          <w:p w:rsidR="00A02950" w:rsidRPr="00DE0992" w:rsidRDefault="00A02950" w:rsidP="00A53406">
            <w:pPr>
              <w:tabs>
                <w:tab w:val="left" w:pos="-1440"/>
                <w:tab w:val="left" w:pos="-720"/>
              </w:tabs>
              <w:rPr>
                <w:sz w:val="20"/>
                <w:szCs w:val="20"/>
                <w:lang w:val="fr-CA"/>
              </w:rPr>
            </w:pPr>
          </w:p>
          <w:p w:rsidR="00A02950" w:rsidRPr="00DE0992" w:rsidRDefault="008925B8" w:rsidP="00A53406">
            <w:pPr>
              <w:tabs>
                <w:tab w:val="left" w:pos="-1440"/>
                <w:tab w:val="left" w:pos="-720"/>
              </w:tabs>
              <w:rPr>
                <w:b/>
                <w:sz w:val="20"/>
                <w:szCs w:val="20"/>
              </w:rPr>
            </w:pPr>
            <w:r w:rsidRPr="008925B8">
              <w:rPr>
                <w:b/>
                <w:sz w:val="20"/>
                <w:szCs w:val="20"/>
                <w:lang w:val="fr-CA"/>
              </w:rPr>
              <w:t xml:space="preserve">Bell Canada et al. </w:t>
            </w:r>
            <w:r w:rsidR="00A02950" w:rsidRPr="00DE0992">
              <w:rPr>
                <w:b/>
                <w:sz w:val="20"/>
                <w:szCs w:val="20"/>
              </w:rPr>
              <w:t>(</w:t>
            </w:r>
            <w:r w:rsidRPr="00DE0992">
              <w:rPr>
                <w:b/>
                <w:sz w:val="20"/>
                <w:szCs w:val="20"/>
              </w:rPr>
              <w:t>F</w:t>
            </w:r>
            <w:r w:rsidR="00A02950" w:rsidRPr="00DE0992">
              <w:rPr>
                <w:b/>
                <w:sz w:val="20"/>
                <w:szCs w:val="20"/>
              </w:rPr>
              <w:t>.C.)</w:t>
            </w:r>
          </w:p>
          <w:p w:rsidR="00A02950" w:rsidRPr="008925B8" w:rsidRDefault="00A02950" w:rsidP="00A53406">
            <w:pPr>
              <w:tabs>
                <w:tab w:val="left" w:pos="-1440"/>
                <w:tab w:val="left" w:pos="-720"/>
              </w:tabs>
              <w:rPr>
                <w:sz w:val="20"/>
                <w:szCs w:val="20"/>
              </w:rPr>
            </w:pPr>
            <w:r w:rsidRPr="00DE0992">
              <w:rPr>
                <w:sz w:val="20"/>
                <w:szCs w:val="20"/>
              </w:rPr>
              <w:tab/>
            </w:r>
            <w:r w:rsidR="008925B8" w:rsidRPr="008925B8">
              <w:rPr>
                <w:sz w:val="20"/>
                <w:szCs w:val="20"/>
              </w:rPr>
              <w:t>Denis E. Henry</w:t>
            </w:r>
          </w:p>
          <w:p w:rsidR="00A02950" w:rsidRPr="008925B8" w:rsidRDefault="00A02950" w:rsidP="00A53406">
            <w:pPr>
              <w:tabs>
                <w:tab w:val="left" w:pos="-1440"/>
                <w:tab w:val="left" w:pos="-720"/>
              </w:tabs>
              <w:rPr>
                <w:sz w:val="20"/>
                <w:szCs w:val="20"/>
              </w:rPr>
            </w:pPr>
            <w:r w:rsidRPr="008925B8">
              <w:rPr>
                <w:sz w:val="20"/>
                <w:szCs w:val="20"/>
              </w:rPr>
              <w:tab/>
            </w:r>
            <w:r w:rsidR="008925B8" w:rsidRPr="008925B8">
              <w:rPr>
                <w:sz w:val="20"/>
                <w:szCs w:val="20"/>
              </w:rPr>
              <w:t>Bell Canada</w:t>
            </w:r>
          </w:p>
          <w:p w:rsidR="00A02950" w:rsidRPr="008925B8" w:rsidRDefault="00A02950" w:rsidP="00A53406">
            <w:pPr>
              <w:tabs>
                <w:tab w:val="left" w:pos="-1440"/>
                <w:tab w:val="left" w:pos="-720"/>
              </w:tabs>
              <w:rPr>
                <w:sz w:val="20"/>
                <w:szCs w:val="20"/>
              </w:rPr>
            </w:pPr>
          </w:p>
          <w:p w:rsidR="00A02950" w:rsidRDefault="008925B8" w:rsidP="008925B8">
            <w:pPr>
              <w:rPr>
                <w:sz w:val="20"/>
                <w:szCs w:val="20"/>
              </w:rPr>
            </w:pPr>
            <w:r>
              <w:rPr>
                <w:sz w:val="20"/>
                <w:szCs w:val="20"/>
              </w:rPr>
              <w:t xml:space="preserve">and between </w:t>
            </w:r>
          </w:p>
          <w:p w:rsidR="003D61A6" w:rsidRDefault="003D61A6" w:rsidP="008925B8">
            <w:pPr>
              <w:rPr>
                <w:sz w:val="20"/>
                <w:szCs w:val="20"/>
              </w:rPr>
            </w:pPr>
          </w:p>
          <w:p w:rsidR="00FE0E06" w:rsidRPr="00A935AA" w:rsidRDefault="00FE0E06" w:rsidP="00FE0E06">
            <w:pPr>
              <w:rPr>
                <w:b/>
                <w:sz w:val="20"/>
                <w:szCs w:val="20"/>
              </w:rPr>
            </w:pPr>
            <w:r>
              <w:rPr>
                <w:b/>
                <w:sz w:val="20"/>
                <w:szCs w:val="20"/>
              </w:rPr>
              <w:t xml:space="preserve">Shaw Communications Inc. </w:t>
            </w:r>
          </w:p>
          <w:p w:rsidR="003D61A6" w:rsidRPr="00A935AA" w:rsidRDefault="00FE0E06" w:rsidP="00FE0E06">
            <w:pPr>
              <w:tabs>
                <w:tab w:val="left" w:pos="-1440"/>
                <w:tab w:val="left" w:pos="-720"/>
              </w:tabs>
              <w:rPr>
                <w:sz w:val="20"/>
                <w:szCs w:val="20"/>
              </w:rPr>
            </w:pPr>
            <w:r w:rsidRPr="00A935AA">
              <w:rPr>
                <w:sz w:val="20"/>
                <w:szCs w:val="20"/>
              </w:rPr>
              <w:tab/>
            </w:r>
            <w:r>
              <w:rPr>
                <w:sz w:val="20"/>
                <w:szCs w:val="20"/>
              </w:rPr>
              <w:t>Kent E. Thomson</w:t>
            </w:r>
          </w:p>
        </w:tc>
        <w:tc>
          <w:tcPr>
            <w:tcW w:w="1181" w:type="dxa"/>
            <w:shd w:val="clear" w:color="auto" w:fill="auto"/>
          </w:tcPr>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Default="00A02950" w:rsidP="00242AEE">
            <w:pPr>
              <w:jc w:val="center"/>
              <w:rPr>
                <w:sz w:val="20"/>
                <w:szCs w:val="20"/>
              </w:rPr>
            </w:pPr>
          </w:p>
          <w:p w:rsidR="003D61A6" w:rsidRDefault="003D61A6" w:rsidP="00242AEE">
            <w:pPr>
              <w:jc w:val="center"/>
              <w:rPr>
                <w:sz w:val="20"/>
                <w:szCs w:val="20"/>
              </w:rPr>
            </w:pPr>
          </w:p>
          <w:p w:rsidR="003D61A6" w:rsidRPr="00A935AA" w:rsidRDefault="003D61A6" w:rsidP="00242AEE">
            <w:pPr>
              <w:jc w:val="center"/>
              <w:rPr>
                <w:sz w:val="20"/>
                <w:szCs w:val="20"/>
              </w:rPr>
            </w:pPr>
          </w:p>
          <w:p w:rsidR="00A02950" w:rsidRPr="00A935AA" w:rsidRDefault="00A02950" w:rsidP="00242AEE">
            <w:pPr>
              <w:jc w:val="center"/>
              <w:rPr>
                <w:sz w:val="20"/>
                <w:szCs w:val="20"/>
              </w:rPr>
            </w:pPr>
          </w:p>
        </w:tc>
        <w:tc>
          <w:tcPr>
            <w:tcW w:w="4320" w:type="dxa"/>
            <w:shd w:val="clear" w:color="auto" w:fill="auto"/>
          </w:tcPr>
          <w:p w:rsidR="003D61A6" w:rsidRDefault="003D61A6" w:rsidP="00A53406">
            <w:pPr>
              <w:keepNext/>
              <w:keepLines/>
              <w:tabs>
                <w:tab w:val="left" w:pos="-1440"/>
                <w:tab w:val="left" w:pos="-720"/>
              </w:tabs>
              <w:rPr>
                <w:b/>
                <w:sz w:val="20"/>
                <w:szCs w:val="20"/>
              </w:rPr>
            </w:pPr>
          </w:p>
          <w:p w:rsidR="00A02950" w:rsidRDefault="003D61A6" w:rsidP="00A53406">
            <w:pPr>
              <w:keepNext/>
              <w:keepLines/>
              <w:tabs>
                <w:tab w:val="left" w:pos="-1440"/>
                <w:tab w:val="left" w:pos="-720"/>
              </w:tabs>
              <w:rPr>
                <w:b/>
                <w:sz w:val="20"/>
                <w:szCs w:val="20"/>
              </w:rPr>
            </w:pPr>
            <w:r>
              <w:rPr>
                <w:b/>
                <w:sz w:val="20"/>
                <w:szCs w:val="20"/>
              </w:rPr>
              <w:t>A.O.</w:t>
            </w:r>
          </w:p>
          <w:p w:rsidR="00A02950" w:rsidRPr="00A935AA" w:rsidRDefault="00A02950" w:rsidP="00A53406">
            <w:pPr>
              <w:keepNext/>
              <w:keepLines/>
              <w:tabs>
                <w:tab w:val="left" w:pos="-1440"/>
                <w:tab w:val="left" w:pos="-720"/>
              </w:tabs>
              <w:rPr>
                <w:sz w:val="20"/>
                <w:szCs w:val="20"/>
              </w:rPr>
            </w:pPr>
            <w:r w:rsidRPr="00A935AA">
              <w:rPr>
                <w:sz w:val="20"/>
                <w:szCs w:val="20"/>
              </w:rPr>
              <w:tab/>
            </w:r>
            <w:r w:rsidR="003D61A6">
              <w:rPr>
                <w:sz w:val="20"/>
                <w:szCs w:val="20"/>
              </w:rPr>
              <w:t>Edward L. Greenspan, Q.C.</w:t>
            </w:r>
          </w:p>
          <w:p w:rsidR="00A02950" w:rsidRPr="00A935AA" w:rsidRDefault="00A02950" w:rsidP="00A53406">
            <w:pPr>
              <w:keepNext/>
              <w:keepLines/>
              <w:tabs>
                <w:tab w:val="left" w:pos="-1440"/>
                <w:tab w:val="left" w:pos="-720"/>
              </w:tabs>
              <w:rPr>
                <w:sz w:val="20"/>
                <w:szCs w:val="20"/>
              </w:rPr>
            </w:pPr>
            <w:r w:rsidRPr="00A935AA">
              <w:rPr>
                <w:sz w:val="20"/>
                <w:szCs w:val="20"/>
              </w:rPr>
              <w:tab/>
            </w:r>
            <w:r w:rsidR="003D61A6">
              <w:rPr>
                <w:sz w:val="20"/>
                <w:szCs w:val="20"/>
              </w:rPr>
              <w:t>Greenspan Partners</w:t>
            </w:r>
          </w:p>
          <w:p w:rsidR="00A02950" w:rsidRPr="00A935AA" w:rsidRDefault="00A02950" w:rsidP="00A53406">
            <w:pPr>
              <w:keepNext/>
              <w:keepLines/>
              <w:tabs>
                <w:tab w:val="left" w:pos="-1440"/>
                <w:tab w:val="left" w:pos="-720"/>
              </w:tabs>
              <w:rPr>
                <w:sz w:val="20"/>
                <w:szCs w:val="20"/>
              </w:rPr>
            </w:pPr>
          </w:p>
          <w:p w:rsidR="00A02950" w:rsidRPr="008925B8" w:rsidRDefault="00A02950" w:rsidP="00A53406">
            <w:pPr>
              <w:keepNext/>
              <w:keepLines/>
              <w:tabs>
                <w:tab w:val="left" w:pos="-1440"/>
                <w:tab w:val="left" w:pos="-720"/>
              </w:tabs>
              <w:rPr>
                <w:sz w:val="20"/>
                <w:szCs w:val="20"/>
              </w:rPr>
            </w:pPr>
            <w:r w:rsidRPr="00A935AA">
              <w:rPr>
                <w:sz w:val="20"/>
                <w:szCs w:val="20"/>
              </w:rPr>
              <w:tab/>
            </w:r>
            <w:r w:rsidRPr="008925B8">
              <w:rPr>
                <w:sz w:val="20"/>
                <w:szCs w:val="20"/>
              </w:rPr>
              <w:t>v. (34</w:t>
            </w:r>
            <w:r w:rsidR="003D61A6">
              <w:rPr>
                <w:sz w:val="20"/>
                <w:szCs w:val="20"/>
              </w:rPr>
              <w:t>217</w:t>
            </w:r>
            <w:r w:rsidRPr="008925B8">
              <w:rPr>
                <w:sz w:val="20"/>
                <w:szCs w:val="20"/>
              </w:rPr>
              <w:t>)</w:t>
            </w:r>
          </w:p>
          <w:p w:rsidR="00A02950" w:rsidRPr="008925B8" w:rsidRDefault="00A02950" w:rsidP="00A53406">
            <w:pPr>
              <w:keepNext/>
              <w:keepLines/>
              <w:tabs>
                <w:tab w:val="left" w:pos="-1440"/>
                <w:tab w:val="left" w:pos="-720"/>
              </w:tabs>
              <w:rPr>
                <w:sz w:val="20"/>
                <w:szCs w:val="20"/>
              </w:rPr>
            </w:pPr>
          </w:p>
          <w:p w:rsidR="00A02950" w:rsidRPr="008925B8" w:rsidRDefault="003D61A6" w:rsidP="00A53406">
            <w:pPr>
              <w:keepNext/>
              <w:keepLines/>
              <w:tabs>
                <w:tab w:val="left" w:pos="-1440"/>
                <w:tab w:val="left" w:pos="-720"/>
              </w:tabs>
              <w:rPr>
                <w:b/>
                <w:sz w:val="20"/>
                <w:szCs w:val="20"/>
              </w:rPr>
            </w:pPr>
            <w:r>
              <w:rPr>
                <w:b/>
                <w:sz w:val="20"/>
                <w:szCs w:val="20"/>
              </w:rPr>
              <w:t xml:space="preserve">Her Majesty the Queen </w:t>
            </w:r>
            <w:r w:rsidR="00A02950" w:rsidRPr="008925B8">
              <w:rPr>
                <w:b/>
                <w:sz w:val="20"/>
                <w:szCs w:val="20"/>
              </w:rPr>
              <w:t>(Ont.)</w:t>
            </w:r>
          </w:p>
          <w:p w:rsidR="00A02950" w:rsidRPr="008925B8" w:rsidRDefault="00A02950" w:rsidP="00A53406">
            <w:pPr>
              <w:keepNext/>
              <w:keepLines/>
              <w:tabs>
                <w:tab w:val="left" w:pos="-1440"/>
                <w:tab w:val="left" w:pos="-720"/>
              </w:tabs>
              <w:rPr>
                <w:sz w:val="20"/>
                <w:szCs w:val="20"/>
              </w:rPr>
            </w:pPr>
            <w:r w:rsidRPr="008925B8">
              <w:rPr>
                <w:sz w:val="20"/>
                <w:szCs w:val="20"/>
              </w:rPr>
              <w:tab/>
            </w:r>
            <w:r w:rsidR="003D61A6">
              <w:rPr>
                <w:sz w:val="20"/>
                <w:szCs w:val="20"/>
              </w:rPr>
              <w:t>Kimberley Crosbie</w:t>
            </w:r>
          </w:p>
          <w:p w:rsidR="00A02950" w:rsidRPr="008925B8" w:rsidRDefault="00A02950" w:rsidP="00A53406">
            <w:pPr>
              <w:keepNext/>
              <w:keepLines/>
              <w:tabs>
                <w:tab w:val="left" w:pos="-1440"/>
                <w:tab w:val="left" w:pos="-720"/>
              </w:tabs>
              <w:rPr>
                <w:sz w:val="20"/>
                <w:szCs w:val="20"/>
              </w:rPr>
            </w:pPr>
            <w:r w:rsidRPr="008925B8">
              <w:rPr>
                <w:sz w:val="20"/>
                <w:szCs w:val="20"/>
              </w:rPr>
              <w:tab/>
            </w:r>
            <w:r w:rsidR="003D61A6">
              <w:rPr>
                <w:sz w:val="20"/>
                <w:szCs w:val="20"/>
              </w:rPr>
              <w:t>A.G. of Ontario</w:t>
            </w:r>
          </w:p>
          <w:p w:rsidR="00A02950" w:rsidRPr="008925B8" w:rsidRDefault="00A02950" w:rsidP="00A53406">
            <w:pPr>
              <w:keepNext/>
              <w:keepLines/>
              <w:tabs>
                <w:tab w:val="left" w:pos="-1440"/>
                <w:tab w:val="left" w:pos="-720"/>
              </w:tabs>
              <w:rPr>
                <w:sz w:val="20"/>
                <w:szCs w:val="20"/>
              </w:rPr>
            </w:pPr>
          </w:p>
          <w:p w:rsidR="00A02950" w:rsidRPr="00A935AA" w:rsidRDefault="00A02950" w:rsidP="003D61A6">
            <w:pPr>
              <w:rPr>
                <w:sz w:val="20"/>
                <w:szCs w:val="20"/>
              </w:rPr>
            </w:pPr>
            <w:r w:rsidRPr="00A935AA">
              <w:rPr>
                <w:sz w:val="20"/>
                <w:szCs w:val="20"/>
              </w:rPr>
              <w:t>FILING DATE: 2</w:t>
            </w:r>
            <w:r w:rsidR="003D61A6">
              <w:rPr>
                <w:sz w:val="20"/>
                <w:szCs w:val="20"/>
              </w:rPr>
              <w:t>1</w:t>
            </w:r>
            <w:r w:rsidRPr="00A935AA">
              <w:rPr>
                <w:sz w:val="20"/>
                <w:szCs w:val="20"/>
              </w:rPr>
              <w:t>.0</w:t>
            </w:r>
            <w:r w:rsidR="003D61A6">
              <w:rPr>
                <w:sz w:val="20"/>
                <w:szCs w:val="20"/>
              </w:rPr>
              <w:t>4</w:t>
            </w:r>
            <w:r w:rsidRPr="00A935AA">
              <w:rPr>
                <w:sz w:val="20"/>
                <w:szCs w:val="20"/>
              </w:rPr>
              <w:t>.201</w:t>
            </w:r>
            <w:r>
              <w:rPr>
                <w:sz w:val="20"/>
                <w:szCs w:val="20"/>
              </w:rPr>
              <w:t>1</w:t>
            </w:r>
            <w:r w:rsidR="008C2B81" w:rsidRPr="008C2B81">
              <w:rPr>
                <w:sz w:val="20"/>
                <w:szCs w:val="20"/>
                <w:lang w:val="fr-CA"/>
              </w:rPr>
              <w:pict>
                <v:rect id="_x0000_i1026" style="width:108pt;height:1pt" o:hrpct="0" o:hralign="center" o:hrstd="t" o:hrnoshade="t" o:hr="t" fillcolor="black [3213]" stroked="f"/>
              </w:pict>
            </w:r>
          </w:p>
        </w:tc>
      </w:tr>
      <w:tr w:rsidR="00A02950" w:rsidRPr="00A935AA" w:rsidTr="003B3977">
        <w:tc>
          <w:tcPr>
            <w:tcW w:w="4320" w:type="dxa"/>
            <w:shd w:val="clear" w:color="auto" w:fill="auto"/>
          </w:tcPr>
          <w:p w:rsidR="00A02950" w:rsidRPr="00A935AA" w:rsidRDefault="00A02950" w:rsidP="00A53406">
            <w:pPr>
              <w:tabs>
                <w:tab w:val="left" w:pos="-1440"/>
                <w:tab w:val="left" w:pos="-720"/>
              </w:tabs>
              <w:rPr>
                <w:sz w:val="20"/>
                <w:szCs w:val="20"/>
              </w:rPr>
            </w:pPr>
            <w:r w:rsidRPr="00A935AA">
              <w:rPr>
                <w:sz w:val="20"/>
                <w:szCs w:val="20"/>
              </w:rPr>
              <w:tab/>
            </w:r>
            <w:r w:rsidR="008925B8">
              <w:rPr>
                <w:sz w:val="20"/>
                <w:szCs w:val="20"/>
              </w:rPr>
              <w:t>Davies Ward Phillips &amp; Vineberg LLP</w:t>
            </w:r>
          </w:p>
          <w:p w:rsidR="00A02950" w:rsidRPr="00A935AA" w:rsidRDefault="00A02950" w:rsidP="00A53406">
            <w:pPr>
              <w:tabs>
                <w:tab w:val="left" w:pos="-1440"/>
                <w:tab w:val="left" w:pos="-720"/>
              </w:tabs>
              <w:rPr>
                <w:sz w:val="20"/>
                <w:szCs w:val="20"/>
              </w:rPr>
            </w:pPr>
          </w:p>
          <w:p w:rsidR="00A02950" w:rsidRPr="00A9165A" w:rsidRDefault="00A02950" w:rsidP="00A53406">
            <w:pPr>
              <w:tabs>
                <w:tab w:val="left" w:pos="-1440"/>
                <w:tab w:val="left" w:pos="-720"/>
              </w:tabs>
              <w:rPr>
                <w:sz w:val="20"/>
                <w:szCs w:val="20"/>
              </w:rPr>
            </w:pPr>
            <w:r w:rsidRPr="00A935AA">
              <w:rPr>
                <w:sz w:val="20"/>
                <w:szCs w:val="20"/>
              </w:rPr>
              <w:tab/>
            </w:r>
            <w:r w:rsidRPr="00A9165A">
              <w:rPr>
                <w:sz w:val="20"/>
                <w:szCs w:val="20"/>
              </w:rPr>
              <w:t>v. (34</w:t>
            </w:r>
            <w:r w:rsidR="008925B8" w:rsidRPr="00A9165A">
              <w:rPr>
                <w:sz w:val="20"/>
                <w:szCs w:val="20"/>
              </w:rPr>
              <w:t>231</w:t>
            </w:r>
            <w:r w:rsidRPr="00A9165A">
              <w:rPr>
                <w:sz w:val="20"/>
                <w:szCs w:val="20"/>
              </w:rPr>
              <w:t>)</w:t>
            </w:r>
          </w:p>
          <w:p w:rsidR="00A02950" w:rsidRPr="00A9165A" w:rsidRDefault="00A02950" w:rsidP="00A53406">
            <w:pPr>
              <w:tabs>
                <w:tab w:val="left" w:pos="-1440"/>
                <w:tab w:val="left" w:pos="-720"/>
              </w:tabs>
              <w:rPr>
                <w:sz w:val="20"/>
                <w:szCs w:val="20"/>
              </w:rPr>
            </w:pPr>
          </w:p>
          <w:p w:rsidR="00A02950" w:rsidRPr="00A9165A" w:rsidRDefault="008925B8" w:rsidP="00A53406">
            <w:pPr>
              <w:tabs>
                <w:tab w:val="left" w:pos="-1440"/>
                <w:tab w:val="left" w:pos="-720"/>
              </w:tabs>
              <w:rPr>
                <w:b/>
                <w:sz w:val="20"/>
                <w:szCs w:val="20"/>
                <w:lang w:val="fr-CA"/>
              </w:rPr>
            </w:pPr>
            <w:r w:rsidRPr="008925B8">
              <w:rPr>
                <w:b/>
                <w:sz w:val="20"/>
                <w:szCs w:val="20"/>
                <w:lang w:val="fr-CA"/>
              </w:rPr>
              <w:t xml:space="preserve">Bell Canada et al. </w:t>
            </w:r>
            <w:r w:rsidR="00A02950" w:rsidRPr="00A9165A">
              <w:rPr>
                <w:b/>
                <w:sz w:val="20"/>
                <w:szCs w:val="20"/>
                <w:lang w:val="fr-CA"/>
              </w:rPr>
              <w:t>(</w:t>
            </w:r>
            <w:r w:rsidRPr="00A9165A">
              <w:rPr>
                <w:b/>
                <w:sz w:val="20"/>
                <w:szCs w:val="20"/>
                <w:lang w:val="fr-CA"/>
              </w:rPr>
              <w:t>F</w:t>
            </w:r>
            <w:r w:rsidR="00A02950" w:rsidRPr="00A9165A">
              <w:rPr>
                <w:b/>
                <w:sz w:val="20"/>
                <w:szCs w:val="20"/>
                <w:lang w:val="fr-CA"/>
              </w:rPr>
              <w:t>.C.)</w:t>
            </w:r>
          </w:p>
          <w:p w:rsidR="008925B8" w:rsidRPr="008925B8" w:rsidRDefault="00A02950" w:rsidP="008925B8">
            <w:pPr>
              <w:tabs>
                <w:tab w:val="left" w:pos="-1440"/>
                <w:tab w:val="left" w:pos="-720"/>
              </w:tabs>
              <w:rPr>
                <w:sz w:val="20"/>
                <w:szCs w:val="20"/>
              </w:rPr>
            </w:pPr>
            <w:r w:rsidRPr="00A9165A">
              <w:rPr>
                <w:sz w:val="20"/>
                <w:szCs w:val="20"/>
                <w:lang w:val="fr-CA"/>
              </w:rPr>
              <w:tab/>
            </w:r>
            <w:r w:rsidR="008925B8" w:rsidRPr="008925B8">
              <w:rPr>
                <w:sz w:val="20"/>
                <w:szCs w:val="20"/>
              </w:rPr>
              <w:t>Denis E. Henry</w:t>
            </w:r>
          </w:p>
          <w:p w:rsidR="008925B8" w:rsidRPr="008925B8" w:rsidRDefault="008925B8" w:rsidP="008925B8">
            <w:pPr>
              <w:tabs>
                <w:tab w:val="left" w:pos="-1440"/>
                <w:tab w:val="left" w:pos="-720"/>
              </w:tabs>
              <w:rPr>
                <w:sz w:val="20"/>
                <w:szCs w:val="20"/>
              </w:rPr>
            </w:pPr>
            <w:r w:rsidRPr="008925B8">
              <w:rPr>
                <w:sz w:val="20"/>
                <w:szCs w:val="20"/>
              </w:rPr>
              <w:tab/>
              <w:t>Bell Canada</w:t>
            </w:r>
          </w:p>
          <w:p w:rsidR="00A02950" w:rsidRPr="00A935AA" w:rsidRDefault="00A02950" w:rsidP="00A53406">
            <w:pPr>
              <w:tabs>
                <w:tab w:val="left" w:pos="-1440"/>
                <w:tab w:val="left" w:pos="-720"/>
              </w:tabs>
              <w:rPr>
                <w:sz w:val="20"/>
                <w:szCs w:val="20"/>
              </w:rPr>
            </w:pPr>
          </w:p>
          <w:p w:rsidR="00A02950" w:rsidRPr="00A935AA" w:rsidRDefault="00A02950" w:rsidP="00A53406">
            <w:pPr>
              <w:rPr>
                <w:sz w:val="20"/>
                <w:szCs w:val="20"/>
              </w:rPr>
            </w:pPr>
            <w:r w:rsidRPr="00A935AA">
              <w:rPr>
                <w:sz w:val="20"/>
                <w:szCs w:val="20"/>
              </w:rPr>
              <w:t>FILING DATE: 2</w:t>
            </w:r>
            <w:r w:rsidR="008925B8">
              <w:rPr>
                <w:sz w:val="20"/>
                <w:szCs w:val="20"/>
              </w:rPr>
              <w:t>9</w:t>
            </w:r>
            <w:r w:rsidRPr="00A935AA">
              <w:rPr>
                <w:sz w:val="20"/>
                <w:szCs w:val="20"/>
              </w:rPr>
              <w:t>.0</w:t>
            </w:r>
            <w:r w:rsidR="008925B8">
              <w:rPr>
                <w:sz w:val="20"/>
                <w:szCs w:val="20"/>
              </w:rPr>
              <w:t>4</w:t>
            </w:r>
            <w:r w:rsidRPr="00A935AA">
              <w:rPr>
                <w:sz w:val="20"/>
                <w:szCs w:val="20"/>
              </w:rPr>
              <w:t>.201</w:t>
            </w:r>
            <w:r>
              <w:rPr>
                <w:sz w:val="20"/>
                <w:szCs w:val="20"/>
              </w:rPr>
              <w:t>1</w:t>
            </w:r>
          </w:p>
          <w:p w:rsidR="00A02950" w:rsidRPr="00A935AA" w:rsidRDefault="008C2B81" w:rsidP="00A53406">
            <w:pPr>
              <w:rPr>
                <w:sz w:val="20"/>
                <w:szCs w:val="20"/>
              </w:rPr>
            </w:pPr>
            <w:r w:rsidRPr="008C2B81">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tc>
        <w:tc>
          <w:tcPr>
            <w:tcW w:w="4320" w:type="dxa"/>
            <w:shd w:val="clear" w:color="auto" w:fill="auto"/>
          </w:tcPr>
          <w:p w:rsidR="00A02950" w:rsidRPr="00A935AA" w:rsidRDefault="00FE0E06" w:rsidP="00A53406">
            <w:pPr>
              <w:keepNext/>
              <w:keepLines/>
              <w:tabs>
                <w:tab w:val="left" w:pos="-1440"/>
                <w:tab w:val="left" w:pos="-720"/>
              </w:tabs>
              <w:rPr>
                <w:b/>
                <w:sz w:val="20"/>
                <w:szCs w:val="20"/>
              </w:rPr>
            </w:pPr>
            <w:r>
              <w:rPr>
                <w:b/>
                <w:sz w:val="20"/>
                <w:szCs w:val="20"/>
              </w:rPr>
              <w:t>P.C.</w:t>
            </w:r>
          </w:p>
          <w:p w:rsidR="00A02950" w:rsidRPr="00A935AA" w:rsidRDefault="00A02950" w:rsidP="00A53406">
            <w:pPr>
              <w:keepNext/>
              <w:keepLines/>
              <w:tabs>
                <w:tab w:val="left" w:pos="-1440"/>
                <w:tab w:val="left" w:pos="-720"/>
              </w:tabs>
              <w:rPr>
                <w:sz w:val="20"/>
                <w:szCs w:val="20"/>
              </w:rPr>
            </w:pPr>
            <w:r w:rsidRPr="00A935AA">
              <w:rPr>
                <w:sz w:val="20"/>
                <w:szCs w:val="20"/>
              </w:rPr>
              <w:tab/>
            </w:r>
            <w:r w:rsidR="00FE0E06">
              <w:rPr>
                <w:sz w:val="20"/>
                <w:szCs w:val="20"/>
              </w:rPr>
              <w:t>P.C.</w:t>
            </w:r>
          </w:p>
          <w:p w:rsidR="00A02950" w:rsidRPr="00A935AA" w:rsidRDefault="00A02950" w:rsidP="00A53406">
            <w:pPr>
              <w:keepNext/>
              <w:keepLines/>
              <w:tabs>
                <w:tab w:val="left" w:pos="-1440"/>
                <w:tab w:val="left" w:pos="-720"/>
              </w:tabs>
              <w:rPr>
                <w:sz w:val="20"/>
                <w:szCs w:val="20"/>
              </w:rPr>
            </w:pPr>
          </w:p>
          <w:p w:rsidR="00A02950" w:rsidRPr="008925B8" w:rsidRDefault="00A02950" w:rsidP="00A53406">
            <w:pPr>
              <w:keepNext/>
              <w:keepLines/>
              <w:tabs>
                <w:tab w:val="left" w:pos="-1440"/>
                <w:tab w:val="left" w:pos="-720"/>
              </w:tabs>
              <w:rPr>
                <w:sz w:val="20"/>
                <w:szCs w:val="20"/>
              </w:rPr>
            </w:pPr>
            <w:r w:rsidRPr="00A935AA">
              <w:rPr>
                <w:sz w:val="20"/>
                <w:szCs w:val="20"/>
              </w:rPr>
              <w:tab/>
            </w:r>
            <w:r w:rsidRPr="008925B8">
              <w:rPr>
                <w:sz w:val="20"/>
                <w:szCs w:val="20"/>
              </w:rPr>
              <w:t>v. (34</w:t>
            </w:r>
            <w:r w:rsidR="00FE0E06">
              <w:rPr>
                <w:sz w:val="20"/>
                <w:szCs w:val="20"/>
              </w:rPr>
              <w:t>259</w:t>
            </w:r>
            <w:r w:rsidRPr="008925B8">
              <w:rPr>
                <w:sz w:val="20"/>
                <w:szCs w:val="20"/>
              </w:rPr>
              <w:t>)</w:t>
            </w:r>
          </w:p>
          <w:p w:rsidR="00A02950" w:rsidRPr="008925B8" w:rsidRDefault="00A02950" w:rsidP="00A53406">
            <w:pPr>
              <w:keepNext/>
              <w:keepLines/>
              <w:tabs>
                <w:tab w:val="left" w:pos="-1440"/>
                <w:tab w:val="left" w:pos="-720"/>
              </w:tabs>
              <w:rPr>
                <w:sz w:val="20"/>
                <w:szCs w:val="20"/>
              </w:rPr>
            </w:pPr>
          </w:p>
          <w:p w:rsidR="00A02950" w:rsidRPr="008925B8" w:rsidRDefault="00FE0E06" w:rsidP="00A53406">
            <w:pPr>
              <w:keepNext/>
              <w:keepLines/>
              <w:tabs>
                <w:tab w:val="left" w:pos="-1440"/>
                <w:tab w:val="left" w:pos="-720"/>
              </w:tabs>
              <w:rPr>
                <w:b/>
                <w:sz w:val="20"/>
                <w:szCs w:val="20"/>
              </w:rPr>
            </w:pPr>
            <w:r>
              <w:rPr>
                <w:b/>
                <w:sz w:val="20"/>
                <w:szCs w:val="20"/>
              </w:rPr>
              <w:t xml:space="preserve">P.M. </w:t>
            </w:r>
            <w:r w:rsidR="00A02950" w:rsidRPr="008925B8">
              <w:rPr>
                <w:b/>
                <w:sz w:val="20"/>
                <w:szCs w:val="20"/>
              </w:rPr>
              <w:t>(</w:t>
            </w:r>
            <w:r>
              <w:rPr>
                <w:b/>
                <w:sz w:val="20"/>
                <w:szCs w:val="20"/>
              </w:rPr>
              <w:t>Que</w:t>
            </w:r>
            <w:r w:rsidR="00A02950" w:rsidRPr="008925B8">
              <w:rPr>
                <w:b/>
                <w:sz w:val="20"/>
                <w:szCs w:val="20"/>
              </w:rPr>
              <w:t>.)</w:t>
            </w:r>
          </w:p>
          <w:p w:rsidR="00A02950" w:rsidRPr="008925B8" w:rsidRDefault="00A02950" w:rsidP="00A53406">
            <w:pPr>
              <w:keepNext/>
              <w:keepLines/>
              <w:tabs>
                <w:tab w:val="left" w:pos="-1440"/>
                <w:tab w:val="left" w:pos="-720"/>
              </w:tabs>
              <w:rPr>
                <w:sz w:val="20"/>
                <w:szCs w:val="20"/>
              </w:rPr>
            </w:pPr>
            <w:r w:rsidRPr="008925B8">
              <w:rPr>
                <w:sz w:val="20"/>
                <w:szCs w:val="20"/>
              </w:rPr>
              <w:tab/>
            </w:r>
            <w:r w:rsidR="00FE0E06">
              <w:rPr>
                <w:sz w:val="20"/>
                <w:szCs w:val="20"/>
              </w:rPr>
              <w:t>Gerald Stotland</w:t>
            </w:r>
          </w:p>
          <w:p w:rsidR="00A02950" w:rsidRPr="008925B8" w:rsidRDefault="00A02950" w:rsidP="00A53406">
            <w:pPr>
              <w:keepNext/>
              <w:keepLines/>
              <w:tabs>
                <w:tab w:val="left" w:pos="-1440"/>
                <w:tab w:val="left" w:pos="-720"/>
              </w:tabs>
              <w:rPr>
                <w:sz w:val="20"/>
                <w:szCs w:val="20"/>
              </w:rPr>
            </w:pPr>
            <w:r w:rsidRPr="008925B8">
              <w:rPr>
                <w:sz w:val="20"/>
                <w:szCs w:val="20"/>
              </w:rPr>
              <w:tab/>
            </w:r>
            <w:r w:rsidR="00FE0E06">
              <w:rPr>
                <w:sz w:val="20"/>
                <w:szCs w:val="20"/>
              </w:rPr>
              <w:t>Lavery, de Billy</w:t>
            </w:r>
          </w:p>
          <w:p w:rsidR="00A02950" w:rsidRPr="008925B8" w:rsidRDefault="00A02950" w:rsidP="00A53406">
            <w:pPr>
              <w:keepNext/>
              <w:keepLines/>
              <w:tabs>
                <w:tab w:val="left" w:pos="-1440"/>
                <w:tab w:val="left" w:pos="-720"/>
              </w:tabs>
              <w:rPr>
                <w:sz w:val="20"/>
                <w:szCs w:val="20"/>
              </w:rPr>
            </w:pPr>
          </w:p>
          <w:p w:rsidR="00A02950" w:rsidRPr="00A935AA" w:rsidRDefault="00A02950" w:rsidP="00FE0E06">
            <w:pPr>
              <w:rPr>
                <w:sz w:val="20"/>
                <w:szCs w:val="20"/>
              </w:rPr>
            </w:pPr>
            <w:r w:rsidRPr="00A935AA">
              <w:rPr>
                <w:sz w:val="20"/>
                <w:szCs w:val="20"/>
              </w:rPr>
              <w:t>FILING DATE: 2</w:t>
            </w:r>
            <w:r w:rsidR="00FE0E06">
              <w:rPr>
                <w:sz w:val="20"/>
                <w:szCs w:val="20"/>
              </w:rPr>
              <w:t>6</w:t>
            </w:r>
            <w:r w:rsidRPr="00A935AA">
              <w:rPr>
                <w:sz w:val="20"/>
                <w:szCs w:val="20"/>
              </w:rPr>
              <w:t>.0</w:t>
            </w:r>
            <w:r w:rsidR="00FE0E06">
              <w:rPr>
                <w:sz w:val="20"/>
                <w:szCs w:val="20"/>
              </w:rPr>
              <w:t>4</w:t>
            </w:r>
            <w:r w:rsidRPr="00A935AA">
              <w:rPr>
                <w:sz w:val="20"/>
                <w:szCs w:val="20"/>
              </w:rPr>
              <w:t>.201</w:t>
            </w:r>
            <w:r>
              <w:rPr>
                <w:sz w:val="20"/>
                <w:szCs w:val="20"/>
              </w:rPr>
              <w:t>1</w:t>
            </w:r>
            <w:r w:rsidR="008C2B81" w:rsidRPr="008C2B81">
              <w:rPr>
                <w:sz w:val="20"/>
                <w:szCs w:val="20"/>
                <w:lang w:val="fr-CA"/>
              </w:rPr>
              <w:pict>
                <v:rect id="_x0000_i1028" style="width:108pt;height:1pt" o:hrpct="0" o:hralign="center" o:hrstd="t" o:hrnoshade="t" o:hr="t" fillcolor="black [3213]" stroked="f"/>
              </w:pict>
            </w:r>
          </w:p>
        </w:tc>
      </w:tr>
      <w:tr w:rsidR="00A02950" w:rsidRPr="00A935AA" w:rsidTr="003B3977">
        <w:trPr>
          <w:cantSplit/>
        </w:trPr>
        <w:tc>
          <w:tcPr>
            <w:tcW w:w="4320" w:type="dxa"/>
            <w:shd w:val="clear" w:color="auto" w:fill="auto"/>
          </w:tcPr>
          <w:p w:rsidR="00A02950" w:rsidRPr="00FE0E06" w:rsidRDefault="00FE0E06" w:rsidP="00A53406">
            <w:pPr>
              <w:rPr>
                <w:b/>
                <w:sz w:val="20"/>
                <w:szCs w:val="20"/>
                <w:lang w:val="fr-CA"/>
              </w:rPr>
            </w:pPr>
            <w:r w:rsidRPr="00FE0E06">
              <w:rPr>
                <w:b/>
                <w:sz w:val="20"/>
                <w:szCs w:val="20"/>
                <w:lang w:val="fr-CA"/>
              </w:rPr>
              <w:t>Sylvain Parent et al.</w:t>
            </w:r>
          </w:p>
          <w:p w:rsidR="00A02950" w:rsidRDefault="00A02950" w:rsidP="00A53406">
            <w:pPr>
              <w:tabs>
                <w:tab w:val="left" w:pos="-1440"/>
                <w:tab w:val="left" w:pos="-720"/>
              </w:tabs>
              <w:rPr>
                <w:sz w:val="20"/>
                <w:szCs w:val="20"/>
                <w:lang w:val="fr-CA"/>
              </w:rPr>
            </w:pPr>
            <w:r w:rsidRPr="00FE0E06">
              <w:rPr>
                <w:sz w:val="20"/>
                <w:szCs w:val="20"/>
                <w:lang w:val="fr-CA"/>
              </w:rPr>
              <w:tab/>
            </w:r>
            <w:r w:rsidR="00FE0E06" w:rsidRPr="00FE0E06">
              <w:rPr>
                <w:sz w:val="20"/>
                <w:szCs w:val="20"/>
                <w:lang w:val="fr-CA"/>
              </w:rPr>
              <w:t>Marie-France Major</w:t>
            </w:r>
          </w:p>
          <w:p w:rsidR="00FE0E06" w:rsidRPr="00FE0E06" w:rsidRDefault="00FE0E06" w:rsidP="00A53406">
            <w:pPr>
              <w:tabs>
                <w:tab w:val="left" w:pos="-1440"/>
                <w:tab w:val="left" w:pos="-720"/>
              </w:tabs>
              <w:rPr>
                <w:sz w:val="20"/>
                <w:szCs w:val="20"/>
              </w:rPr>
            </w:pPr>
            <w:r>
              <w:rPr>
                <w:sz w:val="20"/>
                <w:szCs w:val="20"/>
                <w:lang w:val="fr-CA"/>
              </w:rPr>
              <w:tab/>
            </w:r>
            <w:r w:rsidRPr="00FE0E06">
              <w:rPr>
                <w:sz w:val="20"/>
                <w:szCs w:val="20"/>
              </w:rPr>
              <w:t>McMillan LLP</w:t>
            </w:r>
          </w:p>
          <w:p w:rsidR="00A02950" w:rsidRPr="00FE0E06" w:rsidRDefault="00A02950" w:rsidP="00A53406">
            <w:pPr>
              <w:tabs>
                <w:tab w:val="left" w:pos="-1440"/>
                <w:tab w:val="left" w:pos="-720"/>
              </w:tabs>
              <w:rPr>
                <w:sz w:val="20"/>
                <w:szCs w:val="20"/>
              </w:rPr>
            </w:pPr>
          </w:p>
          <w:p w:rsidR="00A02950" w:rsidRPr="00A935AA" w:rsidRDefault="00A02950" w:rsidP="00A53406">
            <w:pPr>
              <w:tabs>
                <w:tab w:val="left" w:pos="-1440"/>
                <w:tab w:val="left" w:pos="-720"/>
              </w:tabs>
              <w:rPr>
                <w:sz w:val="20"/>
                <w:szCs w:val="20"/>
              </w:rPr>
            </w:pPr>
            <w:r w:rsidRPr="00FE0E06">
              <w:rPr>
                <w:sz w:val="20"/>
                <w:szCs w:val="20"/>
              </w:rPr>
              <w:tab/>
            </w:r>
            <w:r w:rsidRPr="00A935AA">
              <w:rPr>
                <w:sz w:val="20"/>
                <w:szCs w:val="20"/>
              </w:rPr>
              <w:t>v. (3</w:t>
            </w:r>
            <w:r>
              <w:rPr>
                <w:sz w:val="20"/>
                <w:szCs w:val="20"/>
              </w:rPr>
              <w:t>4</w:t>
            </w:r>
            <w:r w:rsidR="00FE0E06">
              <w:rPr>
                <w:sz w:val="20"/>
                <w:szCs w:val="20"/>
              </w:rPr>
              <w:t>225</w:t>
            </w:r>
            <w:r w:rsidRPr="00A935AA">
              <w:rPr>
                <w:sz w:val="20"/>
                <w:szCs w:val="20"/>
              </w:rPr>
              <w:t>)</w:t>
            </w:r>
          </w:p>
          <w:p w:rsidR="00A02950" w:rsidRPr="00A935AA" w:rsidRDefault="00A02950" w:rsidP="00A53406">
            <w:pPr>
              <w:tabs>
                <w:tab w:val="left" w:pos="-1440"/>
                <w:tab w:val="left" w:pos="-720"/>
              </w:tabs>
              <w:rPr>
                <w:sz w:val="20"/>
                <w:szCs w:val="20"/>
              </w:rPr>
            </w:pPr>
          </w:p>
          <w:p w:rsidR="00A02950" w:rsidRPr="00A935AA" w:rsidRDefault="00FE0E06" w:rsidP="00A53406">
            <w:pPr>
              <w:tabs>
                <w:tab w:val="left" w:pos="-1440"/>
                <w:tab w:val="left" w:pos="-720"/>
              </w:tabs>
              <w:rPr>
                <w:b/>
                <w:sz w:val="20"/>
                <w:szCs w:val="20"/>
              </w:rPr>
            </w:pPr>
            <w:r>
              <w:rPr>
                <w:b/>
                <w:sz w:val="20"/>
                <w:szCs w:val="20"/>
              </w:rPr>
              <w:t xml:space="preserve">A.G. of Canada </w:t>
            </w:r>
            <w:r w:rsidR="00A02950" w:rsidRPr="00A935AA">
              <w:rPr>
                <w:b/>
                <w:sz w:val="20"/>
                <w:szCs w:val="20"/>
              </w:rPr>
              <w:t>(</w:t>
            </w:r>
            <w:r>
              <w:rPr>
                <w:b/>
                <w:sz w:val="20"/>
                <w:szCs w:val="20"/>
              </w:rPr>
              <w:t>Ont</w:t>
            </w:r>
            <w:r w:rsidR="00A02950" w:rsidRPr="00A935AA">
              <w:rPr>
                <w:b/>
                <w:sz w:val="20"/>
                <w:szCs w:val="20"/>
              </w:rPr>
              <w:t>.)</w:t>
            </w:r>
          </w:p>
          <w:p w:rsidR="00A02950" w:rsidRPr="00A935AA" w:rsidRDefault="00A02950" w:rsidP="00A53406">
            <w:pPr>
              <w:tabs>
                <w:tab w:val="left" w:pos="-1440"/>
                <w:tab w:val="left" w:pos="-720"/>
              </w:tabs>
              <w:rPr>
                <w:sz w:val="20"/>
                <w:szCs w:val="20"/>
              </w:rPr>
            </w:pPr>
            <w:r w:rsidRPr="00A935AA">
              <w:rPr>
                <w:sz w:val="20"/>
                <w:szCs w:val="20"/>
              </w:rPr>
              <w:tab/>
            </w:r>
            <w:r w:rsidR="00FE0E06">
              <w:rPr>
                <w:sz w:val="20"/>
                <w:szCs w:val="20"/>
              </w:rPr>
              <w:t>William McDowell</w:t>
            </w:r>
          </w:p>
          <w:p w:rsidR="00D16ACB" w:rsidRDefault="00A02950" w:rsidP="00A53406">
            <w:pPr>
              <w:tabs>
                <w:tab w:val="left" w:pos="-1440"/>
                <w:tab w:val="left" w:pos="-720"/>
              </w:tabs>
              <w:rPr>
                <w:sz w:val="20"/>
                <w:szCs w:val="20"/>
              </w:rPr>
            </w:pPr>
            <w:r w:rsidRPr="00A935AA">
              <w:rPr>
                <w:sz w:val="20"/>
                <w:szCs w:val="20"/>
              </w:rPr>
              <w:tab/>
            </w:r>
            <w:r w:rsidR="00FE0E06">
              <w:rPr>
                <w:sz w:val="20"/>
                <w:szCs w:val="20"/>
              </w:rPr>
              <w:t xml:space="preserve">Lenczner Slaght Royce Smith </w:t>
            </w:r>
          </w:p>
          <w:p w:rsidR="00A02950" w:rsidRPr="00A935AA" w:rsidRDefault="00D16ACB" w:rsidP="00A53406">
            <w:pPr>
              <w:tabs>
                <w:tab w:val="left" w:pos="-1440"/>
                <w:tab w:val="left" w:pos="-720"/>
              </w:tabs>
              <w:rPr>
                <w:sz w:val="20"/>
                <w:szCs w:val="20"/>
              </w:rPr>
            </w:pPr>
            <w:r>
              <w:rPr>
                <w:sz w:val="20"/>
                <w:szCs w:val="20"/>
              </w:rPr>
              <w:tab/>
            </w:r>
            <w:r w:rsidR="00FE0E06">
              <w:rPr>
                <w:sz w:val="20"/>
                <w:szCs w:val="20"/>
              </w:rPr>
              <w:t>Griffin LLP</w:t>
            </w:r>
          </w:p>
          <w:p w:rsidR="00A02950" w:rsidRPr="00A935AA" w:rsidRDefault="00A02950" w:rsidP="00A53406">
            <w:pPr>
              <w:tabs>
                <w:tab w:val="left" w:pos="-1440"/>
                <w:tab w:val="left" w:pos="-720"/>
              </w:tabs>
              <w:rPr>
                <w:sz w:val="20"/>
                <w:szCs w:val="20"/>
              </w:rPr>
            </w:pPr>
          </w:p>
          <w:p w:rsidR="00A02950" w:rsidRPr="00A935AA" w:rsidRDefault="00A02950" w:rsidP="00A53406">
            <w:pPr>
              <w:rPr>
                <w:sz w:val="20"/>
                <w:szCs w:val="20"/>
              </w:rPr>
            </w:pPr>
            <w:r w:rsidRPr="00A935AA">
              <w:rPr>
                <w:sz w:val="20"/>
                <w:szCs w:val="20"/>
              </w:rPr>
              <w:t>FILING DATE: 2</w:t>
            </w:r>
            <w:r w:rsidR="00D16ACB">
              <w:rPr>
                <w:sz w:val="20"/>
                <w:szCs w:val="20"/>
              </w:rPr>
              <w:t>9</w:t>
            </w:r>
            <w:r w:rsidRPr="00A935AA">
              <w:rPr>
                <w:sz w:val="20"/>
                <w:szCs w:val="20"/>
              </w:rPr>
              <w:t>.0</w:t>
            </w:r>
            <w:r w:rsidR="00FE0E06">
              <w:rPr>
                <w:sz w:val="20"/>
                <w:szCs w:val="20"/>
              </w:rPr>
              <w:t>4</w:t>
            </w:r>
            <w:r w:rsidRPr="00A935AA">
              <w:rPr>
                <w:sz w:val="20"/>
                <w:szCs w:val="20"/>
              </w:rPr>
              <w:t>.201</w:t>
            </w:r>
            <w:r>
              <w:rPr>
                <w:sz w:val="20"/>
                <w:szCs w:val="20"/>
              </w:rPr>
              <w:t>1</w:t>
            </w:r>
          </w:p>
          <w:p w:rsidR="00A02950" w:rsidRPr="00A935AA" w:rsidRDefault="008C2B81" w:rsidP="00A53406">
            <w:pPr>
              <w:rPr>
                <w:sz w:val="20"/>
                <w:szCs w:val="20"/>
              </w:rPr>
            </w:pPr>
            <w:r w:rsidRPr="008C2B81">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tc>
        <w:tc>
          <w:tcPr>
            <w:tcW w:w="4320" w:type="dxa"/>
            <w:shd w:val="clear" w:color="auto" w:fill="auto"/>
          </w:tcPr>
          <w:p w:rsidR="00D16ACB" w:rsidRDefault="00D16ACB" w:rsidP="00A53406">
            <w:pPr>
              <w:keepNext/>
              <w:keepLines/>
              <w:tabs>
                <w:tab w:val="left" w:pos="-1440"/>
                <w:tab w:val="left" w:pos="-720"/>
              </w:tabs>
              <w:rPr>
                <w:b/>
                <w:sz w:val="20"/>
                <w:szCs w:val="20"/>
              </w:rPr>
            </w:pPr>
          </w:p>
          <w:p w:rsidR="00A02950" w:rsidRPr="00A935AA" w:rsidRDefault="00FE0E06" w:rsidP="00A53406">
            <w:pPr>
              <w:keepNext/>
              <w:keepLines/>
              <w:tabs>
                <w:tab w:val="left" w:pos="-1440"/>
                <w:tab w:val="left" w:pos="-720"/>
              </w:tabs>
              <w:rPr>
                <w:b/>
                <w:sz w:val="20"/>
                <w:szCs w:val="20"/>
              </w:rPr>
            </w:pPr>
            <w:r>
              <w:rPr>
                <w:b/>
                <w:sz w:val="20"/>
                <w:szCs w:val="20"/>
              </w:rPr>
              <w:t>D.V.B.</w:t>
            </w:r>
          </w:p>
          <w:p w:rsidR="00A02950" w:rsidRPr="00A935AA" w:rsidRDefault="00A02950" w:rsidP="00A53406">
            <w:pPr>
              <w:keepNext/>
              <w:keepLines/>
              <w:tabs>
                <w:tab w:val="left" w:pos="-1440"/>
                <w:tab w:val="left" w:pos="-720"/>
              </w:tabs>
              <w:rPr>
                <w:sz w:val="20"/>
                <w:szCs w:val="20"/>
              </w:rPr>
            </w:pPr>
            <w:r w:rsidRPr="00A935AA">
              <w:rPr>
                <w:sz w:val="20"/>
                <w:szCs w:val="20"/>
              </w:rPr>
              <w:tab/>
            </w:r>
            <w:r w:rsidR="00FE0E06">
              <w:rPr>
                <w:sz w:val="20"/>
                <w:szCs w:val="20"/>
              </w:rPr>
              <w:t>John Norris</w:t>
            </w:r>
          </w:p>
          <w:p w:rsidR="00A02950" w:rsidRPr="00A935AA" w:rsidRDefault="00A02950" w:rsidP="00A53406">
            <w:pPr>
              <w:keepNext/>
              <w:keepLines/>
              <w:tabs>
                <w:tab w:val="left" w:pos="-1440"/>
                <w:tab w:val="left" w:pos="-720"/>
              </w:tabs>
              <w:rPr>
                <w:sz w:val="20"/>
                <w:szCs w:val="20"/>
              </w:rPr>
            </w:pPr>
          </w:p>
          <w:p w:rsidR="00A02950" w:rsidRPr="00FE0E06" w:rsidRDefault="00A02950" w:rsidP="00A53406">
            <w:pPr>
              <w:keepNext/>
              <w:keepLines/>
              <w:tabs>
                <w:tab w:val="left" w:pos="-1440"/>
                <w:tab w:val="left" w:pos="-720"/>
              </w:tabs>
              <w:rPr>
                <w:sz w:val="20"/>
                <w:szCs w:val="20"/>
              </w:rPr>
            </w:pPr>
            <w:r w:rsidRPr="00A935AA">
              <w:rPr>
                <w:sz w:val="20"/>
                <w:szCs w:val="20"/>
              </w:rPr>
              <w:tab/>
            </w:r>
            <w:r w:rsidRPr="00FE0E06">
              <w:rPr>
                <w:sz w:val="20"/>
                <w:szCs w:val="20"/>
              </w:rPr>
              <w:t>v. (34</w:t>
            </w:r>
            <w:r w:rsidR="00FE0E06">
              <w:rPr>
                <w:sz w:val="20"/>
                <w:szCs w:val="20"/>
              </w:rPr>
              <w:t>227</w:t>
            </w:r>
            <w:r w:rsidRPr="00FE0E06">
              <w:rPr>
                <w:sz w:val="20"/>
                <w:szCs w:val="20"/>
              </w:rPr>
              <w:t>)</w:t>
            </w:r>
          </w:p>
          <w:p w:rsidR="00A02950" w:rsidRPr="00FE0E06" w:rsidRDefault="00A02950" w:rsidP="00A53406">
            <w:pPr>
              <w:keepNext/>
              <w:keepLines/>
              <w:tabs>
                <w:tab w:val="left" w:pos="-1440"/>
                <w:tab w:val="left" w:pos="-720"/>
              </w:tabs>
              <w:rPr>
                <w:sz w:val="20"/>
                <w:szCs w:val="20"/>
              </w:rPr>
            </w:pPr>
          </w:p>
          <w:p w:rsidR="00A02950" w:rsidRPr="00FE0E06" w:rsidRDefault="00FE0E06" w:rsidP="00A53406">
            <w:pPr>
              <w:keepNext/>
              <w:keepLines/>
              <w:tabs>
                <w:tab w:val="left" w:pos="-1440"/>
                <w:tab w:val="left" w:pos="-720"/>
              </w:tabs>
              <w:rPr>
                <w:b/>
                <w:sz w:val="20"/>
                <w:szCs w:val="20"/>
              </w:rPr>
            </w:pPr>
            <w:r>
              <w:rPr>
                <w:b/>
                <w:sz w:val="20"/>
                <w:szCs w:val="20"/>
              </w:rPr>
              <w:t xml:space="preserve">Her Majesty the Queen </w:t>
            </w:r>
            <w:r w:rsidR="00A02950" w:rsidRPr="00FE0E06">
              <w:rPr>
                <w:b/>
                <w:sz w:val="20"/>
                <w:szCs w:val="20"/>
              </w:rPr>
              <w:t>(Ont.)</w:t>
            </w:r>
          </w:p>
          <w:p w:rsidR="00A02950" w:rsidRPr="00FE0E06" w:rsidRDefault="00A02950" w:rsidP="00A53406">
            <w:pPr>
              <w:keepNext/>
              <w:keepLines/>
              <w:tabs>
                <w:tab w:val="left" w:pos="-1440"/>
                <w:tab w:val="left" w:pos="-720"/>
              </w:tabs>
              <w:rPr>
                <w:sz w:val="20"/>
                <w:szCs w:val="20"/>
              </w:rPr>
            </w:pPr>
            <w:r w:rsidRPr="00FE0E06">
              <w:rPr>
                <w:sz w:val="20"/>
                <w:szCs w:val="20"/>
              </w:rPr>
              <w:tab/>
            </w:r>
            <w:r w:rsidR="00FE0E06">
              <w:rPr>
                <w:sz w:val="20"/>
                <w:szCs w:val="20"/>
              </w:rPr>
              <w:t>Shelley Hallett</w:t>
            </w:r>
          </w:p>
          <w:p w:rsidR="00A02950" w:rsidRPr="00FE0E06" w:rsidRDefault="00A02950" w:rsidP="00A53406">
            <w:pPr>
              <w:keepNext/>
              <w:keepLines/>
              <w:tabs>
                <w:tab w:val="left" w:pos="-1440"/>
                <w:tab w:val="left" w:pos="-720"/>
              </w:tabs>
              <w:rPr>
                <w:sz w:val="20"/>
                <w:szCs w:val="20"/>
              </w:rPr>
            </w:pPr>
            <w:r w:rsidRPr="00FE0E06">
              <w:rPr>
                <w:sz w:val="20"/>
                <w:szCs w:val="20"/>
              </w:rPr>
              <w:tab/>
            </w:r>
            <w:r w:rsidR="00FE0E06">
              <w:rPr>
                <w:sz w:val="20"/>
                <w:szCs w:val="20"/>
              </w:rPr>
              <w:t>A.G. of Ontario</w:t>
            </w:r>
          </w:p>
          <w:p w:rsidR="00A02950" w:rsidRPr="00FE0E06" w:rsidRDefault="00A02950" w:rsidP="00A53406">
            <w:pPr>
              <w:keepNext/>
              <w:keepLines/>
              <w:tabs>
                <w:tab w:val="left" w:pos="-1440"/>
                <w:tab w:val="left" w:pos="-720"/>
              </w:tabs>
              <w:rPr>
                <w:sz w:val="20"/>
                <w:szCs w:val="20"/>
              </w:rPr>
            </w:pPr>
          </w:p>
          <w:p w:rsidR="00A02950" w:rsidRPr="00A935AA" w:rsidRDefault="00A02950" w:rsidP="00FE0E06">
            <w:pPr>
              <w:rPr>
                <w:sz w:val="20"/>
                <w:szCs w:val="20"/>
              </w:rPr>
            </w:pPr>
            <w:r w:rsidRPr="00A935AA">
              <w:rPr>
                <w:sz w:val="20"/>
                <w:szCs w:val="20"/>
              </w:rPr>
              <w:t>FILING DATE: 28.0</w:t>
            </w:r>
            <w:r w:rsidR="00FE0E06">
              <w:rPr>
                <w:sz w:val="20"/>
                <w:szCs w:val="20"/>
              </w:rPr>
              <w:t>4</w:t>
            </w:r>
            <w:r w:rsidRPr="00A935AA">
              <w:rPr>
                <w:sz w:val="20"/>
                <w:szCs w:val="20"/>
              </w:rPr>
              <w:t>.201</w:t>
            </w:r>
            <w:r>
              <w:rPr>
                <w:sz w:val="20"/>
                <w:szCs w:val="20"/>
              </w:rPr>
              <w:t>1</w:t>
            </w:r>
            <w:r w:rsidR="008C2B81" w:rsidRPr="008C2B81">
              <w:rPr>
                <w:sz w:val="20"/>
                <w:szCs w:val="20"/>
                <w:lang w:val="fr-CA"/>
              </w:rPr>
              <w:pict>
                <v:rect id="_x0000_i1030" style="width:108pt;height:1pt" o:hrpct="0" o:hralign="center" o:hrstd="t" o:hrnoshade="t" o:hr="t" fillcolor="black [3213]" stroked="f"/>
              </w:pict>
            </w:r>
          </w:p>
        </w:tc>
      </w:tr>
      <w:tr w:rsidR="00A02950" w:rsidRPr="00A935AA" w:rsidTr="003B3977">
        <w:trPr>
          <w:cantSplit/>
        </w:trPr>
        <w:tc>
          <w:tcPr>
            <w:tcW w:w="4320" w:type="dxa"/>
            <w:shd w:val="clear" w:color="auto" w:fill="auto"/>
          </w:tcPr>
          <w:p w:rsidR="00A02950" w:rsidRPr="00A935AA" w:rsidRDefault="00626109" w:rsidP="00A53406">
            <w:pPr>
              <w:rPr>
                <w:b/>
                <w:sz w:val="20"/>
                <w:szCs w:val="20"/>
              </w:rPr>
            </w:pPr>
            <w:r>
              <w:rPr>
                <w:b/>
                <w:sz w:val="20"/>
                <w:szCs w:val="20"/>
              </w:rPr>
              <w:lastRenderedPageBreak/>
              <w:t>Her Majesty the Queen</w:t>
            </w:r>
          </w:p>
          <w:p w:rsidR="00A02950" w:rsidRPr="00A935AA" w:rsidRDefault="00A02950" w:rsidP="00A53406">
            <w:pPr>
              <w:tabs>
                <w:tab w:val="left" w:pos="-1440"/>
                <w:tab w:val="left" w:pos="-720"/>
              </w:tabs>
              <w:rPr>
                <w:sz w:val="20"/>
                <w:szCs w:val="20"/>
              </w:rPr>
            </w:pPr>
            <w:r w:rsidRPr="00A935AA">
              <w:rPr>
                <w:sz w:val="20"/>
                <w:szCs w:val="20"/>
              </w:rPr>
              <w:tab/>
            </w:r>
            <w:r w:rsidR="00626109">
              <w:rPr>
                <w:sz w:val="20"/>
                <w:szCs w:val="20"/>
              </w:rPr>
              <w:t>Jennifer M. Woollcombe</w:t>
            </w:r>
          </w:p>
          <w:p w:rsidR="00A02950" w:rsidRPr="00A935AA" w:rsidRDefault="00A02950" w:rsidP="00A53406">
            <w:pPr>
              <w:tabs>
                <w:tab w:val="left" w:pos="-1440"/>
                <w:tab w:val="left" w:pos="-720"/>
              </w:tabs>
              <w:rPr>
                <w:sz w:val="20"/>
                <w:szCs w:val="20"/>
              </w:rPr>
            </w:pPr>
            <w:r w:rsidRPr="00A935AA">
              <w:rPr>
                <w:sz w:val="20"/>
                <w:szCs w:val="20"/>
              </w:rPr>
              <w:tab/>
            </w:r>
            <w:r w:rsidR="00626109">
              <w:rPr>
                <w:sz w:val="20"/>
                <w:szCs w:val="20"/>
              </w:rPr>
              <w:t>A.G. of Ontario</w:t>
            </w:r>
          </w:p>
          <w:p w:rsidR="00A02950" w:rsidRPr="00A935AA" w:rsidRDefault="00A02950" w:rsidP="00A53406">
            <w:pPr>
              <w:tabs>
                <w:tab w:val="left" w:pos="-1440"/>
                <w:tab w:val="left" w:pos="-720"/>
              </w:tabs>
              <w:rPr>
                <w:sz w:val="20"/>
                <w:szCs w:val="20"/>
              </w:rPr>
            </w:pPr>
          </w:p>
          <w:p w:rsidR="00A02950" w:rsidRPr="00A935AA" w:rsidRDefault="00A02950" w:rsidP="00A53406">
            <w:pPr>
              <w:tabs>
                <w:tab w:val="left" w:pos="-1440"/>
                <w:tab w:val="left" w:pos="-720"/>
              </w:tabs>
              <w:rPr>
                <w:sz w:val="20"/>
                <w:szCs w:val="20"/>
              </w:rPr>
            </w:pPr>
            <w:r w:rsidRPr="00A935AA">
              <w:rPr>
                <w:sz w:val="20"/>
                <w:szCs w:val="20"/>
              </w:rPr>
              <w:tab/>
              <w:t>v. (3</w:t>
            </w:r>
            <w:r>
              <w:rPr>
                <w:sz w:val="20"/>
                <w:szCs w:val="20"/>
              </w:rPr>
              <w:t>4</w:t>
            </w:r>
            <w:r w:rsidR="00626109">
              <w:rPr>
                <w:sz w:val="20"/>
                <w:szCs w:val="20"/>
              </w:rPr>
              <w:t>230</w:t>
            </w:r>
            <w:r w:rsidRPr="00A935AA">
              <w:rPr>
                <w:sz w:val="20"/>
                <w:szCs w:val="20"/>
              </w:rPr>
              <w:t>)</w:t>
            </w:r>
          </w:p>
          <w:p w:rsidR="00A02950" w:rsidRPr="00A935AA" w:rsidRDefault="00A02950" w:rsidP="00A53406">
            <w:pPr>
              <w:tabs>
                <w:tab w:val="left" w:pos="-1440"/>
                <w:tab w:val="left" w:pos="-720"/>
              </w:tabs>
              <w:rPr>
                <w:sz w:val="20"/>
                <w:szCs w:val="20"/>
              </w:rPr>
            </w:pPr>
          </w:p>
          <w:p w:rsidR="00A02950" w:rsidRPr="00A935AA" w:rsidRDefault="00626109" w:rsidP="00A53406">
            <w:pPr>
              <w:tabs>
                <w:tab w:val="left" w:pos="-1440"/>
                <w:tab w:val="left" w:pos="-720"/>
              </w:tabs>
              <w:rPr>
                <w:b/>
                <w:sz w:val="20"/>
                <w:szCs w:val="20"/>
              </w:rPr>
            </w:pPr>
            <w:r>
              <w:rPr>
                <w:b/>
                <w:sz w:val="20"/>
                <w:szCs w:val="20"/>
              </w:rPr>
              <w:t xml:space="preserve">L.B. </w:t>
            </w:r>
            <w:r w:rsidR="00A02950" w:rsidRPr="00A935AA">
              <w:rPr>
                <w:b/>
                <w:sz w:val="20"/>
                <w:szCs w:val="20"/>
              </w:rPr>
              <w:t>(</w:t>
            </w:r>
            <w:r>
              <w:rPr>
                <w:b/>
                <w:sz w:val="20"/>
                <w:szCs w:val="20"/>
              </w:rPr>
              <w:t>Ont</w:t>
            </w:r>
            <w:r w:rsidR="00A02950" w:rsidRPr="00A935AA">
              <w:rPr>
                <w:b/>
                <w:sz w:val="20"/>
                <w:szCs w:val="20"/>
              </w:rPr>
              <w:t>.)</w:t>
            </w:r>
          </w:p>
          <w:p w:rsidR="00A02950" w:rsidRPr="00A935AA" w:rsidRDefault="00A02950" w:rsidP="00A53406">
            <w:pPr>
              <w:tabs>
                <w:tab w:val="left" w:pos="-1440"/>
                <w:tab w:val="left" w:pos="-720"/>
              </w:tabs>
              <w:rPr>
                <w:sz w:val="20"/>
                <w:szCs w:val="20"/>
              </w:rPr>
            </w:pPr>
            <w:r w:rsidRPr="00A935AA">
              <w:rPr>
                <w:sz w:val="20"/>
                <w:szCs w:val="20"/>
              </w:rPr>
              <w:tab/>
            </w:r>
            <w:r w:rsidR="00626109">
              <w:rPr>
                <w:sz w:val="20"/>
                <w:szCs w:val="20"/>
              </w:rPr>
              <w:t>Timothy E. Breen</w:t>
            </w:r>
          </w:p>
          <w:p w:rsidR="00A02950" w:rsidRPr="00A935AA" w:rsidRDefault="00A02950" w:rsidP="00A53406">
            <w:pPr>
              <w:tabs>
                <w:tab w:val="left" w:pos="-1440"/>
                <w:tab w:val="left" w:pos="-720"/>
              </w:tabs>
              <w:rPr>
                <w:sz w:val="20"/>
                <w:szCs w:val="20"/>
              </w:rPr>
            </w:pPr>
            <w:r w:rsidRPr="00A935AA">
              <w:rPr>
                <w:sz w:val="20"/>
                <w:szCs w:val="20"/>
              </w:rPr>
              <w:tab/>
            </w:r>
            <w:r w:rsidR="00626109">
              <w:rPr>
                <w:sz w:val="20"/>
                <w:szCs w:val="20"/>
              </w:rPr>
              <w:t>Fleming, Breen</w:t>
            </w:r>
          </w:p>
          <w:p w:rsidR="00A02950" w:rsidRPr="00A935AA" w:rsidRDefault="00A02950" w:rsidP="00A53406">
            <w:pPr>
              <w:tabs>
                <w:tab w:val="left" w:pos="-1440"/>
                <w:tab w:val="left" w:pos="-720"/>
              </w:tabs>
              <w:rPr>
                <w:sz w:val="20"/>
                <w:szCs w:val="20"/>
              </w:rPr>
            </w:pPr>
          </w:p>
          <w:p w:rsidR="00A02950" w:rsidRPr="00A935AA" w:rsidRDefault="00A02950" w:rsidP="00A53406">
            <w:pPr>
              <w:rPr>
                <w:sz w:val="20"/>
                <w:szCs w:val="20"/>
              </w:rPr>
            </w:pPr>
            <w:r w:rsidRPr="00A935AA">
              <w:rPr>
                <w:sz w:val="20"/>
                <w:szCs w:val="20"/>
              </w:rPr>
              <w:t xml:space="preserve">FILING DATE: </w:t>
            </w:r>
            <w:r w:rsidR="00626109">
              <w:rPr>
                <w:sz w:val="20"/>
                <w:szCs w:val="20"/>
              </w:rPr>
              <w:t>0</w:t>
            </w:r>
            <w:r w:rsidRPr="00A935AA">
              <w:rPr>
                <w:sz w:val="20"/>
                <w:szCs w:val="20"/>
              </w:rPr>
              <w:t>2.0</w:t>
            </w:r>
            <w:r>
              <w:rPr>
                <w:sz w:val="20"/>
                <w:szCs w:val="20"/>
              </w:rPr>
              <w:t>5</w:t>
            </w:r>
            <w:r w:rsidRPr="00A935AA">
              <w:rPr>
                <w:sz w:val="20"/>
                <w:szCs w:val="20"/>
              </w:rPr>
              <w:t>.201</w:t>
            </w:r>
            <w:r>
              <w:rPr>
                <w:sz w:val="20"/>
                <w:szCs w:val="20"/>
              </w:rPr>
              <w:t>1</w:t>
            </w:r>
          </w:p>
          <w:p w:rsidR="00A02950" w:rsidRPr="00A935AA" w:rsidRDefault="008C2B81" w:rsidP="00A53406">
            <w:pPr>
              <w:rPr>
                <w:sz w:val="20"/>
                <w:szCs w:val="20"/>
              </w:rPr>
            </w:pPr>
            <w:r w:rsidRPr="008C2B81">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p w:rsidR="00A02950" w:rsidRPr="00A935AA" w:rsidRDefault="00A02950" w:rsidP="00242AEE">
            <w:pPr>
              <w:jc w:val="center"/>
              <w:rPr>
                <w:sz w:val="20"/>
                <w:szCs w:val="20"/>
              </w:rPr>
            </w:pPr>
          </w:p>
        </w:tc>
        <w:tc>
          <w:tcPr>
            <w:tcW w:w="4320" w:type="dxa"/>
            <w:shd w:val="clear" w:color="auto" w:fill="auto"/>
          </w:tcPr>
          <w:p w:rsidR="00A02950" w:rsidRPr="00A935AA" w:rsidRDefault="00626109" w:rsidP="00A53406">
            <w:pPr>
              <w:keepNext/>
              <w:keepLines/>
              <w:tabs>
                <w:tab w:val="left" w:pos="-1440"/>
                <w:tab w:val="left" w:pos="-720"/>
              </w:tabs>
              <w:rPr>
                <w:b/>
                <w:sz w:val="20"/>
                <w:szCs w:val="20"/>
              </w:rPr>
            </w:pPr>
            <w:r>
              <w:rPr>
                <w:b/>
                <w:sz w:val="20"/>
                <w:szCs w:val="20"/>
              </w:rPr>
              <w:t>Her Majesty the Queen</w:t>
            </w:r>
          </w:p>
          <w:p w:rsidR="00A02950" w:rsidRPr="00A935AA" w:rsidRDefault="00A02950" w:rsidP="00A53406">
            <w:pPr>
              <w:keepNext/>
              <w:keepLines/>
              <w:tabs>
                <w:tab w:val="left" w:pos="-1440"/>
                <w:tab w:val="left" w:pos="-720"/>
              </w:tabs>
              <w:rPr>
                <w:sz w:val="20"/>
                <w:szCs w:val="20"/>
              </w:rPr>
            </w:pPr>
            <w:r w:rsidRPr="00A935AA">
              <w:rPr>
                <w:sz w:val="20"/>
                <w:szCs w:val="20"/>
              </w:rPr>
              <w:tab/>
            </w:r>
            <w:r w:rsidR="00626109">
              <w:rPr>
                <w:sz w:val="20"/>
                <w:szCs w:val="20"/>
              </w:rPr>
              <w:t>Mary T. Ainslie</w:t>
            </w:r>
          </w:p>
          <w:p w:rsidR="00A02950" w:rsidRPr="00A935AA" w:rsidRDefault="00A02950" w:rsidP="00A53406">
            <w:pPr>
              <w:keepNext/>
              <w:keepLines/>
              <w:tabs>
                <w:tab w:val="left" w:pos="-1440"/>
                <w:tab w:val="left" w:pos="-720"/>
              </w:tabs>
              <w:rPr>
                <w:sz w:val="20"/>
                <w:szCs w:val="20"/>
              </w:rPr>
            </w:pPr>
            <w:r w:rsidRPr="00A935AA">
              <w:rPr>
                <w:sz w:val="20"/>
                <w:szCs w:val="20"/>
              </w:rPr>
              <w:tab/>
            </w:r>
            <w:r w:rsidR="00626109">
              <w:rPr>
                <w:sz w:val="20"/>
                <w:szCs w:val="20"/>
              </w:rPr>
              <w:t>A.G. of British Columbia</w:t>
            </w:r>
          </w:p>
          <w:p w:rsidR="00A02950" w:rsidRPr="00A935AA" w:rsidRDefault="00A02950" w:rsidP="00A53406">
            <w:pPr>
              <w:keepNext/>
              <w:keepLines/>
              <w:tabs>
                <w:tab w:val="left" w:pos="-1440"/>
                <w:tab w:val="left" w:pos="-720"/>
              </w:tabs>
              <w:rPr>
                <w:sz w:val="20"/>
                <w:szCs w:val="20"/>
              </w:rPr>
            </w:pPr>
          </w:p>
          <w:p w:rsidR="00A02950" w:rsidRPr="00626109" w:rsidRDefault="00A02950" w:rsidP="00A53406">
            <w:pPr>
              <w:keepNext/>
              <w:keepLines/>
              <w:tabs>
                <w:tab w:val="left" w:pos="-1440"/>
                <w:tab w:val="left" w:pos="-720"/>
              </w:tabs>
              <w:rPr>
                <w:sz w:val="20"/>
                <w:szCs w:val="20"/>
              </w:rPr>
            </w:pPr>
            <w:r w:rsidRPr="00A935AA">
              <w:rPr>
                <w:sz w:val="20"/>
                <w:szCs w:val="20"/>
              </w:rPr>
              <w:tab/>
            </w:r>
            <w:r w:rsidRPr="00626109">
              <w:rPr>
                <w:sz w:val="20"/>
                <w:szCs w:val="20"/>
              </w:rPr>
              <w:t>v. (34</w:t>
            </w:r>
            <w:r w:rsidR="00626109">
              <w:rPr>
                <w:sz w:val="20"/>
                <w:szCs w:val="20"/>
              </w:rPr>
              <w:t>245</w:t>
            </w:r>
            <w:r w:rsidRPr="00626109">
              <w:rPr>
                <w:sz w:val="20"/>
                <w:szCs w:val="20"/>
              </w:rPr>
              <w:t>)</w:t>
            </w:r>
          </w:p>
          <w:p w:rsidR="00A02950" w:rsidRPr="00626109" w:rsidRDefault="00A02950" w:rsidP="00A53406">
            <w:pPr>
              <w:keepNext/>
              <w:keepLines/>
              <w:tabs>
                <w:tab w:val="left" w:pos="-1440"/>
                <w:tab w:val="left" w:pos="-720"/>
              </w:tabs>
              <w:rPr>
                <w:sz w:val="20"/>
                <w:szCs w:val="20"/>
              </w:rPr>
            </w:pPr>
          </w:p>
          <w:p w:rsidR="00A02950" w:rsidRPr="00626109" w:rsidRDefault="00626109" w:rsidP="00A53406">
            <w:pPr>
              <w:keepNext/>
              <w:keepLines/>
              <w:tabs>
                <w:tab w:val="left" w:pos="-1440"/>
                <w:tab w:val="left" w:pos="-720"/>
              </w:tabs>
              <w:rPr>
                <w:b/>
                <w:sz w:val="20"/>
                <w:szCs w:val="20"/>
              </w:rPr>
            </w:pPr>
            <w:r>
              <w:rPr>
                <w:b/>
                <w:sz w:val="20"/>
                <w:szCs w:val="20"/>
              </w:rPr>
              <w:t xml:space="preserve">Frank Ralph Ladue </w:t>
            </w:r>
            <w:r w:rsidR="00A02950" w:rsidRPr="00626109">
              <w:rPr>
                <w:b/>
                <w:sz w:val="20"/>
                <w:szCs w:val="20"/>
              </w:rPr>
              <w:t>(</w:t>
            </w:r>
            <w:r>
              <w:rPr>
                <w:b/>
                <w:sz w:val="20"/>
                <w:szCs w:val="20"/>
              </w:rPr>
              <w:t>B</w:t>
            </w:r>
            <w:r w:rsidR="00A02950" w:rsidRPr="00626109">
              <w:rPr>
                <w:b/>
                <w:sz w:val="20"/>
                <w:szCs w:val="20"/>
              </w:rPr>
              <w:t>.</w:t>
            </w:r>
            <w:r>
              <w:rPr>
                <w:b/>
                <w:sz w:val="20"/>
                <w:szCs w:val="20"/>
              </w:rPr>
              <w:t>C.</w:t>
            </w:r>
            <w:r w:rsidR="00A02950" w:rsidRPr="00626109">
              <w:rPr>
                <w:b/>
                <w:sz w:val="20"/>
                <w:szCs w:val="20"/>
              </w:rPr>
              <w:t>)</w:t>
            </w:r>
          </w:p>
          <w:p w:rsidR="00A02950" w:rsidRPr="00626109" w:rsidRDefault="00A02950" w:rsidP="00A53406">
            <w:pPr>
              <w:keepNext/>
              <w:keepLines/>
              <w:tabs>
                <w:tab w:val="left" w:pos="-1440"/>
                <w:tab w:val="left" w:pos="-720"/>
              </w:tabs>
              <w:rPr>
                <w:sz w:val="20"/>
                <w:szCs w:val="20"/>
              </w:rPr>
            </w:pPr>
            <w:r w:rsidRPr="00626109">
              <w:rPr>
                <w:sz w:val="20"/>
                <w:szCs w:val="20"/>
              </w:rPr>
              <w:tab/>
            </w:r>
            <w:r w:rsidR="00626109">
              <w:rPr>
                <w:sz w:val="20"/>
                <w:szCs w:val="20"/>
              </w:rPr>
              <w:t>Hovan M. Patey</w:t>
            </w:r>
          </w:p>
          <w:p w:rsidR="00A02950" w:rsidRPr="00626109" w:rsidRDefault="00A02950" w:rsidP="00A53406">
            <w:pPr>
              <w:keepNext/>
              <w:keepLines/>
              <w:tabs>
                <w:tab w:val="left" w:pos="-1440"/>
                <w:tab w:val="left" w:pos="-720"/>
              </w:tabs>
              <w:rPr>
                <w:sz w:val="20"/>
                <w:szCs w:val="20"/>
              </w:rPr>
            </w:pPr>
            <w:r w:rsidRPr="00626109">
              <w:rPr>
                <w:sz w:val="20"/>
                <w:szCs w:val="20"/>
              </w:rPr>
              <w:tab/>
            </w:r>
            <w:r w:rsidR="00626109">
              <w:rPr>
                <w:sz w:val="20"/>
                <w:szCs w:val="20"/>
              </w:rPr>
              <w:t>Myers, McMurdo &amp; Karp</w:t>
            </w:r>
          </w:p>
          <w:p w:rsidR="00A02950" w:rsidRPr="00626109" w:rsidRDefault="00A02950" w:rsidP="00A53406">
            <w:pPr>
              <w:keepNext/>
              <w:keepLines/>
              <w:tabs>
                <w:tab w:val="left" w:pos="-1440"/>
                <w:tab w:val="left" w:pos="-720"/>
              </w:tabs>
              <w:rPr>
                <w:sz w:val="20"/>
                <w:szCs w:val="20"/>
              </w:rPr>
            </w:pPr>
          </w:p>
          <w:p w:rsidR="00A02950" w:rsidRPr="00A935AA" w:rsidRDefault="00A02950" w:rsidP="00626109">
            <w:pPr>
              <w:rPr>
                <w:sz w:val="20"/>
                <w:szCs w:val="20"/>
              </w:rPr>
            </w:pPr>
            <w:r w:rsidRPr="00A935AA">
              <w:rPr>
                <w:sz w:val="20"/>
                <w:szCs w:val="20"/>
              </w:rPr>
              <w:t xml:space="preserve">FILING DATE: </w:t>
            </w:r>
            <w:r w:rsidR="00626109">
              <w:rPr>
                <w:sz w:val="20"/>
                <w:szCs w:val="20"/>
              </w:rPr>
              <w:t>06</w:t>
            </w:r>
            <w:r w:rsidRPr="00A935AA">
              <w:rPr>
                <w:sz w:val="20"/>
                <w:szCs w:val="20"/>
              </w:rPr>
              <w:t>.0</w:t>
            </w:r>
            <w:r>
              <w:rPr>
                <w:sz w:val="20"/>
                <w:szCs w:val="20"/>
              </w:rPr>
              <w:t>5</w:t>
            </w:r>
            <w:r w:rsidRPr="00A935AA">
              <w:rPr>
                <w:sz w:val="20"/>
                <w:szCs w:val="20"/>
              </w:rPr>
              <w:t>.201</w:t>
            </w:r>
            <w:r>
              <w:rPr>
                <w:sz w:val="20"/>
                <w:szCs w:val="20"/>
              </w:rPr>
              <w:t>1</w:t>
            </w:r>
            <w:r w:rsidR="008C2B81" w:rsidRPr="008C2B81">
              <w:rPr>
                <w:sz w:val="20"/>
                <w:szCs w:val="20"/>
                <w:lang w:val="fr-CA"/>
              </w:rPr>
              <w:pict>
                <v:rect id="_x0000_i1032" style="width:108pt;height:1pt" o:hrpct="0" o:hralign="center" o:hrstd="t" o:hrnoshade="t" o:hr="t" fillcolor="black [3213]" stroked="f"/>
              </w:pict>
            </w:r>
          </w:p>
        </w:tc>
      </w:tr>
      <w:tr w:rsidR="003C5F51" w:rsidRPr="00C50886" w:rsidTr="003B3977">
        <w:trPr>
          <w:cantSplit/>
        </w:trPr>
        <w:tc>
          <w:tcPr>
            <w:tcW w:w="4320" w:type="dxa"/>
            <w:shd w:val="clear" w:color="auto" w:fill="auto"/>
          </w:tcPr>
          <w:p w:rsidR="003C5F51" w:rsidRPr="009150A2" w:rsidRDefault="009150A2" w:rsidP="003C5F51">
            <w:pPr>
              <w:rPr>
                <w:b/>
                <w:sz w:val="20"/>
                <w:szCs w:val="20"/>
                <w:lang w:val="fr-CA"/>
              </w:rPr>
            </w:pPr>
            <w:r w:rsidRPr="009150A2">
              <w:rPr>
                <w:b/>
                <w:sz w:val="20"/>
                <w:szCs w:val="20"/>
                <w:lang w:val="fr-CA"/>
              </w:rPr>
              <w:t>Robert Brossard</w:t>
            </w:r>
          </w:p>
          <w:p w:rsidR="003C5F51" w:rsidRPr="009150A2" w:rsidRDefault="003C5F51" w:rsidP="003C5F51">
            <w:pPr>
              <w:tabs>
                <w:tab w:val="left" w:pos="-1440"/>
                <w:tab w:val="left" w:pos="-720"/>
              </w:tabs>
              <w:rPr>
                <w:sz w:val="20"/>
                <w:szCs w:val="20"/>
                <w:lang w:val="fr-CA"/>
              </w:rPr>
            </w:pPr>
            <w:r w:rsidRPr="009150A2">
              <w:rPr>
                <w:sz w:val="20"/>
                <w:szCs w:val="20"/>
                <w:lang w:val="fr-CA"/>
              </w:rPr>
              <w:tab/>
            </w:r>
            <w:r w:rsidR="009150A2" w:rsidRPr="009150A2">
              <w:rPr>
                <w:sz w:val="20"/>
                <w:szCs w:val="20"/>
                <w:lang w:val="fr-CA"/>
              </w:rPr>
              <w:t>Camille Bolté</w:t>
            </w:r>
          </w:p>
          <w:p w:rsidR="003C5F51" w:rsidRPr="009150A2" w:rsidRDefault="003C5F51" w:rsidP="003C5F51">
            <w:pPr>
              <w:tabs>
                <w:tab w:val="left" w:pos="-1440"/>
                <w:tab w:val="left" w:pos="-720"/>
              </w:tabs>
              <w:rPr>
                <w:sz w:val="20"/>
                <w:szCs w:val="20"/>
                <w:lang w:val="fr-CA"/>
              </w:rPr>
            </w:pPr>
            <w:r w:rsidRPr="009150A2">
              <w:rPr>
                <w:sz w:val="20"/>
                <w:szCs w:val="20"/>
                <w:lang w:val="fr-CA"/>
              </w:rPr>
              <w:tab/>
            </w:r>
            <w:r w:rsidR="009150A2" w:rsidRPr="009150A2">
              <w:rPr>
                <w:sz w:val="20"/>
                <w:szCs w:val="20"/>
                <w:lang w:val="fr-CA"/>
              </w:rPr>
              <w:t>Choquette Beaupré Rhéaume</w:t>
            </w:r>
          </w:p>
          <w:p w:rsidR="003C5F51" w:rsidRPr="009150A2" w:rsidRDefault="003C5F51" w:rsidP="003C5F51">
            <w:pPr>
              <w:tabs>
                <w:tab w:val="left" w:pos="-1440"/>
                <w:tab w:val="left" w:pos="-720"/>
              </w:tabs>
              <w:rPr>
                <w:sz w:val="20"/>
                <w:szCs w:val="20"/>
                <w:lang w:val="fr-CA"/>
              </w:rPr>
            </w:pPr>
          </w:p>
          <w:p w:rsidR="003C5F51" w:rsidRPr="009150A2" w:rsidRDefault="003C5F51" w:rsidP="003C5F51">
            <w:pPr>
              <w:tabs>
                <w:tab w:val="left" w:pos="-1440"/>
                <w:tab w:val="left" w:pos="-720"/>
              </w:tabs>
              <w:rPr>
                <w:sz w:val="20"/>
                <w:szCs w:val="20"/>
                <w:lang w:val="fr-CA"/>
              </w:rPr>
            </w:pPr>
            <w:r w:rsidRPr="009150A2">
              <w:rPr>
                <w:sz w:val="20"/>
                <w:szCs w:val="20"/>
                <w:lang w:val="fr-CA"/>
              </w:rPr>
              <w:tab/>
            </w:r>
            <w:r w:rsidR="009150A2" w:rsidRPr="009150A2">
              <w:rPr>
                <w:sz w:val="20"/>
                <w:szCs w:val="20"/>
                <w:lang w:val="fr-CA"/>
              </w:rPr>
              <w:t>c</w:t>
            </w:r>
            <w:r w:rsidRPr="009150A2">
              <w:rPr>
                <w:sz w:val="20"/>
                <w:szCs w:val="20"/>
                <w:lang w:val="fr-CA"/>
              </w:rPr>
              <w:t>. (34</w:t>
            </w:r>
            <w:r w:rsidR="009150A2" w:rsidRPr="009150A2">
              <w:rPr>
                <w:sz w:val="20"/>
                <w:szCs w:val="20"/>
                <w:lang w:val="fr-CA"/>
              </w:rPr>
              <w:t>247</w:t>
            </w:r>
            <w:r w:rsidRPr="009150A2">
              <w:rPr>
                <w:sz w:val="20"/>
                <w:szCs w:val="20"/>
                <w:lang w:val="fr-CA"/>
              </w:rPr>
              <w:t>)</w:t>
            </w:r>
          </w:p>
          <w:p w:rsidR="003C5F51" w:rsidRPr="009150A2" w:rsidRDefault="003C5F51" w:rsidP="003C5F51">
            <w:pPr>
              <w:tabs>
                <w:tab w:val="left" w:pos="-1440"/>
                <w:tab w:val="left" w:pos="-720"/>
              </w:tabs>
              <w:rPr>
                <w:sz w:val="20"/>
                <w:szCs w:val="20"/>
                <w:lang w:val="fr-CA"/>
              </w:rPr>
            </w:pPr>
          </w:p>
          <w:p w:rsidR="003C5F51" w:rsidRPr="009150A2" w:rsidRDefault="009150A2" w:rsidP="003C5F51">
            <w:pPr>
              <w:tabs>
                <w:tab w:val="left" w:pos="-1440"/>
                <w:tab w:val="left" w:pos="-720"/>
              </w:tabs>
              <w:rPr>
                <w:b/>
                <w:sz w:val="20"/>
                <w:szCs w:val="20"/>
                <w:lang w:val="fr-CA"/>
              </w:rPr>
            </w:pPr>
            <w:r w:rsidRPr="009150A2">
              <w:rPr>
                <w:b/>
                <w:sz w:val="20"/>
                <w:szCs w:val="20"/>
                <w:lang w:val="fr-CA"/>
              </w:rPr>
              <w:t>Pierre Péladeau, ès qualit</w:t>
            </w:r>
            <w:r w:rsidR="007324FC">
              <w:rPr>
                <w:b/>
                <w:sz w:val="20"/>
                <w:szCs w:val="20"/>
                <w:lang w:val="fr-CA"/>
              </w:rPr>
              <w:t>é</w:t>
            </w:r>
            <w:r w:rsidRPr="009150A2">
              <w:rPr>
                <w:b/>
                <w:sz w:val="20"/>
                <w:szCs w:val="20"/>
                <w:lang w:val="fr-CA"/>
              </w:rPr>
              <w:t xml:space="preserve">s et autres </w:t>
            </w:r>
            <w:r w:rsidR="003C5F51" w:rsidRPr="009150A2">
              <w:rPr>
                <w:b/>
                <w:sz w:val="20"/>
                <w:szCs w:val="20"/>
                <w:lang w:val="fr-CA"/>
              </w:rPr>
              <w:t>(</w:t>
            </w:r>
            <w:r w:rsidRPr="009150A2">
              <w:rPr>
                <w:b/>
                <w:sz w:val="20"/>
                <w:szCs w:val="20"/>
                <w:lang w:val="fr-CA"/>
              </w:rPr>
              <w:t>Qc</w:t>
            </w:r>
            <w:r w:rsidR="003C5F51" w:rsidRPr="009150A2">
              <w:rPr>
                <w:b/>
                <w:sz w:val="20"/>
                <w:szCs w:val="20"/>
                <w:lang w:val="fr-CA"/>
              </w:rPr>
              <w:t>)</w:t>
            </w:r>
          </w:p>
          <w:p w:rsidR="003C5F51" w:rsidRPr="009150A2" w:rsidRDefault="003C5F51" w:rsidP="003C5F51">
            <w:pPr>
              <w:tabs>
                <w:tab w:val="left" w:pos="-1440"/>
                <w:tab w:val="left" w:pos="-720"/>
              </w:tabs>
              <w:rPr>
                <w:sz w:val="20"/>
                <w:szCs w:val="20"/>
                <w:lang w:val="fr-CA"/>
              </w:rPr>
            </w:pPr>
            <w:r w:rsidRPr="009150A2">
              <w:rPr>
                <w:sz w:val="20"/>
                <w:szCs w:val="20"/>
                <w:lang w:val="fr-CA"/>
              </w:rPr>
              <w:tab/>
            </w:r>
            <w:r w:rsidR="009150A2">
              <w:rPr>
                <w:sz w:val="20"/>
                <w:szCs w:val="20"/>
                <w:lang w:val="fr-CA"/>
              </w:rPr>
              <w:t>Jean-François Ménard</w:t>
            </w:r>
          </w:p>
          <w:p w:rsidR="003C5F51" w:rsidRPr="009150A2" w:rsidRDefault="003C5F51" w:rsidP="003C5F51">
            <w:pPr>
              <w:tabs>
                <w:tab w:val="left" w:pos="-1440"/>
                <w:tab w:val="left" w:pos="-720"/>
              </w:tabs>
              <w:rPr>
                <w:sz w:val="20"/>
                <w:szCs w:val="20"/>
                <w:lang w:val="fr-CA"/>
              </w:rPr>
            </w:pPr>
            <w:r w:rsidRPr="009150A2">
              <w:rPr>
                <w:sz w:val="20"/>
                <w:szCs w:val="20"/>
                <w:lang w:val="fr-CA"/>
              </w:rPr>
              <w:tab/>
            </w:r>
            <w:r w:rsidR="007324FC">
              <w:rPr>
                <w:sz w:val="20"/>
                <w:szCs w:val="20"/>
                <w:lang w:val="fr-CA"/>
              </w:rPr>
              <w:t>Ménard et Associés</w:t>
            </w:r>
          </w:p>
          <w:p w:rsidR="003C5F51" w:rsidRPr="009150A2" w:rsidRDefault="003C5F51" w:rsidP="003C5F51">
            <w:pPr>
              <w:tabs>
                <w:tab w:val="left" w:pos="-1440"/>
                <w:tab w:val="left" w:pos="-720"/>
              </w:tabs>
              <w:rPr>
                <w:sz w:val="20"/>
                <w:szCs w:val="20"/>
                <w:lang w:val="fr-CA"/>
              </w:rPr>
            </w:pPr>
          </w:p>
          <w:p w:rsidR="003C5F51" w:rsidRPr="00A935AA" w:rsidRDefault="003C5F51" w:rsidP="003C5F51">
            <w:pPr>
              <w:rPr>
                <w:sz w:val="20"/>
                <w:szCs w:val="20"/>
              </w:rPr>
            </w:pPr>
            <w:r w:rsidRPr="00A935AA">
              <w:rPr>
                <w:sz w:val="20"/>
                <w:szCs w:val="20"/>
              </w:rPr>
              <w:t>DATE</w:t>
            </w:r>
            <w:r w:rsidR="009150A2">
              <w:rPr>
                <w:sz w:val="20"/>
                <w:szCs w:val="20"/>
              </w:rPr>
              <w:t xml:space="preserve"> DE PRODUCTION </w:t>
            </w:r>
            <w:r w:rsidRPr="00A935AA">
              <w:rPr>
                <w:sz w:val="20"/>
                <w:szCs w:val="20"/>
              </w:rPr>
              <w:t xml:space="preserve">: </w:t>
            </w:r>
            <w:r w:rsidR="007324FC">
              <w:rPr>
                <w:sz w:val="20"/>
                <w:szCs w:val="20"/>
              </w:rPr>
              <w:t>06</w:t>
            </w:r>
            <w:r w:rsidRPr="00A935AA">
              <w:rPr>
                <w:sz w:val="20"/>
                <w:szCs w:val="20"/>
              </w:rPr>
              <w:t>.0</w:t>
            </w:r>
            <w:r>
              <w:rPr>
                <w:sz w:val="20"/>
                <w:szCs w:val="20"/>
              </w:rPr>
              <w:t>5</w:t>
            </w:r>
            <w:r w:rsidRPr="00A935AA">
              <w:rPr>
                <w:sz w:val="20"/>
                <w:szCs w:val="20"/>
              </w:rPr>
              <w:t>.201</w:t>
            </w:r>
            <w:r>
              <w:rPr>
                <w:sz w:val="20"/>
                <w:szCs w:val="20"/>
              </w:rPr>
              <w:t>1</w:t>
            </w:r>
          </w:p>
          <w:p w:rsidR="003C5F51" w:rsidRPr="00A935AA" w:rsidRDefault="008C2B81" w:rsidP="003C5F51">
            <w:pPr>
              <w:rPr>
                <w:sz w:val="20"/>
                <w:szCs w:val="20"/>
              </w:rPr>
            </w:pPr>
            <w:r w:rsidRPr="008C2B81">
              <w:rPr>
                <w:sz w:val="20"/>
                <w:szCs w:val="20"/>
                <w:lang w:val="fr-CA"/>
              </w:rPr>
              <w:pict>
                <v:rect id="_x0000_i1033" style="width:108pt;height:1pt" o:hrpct="0" o:hralign="center" o:hrstd="t" o:hrnoshade="t" o:hr="t" fillcolor="black [3213]" stroked="f"/>
              </w:pict>
            </w:r>
          </w:p>
        </w:tc>
        <w:tc>
          <w:tcPr>
            <w:tcW w:w="1181" w:type="dxa"/>
            <w:shd w:val="clear" w:color="auto" w:fill="auto"/>
          </w:tcPr>
          <w:p w:rsidR="003C5F51" w:rsidRPr="00A935AA" w:rsidRDefault="003C5F51" w:rsidP="00242AEE">
            <w:pPr>
              <w:jc w:val="center"/>
              <w:rPr>
                <w:sz w:val="20"/>
                <w:szCs w:val="20"/>
              </w:rPr>
            </w:pPr>
          </w:p>
          <w:p w:rsidR="003C5F51" w:rsidRPr="00A935AA" w:rsidRDefault="003C5F51" w:rsidP="00242AEE">
            <w:pPr>
              <w:jc w:val="center"/>
              <w:rPr>
                <w:sz w:val="20"/>
                <w:szCs w:val="20"/>
              </w:rPr>
            </w:pPr>
          </w:p>
          <w:p w:rsidR="003C5F51" w:rsidRPr="00A935AA" w:rsidRDefault="003C5F51" w:rsidP="00242AEE">
            <w:pPr>
              <w:jc w:val="center"/>
              <w:rPr>
                <w:sz w:val="20"/>
                <w:szCs w:val="20"/>
              </w:rPr>
            </w:pPr>
          </w:p>
          <w:p w:rsidR="003C5F51" w:rsidRPr="00A935AA" w:rsidRDefault="003C5F51" w:rsidP="00242AEE">
            <w:pPr>
              <w:jc w:val="center"/>
              <w:rPr>
                <w:sz w:val="20"/>
                <w:szCs w:val="20"/>
              </w:rPr>
            </w:pPr>
          </w:p>
          <w:p w:rsidR="003C5F51" w:rsidRPr="00A935AA" w:rsidRDefault="003C5F51" w:rsidP="00242AEE">
            <w:pPr>
              <w:jc w:val="center"/>
              <w:rPr>
                <w:sz w:val="20"/>
                <w:szCs w:val="20"/>
              </w:rPr>
            </w:pPr>
          </w:p>
          <w:p w:rsidR="003C5F51" w:rsidRPr="00A935AA" w:rsidRDefault="003C5F51" w:rsidP="00242AEE">
            <w:pPr>
              <w:jc w:val="center"/>
              <w:rPr>
                <w:sz w:val="20"/>
                <w:szCs w:val="20"/>
              </w:rPr>
            </w:pPr>
          </w:p>
          <w:p w:rsidR="003C5F51" w:rsidRPr="00A935AA" w:rsidRDefault="003C5F51" w:rsidP="00242AEE">
            <w:pPr>
              <w:jc w:val="center"/>
              <w:rPr>
                <w:sz w:val="20"/>
                <w:szCs w:val="20"/>
              </w:rPr>
            </w:pPr>
          </w:p>
          <w:p w:rsidR="003C5F51" w:rsidRPr="00A935AA" w:rsidRDefault="003C5F51" w:rsidP="00242AEE">
            <w:pPr>
              <w:jc w:val="center"/>
              <w:rPr>
                <w:sz w:val="20"/>
                <w:szCs w:val="20"/>
              </w:rPr>
            </w:pPr>
          </w:p>
          <w:p w:rsidR="003C5F51" w:rsidRPr="00A935AA" w:rsidRDefault="003C5F51" w:rsidP="00242AEE">
            <w:pPr>
              <w:jc w:val="center"/>
              <w:rPr>
                <w:sz w:val="20"/>
                <w:szCs w:val="20"/>
              </w:rPr>
            </w:pPr>
          </w:p>
          <w:p w:rsidR="003C5F51" w:rsidRPr="00A935AA" w:rsidRDefault="003C5F51" w:rsidP="00242AEE">
            <w:pPr>
              <w:jc w:val="center"/>
              <w:rPr>
                <w:sz w:val="20"/>
                <w:szCs w:val="20"/>
              </w:rPr>
            </w:pPr>
          </w:p>
          <w:p w:rsidR="003C5F51" w:rsidRPr="00A935AA" w:rsidRDefault="003C5F51" w:rsidP="00242AEE">
            <w:pPr>
              <w:jc w:val="center"/>
              <w:rPr>
                <w:sz w:val="20"/>
                <w:szCs w:val="20"/>
              </w:rPr>
            </w:pPr>
          </w:p>
          <w:p w:rsidR="003C5F51" w:rsidRPr="00A935AA" w:rsidRDefault="003C5F51" w:rsidP="00242AEE">
            <w:pPr>
              <w:jc w:val="center"/>
              <w:rPr>
                <w:sz w:val="20"/>
                <w:szCs w:val="20"/>
              </w:rPr>
            </w:pPr>
          </w:p>
          <w:p w:rsidR="003C5F51" w:rsidRPr="00A935AA" w:rsidRDefault="003C5F51" w:rsidP="00242AEE">
            <w:pPr>
              <w:jc w:val="center"/>
              <w:rPr>
                <w:sz w:val="20"/>
                <w:szCs w:val="20"/>
              </w:rPr>
            </w:pPr>
          </w:p>
        </w:tc>
        <w:tc>
          <w:tcPr>
            <w:tcW w:w="4320" w:type="dxa"/>
            <w:shd w:val="clear" w:color="auto" w:fill="auto"/>
          </w:tcPr>
          <w:p w:rsidR="003C5F51" w:rsidRPr="00A9165A" w:rsidRDefault="007324FC" w:rsidP="003C5F51">
            <w:pPr>
              <w:keepNext/>
              <w:keepLines/>
              <w:tabs>
                <w:tab w:val="left" w:pos="-1440"/>
                <w:tab w:val="left" w:pos="-720"/>
              </w:tabs>
              <w:rPr>
                <w:b/>
                <w:sz w:val="20"/>
                <w:szCs w:val="20"/>
                <w:lang w:val="fr-CA"/>
              </w:rPr>
            </w:pPr>
            <w:r w:rsidRPr="00A9165A">
              <w:rPr>
                <w:b/>
                <w:sz w:val="20"/>
                <w:szCs w:val="20"/>
                <w:lang w:val="fr-CA"/>
              </w:rPr>
              <w:t>Mario Brousseau</w:t>
            </w:r>
          </w:p>
          <w:p w:rsidR="003C5F51" w:rsidRPr="00A9165A" w:rsidRDefault="003C5F51" w:rsidP="003C5F51">
            <w:pPr>
              <w:keepNext/>
              <w:keepLines/>
              <w:tabs>
                <w:tab w:val="left" w:pos="-1440"/>
                <w:tab w:val="left" w:pos="-720"/>
              </w:tabs>
              <w:rPr>
                <w:sz w:val="20"/>
                <w:szCs w:val="20"/>
                <w:lang w:val="fr-CA"/>
              </w:rPr>
            </w:pPr>
            <w:r w:rsidRPr="00A9165A">
              <w:rPr>
                <w:sz w:val="20"/>
                <w:szCs w:val="20"/>
                <w:lang w:val="fr-CA"/>
              </w:rPr>
              <w:tab/>
            </w:r>
            <w:r w:rsidR="005937C7">
              <w:rPr>
                <w:sz w:val="20"/>
                <w:szCs w:val="20"/>
                <w:lang w:val="fr-CA"/>
              </w:rPr>
              <w:t>Roger Pilon</w:t>
            </w:r>
          </w:p>
          <w:p w:rsidR="003C5F51" w:rsidRPr="00A9165A" w:rsidRDefault="003C5F51" w:rsidP="003C5F51">
            <w:pPr>
              <w:keepNext/>
              <w:keepLines/>
              <w:tabs>
                <w:tab w:val="left" w:pos="-1440"/>
                <w:tab w:val="left" w:pos="-720"/>
              </w:tabs>
              <w:rPr>
                <w:sz w:val="20"/>
                <w:szCs w:val="20"/>
                <w:lang w:val="fr-CA"/>
              </w:rPr>
            </w:pPr>
          </w:p>
          <w:p w:rsidR="003C5F51" w:rsidRPr="00A9165A" w:rsidRDefault="003C5F51" w:rsidP="003C5F51">
            <w:pPr>
              <w:keepNext/>
              <w:keepLines/>
              <w:tabs>
                <w:tab w:val="left" w:pos="-1440"/>
                <w:tab w:val="left" w:pos="-720"/>
              </w:tabs>
              <w:rPr>
                <w:sz w:val="20"/>
                <w:szCs w:val="20"/>
                <w:lang w:val="fr-CA"/>
              </w:rPr>
            </w:pPr>
            <w:r w:rsidRPr="00A9165A">
              <w:rPr>
                <w:sz w:val="20"/>
                <w:szCs w:val="20"/>
                <w:lang w:val="fr-CA"/>
              </w:rPr>
              <w:tab/>
            </w:r>
            <w:r w:rsidR="005937C7" w:rsidRPr="00A9165A">
              <w:rPr>
                <w:sz w:val="20"/>
                <w:szCs w:val="20"/>
                <w:lang w:val="fr-CA"/>
              </w:rPr>
              <w:t>c</w:t>
            </w:r>
            <w:r w:rsidRPr="00A9165A">
              <w:rPr>
                <w:sz w:val="20"/>
                <w:szCs w:val="20"/>
                <w:lang w:val="fr-CA"/>
              </w:rPr>
              <w:t>. (34</w:t>
            </w:r>
            <w:r w:rsidR="005937C7" w:rsidRPr="00A9165A">
              <w:rPr>
                <w:sz w:val="20"/>
                <w:szCs w:val="20"/>
                <w:lang w:val="fr-CA"/>
              </w:rPr>
              <w:t>254</w:t>
            </w:r>
            <w:r w:rsidRPr="00A9165A">
              <w:rPr>
                <w:sz w:val="20"/>
                <w:szCs w:val="20"/>
                <w:lang w:val="fr-CA"/>
              </w:rPr>
              <w:t>)</w:t>
            </w:r>
          </w:p>
          <w:p w:rsidR="003C5F51" w:rsidRPr="00A9165A" w:rsidRDefault="003C5F51" w:rsidP="003C5F51">
            <w:pPr>
              <w:keepNext/>
              <w:keepLines/>
              <w:tabs>
                <w:tab w:val="left" w:pos="-1440"/>
                <w:tab w:val="left" w:pos="-720"/>
              </w:tabs>
              <w:rPr>
                <w:sz w:val="20"/>
                <w:szCs w:val="20"/>
                <w:lang w:val="fr-CA"/>
              </w:rPr>
            </w:pPr>
          </w:p>
          <w:p w:rsidR="003C5F51" w:rsidRPr="005937C7" w:rsidRDefault="005937C7" w:rsidP="003C5F51">
            <w:pPr>
              <w:keepNext/>
              <w:keepLines/>
              <w:tabs>
                <w:tab w:val="left" w:pos="-1440"/>
                <w:tab w:val="left" w:pos="-720"/>
              </w:tabs>
              <w:rPr>
                <w:b/>
                <w:sz w:val="20"/>
                <w:szCs w:val="20"/>
                <w:lang w:val="fr-CA"/>
              </w:rPr>
            </w:pPr>
            <w:r w:rsidRPr="005937C7">
              <w:rPr>
                <w:b/>
                <w:sz w:val="20"/>
                <w:szCs w:val="20"/>
                <w:lang w:val="fr-CA"/>
              </w:rPr>
              <w:t>Desjardins Assurances Générales Inc.</w:t>
            </w:r>
            <w:r>
              <w:rPr>
                <w:b/>
                <w:sz w:val="20"/>
                <w:szCs w:val="20"/>
                <w:lang w:val="fr-CA"/>
              </w:rPr>
              <w:t xml:space="preserve"> et autre </w:t>
            </w:r>
            <w:r w:rsidR="003C5F51" w:rsidRPr="005937C7">
              <w:rPr>
                <w:b/>
                <w:sz w:val="20"/>
                <w:szCs w:val="20"/>
                <w:lang w:val="fr-CA"/>
              </w:rPr>
              <w:t>(</w:t>
            </w:r>
            <w:r>
              <w:rPr>
                <w:b/>
                <w:sz w:val="20"/>
                <w:szCs w:val="20"/>
                <w:lang w:val="fr-CA"/>
              </w:rPr>
              <w:t>Qc</w:t>
            </w:r>
            <w:r w:rsidR="003C5F51" w:rsidRPr="005937C7">
              <w:rPr>
                <w:b/>
                <w:sz w:val="20"/>
                <w:szCs w:val="20"/>
                <w:lang w:val="fr-CA"/>
              </w:rPr>
              <w:t>)</w:t>
            </w:r>
          </w:p>
          <w:p w:rsidR="003C5F51" w:rsidRPr="005937C7" w:rsidRDefault="003C5F51" w:rsidP="003C5F51">
            <w:pPr>
              <w:keepNext/>
              <w:keepLines/>
              <w:tabs>
                <w:tab w:val="left" w:pos="-1440"/>
                <w:tab w:val="left" w:pos="-720"/>
              </w:tabs>
              <w:rPr>
                <w:sz w:val="20"/>
                <w:szCs w:val="20"/>
                <w:lang w:val="fr-CA"/>
              </w:rPr>
            </w:pPr>
            <w:r w:rsidRPr="005937C7">
              <w:rPr>
                <w:sz w:val="20"/>
                <w:szCs w:val="20"/>
                <w:lang w:val="fr-CA"/>
              </w:rPr>
              <w:tab/>
            </w:r>
            <w:r w:rsidR="005937C7">
              <w:rPr>
                <w:sz w:val="20"/>
                <w:szCs w:val="20"/>
                <w:lang w:val="fr-CA"/>
              </w:rPr>
              <w:t>Stéphane Lepage</w:t>
            </w:r>
          </w:p>
          <w:p w:rsidR="003C5F51" w:rsidRPr="005937C7" w:rsidRDefault="003C5F51" w:rsidP="003C5F51">
            <w:pPr>
              <w:keepNext/>
              <w:keepLines/>
              <w:tabs>
                <w:tab w:val="left" w:pos="-1440"/>
                <w:tab w:val="left" w:pos="-720"/>
              </w:tabs>
              <w:rPr>
                <w:sz w:val="20"/>
                <w:szCs w:val="20"/>
                <w:lang w:val="fr-CA"/>
              </w:rPr>
            </w:pPr>
            <w:r w:rsidRPr="005937C7">
              <w:rPr>
                <w:sz w:val="20"/>
                <w:szCs w:val="20"/>
                <w:lang w:val="fr-CA"/>
              </w:rPr>
              <w:tab/>
            </w:r>
            <w:r w:rsidR="005937C7">
              <w:rPr>
                <w:sz w:val="20"/>
                <w:szCs w:val="20"/>
                <w:lang w:val="fr-CA"/>
              </w:rPr>
              <w:t>Pelletier D’Amours</w:t>
            </w:r>
          </w:p>
          <w:p w:rsidR="003C5F51" w:rsidRPr="005937C7" w:rsidRDefault="003C5F51" w:rsidP="003C5F51">
            <w:pPr>
              <w:keepNext/>
              <w:keepLines/>
              <w:tabs>
                <w:tab w:val="left" w:pos="-1440"/>
                <w:tab w:val="left" w:pos="-720"/>
              </w:tabs>
              <w:rPr>
                <w:sz w:val="20"/>
                <w:szCs w:val="20"/>
                <w:lang w:val="fr-CA"/>
              </w:rPr>
            </w:pPr>
          </w:p>
          <w:p w:rsidR="003C5F51" w:rsidRPr="005937C7" w:rsidRDefault="003C5F51" w:rsidP="005937C7">
            <w:pPr>
              <w:rPr>
                <w:sz w:val="20"/>
                <w:szCs w:val="20"/>
                <w:lang w:val="fr-CA"/>
              </w:rPr>
            </w:pPr>
            <w:r w:rsidRPr="005937C7">
              <w:rPr>
                <w:sz w:val="20"/>
                <w:szCs w:val="20"/>
                <w:lang w:val="fr-CA"/>
              </w:rPr>
              <w:t>DATE</w:t>
            </w:r>
            <w:r w:rsidR="005937C7" w:rsidRPr="005937C7">
              <w:rPr>
                <w:sz w:val="20"/>
                <w:szCs w:val="20"/>
                <w:lang w:val="fr-CA"/>
              </w:rPr>
              <w:t xml:space="preserve"> DE PRODUCTION </w:t>
            </w:r>
            <w:r w:rsidRPr="005937C7">
              <w:rPr>
                <w:sz w:val="20"/>
                <w:szCs w:val="20"/>
                <w:lang w:val="fr-CA"/>
              </w:rPr>
              <w:t xml:space="preserve">: </w:t>
            </w:r>
            <w:r w:rsidR="005937C7" w:rsidRPr="005937C7">
              <w:rPr>
                <w:sz w:val="20"/>
                <w:szCs w:val="20"/>
                <w:lang w:val="fr-CA"/>
              </w:rPr>
              <w:t>06</w:t>
            </w:r>
            <w:r w:rsidRPr="005937C7">
              <w:rPr>
                <w:sz w:val="20"/>
                <w:szCs w:val="20"/>
                <w:lang w:val="fr-CA"/>
              </w:rPr>
              <w:t>.05.2011</w:t>
            </w:r>
            <w:r w:rsidR="008C2B81" w:rsidRPr="008C2B81">
              <w:rPr>
                <w:sz w:val="20"/>
                <w:szCs w:val="20"/>
                <w:lang w:val="fr-CA"/>
              </w:rPr>
              <w:pict>
                <v:rect id="_x0000_i1034" style="width:108pt;height:1pt" o:hrpct="0" o:hralign="center" o:hrstd="t" o:hrnoshade="t" o:hr="t" fillcolor="black [3213]" stroked="f"/>
              </w:pict>
            </w:r>
          </w:p>
        </w:tc>
      </w:tr>
      <w:tr w:rsidR="00626109" w:rsidRPr="00E731B9" w:rsidTr="003B3977">
        <w:trPr>
          <w:cantSplit/>
        </w:trPr>
        <w:tc>
          <w:tcPr>
            <w:tcW w:w="4320" w:type="dxa"/>
            <w:shd w:val="clear" w:color="auto" w:fill="auto"/>
          </w:tcPr>
          <w:p w:rsidR="00626109" w:rsidRPr="00A9165A" w:rsidRDefault="005937C7" w:rsidP="00626109">
            <w:pPr>
              <w:rPr>
                <w:b/>
                <w:sz w:val="20"/>
                <w:szCs w:val="20"/>
              </w:rPr>
            </w:pPr>
            <w:r w:rsidRPr="00A9165A">
              <w:rPr>
                <w:b/>
                <w:sz w:val="20"/>
                <w:szCs w:val="20"/>
              </w:rPr>
              <w:t>Joshua David</w:t>
            </w:r>
            <w:r w:rsidR="00E731B9" w:rsidRPr="00A9165A">
              <w:rPr>
                <w:b/>
                <w:sz w:val="20"/>
                <w:szCs w:val="20"/>
              </w:rPr>
              <w:t xml:space="preserve"> Cain</w:t>
            </w:r>
          </w:p>
          <w:p w:rsidR="00626109" w:rsidRPr="00E731B9" w:rsidRDefault="00626109" w:rsidP="00626109">
            <w:pPr>
              <w:tabs>
                <w:tab w:val="left" w:pos="-1440"/>
                <w:tab w:val="left" w:pos="-720"/>
              </w:tabs>
              <w:rPr>
                <w:sz w:val="20"/>
                <w:szCs w:val="20"/>
              </w:rPr>
            </w:pPr>
            <w:r w:rsidRPr="00A9165A">
              <w:rPr>
                <w:sz w:val="20"/>
                <w:szCs w:val="20"/>
              </w:rPr>
              <w:tab/>
            </w:r>
            <w:r w:rsidR="00E731B9" w:rsidRPr="00E731B9">
              <w:rPr>
                <w:sz w:val="20"/>
                <w:szCs w:val="20"/>
              </w:rPr>
              <w:t>Deborah R. Hatch</w:t>
            </w:r>
          </w:p>
          <w:p w:rsidR="00626109" w:rsidRPr="00E731B9" w:rsidRDefault="00626109" w:rsidP="00626109">
            <w:pPr>
              <w:tabs>
                <w:tab w:val="left" w:pos="-1440"/>
                <w:tab w:val="left" w:pos="-720"/>
              </w:tabs>
              <w:rPr>
                <w:sz w:val="20"/>
                <w:szCs w:val="20"/>
              </w:rPr>
            </w:pPr>
            <w:r w:rsidRPr="00E731B9">
              <w:rPr>
                <w:sz w:val="20"/>
                <w:szCs w:val="20"/>
              </w:rPr>
              <w:tab/>
            </w:r>
            <w:r w:rsidR="00E731B9" w:rsidRPr="00E731B9">
              <w:rPr>
                <w:sz w:val="20"/>
                <w:szCs w:val="20"/>
              </w:rPr>
              <w:t>Gunn Law Group</w:t>
            </w:r>
          </w:p>
          <w:p w:rsidR="00626109" w:rsidRPr="00E731B9" w:rsidRDefault="00626109" w:rsidP="00626109">
            <w:pPr>
              <w:tabs>
                <w:tab w:val="left" w:pos="-1440"/>
                <w:tab w:val="left" w:pos="-720"/>
              </w:tabs>
              <w:rPr>
                <w:sz w:val="20"/>
                <w:szCs w:val="20"/>
              </w:rPr>
            </w:pPr>
          </w:p>
          <w:p w:rsidR="00626109" w:rsidRPr="00E731B9" w:rsidRDefault="00626109" w:rsidP="00626109">
            <w:pPr>
              <w:tabs>
                <w:tab w:val="left" w:pos="-1440"/>
                <w:tab w:val="left" w:pos="-720"/>
              </w:tabs>
              <w:rPr>
                <w:sz w:val="20"/>
                <w:szCs w:val="20"/>
              </w:rPr>
            </w:pPr>
            <w:r w:rsidRPr="00E731B9">
              <w:rPr>
                <w:sz w:val="20"/>
                <w:szCs w:val="20"/>
              </w:rPr>
              <w:tab/>
              <w:t>v. (34</w:t>
            </w:r>
            <w:r w:rsidR="00E731B9" w:rsidRPr="00E731B9">
              <w:rPr>
                <w:sz w:val="20"/>
                <w:szCs w:val="20"/>
              </w:rPr>
              <w:t>253</w:t>
            </w:r>
            <w:r w:rsidRPr="00E731B9">
              <w:rPr>
                <w:sz w:val="20"/>
                <w:szCs w:val="20"/>
              </w:rPr>
              <w:t>)</w:t>
            </w:r>
          </w:p>
          <w:p w:rsidR="00626109" w:rsidRPr="00E731B9" w:rsidRDefault="00626109" w:rsidP="00626109">
            <w:pPr>
              <w:tabs>
                <w:tab w:val="left" w:pos="-1440"/>
                <w:tab w:val="left" w:pos="-720"/>
              </w:tabs>
              <w:rPr>
                <w:sz w:val="20"/>
                <w:szCs w:val="20"/>
              </w:rPr>
            </w:pPr>
          </w:p>
          <w:p w:rsidR="00626109" w:rsidRPr="00E731B9" w:rsidRDefault="00E731B9" w:rsidP="00626109">
            <w:pPr>
              <w:tabs>
                <w:tab w:val="left" w:pos="-1440"/>
                <w:tab w:val="left" w:pos="-720"/>
              </w:tabs>
              <w:rPr>
                <w:b/>
                <w:sz w:val="20"/>
                <w:szCs w:val="20"/>
              </w:rPr>
            </w:pPr>
            <w:r w:rsidRPr="00E731B9">
              <w:rPr>
                <w:b/>
                <w:sz w:val="20"/>
                <w:szCs w:val="20"/>
              </w:rPr>
              <w:t xml:space="preserve">Her Majesty the Queen </w:t>
            </w:r>
            <w:r w:rsidR="00626109" w:rsidRPr="00E731B9">
              <w:rPr>
                <w:b/>
                <w:sz w:val="20"/>
                <w:szCs w:val="20"/>
              </w:rPr>
              <w:t>(</w:t>
            </w:r>
            <w:r w:rsidRPr="00E731B9">
              <w:rPr>
                <w:b/>
                <w:sz w:val="20"/>
                <w:szCs w:val="20"/>
              </w:rPr>
              <w:t>Alta</w:t>
            </w:r>
            <w:r w:rsidR="00626109" w:rsidRPr="00E731B9">
              <w:rPr>
                <w:b/>
                <w:sz w:val="20"/>
                <w:szCs w:val="20"/>
              </w:rPr>
              <w:t>.)</w:t>
            </w:r>
          </w:p>
          <w:p w:rsidR="00626109" w:rsidRPr="00E731B9" w:rsidRDefault="00626109" w:rsidP="00626109">
            <w:pPr>
              <w:tabs>
                <w:tab w:val="left" w:pos="-1440"/>
                <w:tab w:val="left" w:pos="-720"/>
              </w:tabs>
              <w:rPr>
                <w:sz w:val="20"/>
                <w:szCs w:val="20"/>
              </w:rPr>
            </w:pPr>
            <w:r w:rsidRPr="00E731B9">
              <w:rPr>
                <w:sz w:val="20"/>
                <w:szCs w:val="20"/>
              </w:rPr>
              <w:tab/>
            </w:r>
            <w:r w:rsidR="00E731B9">
              <w:rPr>
                <w:sz w:val="20"/>
                <w:szCs w:val="20"/>
              </w:rPr>
              <w:t>Maureen McGuire</w:t>
            </w:r>
          </w:p>
          <w:p w:rsidR="00626109" w:rsidRPr="00E731B9" w:rsidRDefault="00626109" w:rsidP="00626109">
            <w:pPr>
              <w:tabs>
                <w:tab w:val="left" w:pos="-1440"/>
                <w:tab w:val="left" w:pos="-720"/>
              </w:tabs>
              <w:rPr>
                <w:sz w:val="20"/>
                <w:szCs w:val="20"/>
              </w:rPr>
            </w:pPr>
            <w:r w:rsidRPr="00E731B9">
              <w:rPr>
                <w:sz w:val="20"/>
                <w:szCs w:val="20"/>
              </w:rPr>
              <w:tab/>
            </w:r>
            <w:r w:rsidR="00E731B9">
              <w:rPr>
                <w:sz w:val="20"/>
                <w:szCs w:val="20"/>
              </w:rPr>
              <w:t>A.G. of Alberta</w:t>
            </w:r>
          </w:p>
          <w:p w:rsidR="00626109" w:rsidRPr="00E731B9" w:rsidRDefault="00626109" w:rsidP="00626109">
            <w:pPr>
              <w:tabs>
                <w:tab w:val="left" w:pos="-1440"/>
                <w:tab w:val="left" w:pos="-720"/>
              </w:tabs>
              <w:rPr>
                <w:sz w:val="20"/>
                <w:szCs w:val="20"/>
              </w:rPr>
            </w:pPr>
          </w:p>
          <w:p w:rsidR="00626109" w:rsidRPr="00E731B9" w:rsidRDefault="00626109" w:rsidP="00626109">
            <w:pPr>
              <w:rPr>
                <w:sz w:val="20"/>
                <w:szCs w:val="20"/>
                <w:lang w:val="fr-CA"/>
              </w:rPr>
            </w:pPr>
            <w:r w:rsidRPr="00E731B9">
              <w:rPr>
                <w:sz w:val="20"/>
                <w:szCs w:val="20"/>
                <w:lang w:val="fr-CA"/>
              </w:rPr>
              <w:t xml:space="preserve">FILING DATE: </w:t>
            </w:r>
            <w:r w:rsidR="0068711B">
              <w:rPr>
                <w:sz w:val="20"/>
                <w:szCs w:val="20"/>
                <w:lang w:val="fr-CA"/>
              </w:rPr>
              <w:t>11</w:t>
            </w:r>
            <w:r w:rsidRPr="00E731B9">
              <w:rPr>
                <w:sz w:val="20"/>
                <w:szCs w:val="20"/>
                <w:lang w:val="fr-CA"/>
              </w:rPr>
              <w:t>.05.2011</w:t>
            </w:r>
          </w:p>
          <w:p w:rsidR="00626109" w:rsidRPr="00E731B9" w:rsidRDefault="008C2B81" w:rsidP="00626109">
            <w:pPr>
              <w:rPr>
                <w:sz w:val="20"/>
                <w:szCs w:val="20"/>
                <w:lang w:val="fr-CA"/>
              </w:rPr>
            </w:pPr>
            <w:r w:rsidRPr="008C2B81">
              <w:rPr>
                <w:sz w:val="20"/>
                <w:szCs w:val="20"/>
                <w:lang w:val="fr-CA"/>
              </w:rPr>
              <w:pict>
                <v:rect id="_x0000_i1035" style="width:108pt;height:1pt" o:hrpct="0" o:hralign="center" o:hrstd="t" o:hrnoshade="t" o:hr="t" fillcolor="black [3213]" stroked="f"/>
              </w:pict>
            </w:r>
          </w:p>
        </w:tc>
        <w:tc>
          <w:tcPr>
            <w:tcW w:w="1181" w:type="dxa"/>
            <w:shd w:val="clear" w:color="auto" w:fill="auto"/>
          </w:tcPr>
          <w:p w:rsidR="00626109" w:rsidRPr="00E731B9" w:rsidRDefault="00626109" w:rsidP="00242AEE">
            <w:pPr>
              <w:jc w:val="center"/>
              <w:rPr>
                <w:sz w:val="20"/>
                <w:szCs w:val="20"/>
                <w:lang w:val="fr-CA"/>
              </w:rPr>
            </w:pPr>
          </w:p>
        </w:tc>
        <w:tc>
          <w:tcPr>
            <w:tcW w:w="4320" w:type="dxa"/>
            <w:shd w:val="clear" w:color="auto" w:fill="auto"/>
          </w:tcPr>
          <w:p w:rsidR="00626109" w:rsidRPr="00E731B9" w:rsidRDefault="00626109" w:rsidP="003C5F51">
            <w:pPr>
              <w:keepNext/>
              <w:keepLines/>
              <w:tabs>
                <w:tab w:val="left" w:pos="-1440"/>
                <w:tab w:val="left" w:pos="-720"/>
              </w:tabs>
              <w:rPr>
                <w:b/>
                <w:sz w:val="20"/>
                <w:szCs w:val="20"/>
                <w:lang w:val="fr-CA"/>
              </w:rPr>
            </w:pPr>
          </w:p>
        </w:tc>
      </w:tr>
    </w:tbl>
    <w:p w:rsidR="006C3F47" w:rsidRPr="00E731B9" w:rsidRDefault="006C3F47" w:rsidP="0095096B">
      <w:pPr>
        <w:tabs>
          <w:tab w:val="right" w:pos="9360"/>
        </w:tabs>
        <w:rPr>
          <w:sz w:val="20"/>
          <w:szCs w:val="20"/>
          <w:lang w:val="fr-CA"/>
        </w:rPr>
      </w:pPr>
    </w:p>
    <w:p w:rsidR="00242AEE" w:rsidRPr="00E731B9" w:rsidRDefault="00242AEE" w:rsidP="0095096B">
      <w:pPr>
        <w:tabs>
          <w:tab w:val="right" w:pos="9360"/>
        </w:tabs>
        <w:rPr>
          <w:sz w:val="20"/>
          <w:szCs w:val="20"/>
          <w:lang w:val="fr-CA"/>
        </w:rPr>
      </w:pPr>
    </w:p>
    <w:p w:rsidR="00242AEE" w:rsidRPr="00E731B9" w:rsidRDefault="00242AEE" w:rsidP="0095096B">
      <w:pPr>
        <w:tabs>
          <w:tab w:val="right" w:pos="9360"/>
        </w:tabs>
        <w:rPr>
          <w:sz w:val="20"/>
          <w:szCs w:val="20"/>
          <w:lang w:val="fr-CA"/>
        </w:rPr>
        <w:sectPr w:rsidR="00242AEE" w:rsidRPr="00E731B9" w:rsidSect="00862DB7">
          <w:headerReference w:type="default" r:id="rId14"/>
          <w:footerReference w:type="default" r:id="rId15"/>
          <w:headerReference w:type="first" r:id="rId16"/>
          <w:footerReference w:type="first" r:id="rId17"/>
          <w:pgSz w:w="12240" w:h="15840"/>
          <w:pgMar w:top="720" w:right="965" w:bottom="1080" w:left="1656" w:header="706" w:footer="706" w:gutter="0"/>
          <w:pgNumType w:start="83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C50886" w:rsidTr="00BA6468">
        <w:trPr>
          <w:trHeight w:val="900"/>
        </w:trPr>
        <w:tc>
          <w:tcPr>
            <w:tcW w:w="4200" w:type="dxa"/>
            <w:tcMar>
              <w:left w:w="0" w:type="dxa"/>
              <w:right w:w="0" w:type="dxa"/>
            </w:tcMar>
          </w:tcPr>
          <w:p w:rsidR="002E2327" w:rsidRPr="00A9165A" w:rsidRDefault="002E2327" w:rsidP="002E2327">
            <w:pPr>
              <w:keepNext/>
              <w:keepLines/>
              <w:widowControl w:val="0"/>
              <w:rPr>
                <w:b/>
                <w:szCs w:val="24"/>
              </w:rPr>
            </w:pPr>
            <w:r w:rsidRPr="00A9165A">
              <w:rPr>
                <w:b/>
                <w:szCs w:val="24"/>
              </w:rPr>
              <w:lastRenderedPageBreak/>
              <w:t>APPLICATIONS FOR LEAVE SUBMITTED TO COURT SINCE LAST ISSUE</w:t>
            </w:r>
          </w:p>
        </w:tc>
        <w:tc>
          <w:tcPr>
            <w:tcW w:w="1200" w:type="dxa"/>
            <w:tcMar>
              <w:left w:w="0" w:type="dxa"/>
              <w:right w:w="0" w:type="dxa"/>
            </w:tcMar>
          </w:tcPr>
          <w:p w:rsidR="002E2327" w:rsidRPr="00A9165A" w:rsidRDefault="002E2327" w:rsidP="002E2327">
            <w:pPr>
              <w:keepNext/>
              <w:keepLines/>
              <w:widowControl w:val="0"/>
              <w:jc w:val="center"/>
              <w:rPr>
                <w:b/>
                <w:szCs w:val="24"/>
              </w:rPr>
            </w:pPr>
          </w:p>
          <w:p w:rsidR="001D0D5F" w:rsidRPr="00A9165A" w:rsidRDefault="001D0D5F" w:rsidP="002E2327">
            <w:pPr>
              <w:keepNext/>
              <w:keepLines/>
              <w:widowControl w:val="0"/>
              <w:jc w:val="center"/>
              <w:rPr>
                <w:b/>
                <w:szCs w:val="24"/>
              </w:rPr>
            </w:pPr>
          </w:p>
          <w:p w:rsidR="001D0D5F" w:rsidRPr="00A9165A" w:rsidRDefault="001D0D5F" w:rsidP="002E2327">
            <w:pPr>
              <w:keepNext/>
              <w:keepLines/>
              <w:widowControl w:val="0"/>
              <w:jc w:val="center"/>
              <w:rPr>
                <w:b/>
                <w:szCs w:val="24"/>
              </w:rPr>
            </w:pPr>
          </w:p>
          <w:p w:rsidR="001D0D5F" w:rsidRPr="00A9165A"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C423E4" w:rsidP="003359D3">
      <w:pPr>
        <w:widowControl w:val="0"/>
        <w:rPr>
          <w:b/>
          <w:sz w:val="20"/>
          <w:szCs w:val="20"/>
        </w:rPr>
      </w:pPr>
      <w:r>
        <w:rPr>
          <w:b/>
          <w:sz w:val="20"/>
          <w:szCs w:val="20"/>
        </w:rPr>
        <w:t>M</w:t>
      </w:r>
      <w:r w:rsidR="003359D3" w:rsidRPr="00C50A5C">
        <w:rPr>
          <w:b/>
          <w:sz w:val="20"/>
          <w:szCs w:val="20"/>
        </w:rPr>
        <w:t>A</w:t>
      </w:r>
      <w:r>
        <w:rPr>
          <w:b/>
          <w:sz w:val="20"/>
          <w:szCs w:val="20"/>
        </w:rPr>
        <w:t>Y</w:t>
      </w:r>
      <w:r w:rsidR="003359D3" w:rsidRPr="00C50A5C">
        <w:rPr>
          <w:b/>
          <w:sz w:val="20"/>
          <w:szCs w:val="20"/>
        </w:rPr>
        <w:t xml:space="preserve"> </w:t>
      </w:r>
      <w:r>
        <w:rPr>
          <w:b/>
          <w:sz w:val="20"/>
          <w:szCs w:val="20"/>
        </w:rPr>
        <w:t>24</w:t>
      </w:r>
      <w:r w:rsidR="003359D3" w:rsidRPr="00C50A5C">
        <w:rPr>
          <w:b/>
          <w:sz w:val="20"/>
          <w:szCs w:val="20"/>
        </w:rPr>
        <w:t>, 201</w:t>
      </w:r>
      <w:r w:rsidR="003359D3">
        <w:rPr>
          <w:b/>
          <w:sz w:val="20"/>
          <w:szCs w:val="20"/>
        </w:rPr>
        <w:t>1</w:t>
      </w:r>
      <w:r w:rsidR="003359D3" w:rsidRPr="00C50A5C">
        <w:rPr>
          <w:b/>
          <w:sz w:val="20"/>
          <w:szCs w:val="20"/>
        </w:rPr>
        <w:t xml:space="preserve"> / LE </w:t>
      </w:r>
      <w:r>
        <w:rPr>
          <w:b/>
          <w:sz w:val="20"/>
          <w:szCs w:val="20"/>
        </w:rPr>
        <w:t>24</w:t>
      </w:r>
      <w:r w:rsidR="003359D3" w:rsidRPr="00C50A5C">
        <w:rPr>
          <w:b/>
          <w:sz w:val="20"/>
          <w:szCs w:val="20"/>
        </w:rPr>
        <w:t xml:space="preserve"> </w:t>
      </w:r>
      <w:r>
        <w:rPr>
          <w:b/>
          <w:sz w:val="20"/>
          <w:szCs w:val="20"/>
        </w:rPr>
        <w:t>M</w:t>
      </w:r>
      <w:r w:rsidR="003359D3" w:rsidRPr="00C50A5C">
        <w:rPr>
          <w:b/>
          <w:sz w:val="20"/>
          <w:szCs w:val="20"/>
        </w:rPr>
        <w:t>AI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sidR="00493F46">
        <w:rPr>
          <w:b/>
          <w:sz w:val="20"/>
          <w:szCs w:val="20"/>
        </w:rPr>
        <w:t xml:space="preserve">Abella </w:t>
      </w:r>
      <w:r w:rsidRPr="00C50A5C">
        <w:rPr>
          <w:b/>
          <w:sz w:val="20"/>
          <w:szCs w:val="20"/>
        </w:rPr>
        <w:t>and C</w:t>
      </w:r>
      <w:r>
        <w:rPr>
          <w:b/>
          <w:sz w:val="20"/>
          <w:szCs w:val="20"/>
        </w:rPr>
        <w:t>r</w:t>
      </w:r>
      <w:r w:rsidRPr="00C50A5C">
        <w:rPr>
          <w:b/>
          <w:sz w:val="20"/>
          <w:szCs w:val="20"/>
        </w:rPr>
        <w:t>o</w:t>
      </w:r>
      <w:r w:rsidR="00493F46">
        <w:rPr>
          <w:b/>
          <w:sz w:val="20"/>
          <w:szCs w:val="20"/>
        </w:rPr>
        <w:t>mwell</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sidR="00493F46">
        <w:rPr>
          <w:b/>
          <w:sz w:val="20"/>
          <w:szCs w:val="20"/>
          <w:lang w:val="fr-CA"/>
        </w:rPr>
        <w:t>Abella</w:t>
      </w:r>
      <w:r w:rsidRPr="00C50A5C">
        <w:rPr>
          <w:b/>
          <w:sz w:val="20"/>
          <w:szCs w:val="20"/>
          <w:lang w:val="fr-CA"/>
        </w:rPr>
        <w:t xml:space="preserve"> et C</w:t>
      </w:r>
      <w:r>
        <w:rPr>
          <w:b/>
          <w:sz w:val="20"/>
          <w:szCs w:val="20"/>
          <w:lang w:val="fr-CA"/>
        </w:rPr>
        <w:t>r</w:t>
      </w:r>
      <w:r w:rsidRPr="00C50A5C">
        <w:rPr>
          <w:b/>
          <w:sz w:val="20"/>
          <w:szCs w:val="20"/>
          <w:lang w:val="fr-CA"/>
        </w:rPr>
        <w:t>o</w:t>
      </w:r>
      <w:r w:rsidR="00493F46">
        <w:rPr>
          <w:b/>
          <w:sz w:val="20"/>
          <w:szCs w:val="20"/>
          <w:lang w:val="fr-CA"/>
        </w:rPr>
        <w:t>mwell</w:t>
      </w:r>
    </w:p>
    <w:p w:rsidR="003359D3" w:rsidRPr="00C50A5C" w:rsidRDefault="003359D3" w:rsidP="003359D3">
      <w:pPr>
        <w:widowControl w:val="0"/>
        <w:rPr>
          <w:sz w:val="20"/>
          <w:szCs w:val="20"/>
          <w:lang w:val="fr-CA"/>
        </w:rPr>
      </w:pPr>
    </w:p>
    <w:p w:rsidR="003359D3" w:rsidRPr="00C50A5C" w:rsidRDefault="00FD0662" w:rsidP="003359D3">
      <w:pPr>
        <w:pStyle w:val="ListParagraph"/>
        <w:widowControl w:val="0"/>
        <w:numPr>
          <w:ilvl w:val="0"/>
          <w:numId w:val="1"/>
        </w:numPr>
        <w:ind w:hanging="720"/>
        <w:jc w:val="both"/>
        <w:rPr>
          <w:sz w:val="20"/>
          <w:szCs w:val="20"/>
        </w:rPr>
      </w:pPr>
      <w:r w:rsidRPr="00FD0662">
        <w:rPr>
          <w:i/>
          <w:sz w:val="20"/>
          <w:szCs w:val="20"/>
        </w:rPr>
        <w:t xml:space="preserve">Gavra Largie v. Her Majesty the Queen </w:t>
      </w:r>
      <w:r w:rsidRPr="00493F46">
        <w:rPr>
          <w:sz w:val="20"/>
          <w:szCs w:val="20"/>
        </w:rPr>
        <w:t>(Ont.) (Crim</w:t>
      </w:r>
      <w:r>
        <w:rPr>
          <w:sz w:val="20"/>
          <w:szCs w:val="20"/>
        </w:rPr>
        <w:t>.</w:t>
      </w:r>
      <w:r w:rsidRPr="00493F46">
        <w:rPr>
          <w:sz w:val="20"/>
          <w:szCs w:val="20"/>
        </w:rPr>
        <w:t>) (By Leave)</w:t>
      </w:r>
      <w:r w:rsidRPr="00C50A5C">
        <w:rPr>
          <w:sz w:val="20"/>
          <w:szCs w:val="20"/>
        </w:rPr>
        <w:t xml:space="preserve"> </w:t>
      </w:r>
      <w:r w:rsidR="003359D3" w:rsidRPr="00C50A5C">
        <w:rPr>
          <w:sz w:val="20"/>
          <w:szCs w:val="20"/>
        </w:rPr>
        <w:t>(3</w:t>
      </w:r>
      <w:r w:rsidR="003359D3">
        <w:rPr>
          <w:sz w:val="20"/>
          <w:szCs w:val="20"/>
        </w:rPr>
        <w:t>4</w:t>
      </w:r>
      <w:r w:rsidR="00493F46">
        <w:rPr>
          <w:sz w:val="20"/>
          <w:szCs w:val="20"/>
        </w:rPr>
        <w:t>160</w:t>
      </w:r>
      <w:r w:rsidR="003359D3" w:rsidRPr="00C50A5C">
        <w:rPr>
          <w:sz w:val="20"/>
          <w:szCs w:val="20"/>
        </w:rPr>
        <w:t>)</w:t>
      </w:r>
    </w:p>
    <w:p w:rsidR="003359D3" w:rsidRDefault="003359D3" w:rsidP="003359D3">
      <w:pPr>
        <w:widowControl w:val="0"/>
        <w:jc w:val="both"/>
        <w:rPr>
          <w:sz w:val="20"/>
          <w:szCs w:val="20"/>
        </w:rPr>
      </w:pPr>
    </w:p>
    <w:p w:rsidR="00493F46" w:rsidRDefault="00493F46" w:rsidP="003359D3">
      <w:pPr>
        <w:widowControl w:val="0"/>
        <w:jc w:val="both"/>
        <w:rPr>
          <w:sz w:val="20"/>
          <w:szCs w:val="20"/>
        </w:rPr>
      </w:pPr>
    </w:p>
    <w:p w:rsidR="00493F46" w:rsidRPr="00C50A5C" w:rsidRDefault="00493F46" w:rsidP="00493F46">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493F46" w:rsidRPr="00C50A5C" w:rsidRDefault="00493F46" w:rsidP="00493F46">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493F46" w:rsidRPr="00C50A5C" w:rsidRDefault="00493F46" w:rsidP="00493F46">
      <w:pPr>
        <w:widowControl w:val="0"/>
        <w:rPr>
          <w:sz w:val="20"/>
          <w:szCs w:val="20"/>
          <w:lang w:val="fr-CA"/>
        </w:rPr>
      </w:pPr>
    </w:p>
    <w:p w:rsidR="003359D3" w:rsidRPr="000D3B6E" w:rsidRDefault="00493F46" w:rsidP="003359D3">
      <w:pPr>
        <w:pStyle w:val="ListParagraph"/>
        <w:widowControl w:val="0"/>
        <w:numPr>
          <w:ilvl w:val="0"/>
          <w:numId w:val="1"/>
        </w:numPr>
        <w:ind w:hanging="720"/>
        <w:jc w:val="both"/>
        <w:rPr>
          <w:sz w:val="20"/>
          <w:szCs w:val="20"/>
          <w:lang w:val="fr-CA"/>
        </w:rPr>
      </w:pPr>
      <w:r w:rsidRPr="00493F46">
        <w:rPr>
          <w:i/>
          <w:sz w:val="20"/>
          <w:szCs w:val="20"/>
        </w:rPr>
        <w:t>Robert Laurie McCallum v. Her Majesty the Queen</w:t>
      </w:r>
      <w:r w:rsidRPr="00493F46">
        <w:rPr>
          <w:sz w:val="20"/>
          <w:szCs w:val="20"/>
        </w:rPr>
        <w:t xml:space="preserve"> (B.C.) (Crim</w:t>
      </w:r>
      <w:r>
        <w:rPr>
          <w:sz w:val="20"/>
          <w:szCs w:val="20"/>
        </w:rPr>
        <w:t>.</w:t>
      </w:r>
      <w:r w:rsidRPr="00493F46">
        <w:rPr>
          <w:sz w:val="20"/>
          <w:szCs w:val="20"/>
        </w:rPr>
        <w:t>) (By Leave)</w:t>
      </w:r>
      <w:r>
        <w:rPr>
          <w:sz w:val="20"/>
          <w:szCs w:val="20"/>
        </w:rPr>
        <w:t xml:space="preserve"> </w:t>
      </w:r>
      <w:r w:rsidR="003359D3" w:rsidRPr="000D3B6E">
        <w:rPr>
          <w:sz w:val="20"/>
          <w:szCs w:val="20"/>
          <w:lang w:val="fr-CA"/>
        </w:rPr>
        <w:t>(34</w:t>
      </w:r>
      <w:r>
        <w:rPr>
          <w:sz w:val="20"/>
          <w:szCs w:val="20"/>
          <w:lang w:val="fr-CA"/>
        </w:rPr>
        <w:t>125</w:t>
      </w:r>
      <w:r w:rsidR="003359D3" w:rsidRPr="000D3B6E">
        <w:rPr>
          <w:sz w:val="20"/>
          <w:szCs w:val="20"/>
          <w:lang w:val="fr-CA"/>
        </w:rPr>
        <w:t>)</w:t>
      </w:r>
    </w:p>
    <w:p w:rsidR="003359D3" w:rsidRPr="000D3B6E" w:rsidRDefault="003359D3" w:rsidP="003359D3">
      <w:pPr>
        <w:widowControl w:val="0"/>
        <w:jc w:val="both"/>
        <w:rPr>
          <w:sz w:val="20"/>
          <w:szCs w:val="20"/>
          <w:lang w:val="fr-CA"/>
        </w:rPr>
      </w:pPr>
    </w:p>
    <w:p w:rsidR="003359D3" w:rsidRPr="00C50A5C" w:rsidRDefault="00FD0662" w:rsidP="003359D3">
      <w:pPr>
        <w:pStyle w:val="ListParagraph"/>
        <w:widowControl w:val="0"/>
        <w:numPr>
          <w:ilvl w:val="0"/>
          <w:numId w:val="1"/>
        </w:numPr>
        <w:ind w:hanging="720"/>
        <w:jc w:val="both"/>
        <w:rPr>
          <w:sz w:val="20"/>
          <w:szCs w:val="20"/>
        </w:rPr>
      </w:pPr>
      <w:r w:rsidRPr="00FD0662">
        <w:rPr>
          <w:i/>
          <w:sz w:val="20"/>
          <w:szCs w:val="20"/>
        </w:rPr>
        <w:t>Cary Ulmer v. British Columbia Society for the Prevention of Cruelty to Animals</w:t>
      </w:r>
      <w:r w:rsidRPr="00493F46">
        <w:rPr>
          <w:sz w:val="20"/>
          <w:szCs w:val="20"/>
        </w:rPr>
        <w:t xml:space="preserve"> (B.C.) (Civil) (By Leave)</w:t>
      </w:r>
      <w:r w:rsidRPr="00C50A5C">
        <w:rPr>
          <w:sz w:val="20"/>
          <w:szCs w:val="20"/>
        </w:rPr>
        <w:t xml:space="preserve"> </w:t>
      </w:r>
      <w:r w:rsidR="003359D3" w:rsidRPr="00C50A5C">
        <w:rPr>
          <w:sz w:val="20"/>
          <w:szCs w:val="20"/>
        </w:rPr>
        <w:t>(3</w:t>
      </w:r>
      <w:r w:rsidR="003359D3">
        <w:rPr>
          <w:sz w:val="20"/>
          <w:szCs w:val="20"/>
        </w:rPr>
        <w:t>4</w:t>
      </w:r>
      <w:r w:rsidR="00493F46">
        <w:rPr>
          <w:sz w:val="20"/>
          <w:szCs w:val="20"/>
        </w:rPr>
        <w:t>061</w:t>
      </w:r>
      <w:r w:rsidR="003359D3" w:rsidRPr="00C50A5C">
        <w:rPr>
          <w:sz w:val="20"/>
          <w:szCs w:val="20"/>
        </w:rPr>
        <w:t>)</w:t>
      </w:r>
    </w:p>
    <w:p w:rsidR="003359D3" w:rsidRPr="00C50A5C" w:rsidRDefault="003359D3" w:rsidP="003359D3">
      <w:pPr>
        <w:widowControl w:val="0"/>
        <w:rPr>
          <w:sz w:val="20"/>
          <w:szCs w:val="20"/>
        </w:rPr>
      </w:pPr>
    </w:p>
    <w:p w:rsidR="003359D3" w:rsidRPr="00FD0662" w:rsidRDefault="00FD0662" w:rsidP="003359D3">
      <w:pPr>
        <w:pStyle w:val="ListParagraph"/>
        <w:widowControl w:val="0"/>
        <w:numPr>
          <w:ilvl w:val="0"/>
          <w:numId w:val="1"/>
        </w:numPr>
        <w:ind w:hanging="720"/>
        <w:jc w:val="both"/>
        <w:rPr>
          <w:sz w:val="20"/>
          <w:szCs w:val="20"/>
          <w:lang w:val="fr-CA"/>
        </w:rPr>
      </w:pPr>
      <w:r w:rsidRPr="00FD0662">
        <w:rPr>
          <w:i/>
          <w:sz w:val="20"/>
          <w:szCs w:val="20"/>
          <w:lang w:val="fr-CA"/>
        </w:rPr>
        <w:t>Jacynthe Deschênes c. Valeurs Mobilières Banque Laurentienne</w:t>
      </w:r>
      <w:r w:rsidRPr="00FD0662">
        <w:rPr>
          <w:sz w:val="20"/>
          <w:szCs w:val="20"/>
          <w:lang w:val="fr-CA"/>
        </w:rPr>
        <w:t xml:space="preserve"> (Qc) (Civile) (Autorisation) </w:t>
      </w:r>
      <w:r w:rsidR="003359D3" w:rsidRPr="00FD0662">
        <w:rPr>
          <w:sz w:val="20"/>
          <w:szCs w:val="20"/>
          <w:lang w:val="fr-CA"/>
        </w:rPr>
        <w:t>(34</w:t>
      </w:r>
      <w:r w:rsidR="00493F46" w:rsidRPr="00FD0662">
        <w:rPr>
          <w:sz w:val="20"/>
          <w:szCs w:val="20"/>
          <w:lang w:val="fr-CA"/>
        </w:rPr>
        <w:t>081</w:t>
      </w:r>
      <w:r w:rsidR="003359D3" w:rsidRPr="00FD0662">
        <w:rPr>
          <w:sz w:val="20"/>
          <w:szCs w:val="20"/>
          <w:lang w:val="fr-CA"/>
        </w:rPr>
        <w:t>)</w:t>
      </w:r>
    </w:p>
    <w:p w:rsidR="003359D3" w:rsidRPr="00FD0662" w:rsidRDefault="003359D3" w:rsidP="003359D3">
      <w:pPr>
        <w:widowControl w:val="0"/>
        <w:jc w:val="both"/>
        <w:rPr>
          <w:sz w:val="20"/>
          <w:szCs w:val="20"/>
          <w:lang w:val="fr-CA"/>
        </w:rPr>
      </w:pPr>
    </w:p>
    <w:p w:rsidR="003359D3" w:rsidRPr="00A9165A" w:rsidRDefault="00FD0662" w:rsidP="003359D3">
      <w:pPr>
        <w:pStyle w:val="ListParagraph"/>
        <w:widowControl w:val="0"/>
        <w:numPr>
          <w:ilvl w:val="0"/>
          <w:numId w:val="1"/>
        </w:numPr>
        <w:ind w:hanging="720"/>
        <w:jc w:val="both"/>
        <w:rPr>
          <w:sz w:val="20"/>
          <w:szCs w:val="20"/>
          <w:lang w:val="fr-CA"/>
        </w:rPr>
      </w:pPr>
      <w:r w:rsidRPr="00A9165A">
        <w:rPr>
          <w:i/>
          <w:sz w:val="20"/>
          <w:szCs w:val="20"/>
          <w:lang w:val="fr-CA"/>
        </w:rPr>
        <w:t xml:space="preserve">M.B. Kouri Insurance Brokers Ltd. </w:t>
      </w:r>
      <w:r w:rsidRPr="00FD0662">
        <w:rPr>
          <w:i/>
          <w:sz w:val="20"/>
          <w:szCs w:val="20"/>
          <w:lang w:val="fr-CA"/>
        </w:rPr>
        <w:t>v. Ecclesiastical Insurance Office Public Limited Company (Société des assurances ecclesiastiques)</w:t>
      </w:r>
      <w:r w:rsidRPr="00A9165A">
        <w:rPr>
          <w:sz w:val="20"/>
          <w:szCs w:val="20"/>
          <w:lang w:val="fr-CA"/>
        </w:rPr>
        <w:t xml:space="preserve"> (Ont.) (Civil) (By Leave) </w:t>
      </w:r>
      <w:r w:rsidR="003359D3" w:rsidRPr="00A9165A">
        <w:rPr>
          <w:sz w:val="20"/>
          <w:szCs w:val="20"/>
          <w:lang w:val="fr-CA"/>
        </w:rPr>
        <w:t>(34</w:t>
      </w:r>
      <w:r w:rsidR="00493F46" w:rsidRPr="00A9165A">
        <w:rPr>
          <w:sz w:val="20"/>
          <w:szCs w:val="20"/>
          <w:lang w:val="fr-CA"/>
        </w:rPr>
        <w:t>113</w:t>
      </w:r>
      <w:r w:rsidR="003359D3" w:rsidRPr="00A9165A">
        <w:rPr>
          <w:sz w:val="20"/>
          <w:szCs w:val="20"/>
          <w:lang w:val="fr-CA"/>
        </w:rPr>
        <w:t>)</w:t>
      </w:r>
    </w:p>
    <w:p w:rsidR="003359D3" w:rsidRPr="00A9165A" w:rsidRDefault="003359D3" w:rsidP="003359D3">
      <w:pPr>
        <w:widowControl w:val="0"/>
        <w:rPr>
          <w:sz w:val="20"/>
          <w:szCs w:val="20"/>
          <w:lang w:val="fr-CA"/>
        </w:rPr>
      </w:pPr>
    </w:p>
    <w:p w:rsidR="00493F46" w:rsidRPr="00A9165A" w:rsidRDefault="00493F46" w:rsidP="003359D3">
      <w:pPr>
        <w:widowControl w:val="0"/>
        <w:rPr>
          <w:sz w:val="20"/>
          <w:szCs w:val="20"/>
          <w:lang w:val="fr-CA"/>
        </w:rPr>
      </w:pPr>
    </w:p>
    <w:p w:rsidR="00493F46" w:rsidRPr="00C50A5C" w:rsidRDefault="00493F46" w:rsidP="00493F46">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493F46" w:rsidRPr="00C50A5C" w:rsidRDefault="00493F46" w:rsidP="00493F46">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493F46" w:rsidRPr="00760A3F" w:rsidRDefault="00493F46" w:rsidP="00493F46">
      <w:pPr>
        <w:widowControl w:val="0"/>
        <w:jc w:val="both"/>
        <w:rPr>
          <w:sz w:val="20"/>
          <w:szCs w:val="20"/>
          <w:lang w:val="fr-CA"/>
        </w:rPr>
      </w:pPr>
    </w:p>
    <w:p w:rsidR="003359D3" w:rsidRPr="000D3B6E" w:rsidRDefault="00FD0662" w:rsidP="003359D3">
      <w:pPr>
        <w:pStyle w:val="ListParagraph"/>
        <w:widowControl w:val="0"/>
        <w:numPr>
          <w:ilvl w:val="0"/>
          <w:numId w:val="1"/>
        </w:numPr>
        <w:ind w:hanging="720"/>
        <w:jc w:val="both"/>
        <w:rPr>
          <w:sz w:val="20"/>
          <w:szCs w:val="20"/>
        </w:rPr>
      </w:pPr>
      <w:r w:rsidRPr="00FD0662">
        <w:rPr>
          <w:i/>
          <w:sz w:val="20"/>
          <w:szCs w:val="20"/>
        </w:rPr>
        <w:t>Ioan-Florin Floria v. Her Majesty the Queen</w:t>
      </w:r>
      <w:r w:rsidRPr="00FD0662">
        <w:rPr>
          <w:sz w:val="20"/>
          <w:szCs w:val="20"/>
        </w:rPr>
        <w:t xml:space="preserve"> (Ont.) (Crim.) </w:t>
      </w:r>
      <w:r w:rsidRPr="00493F46">
        <w:rPr>
          <w:sz w:val="20"/>
          <w:szCs w:val="20"/>
        </w:rPr>
        <w:t>(By Leave)</w:t>
      </w:r>
      <w:r w:rsidRPr="000D3B6E">
        <w:rPr>
          <w:sz w:val="20"/>
          <w:szCs w:val="20"/>
        </w:rPr>
        <w:t xml:space="preserve"> </w:t>
      </w:r>
      <w:r w:rsidR="003359D3" w:rsidRPr="000D3B6E">
        <w:rPr>
          <w:sz w:val="20"/>
          <w:szCs w:val="20"/>
        </w:rPr>
        <w:t>(34</w:t>
      </w:r>
      <w:r w:rsidR="00493F46">
        <w:rPr>
          <w:sz w:val="20"/>
          <w:szCs w:val="20"/>
        </w:rPr>
        <w:t>170</w:t>
      </w:r>
      <w:r w:rsidR="003359D3" w:rsidRPr="000D3B6E">
        <w:rPr>
          <w:sz w:val="20"/>
          <w:szCs w:val="20"/>
        </w:rPr>
        <w:t>)</w:t>
      </w:r>
    </w:p>
    <w:p w:rsidR="003359D3" w:rsidRPr="000D3B6E" w:rsidRDefault="003359D3" w:rsidP="003359D3">
      <w:pPr>
        <w:widowControl w:val="0"/>
        <w:jc w:val="both"/>
        <w:rPr>
          <w:sz w:val="20"/>
          <w:szCs w:val="20"/>
        </w:rPr>
      </w:pPr>
    </w:p>
    <w:p w:rsidR="003359D3" w:rsidRPr="000D3B6E" w:rsidRDefault="00FD0662" w:rsidP="003359D3">
      <w:pPr>
        <w:pStyle w:val="ListParagraph"/>
        <w:widowControl w:val="0"/>
        <w:numPr>
          <w:ilvl w:val="0"/>
          <w:numId w:val="1"/>
        </w:numPr>
        <w:ind w:hanging="720"/>
        <w:jc w:val="both"/>
        <w:rPr>
          <w:sz w:val="20"/>
          <w:szCs w:val="20"/>
        </w:rPr>
      </w:pPr>
      <w:r w:rsidRPr="00FD0662">
        <w:rPr>
          <w:i/>
          <w:sz w:val="20"/>
          <w:szCs w:val="20"/>
        </w:rPr>
        <w:t>Viral Patel v. Her Majesty the Queen</w:t>
      </w:r>
      <w:r w:rsidRPr="00493F46">
        <w:rPr>
          <w:sz w:val="20"/>
          <w:szCs w:val="20"/>
        </w:rPr>
        <w:t xml:space="preserve"> (Alta.) (Crim</w:t>
      </w:r>
      <w:r>
        <w:rPr>
          <w:sz w:val="20"/>
          <w:szCs w:val="20"/>
        </w:rPr>
        <w:t>.</w:t>
      </w:r>
      <w:r w:rsidRPr="00493F46">
        <w:rPr>
          <w:sz w:val="20"/>
          <w:szCs w:val="20"/>
        </w:rPr>
        <w:t>) (By Leave)</w:t>
      </w:r>
      <w:r>
        <w:rPr>
          <w:sz w:val="20"/>
          <w:szCs w:val="20"/>
        </w:rPr>
        <w:t xml:space="preserve"> </w:t>
      </w:r>
      <w:r w:rsidR="003359D3" w:rsidRPr="000D3B6E">
        <w:rPr>
          <w:sz w:val="20"/>
          <w:szCs w:val="20"/>
        </w:rPr>
        <w:t>(34</w:t>
      </w:r>
      <w:r w:rsidR="00493F46">
        <w:rPr>
          <w:sz w:val="20"/>
          <w:szCs w:val="20"/>
        </w:rPr>
        <w:t>173</w:t>
      </w:r>
      <w:r w:rsidR="003359D3" w:rsidRPr="000D3B6E">
        <w:rPr>
          <w:sz w:val="20"/>
          <w:szCs w:val="20"/>
        </w:rPr>
        <w:t>)</w:t>
      </w:r>
    </w:p>
    <w:p w:rsidR="003359D3" w:rsidRPr="000D3B6E" w:rsidRDefault="003359D3" w:rsidP="003359D3">
      <w:pPr>
        <w:widowControl w:val="0"/>
        <w:jc w:val="both"/>
        <w:rPr>
          <w:sz w:val="20"/>
          <w:szCs w:val="20"/>
        </w:rPr>
      </w:pPr>
    </w:p>
    <w:p w:rsidR="003359D3" w:rsidRPr="00FD0662" w:rsidRDefault="00FD0662" w:rsidP="003359D3">
      <w:pPr>
        <w:pStyle w:val="ListParagraph"/>
        <w:widowControl w:val="0"/>
        <w:numPr>
          <w:ilvl w:val="0"/>
          <w:numId w:val="1"/>
        </w:numPr>
        <w:ind w:hanging="720"/>
        <w:jc w:val="both"/>
        <w:rPr>
          <w:sz w:val="20"/>
          <w:szCs w:val="20"/>
        </w:rPr>
      </w:pPr>
      <w:r w:rsidRPr="00FD0662">
        <w:rPr>
          <w:i/>
          <w:sz w:val="20"/>
          <w:szCs w:val="20"/>
        </w:rPr>
        <w:t>Aecon Buildings, A Division of Aecon Construction Group Inc. v. Stephenson Engineering Limited</w:t>
      </w:r>
      <w:r w:rsidRPr="00493F46">
        <w:rPr>
          <w:sz w:val="20"/>
          <w:szCs w:val="20"/>
        </w:rPr>
        <w:t xml:space="preserve"> (Ont.) (Civil) (By Leave)</w:t>
      </w:r>
      <w:r w:rsidRPr="00FD0662">
        <w:rPr>
          <w:sz w:val="20"/>
          <w:szCs w:val="20"/>
        </w:rPr>
        <w:t xml:space="preserve"> </w:t>
      </w:r>
      <w:r w:rsidR="003359D3" w:rsidRPr="00FD0662">
        <w:rPr>
          <w:sz w:val="20"/>
          <w:szCs w:val="20"/>
        </w:rPr>
        <w:t>(34</w:t>
      </w:r>
      <w:r w:rsidR="00493F46" w:rsidRPr="00FD0662">
        <w:rPr>
          <w:sz w:val="20"/>
          <w:szCs w:val="20"/>
        </w:rPr>
        <w:t>112</w:t>
      </w:r>
      <w:r w:rsidR="003359D3" w:rsidRPr="00FD0662">
        <w:rPr>
          <w:sz w:val="20"/>
          <w:szCs w:val="20"/>
        </w:rPr>
        <w:t>)</w:t>
      </w:r>
    </w:p>
    <w:p w:rsidR="003359D3" w:rsidRPr="00FD0662" w:rsidRDefault="003359D3" w:rsidP="003359D3">
      <w:pPr>
        <w:widowControl w:val="0"/>
        <w:rPr>
          <w:sz w:val="20"/>
          <w:szCs w:val="20"/>
        </w:rPr>
      </w:pPr>
    </w:p>
    <w:p w:rsidR="003359D3" w:rsidRPr="00FD0662" w:rsidRDefault="00FD0662" w:rsidP="003359D3">
      <w:pPr>
        <w:pStyle w:val="ListParagraph"/>
        <w:widowControl w:val="0"/>
        <w:numPr>
          <w:ilvl w:val="0"/>
          <w:numId w:val="1"/>
        </w:numPr>
        <w:ind w:hanging="720"/>
        <w:jc w:val="both"/>
        <w:rPr>
          <w:sz w:val="20"/>
          <w:szCs w:val="20"/>
        </w:rPr>
      </w:pPr>
      <w:r w:rsidRPr="00FD0662">
        <w:rPr>
          <w:i/>
          <w:sz w:val="20"/>
          <w:szCs w:val="20"/>
        </w:rPr>
        <w:t>Ladislav Konecny v. Ontario Power Generation</w:t>
      </w:r>
      <w:r w:rsidRPr="00493F46">
        <w:rPr>
          <w:sz w:val="20"/>
          <w:szCs w:val="20"/>
        </w:rPr>
        <w:t xml:space="preserve"> (F</w:t>
      </w:r>
      <w:r>
        <w:rPr>
          <w:sz w:val="20"/>
          <w:szCs w:val="20"/>
        </w:rPr>
        <w:t>.</w:t>
      </w:r>
      <w:r w:rsidRPr="00493F46">
        <w:rPr>
          <w:sz w:val="20"/>
          <w:szCs w:val="20"/>
        </w:rPr>
        <w:t>C</w:t>
      </w:r>
      <w:r>
        <w:rPr>
          <w:sz w:val="20"/>
          <w:szCs w:val="20"/>
        </w:rPr>
        <w:t>.</w:t>
      </w:r>
      <w:r w:rsidRPr="00493F46">
        <w:rPr>
          <w:sz w:val="20"/>
          <w:szCs w:val="20"/>
        </w:rPr>
        <w:t>) (Civil) (By Leave)</w:t>
      </w:r>
      <w:r>
        <w:rPr>
          <w:sz w:val="20"/>
          <w:szCs w:val="20"/>
        </w:rPr>
        <w:t xml:space="preserve"> </w:t>
      </w:r>
      <w:r w:rsidR="003359D3" w:rsidRPr="00FD0662">
        <w:rPr>
          <w:sz w:val="20"/>
          <w:szCs w:val="20"/>
        </w:rPr>
        <w:t>(34</w:t>
      </w:r>
      <w:r w:rsidR="00493F46" w:rsidRPr="00FD0662">
        <w:rPr>
          <w:sz w:val="20"/>
          <w:szCs w:val="20"/>
        </w:rPr>
        <w:t>096</w:t>
      </w:r>
      <w:r w:rsidR="003359D3" w:rsidRPr="00FD0662">
        <w:rPr>
          <w:sz w:val="20"/>
          <w:szCs w:val="20"/>
        </w:rPr>
        <w:t>)</w:t>
      </w:r>
    </w:p>
    <w:p w:rsidR="003359D3" w:rsidRPr="00FD0662" w:rsidRDefault="003359D3" w:rsidP="003359D3">
      <w:pPr>
        <w:widowControl w:val="0"/>
        <w:jc w:val="both"/>
        <w:rPr>
          <w:sz w:val="20"/>
          <w:szCs w:val="20"/>
        </w:rPr>
      </w:pPr>
    </w:p>
    <w:p w:rsidR="00493F46" w:rsidRPr="00FD0662" w:rsidRDefault="00493F46" w:rsidP="003359D3">
      <w:pPr>
        <w:widowControl w:val="0"/>
        <w:jc w:val="both"/>
        <w:rPr>
          <w:sz w:val="20"/>
          <w:szCs w:val="20"/>
        </w:rPr>
      </w:pPr>
    </w:p>
    <w:p w:rsidR="00493F46" w:rsidRPr="00C50A5C" w:rsidRDefault="00493F46" w:rsidP="00493F46">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493F46" w:rsidRPr="00C50A5C" w:rsidRDefault="00493F46" w:rsidP="00493F46">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493F46" w:rsidRPr="00C50A5C" w:rsidRDefault="00493F46" w:rsidP="003359D3">
      <w:pPr>
        <w:widowControl w:val="0"/>
        <w:jc w:val="both"/>
        <w:rPr>
          <w:sz w:val="20"/>
          <w:szCs w:val="20"/>
          <w:lang w:val="fr-CA"/>
        </w:rPr>
      </w:pPr>
    </w:p>
    <w:p w:rsidR="003359D3" w:rsidRPr="00C50A5C" w:rsidRDefault="00FD0662" w:rsidP="003359D3">
      <w:pPr>
        <w:pStyle w:val="ListParagraph"/>
        <w:widowControl w:val="0"/>
        <w:numPr>
          <w:ilvl w:val="0"/>
          <w:numId w:val="1"/>
        </w:numPr>
        <w:ind w:hanging="720"/>
        <w:jc w:val="both"/>
        <w:rPr>
          <w:sz w:val="20"/>
          <w:szCs w:val="20"/>
          <w:lang w:val="fr-CA"/>
        </w:rPr>
      </w:pPr>
      <w:r w:rsidRPr="00FD0662">
        <w:rPr>
          <w:i/>
          <w:sz w:val="20"/>
          <w:szCs w:val="20"/>
        </w:rPr>
        <w:t>Kerry David Walcer v. Her Majesty the Queen</w:t>
      </w:r>
      <w:r w:rsidRPr="00493F46">
        <w:rPr>
          <w:sz w:val="20"/>
          <w:szCs w:val="20"/>
        </w:rPr>
        <w:t xml:space="preserve"> (Sask.) (Crim</w:t>
      </w:r>
      <w:r>
        <w:rPr>
          <w:sz w:val="20"/>
          <w:szCs w:val="20"/>
        </w:rPr>
        <w:t>.</w:t>
      </w:r>
      <w:r w:rsidRPr="00493F46">
        <w:rPr>
          <w:sz w:val="20"/>
          <w:szCs w:val="20"/>
        </w:rPr>
        <w:t>) (By Leave)</w:t>
      </w:r>
      <w:r w:rsidRPr="00C50A5C">
        <w:rPr>
          <w:sz w:val="20"/>
          <w:szCs w:val="20"/>
          <w:lang w:val="fr-CA"/>
        </w:rPr>
        <w:t xml:space="preserve"> </w:t>
      </w:r>
      <w:r w:rsidR="003359D3" w:rsidRPr="00C50A5C">
        <w:rPr>
          <w:sz w:val="20"/>
          <w:szCs w:val="20"/>
          <w:lang w:val="fr-CA"/>
        </w:rPr>
        <w:t>(34</w:t>
      </w:r>
      <w:r w:rsidR="00493F46">
        <w:rPr>
          <w:sz w:val="20"/>
          <w:szCs w:val="20"/>
          <w:lang w:val="fr-CA"/>
        </w:rPr>
        <w:t>145</w:t>
      </w:r>
      <w:r w:rsidR="003359D3" w:rsidRPr="00C50A5C">
        <w:rPr>
          <w:sz w:val="20"/>
          <w:szCs w:val="20"/>
          <w:lang w:val="fr-CA"/>
        </w:rPr>
        <w:t>)</w:t>
      </w:r>
    </w:p>
    <w:p w:rsidR="003359D3" w:rsidRPr="00C50A5C" w:rsidRDefault="003359D3" w:rsidP="003359D3">
      <w:pPr>
        <w:widowControl w:val="0"/>
        <w:jc w:val="both"/>
        <w:rPr>
          <w:sz w:val="20"/>
          <w:szCs w:val="20"/>
          <w:lang w:val="fr-CA"/>
        </w:rPr>
      </w:pPr>
    </w:p>
    <w:p w:rsidR="003359D3" w:rsidRPr="00C50A5C" w:rsidRDefault="00FD0662" w:rsidP="003359D3">
      <w:pPr>
        <w:pStyle w:val="ListParagraph"/>
        <w:widowControl w:val="0"/>
        <w:numPr>
          <w:ilvl w:val="0"/>
          <w:numId w:val="1"/>
        </w:numPr>
        <w:ind w:hanging="720"/>
        <w:jc w:val="both"/>
        <w:rPr>
          <w:sz w:val="20"/>
          <w:szCs w:val="20"/>
          <w:lang w:val="fr-CA"/>
        </w:rPr>
      </w:pPr>
      <w:r w:rsidRPr="00FD0662">
        <w:rPr>
          <w:i/>
          <w:sz w:val="20"/>
          <w:szCs w:val="20"/>
          <w:lang w:val="fr-CA"/>
        </w:rPr>
        <w:t>Michel Rhéaume et autre c. Société d'investissements l'Excellence inc. et a</w:t>
      </w:r>
      <w:r>
        <w:rPr>
          <w:i/>
          <w:sz w:val="20"/>
          <w:szCs w:val="20"/>
          <w:lang w:val="fr-CA"/>
        </w:rPr>
        <w:t>utres</w:t>
      </w:r>
      <w:r w:rsidRPr="00493F46">
        <w:rPr>
          <w:sz w:val="20"/>
          <w:szCs w:val="20"/>
          <w:lang w:val="fr-CA"/>
        </w:rPr>
        <w:t xml:space="preserve"> (Qc) (Civile) (Autorisation)</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493F46">
        <w:rPr>
          <w:sz w:val="20"/>
          <w:szCs w:val="20"/>
          <w:lang w:val="fr-CA"/>
        </w:rPr>
        <w:t>089</w:t>
      </w:r>
      <w:r w:rsidR="003359D3" w:rsidRPr="00C50A5C">
        <w:rPr>
          <w:sz w:val="20"/>
          <w:szCs w:val="20"/>
          <w:lang w:val="fr-CA"/>
        </w:rPr>
        <w:t>)</w:t>
      </w:r>
    </w:p>
    <w:p w:rsidR="003359D3" w:rsidRPr="00C50A5C" w:rsidRDefault="003359D3" w:rsidP="003359D3">
      <w:pPr>
        <w:widowControl w:val="0"/>
        <w:jc w:val="both"/>
        <w:rPr>
          <w:sz w:val="20"/>
          <w:szCs w:val="20"/>
          <w:lang w:val="fr-CA"/>
        </w:rPr>
      </w:pPr>
    </w:p>
    <w:p w:rsidR="003359D3" w:rsidRPr="00C50A5C" w:rsidRDefault="00FD0662" w:rsidP="003359D3">
      <w:pPr>
        <w:pStyle w:val="ListParagraph"/>
        <w:widowControl w:val="0"/>
        <w:numPr>
          <w:ilvl w:val="0"/>
          <w:numId w:val="1"/>
        </w:numPr>
        <w:ind w:hanging="720"/>
        <w:jc w:val="both"/>
        <w:rPr>
          <w:sz w:val="20"/>
          <w:szCs w:val="20"/>
          <w:lang w:val="fr-CA"/>
        </w:rPr>
      </w:pPr>
      <w:r w:rsidRPr="00FD0662">
        <w:rPr>
          <w:i/>
          <w:sz w:val="20"/>
          <w:szCs w:val="20"/>
          <w:lang w:val="fr-CA"/>
        </w:rPr>
        <w:t>Ferme avicole Laplante ltée c. Régie des marchés agricoles et alimentaire du Québec et autres</w:t>
      </w:r>
      <w:r w:rsidRPr="00493F46">
        <w:rPr>
          <w:sz w:val="20"/>
          <w:szCs w:val="20"/>
          <w:lang w:val="fr-CA"/>
        </w:rPr>
        <w:t xml:space="preserve"> (Qc) (Civile) (Autorisation)</w:t>
      </w:r>
      <w:r>
        <w:rPr>
          <w:sz w:val="20"/>
          <w:szCs w:val="20"/>
          <w:lang w:val="fr-CA"/>
        </w:rPr>
        <w:t xml:space="preserve"> </w:t>
      </w:r>
      <w:r w:rsidR="003359D3" w:rsidRPr="00C50A5C">
        <w:rPr>
          <w:sz w:val="20"/>
          <w:szCs w:val="20"/>
          <w:lang w:val="fr-CA"/>
        </w:rPr>
        <w:t>(3</w:t>
      </w:r>
      <w:r w:rsidR="003359D3">
        <w:rPr>
          <w:sz w:val="20"/>
          <w:szCs w:val="20"/>
          <w:lang w:val="fr-CA"/>
        </w:rPr>
        <w:t>4</w:t>
      </w:r>
      <w:r w:rsidR="00493F46">
        <w:rPr>
          <w:sz w:val="20"/>
          <w:szCs w:val="20"/>
          <w:lang w:val="fr-CA"/>
        </w:rPr>
        <w:t>083</w:t>
      </w:r>
      <w:r w:rsidR="003359D3" w:rsidRPr="00C50A5C">
        <w:rPr>
          <w:sz w:val="20"/>
          <w:szCs w:val="20"/>
          <w:lang w:val="fr-CA"/>
        </w:rPr>
        <w:t>)</w:t>
      </w:r>
    </w:p>
    <w:p w:rsidR="002E2327" w:rsidRDefault="002E2327" w:rsidP="002E2327">
      <w:pPr>
        <w:widowControl w:val="0"/>
        <w:rPr>
          <w:sz w:val="20"/>
          <w:szCs w:val="20"/>
          <w:lang w:val="fr-CA"/>
        </w:rPr>
      </w:pPr>
    </w:p>
    <w:p w:rsidR="002E2327" w:rsidRPr="00C50A5C" w:rsidRDefault="008C2B81" w:rsidP="002E2327">
      <w:pPr>
        <w:widowControl w:val="0"/>
        <w:rPr>
          <w:sz w:val="20"/>
          <w:szCs w:val="20"/>
        </w:rPr>
      </w:pPr>
      <w:r w:rsidRPr="008C2B81">
        <w:rPr>
          <w:sz w:val="20"/>
          <w:szCs w:val="20"/>
        </w:rPr>
        <w:pict>
          <v:rect id="_x0000_i1038"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C50886"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453064" w:rsidRDefault="00453064" w:rsidP="008D292F">
      <w:pPr>
        <w:rPr>
          <w:sz w:val="20"/>
          <w:szCs w:val="20"/>
          <w:lang w:val="fr-CA"/>
        </w:rPr>
      </w:pPr>
      <w:r>
        <w:rPr>
          <w:b/>
          <w:sz w:val="20"/>
          <w:szCs w:val="20"/>
          <w:lang w:val="fr-CA"/>
        </w:rPr>
        <w:t>MAY 26, 2011 / LE 26 MAI 2011</w:t>
      </w:r>
    </w:p>
    <w:p w:rsidR="00453064" w:rsidRDefault="00453064"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24E7D" w:rsidRPr="00E85700" w:rsidTr="000367EB">
        <w:trPr>
          <w:cantSplit/>
        </w:trPr>
        <w:tc>
          <w:tcPr>
            <w:tcW w:w="1458" w:type="dxa"/>
          </w:tcPr>
          <w:p w:rsidR="00A24E7D" w:rsidRPr="00E85700" w:rsidRDefault="00A24E7D" w:rsidP="000367EB">
            <w:pPr>
              <w:rPr>
                <w:rFonts w:cs="Times New Roman"/>
                <w:sz w:val="20"/>
                <w:szCs w:val="20"/>
              </w:rPr>
            </w:pPr>
            <w:r w:rsidRPr="00E85700">
              <w:rPr>
                <w:rStyle w:val="SCCFileNumberChar"/>
                <w:rFonts w:cs="Times New Roman"/>
                <w:sz w:val="20"/>
                <w:szCs w:val="20"/>
              </w:rPr>
              <w:t>34016</w:t>
            </w:r>
          </w:p>
          <w:p w:rsidR="00A24E7D" w:rsidRPr="00E85700" w:rsidRDefault="00A24E7D" w:rsidP="000367EB">
            <w:pPr>
              <w:rPr>
                <w:rFonts w:cs="Times New Roman"/>
                <w:b/>
                <w:sz w:val="20"/>
                <w:szCs w:val="20"/>
                <w:lang w:val="fr-CA"/>
              </w:rPr>
            </w:pPr>
          </w:p>
        </w:tc>
        <w:tc>
          <w:tcPr>
            <w:tcW w:w="8118" w:type="dxa"/>
          </w:tcPr>
          <w:p w:rsidR="00A24E7D" w:rsidRPr="00E85700" w:rsidRDefault="00A24E7D" w:rsidP="000367EB">
            <w:pPr>
              <w:jc w:val="both"/>
              <w:rPr>
                <w:rFonts w:cs="Times New Roman"/>
                <w:sz w:val="20"/>
                <w:szCs w:val="20"/>
              </w:rPr>
            </w:pPr>
            <w:r w:rsidRPr="00E85700">
              <w:rPr>
                <w:rStyle w:val="SCCLsocChar"/>
                <w:rFonts w:cs="Times New Roman"/>
                <w:sz w:val="20"/>
                <w:szCs w:val="20"/>
                <w:lang w:val="en-CA"/>
              </w:rPr>
              <w:t>Jonjel Barbu v. Attorney General of Canada on behalf of the United States of America</w:t>
            </w:r>
            <w:r w:rsidRPr="00E85700">
              <w:rPr>
                <w:rFonts w:cs="Times New Roman"/>
                <w:sz w:val="20"/>
                <w:szCs w:val="20"/>
              </w:rPr>
              <w:t xml:space="preserve"> (Ont.) (Criminal) (By Leave)</w:t>
            </w:r>
          </w:p>
          <w:p w:rsidR="00A24E7D" w:rsidRPr="00E85700" w:rsidRDefault="00A24E7D" w:rsidP="000367EB">
            <w:pPr>
              <w:rPr>
                <w:rFonts w:cs="Times New Roman"/>
                <w:sz w:val="20"/>
                <w:szCs w:val="20"/>
              </w:rPr>
            </w:pPr>
          </w:p>
        </w:tc>
      </w:tr>
      <w:tr w:rsidR="00A24E7D" w:rsidRPr="00E85700" w:rsidTr="000367EB">
        <w:trPr>
          <w:cantSplit/>
        </w:trPr>
        <w:tc>
          <w:tcPr>
            <w:tcW w:w="1458" w:type="dxa"/>
          </w:tcPr>
          <w:p w:rsidR="00A24E7D" w:rsidRPr="00E85700" w:rsidRDefault="00A24E7D" w:rsidP="000367EB">
            <w:pPr>
              <w:rPr>
                <w:rFonts w:cs="Times New Roman"/>
                <w:sz w:val="20"/>
                <w:szCs w:val="20"/>
              </w:rPr>
            </w:pPr>
            <w:r w:rsidRPr="00E85700">
              <w:rPr>
                <w:rFonts w:cs="Times New Roman"/>
                <w:sz w:val="20"/>
                <w:szCs w:val="20"/>
              </w:rPr>
              <w:t>Coram :</w:t>
            </w:r>
          </w:p>
        </w:tc>
        <w:tc>
          <w:tcPr>
            <w:tcW w:w="8118" w:type="dxa"/>
          </w:tcPr>
          <w:p w:rsidR="00A24E7D" w:rsidRPr="00E85700" w:rsidRDefault="00A24E7D" w:rsidP="000367EB">
            <w:pPr>
              <w:rPr>
                <w:rFonts w:cs="Times New Roman"/>
                <w:sz w:val="20"/>
                <w:szCs w:val="20"/>
              </w:rPr>
            </w:pPr>
            <w:r w:rsidRPr="00E85700">
              <w:rPr>
                <w:rStyle w:val="SCCCoramChar"/>
                <w:rFonts w:cs="Times New Roman"/>
                <w:sz w:val="20"/>
                <w:szCs w:val="20"/>
                <w:lang w:val="en-CA"/>
              </w:rPr>
              <w:t>McLachlin C.J. and Deschamps and Charron JJ.</w:t>
            </w:r>
          </w:p>
          <w:p w:rsidR="00A24E7D" w:rsidRPr="00E85700" w:rsidRDefault="00A24E7D" w:rsidP="000367EB">
            <w:pPr>
              <w:rPr>
                <w:rFonts w:cs="Times New Roman"/>
                <w:sz w:val="20"/>
                <w:szCs w:val="20"/>
                <w:u w:val="single"/>
              </w:rPr>
            </w:pPr>
          </w:p>
        </w:tc>
      </w:tr>
      <w:tr w:rsidR="00A24E7D" w:rsidRPr="00C50886" w:rsidTr="000367EB">
        <w:trPr>
          <w:cantSplit/>
        </w:trPr>
        <w:tc>
          <w:tcPr>
            <w:tcW w:w="9576" w:type="dxa"/>
            <w:gridSpan w:val="2"/>
          </w:tcPr>
          <w:p w:rsidR="00A24E7D" w:rsidRPr="00E85700" w:rsidRDefault="00A24E7D" w:rsidP="000367EB">
            <w:pPr>
              <w:pStyle w:val="SCCShortJudgment"/>
              <w:rPr>
                <w:rFonts w:cs="Times New Roman"/>
                <w:szCs w:val="20"/>
              </w:rPr>
            </w:pPr>
            <w:r w:rsidRPr="00E85700">
              <w:rPr>
                <w:rFonts w:cs="Times New Roman"/>
                <w:szCs w:val="20"/>
              </w:rPr>
              <w:t>The application for leave to appeal from the judgment of the Court of Appeal for Ontario, Number C52379, 2010 ONCA 891, dated December 21, 2010, is dismissed without costs.</w:t>
            </w:r>
          </w:p>
          <w:p w:rsidR="00A24E7D" w:rsidRPr="00E85700" w:rsidRDefault="00A24E7D" w:rsidP="000367EB">
            <w:pPr>
              <w:pStyle w:val="SCCShortJudgment"/>
              <w:ind w:firstLine="0"/>
              <w:rPr>
                <w:rFonts w:cs="Times New Roman"/>
                <w:szCs w:val="20"/>
              </w:rPr>
            </w:pPr>
          </w:p>
          <w:p w:rsidR="00A24E7D" w:rsidRPr="00E85700" w:rsidRDefault="00A24E7D" w:rsidP="000367EB">
            <w:pPr>
              <w:pStyle w:val="SCCShortJudgment"/>
              <w:rPr>
                <w:rFonts w:cs="Times New Roman"/>
                <w:szCs w:val="20"/>
                <w:lang w:val="fr-CA"/>
              </w:rPr>
            </w:pPr>
            <w:r w:rsidRPr="00E85700">
              <w:rPr>
                <w:rFonts w:cs="Times New Roman"/>
                <w:szCs w:val="20"/>
                <w:lang w:val="fr-CA"/>
              </w:rPr>
              <w:t>La demande d’autorisation d’appel de l’arrêt de la Cour d’appel de l’Ontario, numéro C52379, 2010 ONCA 891, daté du 21 décembre 2010, est rejetée sans dépens.</w:t>
            </w:r>
          </w:p>
        </w:tc>
      </w:tr>
    </w:tbl>
    <w:p w:rsidR="00A24E7D" w:rsidRDefault="00A24E7D" w:rsidP="008D292F">
      <w:pPr>
        <w:rPr>
          <w:sz w:val="20"/>
          <w:szCs w:val="20"/>
          <w:lang w:val="fr-CA"/>
        </w:rPr>
      </w:pPr>
    </w:p>
    <w:p w:rsidR="00453064" w:rsidRPr="00453064" w:rsidRDefault="00453064" w:rsidP="008D292F">
      <w:pPr>
        <w:rPr>
          <w:sz w:val="20"/>
          <w:szCs w:val="20"/>
          <w:lang w:val="fr-CA"/>
        </w:rPr>
      </w:pPr>
      <w:r>
        <w:rPr>
          <w:sz w:val="20"/>
          <w:szCs w:val="20"/>
          <w:u w:val="single"/>
          <w:lang w:val="fr-CA"/>
        </w:rPr>
        <w:t>CASE SUMMARY</w:t>
      </w:r>
    </w:p>
    <w:p w:rsidR="00453064" w:rsidRDefault="00453064"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F470D" w:rsidRPr="00B54051" w:rsidTr="006F470D">
        <w:tc>
          <w:tcPr>
            <w:tcW w:w="5000" w:type="pct"/>
            <w:gridSpan w:val="3"/>
          </w:tcPr>
          <w:p w:rsidR="006F470D" w:rsidRPr="00B54051" w:rsidRDefault="006F470D" w:rsidP="006F470D">
            <w:pPr>
              <w:jc w:val="both"/>
              <w:rPr>
                <w:rFonts w:eastAsia="Calibri"/>
                <w:sz w:val="20"/>
              </w:rPr>
            </w:pPr>
            <w:r w:rsidRPr="00B54051">
              <w:rPr>
                <w:rFonts w:eastAsia="Calibri"/>
                <w:i/>
                <w:sz w:val="20"/>
              </w:rPr>
              <w:t>Canadian Charter of Rights and Freedoms</w:t>
            </w:r>
            <w:r w:rsidRPr="00B54051">
              <w:rPr>
                <w:rFonts w:eastAsia="Calibri"/>
                <w:sz w:val="20"/>
              </w:rPr>
              <w:t xml:space="preserve"> — Principles of fundamental justice — Extradition law — Surrender order — Judicial Review — Whether a surrender order for offences involving different conduct than contained in the Authority to Proceed was reasonable — Whether Minister of Justice has discretion to order surrender on different offences based on different conduct than those contained in the Authority to Proceed — Whether Minister of Justice erred in not obtaining assurances that sentencing would be only for conduct expressly contained in the committal order and that aggravating factors on sentencing would be required to be established beyond a reasonable doubt.</w:t>
            </w:r>
          </w:p>
          <w:p w:rsidR="006F470D" w:rsidRPr="00B54051" w:rsidRDefault="006F470D" w:rsidP="006F470D">
            <w:pPr>
              <w:jc w:val="both"/>
              <w:rPr>
                <w:rFonts w:eastAsia="Calibri"/>
                <w:sz w:val="20"/>
              </w:rPr>
            </w:pPr>
          </w:p>
        </w:tc>
      </w:tr>
      <w:tr w:rsidR="006F470D" w:rsidRPr="00B54051" w:rsidTr="006F470D">
        <w:tc>
          <w:tcPr>
            <w:tcW w:w="5000" w:type="pct"/>
            <w:gridSpan w:val="3"/>
          </w:tcPr>
          <w:p w:rsidR="006F470D" w:rsidRPr="00B54051" w:rsidRDefault="006F470D" w:rsidP="006F470D">
            <w:pPr>
              <w:jc w:val="both"/>
              <w:rPr>
                <w:rFonts w:eastAsia="Calibri"/>
                <w:sz w:val="20"/>
              </w:rPr>
            </w:pPr>
            <w:r w:rsidRPr="00B54051">
              <w:rPr>
                <w:rFonts w:eastAsia="Calibri"/>
                <w:sz w:val="20"/>
              </w:rPr>
              <w:t xml:space="preserve">American authorities allege that the applicant conspired to import large amounts of marijuana into the United States from Canada and to launder the proceeds from the sale of drugs back into Canada.  On June 2, 2008, the applicant was indicted in the United States by a Grand Jury.  The United States requested the applicant's extradition.  On September 25, 2008, an Authority to Proceed was issued for the Canadian offences of </w:t>
            </w:r>
            <w:bookmarkStart w:id="1" w:name="OLE_LINK2"/>
            <w:bookmarkStart w:id="2" w:name="OLE_LINK1"/>
            <w:r w:rsidRPr="00B54051">
              <w:rPr>
                <w:rFonts w:eastAsia="Calibri"/>
                <w:sz w:val="20"/>
              </w:rPr>
              <w:t>importing a controlled substance and possession of property obtained by crime</w:t>
            </w:r>
            <w:bookmarkEnd w:id="1"/>
            <w:bookmarkEnd w:id="2"/>
            <w:r w:rsidRPr="00B54051">
              <w:rPr>
                <w:rFonts w:eastAsia="Calibri"/>
                <w:sz w:val="20"/>
              </w:rPr>
              <w:t>.  The applicant consented to his committal for the offences set out in the Authority to Proceed.  The applicant did not consent to surrender. He asked the Minister to seek assurances regarding sentencing.  The Minister ordered the applicant's surrender on his criminal conduct articulated in terms of the U.S. offences for which the United States had requested extradition.  The Minister did not seek assurances.  The Court of Appeal dismissed an application for judicial review from the Minster’s surrender decision.</w:t>
            </w:r>
          </w:p>
          <w:p w:rsidR="006F470D" w:rsidRPr="00B54051" w:rsidRDefault="006F470D" w:rsidP="006F470D">
            <w:pPr>
              <w:jc w:val="both"/>
              <w:rPr>
                <w:rFonts w:eastAsia="Calibri"/>
                <w:sz w:val="20"/>
              </w:rPr>
            </w:pPr>
          </w:p>
        </w:tc>
      </w:tr>
      <w:tr w:rsidR="006F470D" w:rsidRPr="00B54051" w:rsidTr="006F470D">
        <w:tc>
          <w:tcPr>
            <w:tcW w:w="2427" w:type="pct"/>
          </w:tcPr>
          <w:p w:rsidR="006F470D" w:rsidRPr="00B54051" w:rsidRDefault="006F470D" w:rsidP="006F470D">
            <w:pPr>
              <w:jc w:val="both"/>
              <w:rPr>
                <w:rFonts w:eastAsia="Calibri"/>
                <w:sz w:val="20"/>
              </w:rPr>
            </w:pPr>
            <w:r w:rsidRPr="00B54051">
              <w:rPr>
                <w:rFonts w:eastAsia="Calibri"/>
                <w:sz w:val="20"/>
              </w:rPr>
              <w:t>December 10, 2009</w:t>
            </w:r>
          </w:p>
          <w:p w:rsidR="006F470D" w:rsidRPr="00B54051" w:rsidRDefault="006F470D" w:rsidP="006F470D">
            <w:pPr>
              <w:jc w:val="both"/>
              <w:rPr>
                <w:rFonts w:eastAsia="Calibri"/>
                <w:sz w:val="20"/>
              </w:rPr>
            </w:pPr>
            <w:r w:rsidRPr="00B54051">
              <w:rPr>
                <w:rFonts w:eastAsia="Calibri"/>
                <w:sz w:val="20"/>
              </w:rPr>
              <w:t>Superior Court of Justice for Ontario</w:t>
            </w:r>
          </w:p>
          <w:p w:rsidR="006F470D" w:rsidRPr="00B54051" w:rsidRDefault="006F470D" w:rsidP="006F470D">
            <w:pPr>
              <w:jc w:val="both"/>
              <w:rPr>
                <w:rFonts w:eastAsia="Calibri"/>
                <w:sz w:val="20"/>
              </w:rPr>
            </w:pPr>
            <w:r w:rsidRPr="00B54051">
              <w:rPr>
                <w:rFonts w:eastAsia="Calibri"/>
                <w:sz w:val="20"/>
              </w:rPr>
              <w:t>(O’Marra J.)</w:t>
            </w:r>
          </w:p>
          <w:p w:rsidR="006F470D" w:rsidRPr="00B54051" w:rsidRDefault="006F470D" w:rsidP="006F470D">
            <w:pPr>
              <w:jc w:val="both"/>
              <w:rPr>
                <w:rFonts w:eastAsia="Calibri"/>
                <w:sz w:val="20"/>
              </w:rPr>
            </w:pPr>
          </w:p>
        </w:tc>
        <w:tc>
          <w:tcPr>
            <w:tcW w:w="243" w:type="pct"/>
          </w:tcPr>
          <w:p w:rsidR="006F470D" w:rsidRPr="00B54051" w:rsidRDefault="006F470D" w:rsidP="006F470D">
            <w:pPr>
              <w:jc w:val="both"/>
              <w:rPr>
                <w:sz w:val="20"/>
                <w:lang w:eastAsia="en-CA"/>
              </w:rPr>
            </w:pPr>
          </w:p>
        </w:tc>
        <w:tc>
          <w:tcPr>
            <w:tcW w:w="2330" w:type="pct"/>
          </w:tcPr>
          <w:p w:rsidR="006F470D" w:rsidRPr="00B54051" w:rsidRDefault="006F470D" w:rsidP="006F470D">
            <w:pPr>
              <w:jc w:val="both"/>
              <w:rPr>
                <w:rFonts w:eastAsia="Calibri"/>
                <w:sz w:val="20"/>
              </w:rPr>
            </w:pPr>
            <w:r w:rsidRPr="00B54051">
              <w:rPr>
                <w:rFonts w:eastAsia="Calibri"/>
                <w:sz w:val="20"/>
              </w:rPr>
              <w:t>Order of committal for extradition</w:t>
            </w:r>
          </w:p>
        </w:tc>
      </w:tr>
      <w:tr w:rsidR="006F470D" w:rsidRPr="00B54051" w:rsidTr="006F470D">
        <w:tc>
          <w:tcPr>
            <w:tcW w:w="2427" w:type="pct"/>
          </w:tcPr>
          <w:p w:rsidR="006F470D" w:rsidRPr="00B54051" w:rsidRDefault="006F470D" w:rsidP="006F470D">
            <w:pPr>
              <w:jc w:val="both"/>
              <w:rPr>
                <w:sz w:val="20"/>
                <w:lang w:eastAsia="en-CA"/>
              </w:rPr>
            </w:pPr>
            <w:r w:rsidRPr="00B54051">
              <w:rPr>
                <w:rFonts w:eastAsia="Calibri"/>
                <w:sz w:val="20"/>
              </w:rPr>
              <w:t>May 6, 2010</w:t>
            </w:r>
          </w:p>
          <w:p w:rsidR="006F470D" w:rsidRPr="00B54051" w:rsidRDefault="006F470D" w:rsidP="006F470D">
            <w:pPr>
              <w:jc w:val="both"/>
              <w:rPr>
                <w:rFonts w:eastAsia="Calibri"/>
                <w:sz w:val="20"/>
              </w:rPr>
            </w:pPr>
            <w:r w:rsidRPr="00B54051">
              <w:rPr>
                <w:rFonts w:eastAsia="Calibri"/>
                <w:sz w:val="20"/>
              </w:rPr>
              <w:t>Minister of Justice</w:t>
            </w:r>
          </w:p>
          <w:p w:rsidR="006F470D" w:rsidRPr="00B54051" w:rsidRDefault="006F470D" w:rsidP="006F470D">
            <w:pPr>
              <w:jc w:val="both"/>
              <w:rPr>
                <w:rFonts w:eastAsia="Calibri"/>
                <w:sz w:val="20"/>
              </w:rPr>
            </w:pPr>
          </w:p>
        </w:tc>
        <w:tc>
          <w:tcPr>
            <w:tcW w:w="243" w:type="pct"/>
          </w:tcPr>
          <w:p w:rsidR="006F470D" w:rsidRPr="00B54051" w:rsidRDefault="006F470D" w:rsidP="006F470D">
            <w:pPr>
              <w:jc w:val="both"/>
              <w:rPr>
                <w:sz w:val="20"/>
                <w:lang w:eastAsia="en-CA"/>
              </w:rPr>
            </w:pPr>
          </w:p>
        </w:tc>
        <w:tc>
          <w:tcPr>
            <w:tcW w:w="2330" w:type="pct"/>
          </w:tcPr>
          <w:p w:rsidR="006F470D" w:rsidRPr="00B54051" w:rsidRDefault="006F470D" w:rsidP="006F470D">
            <w:pPr>
              <w:jc w:val="both"/>
              <w:rPr>
                <w:sz w:val="20"/>
                <w:lang w:eastAsia="en-CA"/>
              </w:rPr>
            </w:pPr>
            <w:r w:rsidRPr="00B54051">
              <w:rPr>
                <w:rFonts w:eastAsia="Calibri"/>
                <w:sz w:val="20"/>
              </w:rPr>
              <w:t>Order to surrender applicant for extradition</w:t>
            </w:r>
          </w:p>
          <w:p w:rsidR="006F470D" w:rsidRPr="00B54051" w:rsidRDefault="006F470D" w:rsidP="006F470D">
            <w:pPr>
              <w:jc w:val="both"/>
              <w:rPr>
                <w:sz w:val="20"/>
                <w:lang w:eastAsia="en-CA"/>
              </w:rPr>
            </w:pPr>
          </w:p>
        </w:tc>
      </w:tr>
      <w:tr w:rsidR="006F470D" w:rsidRPr="00B54051" w:rsidTr="006F470D">
        <w:tc>
          <w:tcPr>
            <w:tcW w:w="2427" w:type="pct"/>
          </w:tcPr>
          <w:p w:rsidR="006F470D" w:rsidRPr="00B54051" w:rsidRDefault="006F470D" w:rsidP="006F470D">
            <w:pPr>
              <w:jc w:val="both"/>
              <w:rPr>
                <w:sz w:val="20"/>
                <w:lang w:eastAsia="en-CA"/>
              </w:rPr>
            </w:pPr>
            <w:r w:rsidRPr="00B54051">
              <w:rPr>
                <w:rFonts w:eastAsia="Calibri"/>
                <w:sz w:val="20"/>
              </w:rPr>
              <w:t>December 21, 2010</w:t>
            </w:r>
          </w:p>
          <w:p w:rsidR="006F470D" w:rsidRPr="00B54051" w:rsidRDefault="006F470D" w:rsidP="006F470D">
            <w:pPr>
              <w:jc w:val="both"/>
              <w:rPr>
                <w:rFonts w:eastAsia="Calibri"/>
                <w:sz w:val="20"/>
              </w:rPr>
            </w:pPr>
            <w:r w:rsidRPr="00B54051">
              <w:rPr>
                <w:rFonts w:eastAsia="Calibri"/>
                <w:sz w:val="20"/>
              </w:rPr>
              <w:t>Court of Appeal for Ontario</w:t>
            </w:r>
          </w:p>
          <w:p w:rsidR="006F470D" w:rsidRPr="00B54051" w:rsidRDefault="006F470D" w:rsidP="006F470D">
            <w:pPr>
              <w:rPr>
                <w:rFonts w:eastAsia="Calibri"/>
                <w:sz w:val="20"/>
              </w:rPr>
            </w:pPr>
            <w:r w:rsidRPr="00B54051">
              <w:rPr>
                <w:rFonts w:eastAsia="Calibri"/>
                <w:sz w:val="20"/>
              </w:rPr>
              <w:t>(MacPherson, Sharpe [dissenting], MacFarland JJ.A.)</w:t>
            </w:r>
          </w:p>
          <w:p w:rsidR="006F470D" w:rsidRPr="00B54051" w:rsidRDefault="006F470D" w:rsidP="006F470D">
            <w:pPr>
              <w:jc w:val="both"/>
              <w:rPr>
                <w:rFonts w:eastAsia="Calibri"/>
                <w:sz w:val="20"/>
              </w:rPr>
            </w:pPr>
            <w:r w:rsidRPr="00B54051">
              <w:rPr>
                <w:rFonts w:eastAsia="Calibri"/>
                <w:sz w:val="20"/>
              </w:rPr>
              <w:t>2010 ONCA 891</w:t>
            </w:r>
          </w:p>
          <w:p w:rsidR="006F470D" w:rsidRPr="00B54051" w:rsidRDefault="006F470D" w:rsidP="006F470D">
            <w:pPr>
              <w:jc w:val="both"/>
              <w:rPr>
                <w:rFonts w:eastAsia="Calibri"/>
                <w:sz w:val="20"/>
              </w:rPr>
            </w:pPr>
            <w:r w:rsidRPr="00B54051">
              <w:rPr>
                <w:rFonts w:eastAsia="Calibri"/>
                <w:sz w:val="20"/>
              </w:rPr>
              <w:t>C52379</w:t>
            </w:r>
          </w:p>
          <w:p w:rsidR="006F470D" w:rsidRPr="00B54051" w:rsidRDefault="006F470D" w:rsidP="006F470D">
            <w:pPr>
              <w:jc w:val="both"/>
              <w:rPr>
                <w:sz w:val="20"/>
                <w:lang w:eastAsia="en-CA"/>
              </w:rPr>
            </w:pPr>
          </w:p>
        </w:tc>
        <w:tc>
          <w:tcPr>
            <w:tcW w:w="243" w:type="pct"/>
          </w:tcPr>
          <w:p w:rsidR="006F470D" w:rsidRPr="00B54051" w:rsidRDefault="006F470D" w:rsidP="006F470D">
            <w:pPr>
              <w:jc w:val="both"/>
              <w:rPr>
                <w:sz w:val="20"/>
                <w:lang w:eastAsia="en-CA"/>
              </w:rPr>
            </w:pPr>
          </w:p>
        </w:tc>
        <w:tc>
          <w:tcPr>
            <w:tcW w:w="2330" w:type="pct"/>
          </w:tcPr>
          <w:p w:rsidR="006F470D" w:rsidRPr="00B54051" w:rsidRDefault="006F470D" w:rsidP="006F470D">
            <w:pPr>
              <w:jc w:val="both"/>
              <w:rPr>
                <w:sz w:val="20"/>
                <w:lang w:eastAsia="en-CA"/>
              </w:rPr>
            </w:pPr>
            <w:r w:rsidRPr="00B54051">
              <w:rPr>
                <w:rFonts w:eastAsia="Calibri"/>
                <w:sz w:val="20"/>
              </w:rPr>
              <w:t>Application for judicial review dismissed</w:t>
            </w:r>
          </w:p>
          <w:p w:rsidR="006F470D" w:rsidRPr="00B54051" w:rsidRDefault="006F470D" w:rsidP="006F470D">
            <w:pPr>
              <w:jc w:val="both"/>
              <w:rPr>
                <w:sz w:val="20"/>
                <w:lang w:eastAsia="en-CA"/>
              </w:rPr>
            </w:pPr>
          </w:p>
        </w:tc>
      </w:tr>
      <w:tr w:rsidR="006F470D" w:rsidRPr="00B54051" w:rsidTr="006F470D">
        <w:tc>
          <w:tcPr>
            <w:tcW w:w="2427" w:type="pct"/>
          </w:tcPr>
          <w:p w:rsidR="006F470D" w:rsidRPr="00B54051" w:rsidRDefault="006F470D" w:rsidP="006F470D">
            <w:pPr>
              <w:jc w:val="both"/>
              <w:rPr>
                <w:rFonts w:eastAsia="Calibri"/>
                <w:sz w:val="20"/>
              </w:rPr>
            </w:pPr>
            <w:r w:rsidRPr="00B54051">
              <w:rPr>
                <w:rFonts w:eastAsia="Calibri"/>
                <w:sz w:val="20"/>
              </w:rPr>
              <w:t>February 17, 2011</w:t>
            </w:r>
            <w:r w:rsidRPr="00B54051">
              <w:rPr>
                <w:rFonts w:eastAsia="Calibri"/>
                <w:sz w:val="20"/>
              </w:rPr>
              <w:noBreakHyphen/>
              <w:t>04</w:t>
            </w:r>
            <w:r w:rsidRPr="00B54051">
              <w:rPr>
                <w:rFonts w:eastAsia="Calibri"/>
                <w:sz w:val="20"/>
              </w:rPr>
              <w:noBreakHyphen/>
              <w:t xml:space="preserve">18 </w:t>
            </w:r>
          </w:p>
          <w:p w:rsidR="006F470D" w:rsidRPr="00B54051" w:rsidRDefault="006F470D" w:rsidP="006F470D">
            <w:pPr>
              <w:jc w:val="both"/>
              <w:rPr>
                <w:rFonts w:eastAsia="Calibri"/>
                <w:sz w:val="20"/>
              </w:rPr>
            </w:pPr>
            <w:r w:rsidRPr="00B54051">
              <w:rPr>
                <w:rFonts w:eastAsia="Calibri"/>
                <w:sz w:val="20"/>
              </w:rPr>
              <w:t>Supreme Court of Canada</w:t>
            </w:r>
          </w:p>
        </w:tc>
        <w:tc>
          <w:tcPr>
            <w:tcW w:w="243" w:type="pct"/>
          </w:tcPr>
          <w:p w:rsidR="006F470D" w:rsidRPr="00B54051" w:rsidRDefault="006F470D" w:rsidP="006F470D">
            <w:pPr>
              <w:jc w:val="both"/>
              <w:rPr>
                <w:sz w:val="20"/>
                <w:lang w:eastAsia="en-CA"/>
              </w:rPr>
            </w:pPr>
          </w:p>
        </w:tc>
        <w:tc>
          <w:tcPr>
            <w:tcW w:w="2330" w:type="pct"/>
          </w:tcPr>
          <w:p w:rsidR="006F470D" w:rsidRPr="00B54051" w:rsidRDefault="006F470D" w:rsidP="006F470D">
            <w:pPr>
              <w:jc w:val="both"/>
              <w:rPr>
                <w:rFonts w:eastAsia="Calibri"/>
                <w:sz w:val="20"/>
              </w:rPr>
            </w:pPr>
            <w:r w:rsidRPr="00B54051">
              <w:rPr>
                <w:rFonts w:eastAsia="Calibri"/>
                <w:sz w:val="20"/>
              </w:rPr>
              <w:t>Application for leave to appeal filed</w:t>
            </w:r>
          </w:p>
        </w:tc>
      </w:tr>
    </w:tbl>
    <w:p w:rsidR="00453064" w:rsidRPr="006F470D" w:rsidRDefault="00453064" w:rsidP="008D292F">
      <w:pPr>
        <w:rPr>
          <w:sz w:val="20"/>
          <w:szCs w:val="20"/>
        </w:rPr>
      </w:pPr>
    </w:p>
    <w:p w:rsidR="00453064" w:rsidRDefault="008C2B81" w:rsidP="008D292F">
      <w:pPr>
        <w:rPr>
          <w:sz w:val="20"/>
          <w:szCs w:val="20"/>
          <w:lang w:val="fr-CA"/>
        </w:rPr>
      </w:pPr>
      <w:r w:rsidRPr="008C2B81">
        <w:rPr>
          <w:sz w:val="20"/>
          <w:szCs w:val="20"/>
          <w:lang w:val="fr-CA"/>
        </w:rPr>
        <w:pict>
          <v:rect id="_x0000_i1041" style="width:2in;height:1pt" o:hrpct="0" o:hralign="center" o:hrstd="t" o:hrnoshade="t" o:hr="t" fillcolor="black [3213]" stroked="f"/>
        </w:pict>
      </w:r>
    </w:p>
    <w:p w:rsidR="00453064" w:rsidRDefault="00453064" w:rsidP="008D292F">
      <w:pPr>
        <w:rPr>
          <w:sz w:val="20"/>
          <w:szCs w:val="20"/>
          <w:lang w:val="fr-CA"/>
        </w:rPr>
      </w:pPr>
      <w:r>
        <w:rPr>
          <w:sz w:val="20"/>
          <w:szCs w:val="20"/>
          <w:u w:val="single"/>
          <w:lang w:val="fr-CA"/>
        </w:rPr>
        <w:lastRenderedPageBreak/>
        <w:t>RÉSUMÉ DE L’AFFAIRE</w:t>
      </w:r>
    </w:p>
    <w:p w:rsidR="00453064" w:rsidRDefault="00453064" w:rsidP="008D292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B061BA" w:rsidRPr="00C50886" w:rsidTr="00073A03">
        <w:tc>
          <w:tcPr>
            <w:tcW w:w="5000" w:type="pct"/>
            <w:gridSpan w:val="3"/>
          </w:tcPr>
          <w:p w:rsidR="00B061BA" w:rsidRPr="00B54051" w:rsidRDefault="00B061BA" w:rsidP="00B061BA">
            <w:pPr>
              <w:jc w:val="both"/>
              <w:rPr>
                <w:sz w:val="20"/>
                <w:lang w:val="fr-CA"/>
              </w:rPr>
            </w:pPr>
            <w:r w:rsidRPr="00B54051">
              <w:rPr>
                <w:i/>
                <w:iCs/>
                <w:sz w:val="20"/>
                <w:lang w:val="fr-CA"/>
              </w:rPr>
              <w:t xml:space="preserve">Charte canadienne des droits et libertés </w:t>
            </w:r>
            <w:r w:rsidRPr="00B54051">
              <w:rPr>
                <w:sz w:val="20"/>
                <w:lang w:val="fr-CA"/>
              </w:rPr>
              <w:t>— Principes de justice fondamentale — Extradition — Arrêté d'extradition — Contrôle judiciaire — L'arrêté d'extradition pour des infractions impliquant des actes différents de ceux qui étaient visés par l'arrêté introductif d'assistance était</w:t>
            </w:r>
            <w:r w:rsidRPr="00B54051">
              <w:rPr>
                <w:sz w:val="20"/>
                <w:lang w:val="fr-CA"/>
              </w:rPr>
              <w:noBreakHyphen/>
              <w:t>il raisonnable? — Le ministre de la Justice avait</w:t>
            </w:r>
            <w:r w:rsidRPr="00B54051">
              <w:rPr>
                <w:sz w:val="20"/>
                <w:lang w:val="fr-CA"/>
              </w:rPr>
              <w:noBreakHyphen/>
              <w:t>il le pouvoir discrétionnaire d'ordonner l'extradition pour des infractions différentes sur le fondement d’actes différents de ceux qui étaient visés dans l'arrêté introductif d'instance? — Le ministre de la Justice a</w:t>
            </w:r>
            <w:r w:rsidRPr="00B54051">
              <w:rPr>
                <w:sz w:val="20"/>
                <w:lang w:val="fr-CA"/>
              </w:rPr>
              <w:noBreakHyphen/>
              <w:t>t</w:t>
            </w:r>
            <w:r w:rsidRPr="00B54051">
              <w:rPr>
                <w:sz w:val="20"/>
                <w:lang w:val="fr-CA"/>
              </w:rPr>
              <w:noBreakHyphen/>
              <w:t>il eu tort de ne pas obtenir des assurances que la détermination de la peine se limiterait aux actes expressément énoncés dans l'ordonnance d'incarcération et qu'il faudrait alors faire la preuve de facteurs aggravants hors de tout doute raisonnable?</w:t>
            </w:r>
          </w:p>
          <w:p w:rsidR="00B061BA" w:rsidRPr="00B54051" w:rsidRDefault="00B061BA" w:rsidP="00073A03">
            <w:pPr>
              <w:rPr>
                <w:sz w:val="20"/>
                <w:lang w:val="fr-CA"/>
              </w:rPr>
            </w:pPr>
          </w:p>
        </w:tc>
      </w:tr>
      <w:tr w:rsidR="00B061BA" w:rsidRPr="00C50886" w:rsidTr="00073A03">
        <w:tc>
          <w:tcPr>
            <w:tcW w:w="5000" w:type="pct"/>
            <w:gridSpan w:val="3"/>
          </w:tcPr>
          <w:p w:rsidR="00B061BA" w:rsidRPr="00B54051" w:rsidRDefault="00B061BA" w:rsidP="00B061BA">
            <w:pPr>
              <w:jc w:val="both"/>
              <w:rPr>
                <w:sz w:val="20"/>
                <w:lang w:val="fr-CA"/>
              </w:rPr>
            </w:pPr>
            <w:r w:rsidRPr="00B54051">
              <w:rPr>
                <w:sz w:val="20"/>
                <w:lang w:val="fr-CA"/>
              </w:rPr>
              <w:t>Les autorités américaines allèguent que le demandeur aurait comploté en vue d'importer d'importantes quantités de marijuana aux États</w:t>
            </w:r>
            <w:r w:rsidRPr="00B54051">
              <w:rPr>
                <w:sz w:val="20"/>
                <w:lang w:val="fr-CA"/>
              </w:rPr>
              <w:noBreakHyphen/>
              <w:t>Unis à partir du Canada et de recycler le produit de la vente de la drogue au Canada.  Le 2 juin 2008, le demandeur a été mis en accusation aux États</w:t>
            </w:r>
            <w:r w:rsidRPr="00B54051">
              <w:rPr>
                <w:sz w:val="20"/>
                <w:lang w:val="fr-CA"/>
              </w:rPr>
              <w:noBreakHyphen/>
              <w:t>Unis par un grand jury.  Les États</w:t>
            </w:r>
            <w:r w:rsidRPr="00B54051">
              <w:rPr>
                <w:sz w:val="20"/>
                <w:lang w:val="fr-CA"/>
              </w:rPr>
              <w:noBreakHyphen/>
              <w:t>Unis ont demandé l'extradition du demandeur.  Le 25 septembre 2008, l’arrêté introductif d'instance a été délivré pour les infractions canadiennes d'importation d’une substance désignée et de possession de biens criminellement obtenus.  Le demandeur a consenti à son incarcération pour les infractions énoncées dans l'arrêté introductif d'instance.  Le demandeur n'a pas consenti à l'extradition.  Il a demandé au ministre d'obtenir des assurances relativement à la détermination de la peine.  Le ministre a ordonné l'extradition du demandeur sur le fondement des actes criminels énoncés suivant les termes des infractions américaines pour lesquelles les États</w:t>
            </w:r>
            <w:r w:rsidRPr="00B54051">
              <w:rPr>
                <w:sz w:val="20"/>
                <w:lang w:val="fr-CA"/>
              </w:rPr>
              <w:noBreakHyphen/>
              <w:t>Unis avaient demandé l'extradition.  Le ministre n'a pas demandé d’assurances.  La Cour d'appel a rejeté une demande de contrôle judiciaire de l'arrêté d'extradition du ministre.</w:t>
            </w:r>
          </w:p>
          <w:p w:rsidR="00B061BA" w:rsidRPr="00B54051" w:rsidRDefault="00B061BA" w:rsidP="00073A03">
            <w:pPr>
              <w:rPr>
                <w:sz w:val="20"/>
                <w:lang w:val="fr-CA"/>
              </w:rPr>
            </w:pPr>
          </w:p>
        </w:tc>
      </w:tr>
      <w:tr w:rsidR="00B061BA" w:rsidRPr="00C50886" w:rsidTr="00073A03">
        <w:tc>
          <w:tcPr>
            <w:tcW w:w="2427" w:type="pct"/>
          </w:tcPr>
          <w:p w:rsidR="00B061BA" w:rsidRPr="00B54051" w:rsidRDefault="00B061BA" w:rsidP="00073A03">
            <w:pPr>
              <w:rPr>
                <w:sz w:val="20"/>
                <w:lang w:val="fr-CA"/>
              </w:rPr>
            </w:pPr>
            <w:r w:rsidRPr="00B54051">
              <w:rPr>
                <w:sz w:val="20"/>
                <w:lang w:val="fr-CA"/>
              </w:rPr>
              <w:t>10 décembre 2009</w:t>
            </w:r>
          </w:p>
          <w:p w:rsidR="00B061BA" w:rsidRPr="00B54051" w:rsidRDefault="00B061BA" w:rsidP="00073A03">
            <w:pPr>
              <w:rPr>
                <w:sz w:val="20"/>
                <w:lang w:val="fr-CA"/>
              </w:rPr>
            </w:pPr>
            <w:r w:rsidRPr="00B54051">
              <w:rPr>
                <w:sz w:val="20"/>
                <w:lang w:val="fr-CA"/>
              </w:rPr>
              <w:t xml:space="preserve">Cour supérieure de justice de l'Ontario </w:t>
            </w:r>
          </w:p>
          <w:p w:rsidR="00B061BA" w:rsidRPr="00B54051" w:rsidRDefault="00B061BA" w:rsidP="00073A03">
            <w:pPr>
              <w:rPr>
                <w:sz w:val="20"/>
                <w:lang w:val="fr-CA"/>
              </w:rPr>
            </w:pPr>
            <w:r w:rsidRPr="00B54051">
              <w:rPr>
                <w:sz w:val="20"/>
                <w:lang w:val="fr-CA"/>
              </w:rPr>
              <w:t>(Juge O’Marra)</w:t>
            </w:r>
          </w:p>
          <w:p w:rsidR="00B061BA" w:rsidRPr="00B54051" w:rsidRDefault="00B061BA" w:rsidP="00073A03">
            <w:pPr>
              <w:rPr>
                <w:sz w:val="20"/>
                <w:lang w:val="fr-CA"/>
              </w:rPr>
            </w:pPr>
          </w:p>
        </w:tc>
        <w:tc>
          <w:tcPr>
            <w:tcW w:w="243" w:type="pct"/>
          </w:tcPr>
          <w:p w:rsidR="00B061BA" w:rsidRPr="00B54051" w:rsidRDefault="00B061BA" w:rsidP="00073A03">
            <w:pPr>
              <w:rPr>
                <w:sz w:val="20"/>
                <w:lang w:val="fr-CA" w:eastAsia="en-CA"/>
              </w:rPr>
            </w:pPr>
          </w:p>
        </w:tc>
        <w:tc>
          <w:tcPr>
            <w:tcW w:w="2330" w:type="pct"/>
          </w:tcPr>
          <w:p w:rsidR="00B061BA" w:rsidRPr="00B54051" w:rsidRDefault="00B061BA" w:rsidP="00073A03">
            <w:pPr>
              <w:rPr>
                <w:sz w:val="20"/>
                <w:lang w:val="fr-CA"/>
              </w:rPr>
            </w:pPr>
            <w:r w:rsidRPr="00B54051">
              <w:rPr>
                <w:sz w:val="20"/>
                <w:lang w:val="fr-CA"/>
              </w:rPr>
              <w:t>Ordonnance d'incarcération en vue de l'extradition</w:t>
            </w:r>
          </w:p>
        </w:tc>
      </w:tr>
      <w:tr w:rsidR="00B061BA" w:rsidRPr="00B54051" w:rsidTr="00073A03">
        <w:tc>
          <w:tcPr>
            <w:tcW w:w="2427" w:type="pct"/>
          </w:tcPr>
          <w:p w:rsidR="00B061BA" w:rsidRPr="00B54051" w:rsidRDefault="00B061BA" w:rsidP="00073A03">
            <w:pPr>
              <w:rPr>
                <w:sz w:val="20"/>
                <w:lang w:val="fr-CA" w:eastAsia="en-CA"/>
              </w:rPr>
            </w:pPr>
            <w:r w:rsidRPr="00B54051">
              <w:rPr>
                <w:sz w:val="20"/>
                <w:lang w:val="fr-CA"/>
              </w:rPr>
              <w:t>6 mai 2010</w:t>
            </w:r>
          </w:p>
          <w:p w:rsidR="00B061BA" w:rsidRPr="00B54051" w:rsidRDefault="00B061BA" w:rsidP="00073A03">
            <w:pPr>
              <w:rPr>
                <w:sz w:val="20"/>
                <w:lang w:val="fr-CA"/>
              </w:rPr>
            </w:pPr>
            <w:r w:rsidRPr="00B54051">
              <w:rPr>
                <w:sz w:val="20"/>
                <w:lang w:val="fr-CA"/>
              </w:rPr>
              <w:t>Ministre de la Justice</w:t>
            </w:r>
          </w:p>
          <w:p w:rsidR="00B061BA" w:rsidRPr="00B54051" w:rsidRDefault="00B061BA" w:rsidP="00073A03">
            <w:pPr>
              <w:rPr>
                <w:sz w:val="20"/>
                <w:lang w:val="fr-CA"/>
              </w:rPr>
            </w:pPr>
          </w:p>
        </w:tc>
        <w:tc>
          <w:tcPr>
            <w:tcW w:w="243" w:type="pct"/>
          </w:tcPr>
          <w:p w:rsidR="00B061BA" w:rsidRPr="00B54051" w:rsidRDefault="00B061BA" w:rsidP="00073A03">
            <w:pPr>
              <w:rPr>
                <w:sz w:val="20"/>
                <w:lang w:val="fr-CA" w:eastAsia="en-CA"/>
              </w:rPr>
            </w:pPr>
          </w:p>
        </w:tc>
        <w:tc>
          <w:tcPr>
            <w:tcW w:w="2330" w:type="pct"/>
          </w:tcPr>
          <w:p w:rsidR="00B061BA" w:rsidRPr="00B54051" w:rsidRDefault="00B061BA" w:rsidP="00073A03">
            <w:pPr>
              <w:rPr>
                <w:sz w:val="20"/>
                <w:lang w:val="fr-CA" w:eastAsia="en-CA"/>
              </w:rPr>
            </w:pPr>
            <w:r w:rsidRPr="00B54051">
              <w:rPr>
                <w:sz w:val="20"/>
                <w:lang w:val="fr-CA"/>
              </w:rPr>
              <w:t>Arrêté d'extradition du demandeur</w:t>
            </w:r>
          </w:p>
          <w:p w:rsidR="00B061BA" w:rsidRPr="00B54051" w:rsidRDefault="00B061BA" w:rsidP="00073A03">
            <w:pPr>
              <w:rPr>
                <w:sz w:val="20"/>
                <w:lang w:val="fr-CA" w:eastAsia="en-CA"/>
              </w:rPr>
            </w:pPr>
          </w:p>
        </w:tc>
      </w:tr>
      <w:tr w:rsidR="00B061BA" w:rsidRPr="00B54051" w:rsidTr="00073A03">
        <w:tc>
          <w:tcPr>
            <w:tcW w:w="2427" w:type="pct"/>
          </w:tcPr>
          <w:p w:rsidR="00B061BA" w:rsidRPr="00B54051" w:rsidRDefault="00B061BA" w:rsidP="00073A03">
            <w:pPr>
              <w:rPr>
                <w:sz w:val="20"/>
                <w:lang w:val="fr-CA" w:eastAsia="en-CA"/>
              </w:rPr>
            </w:pPr>
            <w:r w:rsidRPr="00B54051">
              <w:rPr>
                <w:sz w:val="20"/>
                <w:lang w:val="fr-CA"/>
              </w:rPr>
              <w:t>21 décembre 2010</w:t>
            </w:r>
          </w:p>
          <w:p w:rsidR="00B061BA" w:rsidRPr="00B54051" w:rsidRDefault="00B061BA" w:rsidP="00073A03">
            <w:pPr>
              <w:rPr>
                <w:sz w:val="20"/>
                <w:lang w:val="fr-CA"/>
              </w:rPr>
            </w:pPr>
            <w:r w:rsidRPr="00B54051">
              <w:rPr>
                <w:sz w:val="20"/>
                <w:lang w:val="fr-CA"/>
              </w:rPr>
              <w:t xml:space="preserve">Cour d'appel de l'Ontario </w:t>
            </w:r>
          </w:p>
          <w:p w:rsidR="00B061BA" w:rsidRPr="00B54051" w:rsidRDefault="00B061BA" w:rsidP="00073A03">
            <w:pPr>
              <w:rPr>
                <w:sz w:val="20"/>
                <w:lang w:val="fr-CA"/>
              </w:rPr>
            </w:pPr>
            <w:r w:rsidRPr="00B54051">
              <w:rPr>
                <w:sz w:val="20"/>
                <w:lang w:val="fr-CA"/>
              </w:rPr>
              <w:t>(Juges MacPherson, Sharpe [dissident] et MacFarland)</w:t>
            </w:r>
          </w:p>
          <w:p w:rsidR="00B061BA" w:rsidRPr="00B54051" w:rsidRDefault="00B061BA" w:rsidP="00073A03">
            <w:pPr>
              <w:rPr>
                <w:sz w:val="20"/>
                <w:lang w:val="fr-CA"/>
              </w:rPr>
            </w:pPr>
            <w:r w:rsidRPr="00B54051">
              <w:rPr>
                <w:sz w:val="20"/>
                <w:lang w:val="fr-CA"/>
              </w:rPr>
              <w:t>2010 ONCA 891</w:t>
            </w:r>
          </w:p>
          <w:p w:rsidR="00B061BA" w:rsidRPr="00B54051" w:rsidRDefault="00B061BA" w:rsidP="00073A03">
            <w:pPr>
              <w:rPr>
                <w:sz w:val="20"/>
                <w:lang w:val="fr-CA"/>
              </w:rPr>
            </w:pPr>
            <w:r w:rsidRPr="00B54051">
              <w:rPr>
                <w:sz w:val="20"/>
                <w:lang w:val="fr-CA"/>
              </w:rPr>
              <w:t>C52379</w:t>
            </w:r>
          </w:p>
          <w:p w:rsidR="00B061BA" w:rsidRPr="00B54051" w:rsidRDefault="00B061BA" w:rsidP="00073A03">
            <w:pPr>
              <w:rPr>
                <w:sz w:val="20"/>
                <w:lang w:val="fr-CA" w:eastAsia="en-CA"/>
              </w:rPr>
            </w:pPr>
          </w:p>
        </w:tc>
        <w:tc>
          <w:tcPr>
            <w:tcW w:w="243" w:type="pct"/>
          </w:tcPr>
          <w:p w:rsidR="00B061BA" w:rsidRPr="00B54051" w:rsidRDefault="00B061BA" w:rsidP="00073A03">
            <w:pPr>
              <w:rPr>
                <w:sz w:val="20"/>
                <w:lang w:val="fr-CA" w:eastAsia="en-CA"/>
              </w:rPr>
            </w:pPr>
          </w:p>
        </w:tc>
        <w:tc>
          <w:tcPr>
            <w:tcW w:w="2330" w:type="pct"/>
          </w:tcPr>
          <w:p w:rsidR="00B061BA" w:rsidRPr="00B54051" w:rsidRDefault="00B061BA" w:rsidP="00073A03">
            <w:pPr>
              <w:rPr>
                <w:sz w:val="20"/>
                <w:lang w:val="fr-CA" w:eastAsia="en-CA"/>
              </w:rPr>
            </w:pPr>
            <w:r w:rsidRPr="00B54051">
              <w:rPr>
                <w:sz w:val="20"/>
                <w:lang w:val="fr-CA"/>
              </w:rPr>
              <w:t>Demande de contrôle judiciaire, rejetée</w:t>
            </w:r>
          </w:p>
          <w:p w:rsidR="00B061BA" w:rsidRPr="00B54051" w:rsidRDefault="00B061BA" w:rsidP="00073A03">
            <w:pPr>
              <w:rPr>
                <w:sz w:val="20"/>
                <w:lang w:val="fr-CA" w:eastAsia="en-CA"/>
              </w:rPr>
            </w:pPr>
          </w:p>
        </w:tc>
      </w:tr>
      <w:tr w:rsidR="00B061BA" w:rsidRPr="00B54051" w:rsidTr="00073A03">
        <w:tc>
          <w:tcPr>
            <w:tcW w:w="2427" w:type="pct"/>
          </w:tcPr>
          <w:p w:rsidR="00B061BA" w:rsidRPr="00B54051" w:rsidRDefault="00B061BA" w:rsidP="00073A03">
            <w:pPr>
              <w:rPr>
                <w:sz w:val="20"/>
                <w:lang w:val="fr-CA"/>
              </w:rPr>
            </w:pPr>
            <w:r w:rsidRPr="00B54051">
              <w:rPr>
                <w:sz w:val="20"/>
                <w:lang w:val="fr-CA"/>
              </w:rPr>
              <w:t xml:space="preserve">17 février 2011 </w:t>
            </w:r>
          </w:p>
          <w:p w:rsidR="00B061BA" w:rsidRPr="00B54051" w:rsidRDefault="00B061BA" w:rsidP="00073A03">
            <w:pPr>
              <w:rPr>
                <w:sz w:val="20"/>
                <w:lang w:val="fr-CA"/>
              </w:rPr>
            </w:pPr>
            <w:r w:rsidRPr="00B54051">
              <w:rPr>
                <w:sz w:val="20"/>
                <w:lang w:val="fr-CA"/>
              </w:rPr>
              <w:t>Cour suprême du Canada</w:t>
            </w:r>
          </w:p>
        </w:tc>
        <w:tc>
          <w:tcPr>
            <w:tcW w:w="243" w:type="pct"/>
          </w:tcPr>
          <w:p w:rsidR="00B061BA" w:rsidRPr="00B54051" w:rsidRDefault="00B061BA" w:rsidP="00073A03">
            <w:pPr>
              <w:rPr>
                <w:sz w:val="20"/>
                <w:lang w:val="fr-CA" w:eastAsia="en-CA"/>
              </w:rPr>
            </w:pPr>
          </w:p>
        </w:tc>
        <w:tc>
          <w:tcPr>
            <w:tcW w:w="2330" w:type="pct"/>
          </w:tcPr>
          <w:p w:rsidR="00B061BA" w:rsidRPr="00B54051" w:rsidRDefault="00B061BA" w:rsidP="00073A03">
            <w:pPr>
              <w:rPr>
                <w:sz w:val="20"/>
                <w:lang w:val="fr-CA"/>
              </w:rPr>
            </w:pPr>
            <w:r w:rsidRPr="00B54051">
              <w:rPr>
                <w:sz w:val="20"/>
                <w:lang w:val="fr-CA"/>
              </w:rPr>
              <w:t>Demande d'autorisation d'appel, déposée</w:t>
            </w:r>
          </w:p>
        </w:tc>
      </w:tr>
    </w:tbl>
    <w:p w:rsidR="00453064" w:rsidRDefault="00453064" w:rsidP="008D292F">
      <w:pPr>
        <w:rPr>
          <w:sz w:val="20"/>
          <w:szCs w:val="20"/>
          <w:lang w:val="fr-CA"/>
        </w:rPr>
      </w:pPr>
    </w:p>
    <w:p w:rsidR="00453064" w:rsidRDefault="008C2B81" w:rsidP="008D292F">
      <w:pPr>
        <w:rPr>
          <w:sz w:val="20"/>
          <w:szCs w:val="20"/>
          <w:lang w:val="fr-CA"/>
        </w:rPr>
      </w:pPr>
      <w:r w:rsidRPr="008C2B81">
        <w:rPr>
          <w:sz w:val="20"/>
          <w:szCs w:val="20"/>
          <w:lang w:val="fr-CA"/>
        </w:rPr>
        <w:pict>
          <v:rect id="_x0000_i1042" style="width:2in;height:1pt" o:hrpct="0" o:hralign="center" o:hrstd="t" o:hrnoshade="t" o:hr="t" fillcolor="black [3213]" stroked="f"/>
        </w:pict>
      </w:r>
    </w:p>
    <w:p w:rsidR="00453064" w:rsidRPr="00453064" w:rsidRDefault="00453064"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92E55" w:rsidRPr="00C50886" w:rsidTr="000367EB">
        <w:trPr>
          <w:cantSplit/>
        </w:trPr>
        <w:tc>
          <w:tcPr>
            <w:tcW w:w="1458" w:type="dxa"/>
          </w:tcPr>
          <w:p w:rsidR="00192E55" w:rsidRPr="00E85700" w:rsidRDefault="00192E55" w:rsidP="000367EB">
            <w:pPr>
              <w:rPr>
                <w:rFonts w:cs="Times New Roman"/>
                <w:sz w:val="20"/>
                <w:szCs w:val="20"/>
              </w:rPr>
            </w:pPr>
            <w:r w:rsidRPr="00E85700">
              <w:rPr>
                <w:rStyle w:val="SCCFileNumberChar"/>
                <w:rFonts w:cs="Times New Roman"/>
                <w:sz w:val="20"/>
                <w:szCs w:val="20"/>
              </w:rPr>
              <w:t>34021</w:t>
            </w:r>
          </w:p>
          <w:p w:rsidR="00192E55" w:rsidRPr="00E85700" w:rsidRDefault="00192E55" w:rsidP="000367EB">
            <w:pPr>
              <w:rPr>
                <w:rFonts w:cs="Times New Roman"/>
                <w:b/>
                <w:sz w:val="20"/>
                <w:szCs w:val="20"/>
                <w:lang w:val="fr-CA"/>
              </w:rPr>
            </w:pPr>
          </w:p>
        </w:tc>
        <w:tc>
          <w:tcPr>
            <w:tcW w:w="8118" w:type="dxa"/>
          </w:tcPr>
          <w:p w:rsidR="00192E55" w:rsidRPr="00E85700" w:rsidRDefault="00192E55" w:rsidP="000367EB">
            <w:pPr>
              <w:rPr>
                <w:rFonts w:cs="Times New Roman"/>
                <w:sz w:val="20"/>
                <w:szCs w:val="20"/>
                <w:lang w:val="fr-CA"/>
              </w:rPr>
            </w:pPr>
            <w:r w:rsidRPr="00E85700">
              <w:rPr>
                <w:rStyle w:val="SCCLsocChar"/>
                <w:rFonts w:cs="Times New Roman"/>
                <w:sz w:val="20"/>
                <w:szCs w:val="20"/>
              </w:rPr>
              <w:t>Association des policiers provinciaux du Québec c. Sûreté du Québec</w:t>
            </w:r>
            <w:r w:rsidRPr="00E85700">
              <w:rPr>
                <w:rFonts w:cs="Times New Roman"/>
                <w:sz w:val="20"/>
                <w:szCs w:val="20"/>
                <w:lang w:val="fr-CA"/>
              </w:rPr>
              <w:t xml:space="preserve"> (Qc) (Civile) (Autorisation)</w:t>
            </w:r>
          </w:p>
          <w:p w:rsidR="00192E55" w:rsidRPr="00E85700" w:rsidRDefault="00192E55" w:rsidP="000367EB">
            <w:pPr>
              <w:rPr>
                <w:rFonts w:cs="Times New Roman"/>
                <w:sz w:val="20"/>
                <w:szCs w:val="20"/>
                <w:lang w:val="fr-CA"/>
              </w:rPr>
            </w:pPr>
          </w:p>
        </w:tc>
      </w:tr>
      <w:tr w:rsidR="00192E55" w:rsidRPr="00C50886" w:rsidTr="000367EB">
        <w:trPr>
          <w:cantSplit/>
        </w:trPr>
        <w:tc>
          <w:tcPr>
            <w:tcW w:w="1458" w:type="dxa"/>
          </w:tcPr>
          <w:p w:rsidR="00192E55" w:rsidRPr="00E85700" w:rsidRDefault="00192E55" w:rsidP="000367EB">
            <w:pPr>
              <w:rPr>
                <w:rFonts w:cs="Times New Roman"/>
                <w:sz w:val="20"/>
                <w:szCs w:val="20"/>
              </w:rPr>
            </w:pPr>
            <w:r w:rsidRPr="00E85700">
              <w:rPr>
                <w:rFonts w:cs="Times New Roman"/>
                <w:sz w:val="20"/>
                <w:szCs w:val="20"/>
              </w:rPr>
              <w:t>Coram :</w:t>
            </w:r>
          </w:p>
        </w:tc>
        <w:tc>
          <w:tcPr>
            <w:tcW w:w="8118" w:type="dxa"/>
          </w:tcPr>
          <w:p w:rsidR="00192E55" w:rsidRPr="00E85700" w:rsidRDefault="00192E55" w:rsidP="000367EB">
            <w:pPr>
              <w:rPr>
                <w:rFonts w:cs="Times New Roman"/>
                <w:sz w:val="20"/>
                <w:szCs w:val="20"/>
                <w:lang w:val="fr-CA"/>
              </w:rPr>
            </w:pPr>
            <w:r w:rsidRPr="00E85700">
              <w:rPr>
                <w:rStyle w:val="SCCCoramChar"/>
                <w:rFonts w:cs="Times New Roman"/>
                <w:sz w:val="20"/>
                <w:szCs w:val="20"/>
              </w:rPr>
              <w:t>La juge en chef McLachlin et les juges Deschamps et Charron</w:t>
            </w:r>
          </w:p>
          <w:p w:rsidR="00192E55" w:rsidRPr="00E85700" w:rsidRDefault="00192E55" w:rsidP="000367EB">
            <w:pPr>
              <w:rPr>
                <w:rFonts w:cs="Times New Roman"/>
                <w:sz w:val="20"/>
                <w:szCs w:val="20"/>
                <w:u w:val="single"/>
                <w:lang w:val="fr-CA"/>
              </w:rPr>
            </w:pPr>
          </w:p>
        </w:tc>
      </w:tr>
      <w:tr w:rsidR="00192E55" w:rsidRPr="00E85700" w:rsidTr="000367EB">
        <w:trPr>
          <w:cantSplit/>
        </w:trPr>
        <w:tc>
          <w:tcPr>
            <w:tcW w:w="9576" w:type="dxa"/>
            <w:gridSpan w:val="2"/>
          </w:tcPr>
          <w:p w:rsidR="00192E55" w:rsidRPr="00E85700" w:rsidRDefault="00192E55" w:rsidP="000367EB">
            <w:pPr>
              <w:pStyle w:val="SCCShortJudgment"/>
              <w:rPr>
                <w:rFonts w:cs="Times New Roman"/>
                <w:szCs w:val="20"/>
                <w:lang w:val="fr-CA"/>
              </w:rPr>
            </w:pPr>
            <w:r w:rsidRPr="00E85700">
              <w:rPr>
                <w:rFonts w:cs="Times New Roman"/>
                <w:szCs w:val="20"/>
                <w:lang w:val="fr-CA"/>
              </w:rPr>
              <w:t>La demande d’autorisation d’appel de l’arrêt de la Cour d’appel du Québec (Montréal), numéro 500-09-018703-082, 2010 QCCA 2053, daté du 12 novembre 2010, est rejetée avec dépens.</w:t>
            </w:r>
          </w:p>
          <w:p w:rsidR="00192E55" w:rsidRPr="00E85700" w:rsidRDefault="00192E55" w:rsidP="000367EB">
            <w:pPr>
              <w:pStyle w:val="SCCShortJudgment"/>
              <w:ind w:firstLine="0"/>
              <w:rPr>
                <w:rFonts w:cs="Times New Roman"/>
                <w:szCs w:val="20"/>
                <w:lang w:val="fr-CA"/>
              </w:rPr>
            </w:pPr>
          </w:p>
          <w:p w:rsidR="00192E55" w:rsidRPr="00E85700" w:rsidRDefault="00192E55" w:rsidP="000367EB">
            <w:pPr>
              <w:pStyle w:val="SCCShortJudgment"/>
              <w:rPr>
                <w:rFonts w:cs="Times New Roman"/>
                <w:szCs w:val="20"/>
              </w:rPr>
            </w:pPr>
            <w:r w:rsidRPr="00E85700">
              <w:rPr>
                <w:rFonts w:cs="Times New Roman"/>
                <w:szCs w:val="20"/>
              </w:rPr>
              <w:t>The application for leave to appeal from the judgment of the Court of Appeal of Quebec (Montréal), Number 500-09-018703-082, 2010 QCCA 2053, dated November 12, 2010, is dismissed with costs.</w:t>
            </w:r>
          </w:p>
        </w:tc>
      </w:tr>
    </w:tbl>
    <w:p w:rsidR="00192E55" w:rsidRPr="00192E55" w:rsidRDefault="00192E55" w:rsidP="008D292F">
      <w:pPr>
        <w:rPr>
          <w:sz w:val="20"/>
          <w:szCs w:val="20"/>
        </w:rPr>
      </w:pPr>
    </w:p>
    <w:p w:rsidR="00411CD6" w:rsidRPr="00453064" w:rsidRDefault="00411CD6" w:rsidP="00411CD6">
      <w:pPr>
        <w:rPr>
          <w:sz w:val="20"/>
          <w:szCs w:val="20"/>
          <w:lang w:val="fr-CA"/>
        </w:rPr>
      </w:pPr>
      <w:r>
        <w:rPr>
          <w:sz w:val="20"/>
          <w:szCs w:val="20"/>
          <w:u w:val="single"/>
          <w:lang w:val="fr-CA"/>
        </w:rPr>
        <w:lastRenderedPageBreak/>
        <w:t>CASE SUMMARY</w:t>
      </w:r>
    </w:p>
    <w:p w:rsidR="00411CD6" w:rsidRDefault="00411CD6"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061BA" w:rsidRPr="00B54051" w:rsidTr="00073A03">
        <w:tc>
          <w:tcPr>
            <w:tcW w:w="5000" w:type="pct"/>
            <w:gridSpan w:val="3"/>
          </w:tcPr>
          <w:p w:rsidR="00B061BA" w:rsidRPr="00B54051" w:rsidRDefault="00B061BA" w:rsidP="00073A03">
            <w:pPr>
              <w:jc w:val="both"/>
              <w:rPr>
                <w:rFonts w:eastAsia="Calibri"/>
                <w:sz w:val="20"/>
              </w:rPr>
            </w:pPr>
            <w:r w:rsidRPr="00B54051">
              <w:rPr>
                <w:rFonts w:eastAsia="Calibri"/>
                <w:sz w:val="20"/>
              </w:rPr>
              <w:t>Law of professions — Discipline</w:t>
            </w:r>
            <w:r w:rsidR="00020DF3">
              <w:rPr>
                <w:rFonts w:eastAsia="Calibri"/>
                <w:sz w:val="20"/>
              </w:rPr>
              <w:t xml:space="preserve"> </w:t>
            </w:r>
            <w:r w:rsidRPr="00B54051">
              <w:rPr>
                <w:rFonts w:eastAsia="Calibri"/>
                <w:sz w:val="20"/>
              </w:rPr>
              <w:t>— Dismissal of police officer guilty of indictable offences — Police officer assaulting his former spouse and repeatedly using police force’s computer system to obtain information about her — Dismissal — Dismissal replaced with 10</w:t>
            </w:r>
            <w:r w:rsidRPr="00B54051">
              <w:rPr>
                <w:rFonts w:eastAsia="Calibri"/>
                <w:sz w:val="20"/>
              </w:rPr>
              <w:noBreakHyphen/>
              <w:t xml:space="preserve">day suspension in arbitration — Whether Superior Court substituted its own findings for those of arbitrator rather than determining whether arbitrator’s findings came within spectrum of reasonable decisions s — Whether Court of Appeal’s interpretation of specific circumstances that could prevent police officer’s dismissal was unreasonably restrictive having regard to </w:t>
            </w:r>
            <w:r w:rsidRPr="00B54051">
              <w:rPr>
                <w:rFonts w:eastAsia="Calibri"/>
                <w:i/>
                <w:sz w:val="20"/>
              </w:rPr>
              <w:t>City of Lévis v. Fraternité des policiers de Lévis</w:t>
            </w:r>
            <w:r w:rsidRPr="00B54051">
              <w:rPr>
                <w:rFonts w:eastAsia="Calibri"/>
                <w:sz w:val="20"/>
              </w:rPr>
              <w:t>, [2007] 1 S.C.R. 591 — Whether Court of Appeal erred in taking account of commission of several offences even though dismissal based only on unlawful use of computer.</w:t>
            </w:r>
          </w:p>
          <w:p w:rsidR="00B061BA" w:rsidRPr="00B54051" w:rsidRDefault="00B061BA" w:rsidP="00073A03">
            <w:pPr>
              <w:jc w:val="both"/>
              <w:rPr>
                <w:rFonts w:eastAsia="Calibri"/>
                <w:sz w:val="20"/>
              </w:rPr>
            </w:pPr>
          </w:p>
        </w:tc>
      </w:tr>
      <w:tr w:rsidR="00B061BA" w:rsidRPr="00B54051" w:rsidTr="00073A03">
        <w:tc>
          <w:tcPr>
            <w:tcW w:w="5000" w:type="pct"/>
            <w:gridSpan w:val="3"/>
          </w:tcPr>
          <w:p w:rsidR="00B061BA" w:rsidRPr="00B54051" w:rsidRDefault="00B061BA" w:rsidP="00073A03">
            <w:pPr>
              <w:jc w:val="both"/>
              <w:rPr>
                <w:rFonts w:eastAsia="Calibri"/>
                <w:sz w:val="20"/>
              </w:rPr>
            </w:pPr>
            <w:r w:rsidRPr="00B54051">
              <w:rPr>
                <w:rFonts w:eastAsia="Calibri"/>
                <w:sz w:val="20"/>
              </w:rPr>
              <w:t>The Port</w:t>
            </w:r>
            <w:r w:rsidRPr="00B54051">
              <w:rPr>
                <w:rFonts w:eastAsia="Calibri"/>
                <w:sz w:val="20"/>
              </w:rPr>
              <w:noBreakHyphen/>
              <w:t>Cartier police force, which had employed Jean</w:t>
            </w:r>
            <w:r w:rsidRPr="00B54051">
              <w:rPr>
                <w:rFonts w:eastAsia="Calibri"/>
                <w:sz w:val="20"/>
              </w:rPr>
              <w:noBreakHyphen/>
              <w:t>Marc Coulombe for 25 years, had just amalgamated with the Sûreté du Québec when, in July 2002, that police officer was convicted of the indictable offences of assaulting his former spouse and fraudulently and repeatedly using the police force’s computer system to obtain information about his former spouse and her mother.  In October 2005, the employer dismissed Mr. Coulombe.  In July 2007, a grievance arbitrator found that there were specific circumstances related to the consequences of Mr. Coulombe’s divorce.  Since police forces rarely sanctioned unlawful use of the computer system so harshly, the arbitrator replaced the dismissal with a 10</w:t>
            </w:r>
            <w:r w:rsidRPr="00B54051">
              <w:rPr>
                <w:rFonts w:eastAsia="Calibri"/>
                <w:sz w:val="20"/>
              </w:rPr>
              <w:noBreakHyphen/>
              <w:t>day suspension.</w:t>
            </w:r>
          </w:p>
          <w:p w:rsidR="00B061BA" w:rsidRPr="00B54051" w:rsidRDefault="00B061BA" w:rsidP="00073A03">
            <w:pPr>
              <w:jc w:val="both"/>
              <w:rPr>
                <w:rFonts w:eastAsia="Calibri"/>
                <w:sz w:val="20"/>
              </w:rPr>
            </w:pPr>
          </w:p>
        </w:tc>
      </w:tr>
      <w:tr w:rsidR="00B061BA" w:rsidRPr="00B54051" w:rsidTr="00073A03">
        <w:tc>
          <w:tcPr>
            <w:tcW w:w="2427" w:type="pct"/>
          </w:tcPr>
          <w:p w:rsidR="00B061BA" w:rsidRPr="00B54051" w:rsidRDefault="00B061BA" w:rsidP="00073A03">
            <w:pPr>
              <w:jc w:val="both"/>
              <w:rPr>
                <w:rFonts w:eastAsia="Calibri"/>
                <w:sz w:val="20"/>
              </w:rPr>
            </w:pPr>
            <w:r w:rsidRPr="00B54051">
              <w:rPr>
                <w:rFonts w:eastAsia="Calibri"/>
                <w:sz w:val="20"/>
              </w:rPr>
              <w:t>May 7, 2008</w:t>
            </w:r>
          </w:p>
          <w:p w:rsidR="00B061BA" w:rsidRPr="00B54051" w:rsidRDefault="00B061BA" w:rsidP="00073A03">
            <w:pPr>
              <w:jc w:val="both"/>
              <w:rPr>
                <w:rFonts w:eastAsia="Calibri"/>
                <w:sz w:val="20"/>
              </w:rPr>
            </w:pPr>
            <w:r w:rsidRPr="00B54051">
              <w:rPr>
                <w:rFonts w:eastAsia="Calibri"/>
                <w:sz w:val="20"/>
              </w:rPr>
              <w:t>Quebec Superior Court</w:t>
            </w:r>
          </w:p>
          <w:p w:rsidR="00B061BA" w:rsidRPr="00B54051" w:rsidRDefault="00B061BA" w:rsidP="00073A03">
            <w:pPr>
              <w:jc w:val="both"/>
              <w:rPr>
                <w:rFonts w:eastAsia="Calibri"/>
                <w:sz w:val="20"/>
              </w:rPr>
            </w:pPr>
            <w:r w:rsidRPr="00B54051">
              <w:rPr>
                <w:rFonts w:eastAsia="Calibri"/>
                <w:sz w:val="20"/>
              </w:rPr>
              <w:t>(Rousseau J.)</w:t>
            </w:r>
          </w:p>
          <w:p w:rsidR="00B061BA" w:rsidRPr="00B54051" w:rsidRDefault="00B061BA" w:rsidP="00073A03">
            <w:pPr>
              <w:jc w:val="both"/>
              <w:rPr>
                <w:rFonts w:eastAsia="Calibri"/>
                <w:sz w:val="20"/>
              </w:rPr>
            </w:pPr>
            <w:r w:rsidRPr="00B54051">
              <w:rPr>
                <w:rFonts w:eastAsia="Calibri"/>
                <w:sz w:val="20"/>
              </w:rPr>
              <w:t>Neutral citation: 2008 QCCS 1771</w:t>
            </w:r>
          </w:p>
          <w:p w:rsidR="00B061BA" w:rsidRPr="00B54051" w:rsidRDefault="00B061BA" w:rsidP="00073A03">
            <w:pPr>
              <w:jc w:val="both"/>
              <w:rPr>
                <w:rFonts w:eastAsia="Calibri"/>
                <w:sz w:val="20"/>
              </w:rPr>
            </w:pPr>
          </w:p>
        </w:tc>
        <w:tc>
          <w:tcPr>
            <w:tcW w:w="243" w:type="pct"/>
          </w:tcPr>
          <w:p w:rsidR="00B061BA" w:rsidRPr="00B54051" w:rsidRDefault="00B061BA" w:rsidP="00073A03">
            <w:pPr>
              <w:jc w:val="both"/>
              <w:rPr>
                <w:rFonts w:eastAsia="Calibri"/>
                <w:sz w:val="20"/>
              </w:rPr>
            </w:pPr>
          </w:p>
        </w:tc>
        <w:tc>
          <w:tcPr>
            <w:tcW w:w="2330" w:type="pct"/>
          </w:tcPr>
          <w:p w:rsidR="00B061BA" w:rsidRPr="00B54051" w:rsidRDefault="00B061BA" w:rsidP="00073A03">
            <w:pPr>
              <w:jc w:val="both"/>
              <w:rPr>
                <w:rFonts w:eastAsia="Calibri"/>
                <w:sz w:val="20"/>
              </w:rPr>
            </w:pPr>
            <w:r w:rsidRPr="00B54051">
              <w:rPr>
                <w:rFonts w:eastAsia="Calibri"/>
                <w:sz w:val="20"/>
              </w:rPr>
              <w:t>Dismissal restored following judicial review</w:t>
            </w:r>
          </w:p>
          <w:p w:rsidR="00B061BA" w:rsidRPr="00B54051" w:rsidRDefault="00B061BA" w:rsidP="00073A03">
            <w:pPr>
              <w:jc w:val="both"/>
              <w:rPr>
                <w:rFonts w:eastAsia="Calibri"/>
                <w:sz w:val="20"/>
              </w:rPr>
            </w:pPr>
          </w:p>
        </w:tc>
      </w:tr>
      <w:tr w:rsidR="00B061BA" w:rsidRPr="00B54051" w:rsidTr="00073A03">
        <w:tc>
          <w:tcPr>
            <w:tcW w:w="2427" w:type="pct"/>
          </w:tcPr>
          <w:p w:rsidR="00B061BA" w:rsidRPr="00B54051" w:rsidRDefault="00B061BA" w:rsidP="00073A03">
            <w:pPr>
              <w:jc w:val="both"/>
              <w:rPr>
                <w:rFonts w:eastAsia="Calibri"/>
                <w:sz w:val="20"/>
              </w:rPr>
            </w:pPr>
            <w:r w:rsidRPr="00B54051">
              <w:rPr>
                <w:rFonts w:eastAsia="Calibri"/>
                <w:sz w:val="20"/>
              </w:rPr>
              <w:t>November 12, 2010</w:t>
            </w:r>
          </w:p>
          <w:p w:rsidR="00B061BA" w:rsidRPr="00B54051" w:rsidRDefault="00B061BA" w:rsidP="00073A03">
            <w:pPr>
              <w:jc w:val="both"/>
              <w:rPr>
                <w:rFonts w:eastAsia="Calibri"/>
                <w:sz w:val="20"/>
              </w:rPr>
            </w:pPr>
            <w:r w:rsidRPr="00B54051">
              <w:rPr>
                <w:rFonts w:eastAsia="Calibri"/>
                <w:sz w:val="20"/>
              </w:rPr>
              <w:t>Quebec Court of Appeal (Montréal)</w:t>
            </w:r>
          </w:p>
          <w:p w:rsidR="00B061BA" w:rsidRPr="00B54051" w:rsidRDefault="00B061BA" w:rsidP="00073A03">
            <w:pPr>
              <w:jc w:val="both"/>
              <w:rPr>
                <w:rFonts w:eastAsia="Calibri"/>
                <w:sz w:val="20"/>
              </w:rPr>
            </w:pPr>
            <w:r w:rsidRPr="00B54051">
              <w:rPr>
                <w:rFonts w:eastAsia="Calibri"/>
                <w:sz w:val="20"/>
              </w:rPr>
              <w:t>(Beauregard, dissenting, Hilton and Bich JJ.A.)</w:t>
            </w:r>
          </w:p>
          <w:p w:rsidR="00B061BA" w:rsidRPr="00B54051" w:rsidRDefault="00B061BA" w:rsidP="00073A03">
            <w:pPr>
              <w:jc w:val="both"/>
              <w:rPr>
                <w:rFonts w:eastAsia="Calibri"/>
                <w:sz w:val="20"/>
              </w:rPr>
            </w:pPr>
            <w:r w:rsidRPr="00B54051">
              <w:rPr>
                <w:rFonts w:eastAsia="Calibri"/>
                <w:sz w:val="20"/>
              </w:rPr>
              <w:t>Neutral citation: 2010 QCCA 2053</w:t>
            </w:r>
          </w:p>
          <w:p w:rsidR="00B061BA" w:rsidRPr="00B54051" w:rsidRDefault="00B061BA" w:rsidP="00073A03">
            <w:pPr>
              <w:jc w:val="both"/>
              <w:rPr>
                <w:rFonts w:eastAsia="Calibri"/>
                <w:sz w:val="20"/>
              </w:rPr>
            </w:pPr>
          </w:p>
        </w:tc>
        <w:tc>
          <w:tcPr>
            <w:tcW w:w="243" w:type="pct"/>
          </w:tcPr>
          <w:p w:rsidR="00B061BA" w:rsidRPr="00B54051" w:rsidRDefault="00B061BA" w:rsidP="00073A03">
            <w:pPr>
              <w:jc w:val="both"/>
              <w:rPr>
                <w:rFonts w:eastAsia="Calibri"/>
                <w:sz w:val="20"/>
              </w:rPr>
            </w:pPr>
          </w:p>
        </w:tc>
        <w:tc>
          <w:tcPr>
            <w:tcW w:w="2330" w:type="pct"/>
          </w:tcPr>
          <w:p w:rsidR="00B061BA" w:rsidRPr="00B54051" w:rsidRDefault="00B061BA" w:rsidP="00073A03">
            <w:pPr>
              <w:jc w:val="both"/>
              <w:rPr>
                <w:rFonts w:eastAsia="Calibri"/>
                <w:sz w:val="20"/>
              </w:rPr>
            </w:pPr>
            <w:r w:rsidRPr="00B54051">
              <w:rPr>
                <w:rFonts w:eastAsia="Calibri"/>
                <w:sz w:val="20"/>
              </w:rPr>
              <w:t>Appeal dismissed</w:t>
            </w:r>
          </w:p>
          <w:p w:rsidR="00B061BA" w:rsidRPr="00B54051" w:rsidRDefault="00B061BA" w:rsidP="00073A03">
            <w:pPr>
              <w:jc w:val="both"/>
              <w:rPr>
                <w:rFonts w:eastAsia="Calibri"/>
                <w:sz w:val="20"/>
              </w:rPr>
            </w:pPr>
          </w:p>
        </w:tc>
      </w:tr>
      <w:tr w:rsidR="00B061BA" w:rsidRPr="00B54051" w:rsidTr="00073A03">
        <w:tc>
          <w:tcPr>
            <w:tcW w:w="2427" w:type="pct"/>
          </w:tcPr>
          <w:p w:rsidR="00B061BA" w:rsidRPr="00B54051" w:rsidRDefault="00B061BA" w:rsidP="00073A03">
            <w:pPr>
              <w:jc w:val="both"/>
              <w:rPr>
                <w:rFonts w:eastAsia="Calibri"/>
                <w:sz w:val="20"/>
              </w:rPr>
            </w:pPr>
            <w:r w:rsidRPr="00B54051">
              <w:rPr>
                <w:rFonts w:eastAsia="Calibri"/>
                <w:sz w:val="20"/>
              </w:rPr>
              <w:t>January 6, 2011</w:t>
            </w:r>
          </w:p>
          <w:p w:rsidR="00B061BA" w:rsidRPr="00B54051" w:rsidRDefault="00B061BA" w:rsidP="00073A03">
            <w:pPr>
              <w:jc w:val="both"/>
              <w:rPr>
                <w:rFonts w:eastAsia="Calibri"/>
                <w:sz w:val="20"/>
              </w:rPr>
            </w:pPr>
            <w:r w:rsidRPr="00B54051">
              <w:rPr>
                <w:rFonts w:eastAsia="Calibri"/>
                <w:sz w:val="20"/>
              </w:rPr>
              <w:t>Supreme Court of Canada</w:t>
            </w:r>
          </w:p>
        </w:tc>
        <w:tc>
          <w:tcPr>
            <w:tcW w:w="243" w:type="pct"/>
          </w:tcPr>
          <w:p w:rsidR="00B061BA" w:rsidRPr="00B54051" w:rsidRDefault="00B061BA" w:rsidP="00073A03">
            <w:pPr>
              <w:jc w:val="both"/>
              <w:rPr>
                <w:rFonts w:eastAsia="Calibri"/>
                <w:sz w:val="20"/>
              </w:rPr>
            </w:pPr>
          </w:p>
        </w:tc>
        <w:tc>
          <w:tcPr>
            <w:tcW w:w="2330" w:type="pct"/>
          </w:tcPr>
          <w:p w:rsidR="00B061BA" w:rsidRPr="00B54051" w:rsidRDefault="00B061BA" w:rsidP="00073A03">
            <w:pPr>
              <w:jc w:val="both"/>
              <w:rPr>
                <w:rFonts w:eastAsia="Calibri"/>
                <w:sz w:val="20"/>
              </w:rPr>
            </w:pPr>
            <w:r w:rsidRPr="00B54051">
              <w:rPr>
                <w:rFonts w:eastAsia="Calibri"/>
                <w:sz w:val="20"/>
              </w:rPr>
              <w:t>Application for leave to appeal filed</w:t>
            </w:r>
          </w:p>
          <w:p w:rsidR="00B061BA" w:rsidRPr="00B54051" w:rsidRDefault="00B061BA" w:rsidP="00073A03">
            <w:pPr>
              <w:jc w:val="both"/>
              <w:rPr>
                <w:rFonts w:eastAsia="Calibri"/>
                <w:sz w:val="20"/>
              </w:rPr>
            </w:pPr>
          </w:p>
        </w:tc>
      </w:tr>
    </w:tbl>
    <w:p w:rsidR="00411CD6" w:rsidRPr="00B061BA" w:rsidRDefault="00411CD6" w:rsidP="00411CD6">
      <w:pPr>
        <w:rPr>
          <w:sz w:val="20"/>
          <w:szCs w:val="20"/>
        </w:rPr>
      </w:pPr>
    </w:p>
    <w:p w:rsidR="00411CD6" w:rsidRDefault="008C2B81" w:rsidP="00411CD6">
      <w:pPr>
        <w:rPr>
          <w:sz w:val="20"/>
          <w:szCs w:val="20"/>
          <w:lang w:val="fr-CA"/>
        </w:rPr>
      </w:pPr>
      <w:r w:rsidRPr="008C2B81">
        <w:rPr>
          <w:sz w:val="20"/>
          <w:szCs w:val="20"/>
          <w:lang w:val="fr-CA"/>
        </w:rPr>
        <w:pict>
          <v:rect id="_x0000_i1043" style="width:2in;height:1pt" o:hrpct="0" o:hralign="center" o:hrstd="t" o:hrnoshade="t" o:hr="t" fillcolor="black [3213]" stroked="f"/>
        </w:pict>
      </w:r>
    </w:p>
    <w:p w:rsidR="00411CD6" w:rsidRDefault="00411CD6" w:rsidP="00411CD6">
      <w:pPr>
        <w:rPr>
          <w:sz w:val="20"/>
          <w:szCs w:val="20"/>
          <w:lang w:val="fr-CA"/>
        </w:rPr>
      </w:pPr>
    </w:p>
    <w:p w:rsidR="00411CD6" w:rsidRDefault="00411CD6" w:rsidP="00411CD6">
      <w:pPr>
        <w:rPr>
          <w:sz w:val="20"/>
          <w:szCs w:val="20"/>
          <w:lang w:val="fr-CA"/>
        </w:rPr>
      </w:pPr>
      <w:r>
        <w:rPr>
          <w:sz w:val="20"/>
          <w:szCs w:val="20"/>
          <w:u w:val="single"/>
          <w:lang w:val="fr-CA"/>
        </w:rPr>
        <w:t>RÉSUMÉ DE L’AFFAIRE</w:t>
      </w:r>
    </w:p>
    <w:p w:rsidR="00411CD6" w:rsidRDefault="00411CD6"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061BA" w:rsidRPr="00C50886" w:rsidTr="00073A03">
        <w:tc>
          <w:tcPr>
            <w:tcW w:w="5000" w:type="pct"/>
            <w:gridSpan w:val="3"/>
          </w:tcPr>
          <w:p w:rsidR="00B061BA" w:rsidRPr="00B54051" w:rsidRDefault="00B061BA" w:rsidP="00073A03">
            <w:pPr>
              <w:jc w:val="both"/>
              <w:rPr>
                <w:rFonts w:eastAsia="Calibri"/>
                <w:sz w:val="20"/>
                <w:lang w:val="fr-CA"/>
              </w:rPr>
            </w:pPr>
            <w:r w:rsidRPr="00B54051">
              <w:rPr>
                <w:rFonts w:eastAsia="Calibri"/>
                <w:sz w:val="20"/>
                <w:lang w:val="fr-CA"/>
              </w:rPr>
              <w:t>Droit des professions</w:t>
            </w:r>
            <w:r w:rsidR="00FC2A34">
              <w:rPr>
                <w:rFonts w:eastAsia="Calibri"/>
                <w:sz w:val="20"/>
                <w:lang w:val="fr-CA"/>
              </w:rPr>
              <w:t xml:space="preserve"> </w:t>
            </w:r>
            <w:r w:rsidR="00FC2A34" w:rsidRPr="00FC2A34">
              <w:rPr>
                <w:rFonts w:eastAsia="Calibri"/>
                <w:sz w:val="20"/>
                <w:lang w:val="fr-CA"/>
              </w:rPr>
              <w:t xml:space="preserve"> — </w:t>
            </w:r>
            <w:r w:rsidRPr="00B54051">
              <w:rPr>
                <w:rFonts w:eastAsia="Calibri"/>
                <w:sz w:val="20"/>
                <w:lang w:val="fr-CA"/>
              </w:rPr>
              <w:t>Discipline</w:t>
            </w:r>
            <w:r w:rsidR="00FC2A34">
              <w:rPr>
                <w:rFonts w:eastAsia="Calibri"/>
                <w:sz w:val="20"/>
                <w:lang w:val="fr-CA"/>
              </w:rPr>
              <w:t xml:space="preserve"> </w:t>
            </w:r>
            <w:r w:rsidR="00FC2A34" w:rsidRPr="00FC2A34">
              <w:rPr>
                <w:rFonts w:eastAsia="Calibri"/>
                <w:sz w:val="20"/>
                <w:lang w:val="fr-CA"/>
              </w:rPr>
              <w:t xml:space="preserve"> — </w:t>
            </w:r>
            <w:r w:rsidRPr="00B54051">
              <w:rPr>
                <w:rFonts w:eastAsia="Calibri"/>
                <w:sz w:val="20"/>
                <w:lang w:val="fr-CA"/>
              </w:rPr>
              <w:t>Destitution d’un policier coupable d’actes criminels</w:t>
            </w:r>
            <w:r w:rsidR="00FC2A34">
              <w:rPr>
                <w:rFonts w:eastAsia="Calibri"/>
                <w:sz w:val="20"/>
                <w:lang w:val="fr-CA"/>
              </w:rPr>
              <w:t xml:space="preserve"> </w:t>
            </w:r>
            <w:r w:rsidR="00FC2A34" w:rsidRPr="00FC2A34">
              <w:rPr>
                <w:rFonts w:eastAsia="Calibri"/>
                <w:sz w:val="20"/>
                <w:lang w:val="fr-CA"/>
              </w:rPr>
              <w:t xml:space="preserve"> — </w:t>
            </w:r>
            <w:r w:rsidRPr="00B54051">
              <w:rPr>
                <w:rFonts w:eastAsia="Calibri"/>
                <w:sz w:val="20"/>
                <w:lang w:val="fr-CA"/>
              </w:rPr>
              <w:t>Voies de fait commises par le policier sur son ex-conjointe et utilisation répétée du système informatique du service de police pour obtenir sur elle des renseignements</w:t>
            </w:r>
            <w:r w:rsidR="00FC2A34">
              <w:rPr>
                <w:rFonts w:eastAsia="Calibri"/>
                <w:sz w:val="20"/>
                <w:lang w:val="fr-CA"/>
              </w:rPr>
              <w:t xml:space="preserve"> </w:t>
            </w:r>
            <w:r w:rsidR="00FC2A34" w:rsidRPr="00FC2A34">
              <w:rPr>
                <w:rFonts w:eastAsia="Calibri"/>
                <w:sz w:val="20"/>
                <w:lang w:val="fr-CA"/>
              </w:rPr>
              <w:t xml:space="preserve"> — </w:t>
            </w:r>
            <w:r w:rsidRPr="00B54051">
              <w:rPr>
                <w:rFonts w:eastAsia="Calibri"/>
                <w:sz w:val="20"/>
                <w:lang w:val="fr-CA"/>
              </w:rPr>
              <w:t>Destitution – Remplacement de la destitution par une suspension de dix jours, en arbitrage</w:t>
            </w:r>
            <w:r w:rsidR="00FC2A34" w:rsidRPr="00FC2A34">
              <w:rPr>
                <w:rFonts w:eastAsia="Calibri"/>
                <w:sz w:val="20"/>
                <w:lang w:val="fr-CA"/>
              </w:rPr>
              <w:t xml:space="preserve"> — </w:t>
            </w:r>
            <w:r w:rsidRPr="00B54051">
              <w:rPr>
                <w:rFonts w:eastAsia="Calibri"/>
                <w:sz w:val="20"/>
                <w:lang w:val="fr-CA"/>
              </w:rPr>
              <w:t>La Cour supérieure a-t-elle substitué ses propres conclusions à celles de l’arbitre au lieu de décider si celles-ci faisaient partie du spectre des décisions raisonnables?</w:t>
            </w:r>
            <w:r w:rsidR="00FC2A34" w:rsidRPr="00FC2A34">
              <w:rPr>
                <w:rFonts w:eastAsia="Calibri"/>
                <w:sz w:val="20"/>
                <w:lang w:val="fr-CA"/>
              </w:rPr>
              <w:t xml:space="preserve"> — </w:t>
            </w:r>
            <w:r w:rsidRPr="00B54051">
              <w:rPr>
                <w:rFonts w:eastAsia="Calibri"/>
                <w:sz w:val="20"/>
                <w:lang w:val="fr-CA"/>
              </w:rPr>
              <w:t xml:space="preserve">L’interprétation faite par la Cour d’appel des circonstances particulières pouvant éviter à un policier d’être destitué est-elle déraisonnablement restrictive au regard de </w:t>
            </w:r>
            <w:r w:rsidRPr="00B54051">
              <w:rPr>
                <w:rFonts w:eastAsia="Calibri"/>
                <w:i/>
                <w:sz w:val="20"/>
                <w:lang w:val="fr-CA"/>
              </w:rPr>
              <w:t>Ville de Lévis c. Fraternité des policiers de Lévis</w:t>
            </w:r>
            <w:r w:rsidRPr="00B54051">
              <w:rPr>
                <w:rFonts w:eastAsia="Calibri"/>
                <w:sz w:val="20"/>
                <w:lang w:val="fr-CA"/>
              </w:rPr>
              <w:t>, [2007] 1 R.C.S. 591?</w:t>
            </w:r>
            <w:r w:rsidR="00FC2A34" w:rsidRPr="00FC2A34">
              <w:rPr>
                <w:rFonts w:eastAsia="Calibri"/>
                <w:sz w:val="20"/>
                <w:lang w:val="fr-CA"/>
              </w:rPr>
              <w:t xml:space="preserve"> — </w:t>
            </w:r>
            <w:r w:rsidRPr="00B54051">
              <w:rPr>
                <w:rFonts w:eastAsia="Calibri"/>
                <w:sz w:val="20"/>
                <w:lang w:val="fr-CA"/>
              </w:rPr>
              <w:t>La Cour d’appel a-t-elle erré en tenant compte de plusieurs infractions commises alors que seule l’utilisation illégale de l’ordinateur fondait la destitution?</w:t>
            </w:r>
          </w:p>
          <w:p w:rsidR="00B061BA" w:rsidRPr="00B54051" w:rsidRDefault="00B061BA" w:rsidP="00073A03">
            <w:pPr>
              <w:jc w:val="both"/>
              <w:rPr>
                <w:rFonts w:eastAsia="Calibri"/>
                <w:sz w:val="20"/>
                <w:lang w:val="fr-FR"/>
              </w:rPr>
            </w:pPr>
          </w:p>
        </w:tc>
      </w:tr>
      <w:tr w:rsidR="00B061BA" w:rsidRPr="00C50886" w:rsidTr="00073A03">
        <w:tc>
          <w:tcPr>
            <w:tcW w:w="5000" w:type="pct"/>
            <w:gridSpan w:val="3"/>
          </w:tcPr>
          <w:p w:rsidR="00B061BA" w:rsidRPr="00B54051" w:rsidRDefault="00B061BA" w:rsidP="00073A03">
            <w:pPr>
              <w:jc w:val="both"/>
              <w:rPr>
                <w:rFonts w:eastAsia="Calibri"/>
                <w:sz w:val="20"/>
                <w:lang w:val="fr-CA"/>
              </w:rPr>
            </w:pPr>
            <w:r w:rsidRPr="00B54051">
              <w:rPr>
                <w:rFonts w:eastAsia="Calibri"/>
                <w:sz w:val="20"/>
                <w:lang w:val="fr-CA"/>
              </w:rPr>
              <w:t xml:space="preserve">Le service de police de Port-Cartier, qui emploie M. Jean-Marc Coulombe depuis vingt-cinq ans, vient de fusionner avec la Sûreté du Québec lorsque, en juillet 2002, ce policier est reconnu coupable d’actes criminels : voies de fait sur son ex-conjointe et utilisation frauduleuse répétée du système informatique du service de police, dans le but d’obtenir des renseignements sur elle et sa mère. En octobre 2005, l’employeur le destitue. En juillet 2007, un arbitre de griefs conclut à la présence de circonstances particulières liées aux suites du divorce de M. Coulombe. L’utilisation illégale du système informatique entraînant rarement une sanction sévère de la part des services de police, l’arbitre remplace la </w:t>
            </w:r>
            <w:r w:rsidRPr="00B54051">
              <w:rPr>
                <w:rFonts w:eastAsia="Calibri"/>
                <w:sz w:val="20"/>
                <w:lang w:val="fr-CA"/>
              </w:rPr>
              <w:lastRenderedPageBreak/>
              <w:t>destitution par une suspension de dix jours.</w:t>
            </w:r>
          </w:p>
          <w:p w:rsidR="00B061BA" w:rsidRPr="00B54051" w:rsidRDefault="00B061BA" w:rsidP="00073A03">
            <w:pPr>
              <w:jc w:val="both"/>
              <w:rPr>
                <w:rFonts w:eastAsia="Calibri"/>
                <w:sz w:val="20"/>
                <w:lang w:val="fr-CA"/>
              </w:rPr>
            </w:pPr>
          </w:p>
        </w:tc>
      </w:tr>
      <w:tr w:rsidR="00B061BA" w:rsidRPr="00C50886" w:rsidTr="00073A03">
        <w:tc>
          <w:tcPr>
            <w:tcW w:w="2427" w:type="pct"/>
          </w:tcPr>
          <w:p w:rsidR="00B061BA" w:rsidRPr="00B54051" w:rsidRDefault="00B061BA" w:rsidP="00073A03">
            <w:pPr>
              <w:jc w:val="both"/>
              <w:rPr>
                <w:rFonts w:eastAsia="Calibri"/>
                <w:sz w:val="20"/>
                <w:lang w:val="fr-CA"/>
              </w:rPr>
            </w:pPr>
            <w:r w:rsidRPr="00B54051">
              <w:rPr>
                <w:rFonts w:eastAsia="Calibri"/>
                <w:sz w:val="20"/>
                <w:lang w:val="fr-CA"/>
              </w:rPr>
              <w:lastRenderedPageBreak/>
              <w:t>Le 7 mai 2008</w:t>
            </w:r>
          </w:p>
          <w:p w:rsidR="00B061BA" w:rsidRPr="00B54051" w:rsidRDefault="00B061BA" w:rsidP="00073A03">
            <w:pPr>
              <w:jc w:val="both"/>
              <w:rPr>
                <w:rFonts w:eastAsia="Calibri"/>
                <w:sz w:val="20"/>
                <w:lang w:val="fr-CA"/>
              </w:rPr>
            </w:pPr>
            <w:r w:rsidRPr="00B54051">
              <w:rPr>
                <w:rFonts w:eastAsia="Calibri"/>
                <w:sz w:val="20"/>
                <w:lang w:val="fr-CA"/>
              </w:rPr>
              <w:t>Cour supérieure du Québec</w:t>
            </w:r>
          </w:p>
          <w:p w:rsidR="00B061BA" w:rsidRPr="00B54051" w:rsidRDefault="00B061BA" w:rsidP="00073A03">
            <w:pPr>
              <w:jc w:val="both"/>
              <w:rPr>
                <w:rFonts w:eastAsia="Calibri"/>
                <w:sz w:val="20"/>
                <w:lang w:val="fr-CA"/>
              </w:rPr>
            </w:pPr>
            <w:r w:rsidRPr="00B54051">
              <w:rPr>
                <w:rFonts w:eastAsia="Calibri"/>
                <w:sz w:val="20"/>
                <w:lang w:val="fr-CA"/>
              </w:rPr>
              <w:t>(La juge Rousseau)</w:t>
            </w:r>
          </w:p>
          <w:p w:rsidR="00B061BA" w:rsidRPr="00B54051" w:rsidRDefault="00B061BA" w:rsidP="00073A03">
            <w:pPr>
              <w:jc w:val="both"/>
              <w:rPr>
                <w:rFonts w:eastAsia="Calibri"/>
                <w:sz w:val="20"/>
                <w:lang w:val="fr-CA"/>
              </w:rPr>
            </w:pPr>
            <w:r w:rsidRPr="00B54051">
              <w:rPr>
                <w:rFonts w:eastAsia="Calibri"/>
                <w:sz w:val="20"/>
                <w:lang w:val="fr-CA"/>
              </w:rPr>
              <w:t>Référence neutre : 2008 QCCS 1771</w:t>
            </w:r>
          </w:p>
          <w:p w:rsidR="00B061BA" w:rsidRPr="00B54051" w:rsidRDefault="00B061BA" w:rsidP="00073A03">
            <w:pPr>
              <w:jc w:val="both"/>
              <w:rPr>
                <w:rFonts w:eastAsia="Calibri"/>
                <w:sz w:val="20"/>
                <w:lang w:val="fr-CA"/>
              </w:rPr>
            </w:pPr>
          </w:p>
        </w:tc>
        <w:tc>
          <w:tcPr>
            <w:tcW w:w="243" w:type="pct"/>
          </w:tcPr>
          <w:p w:rsidR="00B061BA" w:rsidRPr="00B54051" w:rsidRDefault="00B061BA" w:rsidP="00073A03">
            <w:pPr>
              <w:jc w:val="both"/>
              <w:rPr>
                <w:rFonts w:eastAsia="Calibri"/>
                <w:sz w:val="20"/>
                <w:lang w:val="fr-FR"/>
              </w:rPr>
            </w:pPr>
          </w:p>
        </w:tc>
        <w:tc>
          <w:tcPr>
            <w:tcW w:w="2330" w:type="pct"/>
          </w:tcPr>
          <w:p w:rsidR="00B061BA" w:rsidRPr="00B54051" w:rsidRDefault="00B061BA" w:rsidP="00073A03">
            <w:pPr>
              <w:jc w:val="both"/>
              <w:rPr>
                <w:rFonts w:eastAsia="Calibri"/>
                <w:sz w:val="20"/>
                <w:lang w:val="fr-CA"/>
              </w:rPr>
            </w:pPr>
            <w:r w:rsidRPr="00B54051">
              <w:rPr>
                <w:rFonts w:eastAsia="Calibri"/>
                <w:sz w:val="20"/>
                <w:lang w:val="fr-CA"/>
              </w:rPr>
              <w:t>Rétablissement de la destitution à l’issue d’une révision judiciaire.</w:t>
            </w:r>
          </w:p>
          <w:p w:rsidR="00B061BA" w:rsidRPr="00B54051" w:rsidRDefault="00B061BA" w:rsidP="00073A03">
            <w:pPr>
              <w:jc w:val="both"/>
              <w:rPr>
                <w:rFonts w:eastAsia="Calibri"/>
                <w:sz w:val="20"/>
                <w:lang w:val="fr-CA"/>
              </w:rPr>
            </w:pPr>
          </w:p>
        </w:tc>
      </w:tr>
      <w:tr w:rsidR="00B061BA" w:rsidRPr="00B54051" w:rsidTr="00073A03">
        <w:tc>
          <w:tcPr>
            <w:tcW w:w="2427" w:type="pct"/>
          </w:tcPr>
          <w:p w:rsidR="00B061BA" w:rsidRPr="00B54051" w:rsidRDefault="00B061BA" w:rsidP="00073A03">
            <w:pPr>
              <w:jc w:val="both"/>
              <w:rPr>
                <w:rFonts w:eastAsia="Calibri"/>
                <w:sz w:val="20"/>
                <w:lang w:val="fr-CA"/>
              </w:rPr>
            </w:pPr>
            <w:r w:rsidRPr="00B54051">
              <w:rPr>
                <w:rFonts w:eastAsia="Calibri"/>
                <w:sz w:val="20"/>
                <w:lang w:val="fr-CA"/>
              </w:rPr>
              <w:t>Le 12 novembre 2010</w:t>
            </w:r>
          </w:p>
          <w:p w:rsidR="00B061BA" w:rsidRPr="00B54051" w:rsidRDefault="00B061BA" w:rsidP="00073A03">
            <w:pPr>
              <w:jc w:val="both"/>
              <w:rPr>
                <w:rFonts w:eastAsia="Calibri"/>
                <w:sz w:val="20"/>
                <w:lang w:val="fr-CA"/>
              </w:rPr>
            </w:pPr>
            <w:r w:rsidRPr="00B54051">
              <w:rPr>
                <w:rFonts w:eastAsia="Calibri"/>
                <w:sz w:val="20"/>
                <w:lang w:val="fr-CA"/>
              </w:rPr>
              <w:t>Cour d’appel du Québec (Montréal)</w:t>
            </w:r>
          </w:p>
          <w:p w:rsidR="00B061BA" w:rsidRPr="00B54051" w:rsidRDefault="00B061BA" w:rsidP="00073A03">
            <w:pPr>
              <w:jc w:val="both"/>
              <w:rPr>
                <w:rFonts w:eastAsia="Calibri"/>
                <w:sz w:val="20"/>
                <w:lang w:val="fr-CA"/>
              </w:rPr>
            </w:pPr>
            <w:r w:rsidRPr="00B54051">
              <w:rPr>
                <w:rFonts w:eastAsia="Calibri"/>
                <w:sz w:val="20"/>
                <w:lang w:val="fr-CA"/>
              </w:rPr>
              <w:t>(Les juges Beauregard, dissident, Hilton et Bich)</w:t>
            </w:r>
          </w:p>
          <w:p w:rsidR="00B061BA" w:rsidRPr="00B54051" w:rsidRDefault="00B061BA" w:rsidP="00073A03">
            <w:pPr>
              <w:jc w:val="both"/>
              <w:rPr>
                <w:rFonts w:eastAsia="Calibri"/>
                <w:sz w:val="20"/>
                <w:lang w:val="fr-CA"/>
              </w:rPr>
            </w:pPr>
            <w:r w:rsidRPr="00B54051">
              <w:rPr>
                <w:rFonts w:eastAsia="Calibri"/>
                <w:sz w:val="20"/>
                <w:lang w:val="fr-CA"/>
              </w:rPr>
              <w:t>Référence neutre : 2010 QCCA 2053</w:t>
            </w:r>
          </w:p>
          <w:p w:rsidR="00B061BA" w:rsidRPr="00B54051" w:rsidRDefault="00B061BA" w:rsidP="00073A03">
            <w:pPr>
              <w:jc w:val="both"/>
              <w:rPr>
                <w:rFonts w:eastAsia="Calibri"/>
                <w:sz w:val="20"/>
              </w:rPr>
            </w:pPr>
          </w:p>
        </w:tc>
        <w:tc>
          <w:tcPr>
            <w:tcW w:w="243" w:type="pct"/>
          </w:tcPr>
          <w:p w:rsidR="00B061BA" w:rsidRPr="00B54051" w:rsidRDefault="00B061BA" w:rsidP="00073A03">
            <w:pPr>
              <w:jc w:val="both"/>
              <w:rPr>
                <w:rFonts w:eastAsia="Calibri"/>
                <w:sz w:val="20"/>
              </w:rPr>
            </w:pPr>
          </w:p>
        </w:tc>
        <w:tc>
          <w:tcPr>
            <w:tcW w:w="2330" w:type="pct"/>
          </w:tcPr>
          <w:p w:rsidR="00B061BA" w:rsidRPr="00B54051" w:rsidRDefault="00B061BA" w:rsidP="00073A03">
            <w:pPr>
              <w:jc w:val="both"/>
              <w:rPr>
                <w:rFonts w:eastAsia="Calibri"/>
                <w:sz w:val="20"/>
                <w:lang w:val="fr-CA"/>
              </w:rPr>
            </w:pPr>
            <w:r w:rsidRPr="00B54051">
              <w:rPr>
                <w:rFonts w:eastAsia="Calibri"/>
                <w:sz w:val="20"/>
                <w:lang w:val="fr-CA"/>
              </w:rPr>
              <w:t>Rejet de l’appel.</w:t>
            </w:r>
          </w:p>
          <w:p w:rsidR="00B061BA" w:rsidRPr="00B54051" w:rsidRDefault="00B061BA" w:rsidP="00073A03">
            <w:pPr>
              <w:jc w:val="both"/>
              <w:rPr>
                <w:rFonts w:eastAsia="Calibri"/>
                <w:sz w:val="20"/>
                <w:lang w:val="fr-CA"/>
              </w:rPr>
            </w:pPr>
          </w:p>
        </w:tc>
      </w:tr>
      <w:tr w:rsidR="00B061BA" w:rsidRPr="00C50886" w:rsidTr="00B061BA">
        <w:trPr>
          <w:cantSplit/>
        </w:trPr>
        <w:tc>
          <w:tcPr>
            <w:tcW w:w="2427" w:type="pct"/>
          </w:tcPr>
          <w:p w:rsidR="00B061BA" w:rsidRPr="00B54051" w:rsidRDefault="00B061BA" w:rsidP="00073A03">
            <w:pPr>
              <w:jc w:val="both"/>
              <w:rPr>
                <w:rFonts w:eastAsia="Calibri"/>
                <w:sz w:val="20"/>
                <w:lang w:val="fr-CA"/>
              </w:rPr>
            </w:pPr>
            <w:r w:rsidRPr="00B54051">
              <w:rPr>
                <w:rFonts w:eastAsia="Calibri"/>
                <w:sz w:val="20"/>
                <w:lang w:val="fr-CA"/>
              </w:rPr>
              <w:t>Le 6 janvier 2011</w:t>
            </w:r>
          </w:p>
          <w:p w:rsidR="00B061BA" w:rsidRPr="00B54051" w:rsidRDefault="00B061BA" w:rsidP="00073A03">
            <w:pPr>
              <w:jc w:val="both"/>
              <w:rPr>
                <w:rFonts w:eastAsia="Calibri"/>
                <w:sz w:val="20"/>
                <w:lang w:val="fr-FR"/>
              </w:rPr>
            </w:pPr>
            <w:r w:rsidRPr="00B54051">
              <w:rPr>
                <w:rFonts w:eastAsia="Calibri"/>
                <w:sz w:val="20"/>
                <w:lang w:val="fr-CA"/>
              </w:rPr>
              <w:t>Cour suprême du Canada</w:t>
            </w:r>
          </w:p>
        </w:tc>
        <w:tc>
          <w:tcPr>
            <w:tcW w:w="243" w:type="pct"/>
          </w:tcPr>
          <w:p w:rsidR="00B061BA" w:rsidRPr="00B54051" w:rsidRDefault="00B061BA" w:rsidP="00073A03">
            <w:pPr>
              <w:jc w:val="both"/>
              <w:rPr>
                <w:rFonts w:eastAsia="Calibri"/>
                <w:sz w:val="20"/>
                <w:lang w:val="fr-FR"/>
              </w:rPr>
            </w:pPr>
          </w:p>
        </w:tc>
        <w:tc>
          <w:tcPr>
            <w:tcW w:w="2330" w:type="pct"/>
          </w:tcPr>
          <w:p w:rsidR="00B061BA" w:rsidRPr="00B54051" w:rsidRDefault="00B061BA" w:rsidP="00073A03">
            <w:pPr>
              <w:jc w:val="both"/>
              <w:rPr>
                <w:rFonts w:eastAsia="Calibri"/>
                <w:sz w:val="20"/>
                <w:lang w:val="fr-CA"/>
              </w:rPr>
            </w:pPr>
            <w:r w:rsidRPr="00B54051">
              <w:rPr>
                <w:rFonts w:eastAsia="Calibri"/>
                <w:sz w:val="20"/>
                <w:lang w:val="fr-CA"/>
              </w:rPr>
              <w:t>Dépôt de la demande d'autorisation d'appel.</w:t>
            </w:r>
          </w:p>
          <w:p w:rsidR="00B061BA" w:rsidRPr="00B54051" w:rsidRDefault="00B061BA" w:rsidP="00073A03">
            <w:pPr>
              <w:jc w:val="both"/>
              <w:rPr>
                <w:rFonts w:eastAsia="Calibri"/>
                <w:sz w:val="20"/>
                <w:lang w:val="fr-CA"/>
              </w:rPr>
            </w:pPr>
          </w:p>
        </w:tc>
      </w:tr>
    </w:tbl>
    <w:p w:rsidR="00411CD6" w:rsidRDefault="00411CD6" w:rsidP="00411CD6">
      <w:pPr>
        <w:rPr>
          <w:sz w:val="20"/>
          <w:szCs w:val="20"/>
          <w:lang w:val="fr-CA"/>
        </w:rPr>
      </w:pPr>
    </w:p>
    <w:p w:rsidR="00411CD6" w:rsidRDefault="008C2B81" w:rsidP="00411CD6">
      <w:pPr>
        <w:rPr>
          <w:sz w:val="20"/>
          <w:szCs w:val="20"/>
          <w:lang w:val="fr-CA"/>
        </w:rPr>
      </w:pPr>
      <w:r w:rsidRPr="008C2B81">
        <w:rPr>
          <w:sz w:val="20"/>
          <w:szCs w:val="20"/>
          <w:lang w:val="fr-CA"/>
        </w:rPr>
        <w:pict>
          <v:rect id="_x0000_i1044" style="width:2in;height:1pt" o:hrpct="0" o:hralign="center" o:hrstd="t" o:hrnoshade="t" o:hr="t" fillcolor="black [3213]" stroked="f"/>
        </w:pict>
      </w:r>
    </w:p>
    <w:p w:rsidR="00411CD6" w:rsidRPr="00453064" w:rsidRDefault="00411CD6" w:rsidP="00411C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92E55" w:rsidRPr="00C50886" w:rsidTr="000367EB">
        <w:trPr>
          <w:cantSplit/>
        </w:trPr>
        <w:tc>
          <w:tcPr>
            <w:tcW w:w="1458" w:type="dxa"/>
          </w:tcPr>
          <w:p w:rsidR="00192E55" w:rsidRPr="00E85700" w:rsidRDefault="00192E55" w:rsidP="000367EB">
            <w:pPr>
              <w:rPr>
                <w:rFonts w:cs="Times New Roman"/>
                <w:sz w:val="20"/>
                <w:szCs w:val="20"/>
              </w:rPr>
            </w:pPr>
            <w:r w:rsidRPr="00E85700">
              <w:rPr>
                <w:rStyle w:val="SCCFileNumberChar"/>
                <w:rFonts w:cs="Times New Roman"/>
                <w:sz w:val="20"/>
                <w:szCs w:val="20"/>
              </w:rPr>
              <w:t>34048</w:t>
            </w:r>
          </w:p>
          <w:p w:rsidR="00192E55" w:rsidRPr="00E85700" w:rsidRDefault="00192E55" w:rsidP="000367EB">
            <w:pPr>
              <w:rPr>
                <w:rFonts w:cs="Times New Roman"/>
                <w:b/>
                <w:sz w:val="20"/>
                <w:szCs w:val="20"/>
                <w:lang w:val="fr-CA"/>
              </w:rPr>
            </w:pPr>
          </w:p>
        </w:tc>
        <w:tc>
          <w:tcPr>
            <w:tcW w:w="8118" w:type="dxa"/>
          </w:tcPr>
          <w:p w:rsidR="00192E55" w:rsidRPr="00E85700" w:rsidRDefault="00192E55" w:rsidP="000367EB">
            <w:pPr>
              <w:rPr>
                <w:rFonts w:cs="Times New Roman"/>
                <w:sz w:val="20"/>
                <w:szCs w:val="20"/>
                <w:lang w:val="fr-CA"/>
              </w:rPr>
            </w:pPr>
            <w:r w:rsidRPr="00E85700">
              <w:rPr>
                <w:rStyle w:val="SCCLsocChar"/>
                <w:rFonts w:cs="Times New Roman"/>
                <w:sz w:val="20"/>
                <w:szCs w:val="20"/>
              </w:rPr>
              <w:t>Abdourahmane Diallo c. Société de l'assurance automobile du Québec</w:t>
            </w:r>
            <w:r w:rsidRPr="00E85700">
              <w:rPr>
                <w:rFonts w:cs="Times New Roman"/>
                <w:sz w:val="20"/>
                <w:szCs w:val="20"/>
                <w:lang w:val="fr-CA"/>
              </w:rPr>
              <w:t xml:space="preserve"> (Qc) (Civile) (Autorisation)</w:t>
            </w:r>
          </w:p>
          <w:p w:rsidR="00192E55" w:rsidRPr="00E85700" w:rsidRDefault="00192E55" w:rsidP="000367EB">
            <w:pPr>
              <w:rPr>
                <w:rFonts w:cs="Times New Roman"/>
                <w:sz w:val="20"/>
                <w:szCs w:val="20"/>
                <w:lang w:val="fr-CA"/>
              </w:rPr>
            </w:pPr>
          </w:p>
        </w:tc>
      </w:tr>
      <w:tr w:rsidR="00192E55" w:rsidRPr="00C50886" w:rsidTr="000367EB">
        <w:trPr>
          <w:cantSplit/>
        </w:trPr>
        <w:tc>
          <w:tcPr>
            <w:tcW w:w="1458" w:type="dxa"/>
          </w:tcPr>
          <w:p w:rsidR="00192E55" w:rsidRPr="00E85700" w:rsidRDefault="00192E55" w:rsidP="000367EB">
            <w:pPr>
              <w:rPr>
                <w:rFonts w:cs="Times New Roman"/>
                <w:sz w:val="20"/>
                <w:szCs w:val="20"/>
              </w:rPr>
            </w:pPr>
            <w:r w:rsidRPr="00E85700">
              <w:rPr>
                <w:rFonts w:cs="Times New Roman"/>
                <w:sz w:val="20"/>
                <w:szCs w:val="20"/>
              </w:rPr>
              <w:t>Coram :</w:t>
            </w:r>
          </w:p>
        </w:tc>
        <w:tc>
          <w:tcPr>
            <w:tcW w:w="8118" w:type="dxa"/>
          </w:tcPr>
          <w:p w:rsidR="00192E55" w:rsidRPr="00E85700" w:rsidRDefault="00192E55" w:rsidP="000367EB">
            <w:pPr>
              <w:rPr>
                <w:rFonts w:cs="Times New Roman"/>
                <w:sz w:val="20"/>
                <w:szCs w:val="20"/>
                <w:lang w:val="fr-CA"/>
              </w:rPr>
            </w:pPr>
            <w:r w:rsidRPr="00E85700">
              <w:rPr>
                <w:rStyle w:val="SCCCoramChar"/>
                <w:rFonts w:cs="Times New Roman"/>
                <w:sz w:val="20"/>
                <w:szCs w:val="20"/>
              </w:rPr>
              <w:t>Les juges LeBel, Fish et Cromwell</w:t>
            </w:r>
          </w:p>
          <w:p w:rsidR="00192E55" w:rsidRPr="00E85700" w:rsidRDefault="00192E55" w:rsidP="000367EB">
            <w:pPr>
              <w:rPr>
                <w:rFonts w:cs="Times New Roman"/>
                <w:sz w:val="20"/>
                <w:szCs w:val="20"/>
                <w:u w:val="single"/>
                <w:lang w:val="fr-CA"/>
              </w:rPr>
            </w:pPr>
          </w:p>
        </w:tc>
      </w:tr>
      <w:tr w:rsidR="00192E55" w:rsidRPr="00E85700" w:rsidTr="000367EB">
        <w:trPr>
          <w:cantSplit/>
        </w:trPr>
        <w:tc>
          <w:tcPr>
            <w:tcW w:w="9576" w:type="dxa"/>
            <w:gridSpan w:val="2"/>
          </w:tcPr>
          <w:p w:rsidR="00192E55" w:rsidRPr="00E85700" w:rsidRDefault="00192E55" w:rsidP="000367EB">
            <w:pPr>
              <w:pStyle w:val="SCCShortJudgment"/>
              <w:rPr>
                <w:rFonts w:cs="Times New Roman"/>
                <w:szCs w:val="20"/>
                <w:lang w:val="fr-CA"/>
              </w:rPr>
            </w:pPr>
            <w:r w:rsidRPr="00E85700">
              <w:rPr>
                <w:rFonts w:cs="Times New Roman"/>
                <w:szCs w:val="20"/>
                <w:lang w:val="fr-CA"/>
              </w:rPr>
              <w:t>La demande d’autorisation d’appel de l’arrêt de la Cour d’appel du Québec (Montréal), numéro 500-09-020959-102, daté du 15 novembre 2010, est rejetée sans dépens.</w:t>
            </w:r>
          </w:p>
          <w:p w:rsidR="00192E55" w:rsidRPr="00E85700" w:rsidRDefault="00192E55" w:rsidP="000367EB">
            <w:pPr>
              <w:pStyle w:val="SCCShortJudgment"/>
              <w:ind w:firstLine="0"/>
              <w:rPr>
                <w:rFonts w:cs="Times New Roman"/>
                <w:szCs w:val="20"/>
                <w:lang w:val="fr-CA"/>
              </w:rPr>
            </w:pPr>
          </w:p>
          <w:p w:rsidR="00192E55" w:rsidRPr="00E85700" w:rsidRDefault="00192E55" w:rsidP="000367EB">
            <w:pPr>
              <w:pStyle w:val="SCCShortJudgment"/>
              <w:rPr>
                <w:rFonts w:cs="Times New Roman"/>
                <w:szCs w:val="20"/>
              </w:rPr>
            </w:pPr>
            <w:r w:rsidRPr="00E85700">
              <w:rPr>
                <w:rFonts w:cs="Times New Roman"/>
                <w:szCs w:val="20"/>
              </w:rPr>
              <w:t>The application for leave to appeal from the judgment of the Court of Appeal of Quebec (Montréal), Number 500-09-020959-102, dated November 15, 2010, is dismissed without costs.</w:t>
            </w:r>
          </w:p>
        </w:tc>
      </w:tr>
    </w:tbl>
    <w:p w:rsidR="00192E55" w:rsidRPr="00192E55" w:rsidRDefault="00192E55" w:rsidP="008D292F">
      <w:pPr>
        <w:rPr>
          <w:sz w:val="20"/>
          <w:szCs w:val="20"/>
        </w:rPr>
      </w:pPr>
    </w:p>
    <w:p w:rsidR="00411CD6" w:rsidRPr="00453064" w:rsidRDefault="00411CD6" w:rsidP="00411CD6">
      <w:pPr>
        <w:rPr>
          <w:sz w:val="20"/>
          <w:szCs w:val="20"/>
          <w:lang w:val="fr-CA"/>
        </w:rPr>
      </w:pPr>
      <w:r>
        <w:rPr>
          <w:sz w:val="20"/>
          <w:szCs w:val="20"/>
          <w:u w:val="single"/>
          <w:lang w:val="fr-CA"/>
        </w:rPr>
        <w:t>CASE SUMMARY</w:t>
      </w:r>
    </w:p>
    <w:p w:rsidR="00411CD6" w:rsidRDefault="00411CD6"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061BA" w:rsidRPr="00B54051" w:rsidTr="00073A03">
        <w:tc>
          <w:tcPr>
            <w:tcW w:w="5000" w:type="pct"/>
            <w:gridSpan w:val="3"/>
          </w:tcPr>
          <w:p w:rsidR="00B061BA" w:rsidRPr="00B54051" w:rsidRDefault="00B061BA" w:rsidP="00073A03">
            <w:pPr>
              <w:jc w:val="both"/>
              <w:rPr>
                <w:rFonts w:eastAsia="Calibri"/>
                <w:sz w:val="20"/>
              </w:rPr>
            </w:pPr>
            <w:r w:rsidRPr="00B54051">
              <w:rPr>
                <w:rFonts w:eastAsia="Calibri"/>
                <w:sz w:val="20"/>
              </w:rPr>
              <w:t>Civil procedure — Time — Administrative tribunal denying claim — Application for judicial review filed after three and half years without grounds — Application dismissed — Appeal inscribed without leave — Appeal dismissed — Whether courts had to consider applicant’s claim on merits.</w:t>
            </w:r>
          </w:p>
          <w:p w:rsidR="00B061BA" w:rsidRPr="00B54051" w:rsidRDefault="00B061BA" w:rsidP="00073A03">
            <w:pPr>
              <w:jc w:val="both"/>
              <w:rPr>
                <w:rFonts w:eastAsia="Calibri"/>
                <w:sz w:val="20"/>
              </w:rPr>
            </w:pPr>
          </w:p>
        </w:tc>
      </w:tr>
      <w:tr w:rsidR="00B061BA" w:rsidRPr="00B54051" w:rsidTr="00073A03">
        <w:tc>
          <w:tcPr>
            <w:tcW w:w="5000" w:type="pct"/>
            <w:gridSpan w:val="3"/>
          </w:tcPr>
          <w:p w:rsidR="00B061BA" w:rsidRPr="00B54051" w:rsidRDefault="00B061BA" w:rsidP="00073A03">
            <w:pPr>
              <w:jc w:val="both"/>
              <w:rPr>
                <w:rFonts w:eastAsia="Calibri"/>
                <w:sz w:val="20"/>
              </w:rPr>
            </w:pPr>
            <w:r w:rsidRPr="00B54051">
              <w:rPr>
                <w:rFonts w:eastAsia="Calibri"/>
                <w:sz w:val="20"/>
              </w:rPr>
              <w:t>The applicant was involved in an automobile accident in Quebec, but the Société de l’assurance automobile du Québec refused in October 2003 to compensate him on the ground that his primary address and his day</w:t>
            </w:r>
            <w:r w:rsidRPr="00B54051">
              <w:rPr>
                <w:rFonts w:eastAsia="Calibri"/>
                <w:sz w:val="20"/>
              </w:rPr>
              <w:noBreakHyphen/>
              <w:t>to</w:t>
            </w:r>
            <w:r w:rsidRPr="00B54051">
              <w:rPr>
                <w:rFonts w:eastAsia="Calibri"/>
                <w:sz w:val="20"/>
              </w:rPr>
              <w:noBreakHyphen/>
              <w:t>day activities made him a resident of Ontario.  The Administrative Tribunal of Québec refused twice to vary that finding.</w:t>
            </w:r>
          </w:p>
          <w:p w:rsidR="00B061BA" w:rsidRPr="00B54051" w:rsidRDefault="00B061BA" w:rsidP="00073A03">
            <w:pPr>
              <w:jc w:val="both"/>
              <w:rPr>
                <w:rFonts w:eastAsia="Calibri"/>
                <w:sz w:val="20"/>
              </w:rPr>
            </w:pPr>
          </w:p>
        </w:tc>
      </w:tr>
      <w:tr w:rsidR="00B061BA" w:rsidRPr="00B54051" w:rsidTr="00073A03">
        <w:tc>
          <w:tcPr>
            <w:tcW w:w="2427" w:type="pct"/>
          </w:tcPr>
          <w:p w:rsidR="00B061BA" w:rsidRPr="00B54051" w:rsidRDefault="00B061BA" w:rsidP="00073A03">
            <w:pPr>
              <w:jc w:val="both"/>
              <w:rPr>
                <w:rFonts w:eastAsia="Calibri"/>
                <w:sz w:val="20"/>
              </w:rPr>
            </w:pPr>
            <w:r w:rsidRPr="00B54051">
              <w:rPr>
                <w:rFonts w:eastAsia="Calibri"/>
                <w:sz w:val="20"/>
              </w:rPr>
              <w:t>July 23, 2010</w:t>
            </w:r>
          </w:p>
          <w:p w:rsidR="00B061BA" w:rsidRPr="00B54051" w:rsidRDefault="00B061BA" w:rsidP="00073A03">
            <w:pPr>
              <w:jc w:val="both"/>
              <w:rPr>
                <w:rFonts w:eastAsia="Calibri"/>
                <w:sz w:val="20"/>
              </w:rPr>
            </w:pPr>
            <w:r w:rsidRPr="00B54051">
              <w:rPr>
                <w:rFonts w:eastAsia="Calibri"/>
                <w:sz w:val="20"/>
              </w:rPr>
              <w:t>Quebec Superior Court</w:t>
            </w:r>
          </w:p>
          <w:p w:rsidR="00B061BA" w:rsidRPr="00B54051" w:rsidRDefault="00B061BA" w:rsidP="00073A03">
            <w:pPr>
              <w:jc w:val="both"/>
              <w:rPr>
                <w:rFonts w:eastAsia="Calibri"/>
                <w:sz w:val="20"/>
              </w:rPr>
            </w:pPr>
            <w:r w:rsidRPr="00B54051">
              <w:rPr>
                <w:rFonts w:eastAsia="Calibri"/>
                <w:sz w:val="20"/>
              </w:rPr>
              <w:t>(Cournoyer J.)</w:t>
            </w:r>
          </w:p>
          <w:p w:rsidR="00B061BA" w:rsidRPr="00B54051" w:rsidRDefault="00B061BA" w:rsidP="00073A03">
            <w:pPr>
              <w:jc w:val="both"/>
              <w:rPr>
                <w:rFonts w:eastAsia="Calibri"/>
                <w:sz w:val="20"/>
              </w:rPr>
            </w:pPr>
          </w:p>
        </w:tc>
        <w:tc>
          <w:tcPr>
            <w:tcW w:w="243" w:type="pct"/>
          </w:tcPr>
          <w:p w:rsidR="00B061BA" w:rsidRPr="00B54051" w:rsidRDefault="00B061BA" w:rsidP="00073A03">
            <w:pPr>
              <w:jc w:val="both"/>
              <w:rPr>
                <w:rFonts w:eastAsia="Calibri"/>
                <w:sz w:val="20"/>
              </w:rPr>
            </w:pPr>
          </w:p>
        </w:tc>
        <w:tc>
          <w:tcPr>
            <w:tcW w:w="2330" w:type="pct"/>
          </w:tcPr>
          <w:p w:rsidR="00B061BA" w:rsidRPr="00B54051" w:rsidRDefault="00B061BA" w:rsidP="00073A03">
            <w:pPr>
              <w:jc w:val="both"/>
              <w:rPr>
                <w:rFonts w:eastAsia="Calibri"/>
                <w:sz w:val="20"/>
              </w:rPr>
            </w:pPr>
            <w:r w:rsidRPr="00B54051">
              <w:rPr>
                <w:rFonts w:eastAsia="Calibri"/>
                <w:sz w:val="20"/>
              </w:rPr>
              <w:t>Application for judicial review dismissed</w:t>
            </w:r>
          </w:p>
          <w:p w:rsidR="00B061BA" w:rsidRPr="00B54051" w:rsidRDefault="00B061BA" w:rsidP="00073A03">
            <w:pPr>
              <w:jc w:val="both"/>
              <w:rPr>
                <w:rFonts w:eastAsia="Calibri"/>
                <w:sz w:val="20"/>
              </w:rPr>
            </w:pPr>
          </w:p>
        </w:tc>
      </w:tr>
      <w:tr w:rsidR="00B061BA" w:rsidRPr="00B54051" w:rsidTr="00073A03">
        <w:tc>
          <w:tcPr>
            <w:tcW w:w="2427" w:type="pct"/>
          </w:tcPr>
          <w:p w:rsidR="00B061BA" w:rsidRPr="00B54051" w:rsidRDefault="00B061BA" w:rsidP="00073A03">
            <w:pPr>
              <w:jc w:val="both"/>
              <w:rPr>
                <w:rFonts w:eastAsia="Calibri"/>
                <w:sz w:val="20"/>
              </w:rPr>
            </w:pPr>
            <w:r w:rsidRPr="00B54051">
              <w:rPr>
                <w:rFonts w:eastAsia="Calibri"/>
                <w:sz w:val="20"/>
              </w:rPr>
              <w:t>November 15, 2010</w:t>
            </w:r>
          </w:p>
          <w:p w:rsidR="00B061BA" w:rsidRPr="00B54051" w:rsidRDefault="00B061BA" w:rsidP="00073A03">
            <w:pPr>
              <w:jc w:val="both"/>
              <w:rPr>
                <w:rFonts w:eastAsia="Calibri"/>
                <w:sz w:val="20"/>
              </w:rPr>
            </w:pPr>
            <w:r w:rsidRPr="00B54051">
              <w:rPr>
                <w:rFonts w:eastAsia="Calibri"/>
                <w:sz w:val="20"/>
              </w:rPr>
              <w:t>Quebec Court of Appeal (Montréal)</w:t>
            </w:r>
          </w:p>
          <w:p w:rsidR="00B061BA" w:rsidRPr="00B54051" w:rsidRDefault="00B061BA" w:rsidP="00073A03">
            <w:pPr>
              <w:jc w:val="both"/>
              <w:rPr>
                <w:rFonts w:eastAsia="Calibri"/>
                <w:sz w:val="20"/>
              </w:rPr>
            </w:pPr>
            <w:r w:rsidRPr="00B54051">
              <w:rPr>
                <w:rFonts w:eastAsia="Calibri"/>
                <w:sz w:val="20"/>
              </w:rPr>
              <w:t>(Forget, Rochon and Dufresne JJ.A.)</w:t>
            </w:r>
          </w:p>
          <w:p w:rsidR="00B061BA" w:rsidRPr="00B54051" w:rsidRDefault="00B061BA" w:rsidP="00073A03">
            <w:pPr>
              <w:jc w:val="both"/>
              <w:rPr>
                <w:rFonts w:eastAsia="Calibri"/>
                <w:sz w:val="20"/>
              </w:rPr>
            </w:pPr>
          </w:p>
        </w:tc>
        <w:tc>
          <w:tcPr>
            <w:tcW w:w="243" w:type="pct"/>
          </w:tcPr>
          <w:p w:rsidR="00B061BA" w:rsidRPr="00B54051" w:rsidRDefault="00B061BA" w:rsidP="00073A03">
            <w:pPr>
              <w:jc w:val="both"/>
              <w:rPr>
                <w:rFonts w:eastAsia="Calibri"/>
                <w:sz w:val="20"/>
              </w:rPr>
            </w:pPr>
          </w:p>
        </w:tc>
        <w:tc>
          <w:tcPr>
            <w:tcW w:w="2330" w:type="pct"/>
          </w:tcPr>
          <w:p w:rsidR="00B061BA" w:rsidRPr="00B54051" w:rsidRDefault="00B061BA" w:rsidP="00073A03">
            <w:pPr>
              <w:jc w:val="both"/>
              <w:rPr>
                <w:rFonts w:eastAsia="Calibri"/>
                <w:sz w:val="20"/>
              </w:rPr>
            </w:pPr>
            <w:r w:rsidRPr="00B54051">
              <w:rPr>
                <w:rFonts w:eastAsia="Calibri"/>
                <w:sz w:val="20"/>
              </w:rPr>
              <w:t>Appeal dismissed</w:t>
            </w:r>
          </w:p>
        </w:tc>
      </w:tr>
    </w:tbl>
    <w:p w:rsidR="00456777" w:rsidRDefault="00456777">
      <w:r>
        <w:br w:type="page"/>
      </w:r>
    </w:p>
    <w:tbl>
      <w:tblPr>
        <w:tblW w:w="4952" w:type="pct"/>
        <w:tblLayout w:type="fixed"/>
        <w:tblCellMar>
          <w:left w:w="0" w:type="dxa"/>
          <w:bottom w:w="99" w:type="dxa"/>
          <w:right w:w="0" w:type="dxa"/>
        </w:tblCellMar>
        <w:tblLook w:val="04A0"/>
      </w:tblPr>
      <w:tblGrid>
        <w:gridCol w:w="4624"/>
        <w:gridCol w:w="463"/>
        <w:gridCol w:w="4440"/>
      </w:tblGrid>
      <w:tr w:rsidR="00B061BA" w:rsidRPr="00B54051" w:rsidTr="00456777">
        <w:trPr>
          <w:cantSplit/>
        </w:trPr>
        <w:tc>
          <w:tcPr>
            <w:tcW w:w="2427" w:type="pct"/>
          </w:tcPr>
          <w:p w:rsidR="00B061BA" w:rsidRPr="00B54051" w:rsidRDefault="00B061BA" w:rsidP="00073A03">
            <w:pPr>
              <w:jc w:val="both"/>
              <w:rPr>
                <w:rFonts w:eastAsia="Calibri"/>
                <w:sz w:val="20"/>
              </w:rPr>
            </w:pPr>
            <w:r w:rsidRPr="00B54051">
              <w:rPr>
                <w:rFonts w:eastAsia="Calibri"/>
                <w:sz w:val="20"/>
              </w:rPr>
              <w:lastRenderedPageBreak/>
              <w:t>January 4, 2011</w:t>
            </w:r>
          </w:p>
          <w:p w:rsidR="00B061BA" w:rsidRPr="00B54051" w:rsidRDefault="00B061BA" w:rsidP="00073A03">
            <w:pPr>
              <w:jc w:val="both"/>
              <w:rPr>
                <w:rFonts w:eastAsia="Calibri"/>
                <w:sz w:val="20"/>
              </w:rPr>
            </w:pPr>
            <w:r w:rsidRPr="00B54051">
              <w:rPr>
                <w:rFonts w:eastAsia="Calibri"/>
                <w:sz w:val="20"/>
              </w:rPr>
              <w:t>Supreme Court of Canada</w:t>
            </w:r>
          </w:p>
        </w:tc>
        <w:tc>
          <w:tcPr>
            <w:tcW w:w="243" w:type="pct"/>
          </w:tcPr>
          <w:p w:rsidR="00B061BA" w:rsidRPr="00B54051" w:rsidRDefault="00B061BA" w:rsidP="00073A03">
            <w:pPr>
              <w:jc w:val="both"/>
              <w:rPr>
                <w:rFonts w:eastAsia="Calibri"/>
                <w:sz w:val="20"/>
              </w:rPr>
            </w:pPr>
          </w:p>
        </w:tc>
        <w:tc>
          <w:tcPr>
            <w:tcW w:w="2330" w:type="pct"/>
          </w:tcPr>
          <w:p w:rsidR="00B061BA" w:rsidRPr="00B54051" w:rsidRDefault="00B061BA" w:rsidP="00073A03">
            <w:pPr>
              <w:jc w:val="both"/>
              <w:rPr>
                <w:rFonts w:eastAsia="Calibri"/>
                <w:sz w:val="20"/>
              </w:rPr>
            </w:pPr>
            <w:r w:rsidRPr="00B54051">
              <w:rPr>
                <w:rFonts w:eastAsia="Calibri"/>
                <w:sz w:val="20"/>
              </w:rPr>
              <w:t>Application for leave to appeal filed</w:t>
            </w:r>
          </w:p>
          <w:p w:rsidR="00B061BA" w:rsidRPr="00B54051" w:rsidRDefault="00B061BA" w:rsidP="00073A03">
            <w:pPr>
              <w:jc w:val="both"/>
              <w:rPr>
                <w:rFonts w:eastAsia="Calibri"/>
                <w:sz w:val="20"/>
              </w:rPr>
            </w:pPr>
          </w:p>
        </w:tc>
      </w:tr>
    </w:tbl>
    <w:p w:rsidR="00411CD6" w:rsidRPr="00B061BA" w:rsidRDefault="00411CD6" w:rsidP="00411CD6">
      <w:pPr>
        <w:rPr>
          <w:sz w:val="20"/>
          <w:szCs w:val="20"/>
        </w:rPr>
      </w:pPr>
    </w:p>
    <w:p w:rsidR="00411CD6" w:rsidRDefault="008C2B81" w:rsidP="00411CD6">
      <w:pPr>
        <w:rPr>
          <w:sz w:val="20"/>
          <w:szCs w:val="20"/>
          <w:lang w:val="fr-CA"/>
        </w:rPr>
      </w:pPr>
      <w:r w:rsidRPr="008C2B81">
        <w:rPr>
          <w:sz w:val="20"/>
          <w:szCs w:val="20"/>
          <w:lang w:val="fr-CA"/>
        </w:rPr>
        <w:pict>
          <v:rect id="_x0000_i1045" style="width:2in;height:1pt" o:hrpct="0" o:hralign="center" o:hrstd="t" o:hrnoshade="t" o:hr="t" fillcolor="black [3213]" stroked="f"/>
        </w:pict>
      </w:r>
    </w:p>
    <w:p w:rsidR="00411CD6" w:rsidRDefault="00411CD6" w:rsidP="00411CD6">
      <w:pPr>
        <w:rPr>
          <w:sz w:val="20"/>
          <w:szCs w:val="20"/>
          <w:lang w:val="fr-CA"/>
        </w:rPr>
      </w:pPr>
    </w:p>
    <w:p w:rsidR="00411CD6" w:rsidRDefault="00411CD6" w:rsidP="00411CD6">
      <w:pPr>
        <w:rPr>
          <w:sz w:val="20"/>
          <w:szCs w:val="20"/>
          <w:lang w:val="fr-CA"/>
        </w:rPr>
      </w:pPr>
      <w:r>
        <w:rPr>
          <w:sz w:val="20"/>
          <w:szCs w:val="20"/>
          <w:u w:val="single"/>
          <w:lang w:val="fr-CA"/>
        </w:rPr>
        <w:t>RÉSUMÉ DE L’AFFAIRE</w:t>
      </w:r>
    </w:p>
    <w:p w:rsidR="00411CD6" w:rsidRDefault="00411CD6"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061BA" w:rsidRPr="00C50886" w:rsidTr="00073A03">
        <w:tc>
          <w:tcPr>
            <w:tcW w:w="5000" w:type="pct"/>
            <w:gridSpan w:val="3"/>
          </w:tcPr>
          <w:p w:rsidR="00B061BA" w:rsidRPr="00B54051" w:rsidRDefault="00B061BA" w:rsidP="00073A03">
            <w:pPr>
              <w:jc w:val="both"/>
              <w:rPr>
                <w:rFonts w:eastAsia="Calibri"/>
                <w:sz w:val="20"/>
                <w:lang w:val="fr-CA"/>
              </w:rPr>
            </w:pPr>
            <w:r w:rsidRPr="00B54051">
              <w:rPr>
                <w:rFonts w:eastAsia="Calibri"/>
                <w:sz w:val="20"/>
                <w:lang w:val="fr-CA"/>
              </w:rPr>
              <w:t>Procédure civile — Délais — Rejet de réclamation par un tribunal administratif — Demande de révision judiciaire déposée après trois ans et demi sans motif — Rejet de la demande — Appel inscrit sans permission — Rejet de l’appel — La réclamation du demandeur devait</w:t>
            </w:r>
            <w:r w:rsidRPr="00B54051">
              <w:rPr>
                <w:rFonts w:eastAsia="Calibri"/>
                <w:sz w:val="20"/>
                <w:lang w:val="fr-CA"/>
              </w:rPr>
              <w:noBreakHyphen/>
              <w:t>elle faire l’objet d’un examen au mérite par les tribunaux judiciaires?</w:t>
            </w:r>
          </w:p>
          <w:p w:rsidR="00B061BA" w:rsidRPr="00B54051" w:rsidRDefault="00B061BA" w:rsidP="00073A03">
            <w:pPr>
              <w:jc w:val="both"/>
              <w:rPr>
                <w:rFonts w:eastAsia="Calibri"/>
                <w:sz w:val="20"/>
                <w:lang w:val="fr-FR"/>
              </w:rPr>
            </w:pPr>
          </w:p>
        </w:tc>
      </w:tr>
      <w:tr w:rsidR="00B061BA" w:rsidRPr="00C50886" w:rsidTr="00073A03">
        <w:tc>
          <w:tcPr>
            <w:tcW w:w="5000" w:type="pct"/>
            <w:gridSpan w:val="3"/>
          </w:tcPr>
          <w:p w:rsidR="00B061BA" w:rsidRPr="00B54051" w:rsidRDefault="00B061BA" w:rsidP="00073A03">
            <w:pPr>
              <w:jc w:val="both"/>
              <w:rPr>
                <w:rFonts w:eastAsia="Calibri"/>
                <w:sz w:val="20"/>
                <w:lang w:val="fr-CA"/>
              </w:rPr>
            </w:pPr>
            <w:r w:rsidRPr="00B54051">
              <w:rPr>
                <w:rFonts w:eastAsia="Calibri"/>
                <w:sz w:val="20"/>
                <w:lang w:val="fr-CA"/>
              </w:rPr>
              <w:t>Le demandeur a été impliqué dans un accident d’automobile au Québec mais la Société d’assurance automobile du Québec a refusé, en octobre 2003, de l’indemniser au motif que son adresse principale et ses activités quotidiennes en faisaient un résident de l’Ontario.  Le Tribunal administratif du Québec a refusé par deux fois de changer cette conclusion.</w:t>
            </w:r>
          </w:p>
          <w:p w:rsidR="00B061BA" w:rsidRPr="00B54051" w:rsidRDefault="00B061BA" w:rsidP="00073A03">
            <w:pPr>
              <w:jc w:val="both"/>
              <w:rPr>
                <w:rFonts w:eastAsia="Calibri"/>
                <w:sz w:val="20"/>
                <w:lang w:val="fr-CA"/>
              </w:rPr>
            </w:pPr>
          </w:p>
        </w:tc>
      </w:tr>
      <w:tr w:rsidR="00B061BA" w:rsidRPr="00C50886" w:rsidTr="00073A03">
        <w:tc>
          <w:tcPr>
            <w:tcW w:w="2427" w:type="pct"/>
          </w:tcPr>
          <w:p w:rsidR="00B061BA" w:rsidRPr="00B54051" w:rsidRDefault="00B061BA" w:rsidP="00073A03">
            <w:pPr>
              <w:jc w:val="both"/>
              <w:rPr>
                <w:rFonts w:eastAsia="Calibri"/>
                <w:sz w:val="20"/>
                <w:lang w:val="fr-CA"/>
              </w:rPr>
            </w:pPr>
            <w:r w:rsidRPr="00B54051">
              <w:rPr>
                <w:rFonts w:eastAsia="Calibri"/>
                <w:sz w:val="20"/>
                <w:lang w:val="fr-CA"/>
              </w:rPr>
              <w:t>Le 23 juillet 2010</w:t>
            </w:r>
          </w:p>
          <w:p w:rsidR="00B061BA" w:rsidRPr="00B54051" w:rsidRDefault="00B061BA" w:rsidP="00073A03">
            <w:pPr>
              <w:jc w:val="both"/>
              <w:rPr>
                <w:rFonts w:eastAsia="Calibri"/>
                <w:sz w:val="20"/>
                <w:lang w:val="fr-CA"/>
              </w:rPr>
            </w:pPr>
            <w:r w:rsidRPr="00B54051">
              <w:rPr>
                <w:rFonts w:eastAsia="Calibri"/>
                <w:sz w:val="20"/>
                <w:lang w:val="fr-CA"/>
              </w:rPr>
              <w:t>Cour supérieure du Québec</w:t>
            </w:r>
          </w:p>
          <w:p w:rsidR="00B061BA" w:rsidRPr="00B54051" w:rsidRDefault="00B061BA" w:rsidP="00073A03">
            <w:pPr>
              <w:jc w:val="both"/>
              <w:rPr>
                <w:rFonts w:eastAsia="Calibri"/>
                <w:sz w:val="20"/>
                <w:lang w:val="fr-CA"/>
              </w:rPr>
            </w:pPr>
            <w:r w:rsidRPr="00B54051">
              <w:rPr>
                <w:rFonts w:eastAsia="Calibri"/>
                <w:sz w:val="20"/>
                <w:lang w:val="fr-CA"/>
              </w:rPr>
              <w:t>(Le juge Cournoyer)</w:t>
            </w:r>
          </w:p>
          <w:p w:rsidR="00B061BA" w:rsidRPr="00B54051" w:rsidRDefault="00B061BA" w:rsidP="00073A03">
            <w:pPr>
              <w:jc w:val="both"/>
              <w:rPr>
                <w:rFonts w:eastAsia="Calibri"/>
                <w:sz w:val="20"/>
              </w:rPr>
            </w:pPr>
          </w:p>
        </w:tc>
        <w:tc>
          <w:tcPr>
            <w:tcW w:w="243" w:type="pct"/>
          </w:tcPr>
          <w:p w:rsidR="00B061BA" w:rsidRPr="00B54051" w:rsidRDefault="00B061BA" w:rsidP="00073A03">
            <w:pPr>
              <w:jc w:val="both"/>
              <w:rPr>
                <w:rFonts w:eastAsia="Calibri"/>
                <w:sz w:val="20"/>
              </w:rPr>
            </w:pPr>
          </w:p>
        </w:tc>
        <w:tc>
          <w:tcPr>
            <w:tcW w:w="2330" w:type="pct"/>
          </w:tcPr>
          <w:p w:rsidR="00B061BA" w:rsidRPr="00B54051" w:rsidRDefault="00B061BA" w:rsidP="00073A03">
            <w:pPr>
              <w:jc w:val="both"/>
              <w:rPr>
                <w:rFonts w:eastAsia="Calibri"/>
                <w:sz w:val="20"/>
                <w:lang w:val="fr-CA"/>
              </w:rPr>
            </w:pPr>
            <w:r w:rsidRPr="00B54051">
              <w:rPr>
                <w:rFonts w:eastAsia="Calibri"/>
                <w:sz w:val="20"/>
                <w:lang w:val="fr-CA"/>
              </w:rPr>
              <w:t>Rejet de la demande de révision judiciaire.</w:t>
            </w:r>
          </w:p>
          <w:p w:rsidR="00B061BA" w:rsidRPr="00B54051" w:rsidRDefault="00B061BA" w:rsidP="00073A03">
            <w:pPr>
              <w:jc w:val="both"/>
              <w:rPr>
                <w:rFonts w:eastAsia="Calibri"/>
                <w:sz w:val="20"/>
                <w:lang w:val="fr-CA"/>
              </w:rPr>
            </w:pPr>
          </w:p>
        </w:tc>
      </w:tr>
      <w:tr w:rsidR="00B061BA" w:rsidRPr="00B54051" w:rsidTr="00073A03">
        <w:tc>
          <w:tcPr>
            <w:tcW w:w="2427" w:type="pct"/>
          </w:tcPr>
          <w:p w:rsidR="00B061BA" w:rsidRPr="00B54051" w:rsidRDefault="00B061BA" w:rsidP="00073A03">
            <w:pPr>
              <w:jc w:val="both"/>
              <w:rPr>
                <w:rFonts w:eastAsia="Calibri"/>
                <w:sz w:val="20"/>
                <w:lang w:val="fr-CA"/>
              </w:rPr>
            </w:pPr>
            <w:r w:rsidRPr="00B54051">
              <w:rPr>
                <w:rFonts w:eastAsia="Calibri"/>
                <w:sz w:val="20"/>
                <w:lang w:val="fr-CA"/>
              </w:rPr>
              <w:t>Le 15 novembre 2010</w:t>
            </w:r>
          </w:p>
          <w:p w:rsidR="00B061BA" w:rsidRPr="00B54051" w:rsidRDefault="00B061BA" w:rsidP="00073A03">
            <w:pPr>
              <w:jc w:val="both"/>
              <w:rPr>
                <w:rFonts w:eastAsia="Calibri"/>
                <w:sz w:val="20"/>
                <w:lang w:val="fr-CA"/>
              </w:rPr>
            </w:pPr>
            <w:r w:rsidRPr="00B54051">
              <w:rPr>
                <w:rFonts w:eastAsia="Calibri"/>
                <w:sz w:val="20"/>
                <w:lang w:val="fr-CA"/>
              </w:rPr>
              <w:t>Cour d’appel du Québec (Montréal)</w:t>
            </w:r>
          </w:p>
          <w:p w:rsidR="00B061BA" w:rsidRPr="00B54051" w:rsidRDefault="00B061BA" w:rsidP="00073A03">
            <w:pPr>
              <w:jc w:val="both"/>
              <w:rPr>
                <w:rFonts w:eastAsia="Calibri"/>
                <w:sz w:val="20"/>
                <w:lang w:val="fr-CA"/>
              </w:rPr>
            </w:pPr>
            <w:r w:rsidRPr="00B54051">
              <w:rPr>
                <w:rFonts w:eastAsia="Calibri"/>
                <w:sz w:val="20"/>
                <w:lang w:val="fr-CA"/>
              </w:rPr>
              <w:t>(Les juges Forget, Rochon et Dufresne)</w:t>
            </w:r>
          </w:p>
          <w:p w:rsidR="00B061BA" w:rsidRPr="00B54051" w:rsidRDefault="00B061BA" w:rsidP="00073A03">
            <w:pPr>
              <w:jc w:val="both"/>
              <w:rPr>
                <w:rFonts w:eastAsia="Calibri"/>
                <w:sz w:val="20"/>
                <w:lang w:val="fr-CA"/>
              </w:rPr>
            </w:pPr>
          </w:p>
        </w:tc>
        <w:tc>
          <w:tcPr>
            <w:tcW w:w="243" w:type="pct"/>
          </w:tcPr>
          <w:p w:rsidR="00B061BA" w:rsidRPr="00B54051" w:rsidRDefault="00B061BA" w:rsidP="00073A03">
            <w:pPr>
              <w:jc w:val="both"/>
              <w:rPr>
                <w:rFonts w:eastAsia="Calibri"/>
                <w:sz w:val="20"/>
                <w:lang w:val="fr-FR"/>
              </w:rPr>
            </w:pPr>
          </w:p>
        </w:tc>
        <w:tc>
          <w:tcPr>
            <w:tcW w:w="2330" w:type="pct"/>
          </w:tcPr>
          <w:p w:rsidR="00B061BA" w:rsidRPr="00B54051" w:rsidRDefault="00B061BA" w:rsidP="00073A03">
            <w:pPr>
              <w:jc w:val="both"/>
              <w:rPr>
                <w:rFonts w:eastAsia="Calibri"/>
                <w:sz w:val="20"/>
                <w:lang w:val="fr-CA"/>
              </w:rPr>
            </w:pPr>
            <w:r w:rsidRPr="00B54051">
              <w:rPr>
                <w:rFonts w:eastAsia="Calibri"/>
                <w:sz w:val="20"/>
                <w:lang w:val="fr-CA"/>
              </w:rPr>
              <w:t>Rejet de l’appel.</w:t>
            </w:r>
          </w:p>
        </w:tc>
      </w:tr>
      <w:tr w:rsidR="00B061BA" w:rsidRPr="00C50886" w:rsidTr="00073A03">
        <w:tc>
          <w:tcPr>
            <w:tcW w:w="2427" w:type="pct"/>
          </w:tcPr>
          <w:p w:rsidR="00B061BA" w:rsidRPr="00B54051" w:rsidRDefault="00B061BA" w:rsidP="00073A03">
            <w:pPr>
              <w:jc w:val="both"/>
              <w:rPr>
                <w:rFonts w:eastAsia="Calibri"/>
                <w:sz w:val="20"/>
                <w:lang w:val="fr-CA"/>
              </w:rPr>
            </w:pPr>
            <w:r w:rsidRPr="00B54051">
              <w:rPr>
                <w:rFonts w:eastAsia="Calibri"/>
                <w:sz w:val="20"/>
                <w:lang w:val="fr-CA"/>
              </w:rPr>
              <w:t>Le 4 janvier 2011</w:t>
            </w:r>
          </w:p>
          <w:p w:rsidR="00B061BA" w:rsidRPr="00B54051" w:rsidRDefault="00B061BA" w:rsidP="00073A03">
            <w:pPr>
              <w:jc w:val="both"/>
              <w:rPr>
                <w:rFonts w:eastAsia="Calibri"/>
                <w:sz w:val="20"/>
                <w:lang w:val="fr-FR"/>
              </w:rPr>
            </w:pPr>
            <w:r w:rsidRPr="00B54051">
              <w:rPr>
                <w:rFonts w:eastAsia="Calibri"/>
                <w:sz w:val="20"/>
                <w:lang w:val="fr-CA"/>
              </w:rPr>
              <w:t>Cour suprême du Canada</w:t>
            </w:r>
          </w:p>
        </w:tc>
        <w:tc>
          <w:tcPr>
            <w:tcW w:w="243" w:type="pct"/>
          </w:tcPr>
          <w:p w:rsidR="00B061BA" w:rsidRPr="00B54051" w:rsidRDefault="00B061BA" w:rsidP="00073A03">
            <w:pPr>
              <w:jc w:val="both"/>
              <w:rPr>
                <w:rFonts w:eastAsia="Calibri"/>
                <w:sz w:val="20"/>
                <w:lang w:val="fr-FR"/>
              </w:rPr>
            </w:pPr>
          </w:p>
        </w:tc>
        <w:tc>
          <w:tcPr>
            <w:tcW w:w="2330" w:type="pct"/>
          </w:tcPr>
          <w:p w:rsidR="00B061BA" w:rsidRPr="00B54051" w:rsidRDefault="00B061BA" w:rsidP="00073A03">
            <w:pPr>
              <w:jc w:val="both"/>
              <w:rPr>
                <w:rFonts w:eastAsia="Calibri"/>
                <w:sz w:val="20"/>
                <w:lang w:val="fr-CA"/>
              </w:rPr>
            </w:pPr>
            <w:r w:rsidRPr="00B54051">
              <w:rPr>
                <w:rFonts w:eastAsia="Calibri"/>
                <w:sz w:val="20"/>
                <w:lang w:val="fr-CA"/>
              </w:rPr>
              <w:t>Dépôt de la demande d'autorisation d'appel.</w:t>
            </w:r>
          </w:p>
          <w:p w:rsidR="00B061BA" w:rsidRPr="00B54051" w:rsidRDefault="00B061BA" w:rsidP="00073A03">
            <w:pPr>
              <w:jc w:val="both"/>
              <w:rPr>
                <w:rFonts w:eastAsia="Calibri"/>
                <w:sz w:val="20"/>
                <w:lang w:val="fr-CA"/>
              </w:rPr>
            </w:pPr>
          </w:p>
        </w:tc>
      </w:tr>
    </w:tbl>
    <w:p w:rsidR="00411CD6" w:rsidRDefault="00411CD6" w:rsidP="00411CD6">
      <w:pPr>
        <w:rPr>
          <w:sz w:val="20"/>
          <w:szCs w:val="20"/>
          <w:lang w:val="fr-CA"/>
        </w:rPr>
      </w:pPr>
    </w:p>
    <w:p w:rsidR="00411CD6" w:rsidRDefault="008C2B81" w:rsidP="00411CD6">
      <w:pPr>
        <w:rPr>
          <w:sz w:val="20"/>
          <w:szCs w:val="20"/>
          <w:lang w:val="fr-CA"/>
        </w:rPr>
      </w:pPr>
      <w:r w:rsidRPr="008C2B81">
        <w:rPr>
          <w:sz w:val="20"/>
          <w:szCs w:val="20"/>
          <w:lang w:val="fr-CA"/>
        </w:rPr>
        <w:pict>
          <v:rect id="_x0000_i1046" style="width:2in;height:1pt" o:hrpct="0" o:hralign="center" o:hrstd="t" o:hrnoshade="t" o:hr="t" fillcolor="black [3213]" stroked="f"/>
        </w:pict>
      </w:r>
    </w:p>
    <w:p w:rsidR="00411CD6" w:rsidRPr="00453064" w:rsidRDefault="00411CD6" w:rsidP="00411C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56777" w:rsidRPr="00C50886" w:rsidTr="000367EB">
        <w:trPr>
          <w:cantSplit/>
        </w:trPr>
        <w:tc>
          <w:tcPr>
            <w:tcW w:w="1458" w:type="dxa"/>
          </w:tcPr>
          <w:p w:rsidR="00456777" w:rsidRPr="00E85700" w:rsidRDefault="00456777" w:rsidP="000367EB">
            <w:pPr>
              <w:rPr>
                <w:rFonts w:cs="Times New Roman"/>
                <w:sz w:val="20"/>
                <w:szCs w:val="20"/>
              </w:rPr>
            </w:pPr>
            <w:r w:rsidRPr="00E85700">
              <w:rPr>
                <w:rStyle w:val="SCCFileNumberChar"/>
                <w:rFonts w:cs="Times New Roman"/>
                <w:sz w:val="20"/>
                <w:szCs w:val="20"/>
              </w:rPr>
              <w:t>34071</w:t>
            </w:r>
          </w:p>
          <w:p w:rsidR="00456777" w:rsidRPr="00E85700" w:rsidRDefault="00456777" w:rsidP="000367EB">
            <w:pPr>
              <w:rPr>
                <w:rFonts w:cs="Times New Roman"/>
                <w:b/>
                <w:sz w:val="20"/>
                <w:szCs w:val="20"/>
                <w:lang w:val="fr-CA"/>
              </w:rPr>
            </w:pPr>
          </w:p>
        </w:tc>
        <w:tc>
          <w:tcPr>
            <w:tcW w:w="8118" w:type="dxa"/>
          </w:tcPr>
          <w:p w:rsidR="00456777" w:rsidRPr="00E85700" w:rsidRDefault="00456777" w:rsidP="00456777">
            <w:pPr>
              <w:jc w:val="both"/>
              <w:rPr>
                <w:rFonts w:cs="Times New Roman"/>
                <w:sz w:val="20"/>
                <w:szCs w:val="20"/>
                <w:lang w:val="fr-CA"/>
              </w:rPr>
            </w:pPr>
            <w:r w:rsidRPr="00E85700">
              <w:rPr>
                <w:rStyle w:val="SCCLsocChar"/>
                <w:rFonts w:cs="Times New Roman"/>
                <w:sz w:val="20"/>
                <w:szCs w:val="20"/>
              </w:rPr>
              <w:t>Edmond Gheorghe c. Patrice Carrier, Ville de Montréal</w:t>
            </w:r>
            <w:r w:rsidR="00020DF3">
              <w:rPr>
                <w:rStyle w:val="SCCLsocChar"/>
                <w:rFonts w:cs="Times New Roman"/>
                <w:sz w:val="20"/>
                <w:szCs w:val="20"/>
              </w:rPr>
              <w:t xml:space="preserve"> et</w:t>
            </w:r>
            <w:r w:rsidRPr="00E85700">
              <w:rPr>
                <w:rStyle w:val="SCCLsocChar"/>
                <w:rFonts w:cs="Times New Roman"/>
                <w:sz w:val="20"/>
                <w:szCs w:val="20"/>
              </w:rPr>
              <w:t xml:space="preserve"> Adela Mirela Barlea</w:t>
            </w:r>
            <w:r w:rsidRPr="00E85700">
              <w:rPr>
                <w:rFonts w:cs="Times New Roman"/>
                <w:sz w:val="20"/>
                <w:szCs w:val="20"/>
                <w:lang w:val="fr-CA"/>
              </w:rPr>
              <w:t xml:space="preserve"> (Qc) (Civile) (Autorisation)</w:t>
            </w:r>
          </w:p>
          <w:p w:rsidR="00456777" w:rsidRPr="00E85700" w:rsidRDefault="00456777" w:rsidP="000367EB">
            <w:pPr>
              <w:rPr>
                <w:rFonts w:cs="Times New Roman"/>
                <w:sz w:val="20"/>
                <w:szCs w:val="20"/>
                <w:lang w:val="fr-CA"/>
              </w:rPr>
            </w:pPr>
          </w:p>
        </w:tc>
      </w:tr>
      <w:tr w:rsidR="00456777" w:rsidRPr="00C50886" w:rsidTr="000367EB">
        <w:trPr>
          <w:cantSplit/>
        </w:trPr>
        <w:tc>
          <w:tcPr>
            <w:tcW w:w="1458" w:type="dxa"/>
          </w:tcPr>
          <w:p w:rsidR="00456777" w:rsidRPr="00E85700" w:rsidRDefault="00456777" w:rsidP="000367EB">
            <w:pPr>
              <w:rPr>
                <w:rFonts w:cs="Times New Roman"/>
                <w:sz w:val="20"/>
                <w:szCs w:val="20"/>
              </w:rPr>
            </w:pPr>
            <w:r w:rsidRPr="00E85700">
              <w:rPr>
                <w:rFonts w:cs="Times New Roman"/>
                <w:sz w:val="20"/>
                <w:szCs w:val="20"/>
              </w:rPr>
              <w:t>Coram :</w:t>
            </w:r>
          </w:p>
        </w:tc>
        <w:tc>
          <w:tcPr>
            <w:tcW w:w="8118" w:type="dxa"/>
          </w:tcPr>
          <w:p w:rsidR="00456777" w:rsidRPr="00E85700" w:rsidRDefault="00456777" w:rsidP="000367EB">
            <w:pPr>
              <w:rPr>
                <w:rFonts w:cs="Times New Roman"/>
                <w:sz w:val="20"/>
                <w:szCs w:val="20"/>
                <w:lang w:val="fr-CA"/>
              </w:rPr>
            </w:pPr>
            <w:r w:rsidRPr="00E85700">
              <w:rPr>
                <w:rStyle w:val="SCCCoramChar"/>
                <w:rFonts w:cs="Times New Roman"/>
                <w:sz w:val="20"/>
                <w:szCs w:val="20"/>
              </w:rPr>
              <w:t>Les juges LeBel, Fish et Cromwell</w:t>
            </w:r>
          </w:p>
          <w:p w:rsidR="00456777" w:rsidRPr="00E85700" w:rsidRDefault="00456777" w:rsidP="000367EB">
            <w:pPr>
              <w:rPr>
                <w:rFonts w:cs="Times New Roman"/>
                <w:sz w:val="20"/>
                <w:szCs w:val="20"/>
                <w:u w:val="single"/>
                <w:lang w:val="fr-CA"/>
              </w:rPr>
            </w:pPr>
          </w:p>
        </w:tc>
      </w:tr>
      <w:tr w:rsidR="00456777" w:rsidRPr="00E85700" w:rsidTr="000367EB">
        <w:trPr>
          <w:cantSplit/>
        </w:trPr>
        <w:tc>
          <w:tcPr>
            <w:tcW w:w="9576" w:type="dxa"/>
            <w:gridSpan w:val="2"/>
          </w:tcPr>
          <w:p w:rsidR="00456777" w:rsidRPr="00E85700" w:rsidRDefault="00E3029A" w:rsidP="000367EB">
            <w:pPr>
              <w:pStyle w:val="SCCShortJudgment"/>
              <w:rPr>
                <w:rFonts w:cs="Times New Roman"/>
                <w:szCs w:val="20"/>
                <w:lang w:val="fr-CA"/>
              </w:rPr>
            </w:pPr>
            <w:r w:rsidRPr="00E3029A">
              <w:rPr>
                <w:szCs w:val="20"/>
                <w:lang w:val="fr-CA"/>
              </w:rPr>
              <w:t xml:space="preserve">La requête pour déposer un mémoire des arguments volumineux est accordée. </w:t>
            </w:r>
            <w:r w:rsidR="00456777" w:rsidRPr="00E85700">
              <w:rPr>
                <w:rFonts w:cs="Times New Roman"/>
                <w:szCs w:val="20"/>
                <w:lang w:val="fr-CA"/>
              </w:rPr>
              <w:t>La demande d’autorisation d’appel de l’arrêt de la Cour d’appel du Québec (Montréal), numéro 500-09-020784-104, 2010 QCCA 2153, daté du 24 novembre 2010, est rejetée sans dépens.</w:t>
            </w:r>
          </w:p>
          <w:p w:rsidR="00456777" w:rsidRPr="00E85700" w:rsidRDefault="00456777" w:rsidP="000367EB">
            <w:pPr>
              <w:pStyle w:val="SCCShortJudgment"/>
              <w:ind w:firstLine="0"/>
              <w:rPr>
                <w:rFonts w:cs="Times New Roman"/>
                <w:szCs w:val="20"/>
                <w:lang w:val="fr-CA"/>
              </w:rPr>
            </w:pPr>
          </w:p>
          <w:p w:rsidR="00456777" w:rsidRPr="00E85700" w:rsidRDefault="003354C1" w:rsidP="000367EB">
            <w:pPr>
              <w:pStyle w:val="SCCShortJudgment"/>
              <w:rPr>
                <w:rFonts w:cs="Times New Roman"/>
                <w:szCs w:val="20"/>
              </w:rPr>
            </w:pPr>
            <w:r w:rsidRPr="00994633">
              <w:rPr>
                <w:szCs w:val="20"/>
              </w:rPr>
              <w:t>The motion to file a lengthy memorandum of argument is granted.</w:t>
            </w:r>
            <w:r>
              <w:rPr>
                <w:szCs w:val="20"/>
              </w:rPr>
              <w:t xml:space="preserve"> </w:t>
            </w:r>
            <w:r w:rsidR="00456777" w:rsidRPr="00E85700">
              <w:rPr>
                <w:rFonts w:cs="Times New Roman"/>
                <w:szCs w:val="20"/>
              </w:rPr>
              <w:t>The application for leave to appeal from the judgment of the Court of Appeal of Quebec (Montréal), Number 500-09-020784-104, 2010 QCCA 2153, dated November 24, 2010, is dismissed without costs.</w:t>
            </w:r>
          </w:p>
        </w:tc>
      </w:tr>
    </w:tbl>
    <w:p w:rsidR="00456777" w:rsidRPr="00456777" w:rsidRDefault="00456777" w:rsidP="008D292F">
      <w:pPr>
        <w:rPr>
          <w:sz w:val="20"/>
          <w:szCs w:val="20"/>
        </w:rPr>
      </w:pPr>
    </w:p>
    <w:p w:rsidR="00411CD6" w:rsidRPr="00453064" w:rsidRDefault="00411CD6" w:rsidP="00411CD6">
      <w:pPr>
        <w:rPr>
          <w:sz w:val="20"/>
          <w:szCs w:val="20"/>
          <w:lang w:val="fr-CA"/>
        </w:rPr>
      </w:pPr>
      <w:r>
        <w:rPr>
          <w:sz w:val="20"/>
          <w:szCs w:val="20"/>
          <w:u w:val="single"/>
          <w:lang w:val="fr-CA"/>
        </w:rPr>
        <w:t>CASE SUMMARY</w:t>
      </w:r>
    </w:p>
    <w:p w:rsidR="00411CD6" w:rsidRDefault="00411CD6"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63030" w:rsidRPr="00B54051" w:rsidTr="00073A03">
        <w:tc>
          <w:tcPr>
            <w:tcW w:w="5000" w:type="pct"/>
            <w:gridSpan w:val="3"/>
          </w:tcPr>
          <w:p w:rsidR="00E63030" w:rsidRPr="00B54051" w:rsidRDefault="00E63030" w:rsidP="00073A03">
            <w:pPr>
              <w:jc w:val="both"/>
              <w:rPr>
                <w:rFonts w:eastAsia="Calibri"/>
                <w:sz w:val="20"/>
              </w:rPr>
            </w:pPr>
            <w:r w:rsidRPr="00B54051">
              <w:rPr>
                <w:rFonts w:eastAsia="Calibri"/>
                <w:sz w:val="20"/>
              </w:rPr>
              <w:t xml:space="preserve">Civil procedure — Appeal — Appeal dismissed on ground that it had no reasonable chance of success — Whether Court of Appeal wrongly dismissed appeal — </w:t>
            </w:r>
            <w:r w:rsidRPr="00B54051">
              <w:rPr>
                <w:rFonts w:eastAsia="Calibri"/>
                <w:i/>
                <w:sz w:val="20"/>
              </w:rPr>
              <w:t>Code of Civil Procedure</w:t>
            </w:r>
            <w:r w:rsidRPr="00B54051">
              <w:rPr>
                <w:rFonts w:eastAsia="Calibri"/>
                <w:sz w:val="20"/>
              </w:rPr>
              <w:t>, R.S.Q. c. C</w:t>
            </w:r>
            <w:r w:rsidRPr="00B54051">
              <w:rPr>
                <w:rFonts w:eastAsia="Calibri"/>
                <w:sz w:val="20"/>
              </w:rPr>
              <w:noBreakHyphen/>
              <w:t>25, art. 501.</w:t>
            </w:r>
          </w:p>
          <w:p w:rsidR="00E63030" w:rsidRPr="00B54051" w:rsidRDefault="00E63030" w:rsidP="00073A03">
            <w:pPr>
              <w:jc w:val="both"/>
              <w:rPr>
                <w:rFonts w:eastAsia="Calibri"/>
                <w:sz w:val="20"/>
              </w:rPr>
            </w:pPr>
          </w:p>
        </w:tc>
      </w:tr>
      <w:tr w:rsidR="00E63030" w:rsidRPr="00B54051" w:rsidTr="00073A03">
        <w:tc>
          <w:tcPr>
            <w:tcW w:w="5000" w:type="pct"/>
            <w:gridSpan w:val="3"/>
          </w:tcPr>
          <w:p w:rsidR="00E63030" w:rsidRDefault="00E63030" w:rsidP="00073A03">
            <w:pPr>
              <w:jc w:val="both"/>
              <w:rPr>
                <w:rFonts w:eastAsia="Calibri"/>
                <w:sz w:val="20"/>
              </w:rPr>
            </w:pPr>
            <w:r w:rsidRPr="00B54051">
              <w:rPr>
                <w:rFonts w:eastAsia="Calibri"/>
                <w:sz w:val="20"/>
              </w:rPr>
              <w:t xml:space="preserve">In 2003, the applicant Mr. Gheorghe was charged with sexual assault, assault and criminal harassment against his former spouse, the respondent Ms. Barlea.  In 2007, Mr. Gheorghe was acquitted by a Court of Québec judge sitting </w:t>
            </w:r>
            <w:r w:rsidRPr="00B54051">
              <w:rPr>
                <w:rFonts w:eastAsia="Calibri"/>
                <w:sz w:val="20"/>
              </w:rPr>
              <w:lastRenderedPageBreak/>
              <w:t>without a jury.  The judge stated that, even though she did not believe Mr. Gheorghe’s version of the facts, a reasonable doubt remained.</w:t>
            </w:r>
          </w:p>
          <w:p w:rsidR="00DC3939" w:rsidRPr="00B54051" w:rsidRDefault="00DC3939" w:rsidP="00073A03">
            <w:pPr>
              <w:jc w:val="both"/>
              <w:rPr>
                <w:rFonts w:eastAsia="Calibri"/>
                <w:sz w:val="20"/>
              </w:rPr>
            </w:pPr>
          </w:p>
          <w:p w:rsidR="00E63030" w:rsidRPr="00B54051" w:rsidRDefault="00E63030" w:rsidP="00073A03">
            <w:pPr>
              <w:jc w:val="both"/>
              <w:rPr>
                <w:rFonts w:eastAsia="Calibri"/>
                <w:sz w:val="20"/>
              </w:rPr>
            </w:pPr>
            <w:r w:rsidRPr="00B54051">
              <w:rPr>
                <w:rFonts w:eastAsia="Calibri"/>
                <w:sz w:val="20"/>
              </w:rPr>
              <w:t>In 2007, Mr. Gheorghe filed a motion to institute proceedings against the respondent Patrice Carrier, the police officer who had arrested him, Mr. Carrier’s employer, the City of Montréal, and Ms. Barlea, the complainant in the criminal proceeding.  Mr. Gheorghe claimed damages for false accusations, wrongful arrest and detention and miscellaneous damage.</w:t>
            </w:r>
          </w:p>
          <w:p w:rsidR="00E63030" w:rsidRPr="00B54051" w:rsidRDefault="00E63030" w:rsidP="00073A03">
            <w:pPr>
              <w:jc w:val="both"/>
              <w:rPr>
                <w:rFonts w:eastAsia="Calibri"/>
                <w:sz w:val="20"/>
              </w:rPr>
            </w:pPr>
          </w:p>
          <w:p w:rsidR="00E63030" w:rsidRPr="00B54051" w:rsidRDefault="00E63030" w:rsidP="00073A03">
            <w:pPr>
              <w:jc w:val="both"/>
              <w:rPr>
                <w:rFonts w:eastAsia="Calibri"/>
                <w:sz w:val="20"/>
              </w:rPr>
            </w:pPr>
            <w:r w:rsidRPr="00B54051">
              <w:rPr>
                <w:rFonts w:eastAsia="Calibri"/>
                <w:sz w:val="20"/>
              </w:rPr>
              <w:t>The Superior Court dismissed the motion to institute proceedings.  Lefebvre J. found that Mr. Gheorghe had not proved that Ms. Barlea had made false accusations against him.  He concluded that, on a balance of probabilities, Mr. Gheorghe had in fact committed the offences for which criminal charges had been laid against him.  The judge concluded that Mr. Carrier [</w:t>
            </w:r>
            <w:r w:rsidRPr="00B54051">
              <w:rPr>
                <w:rFonts w:eastAsia="Calibri"/>
                <w:smallCaps/>
                <w:sz w:val="20"/>
              </w:rPr>
              <w:t>translation</w:t>
            </w:r>
            <w:r w:rsidRPr="00B54051">
              <w:rPr>
                <w:rFonts w:eastAsia="Calibri"/>
                <w:sz w:val="20"/>
              </w:rPr>
              <w:t>] “was not at fault in arresting or detaining [Mr. Gheorghe]” (para. 185) but had acted as a reasonable police officer in the circumstances.  The Quebec Court of Appeal allowed a motion to dismiss the appeal and dismissed the appeal on the ground that it had no reasonable chance of success.</w:t>
            </w:r>
          </w:p>
          <w:p w:rsidR="00E63030" w:rsidRPr="00B54051" w:rsidRDefault="00E63030" w:rsidP="00073A03">
            <w:pPr>
              <w:jc w:val="both"/>
              <w:rPr>
                <w:rFonts w:eastAsia="Calibri"/>
                <w:sz w:val="20"/>
              </w:rPr>
            </w:pPr>
          </w:p>
        </w:tc>
      </w:tr>
      <w:tr w:rsidR="00E63030" w:rsidRPr="00B54051" w:rsidTr="00073A03">
        <w:tc>
          <w:tcPr>
            <w:tcW w:w="2427" w:type="pct"/>
          </w:tcPr>
          <w:p w:rsidR="00E63030" w:rsidRPr="00B54051" w:rsidRDefault="00E63030" w:rsidP="00073A03">
            <w:pPr>
              <w:jc w:val="both"/>
              <w:rPr>
                <w:rFonts w:eastAsia="Calibri"/>
                <w:sz w:val="20"/>
              </w:rPr>
            </w:pPr>
            <w:r w:rsidRPr="00B54051">
              <w:rPr>
                <w:rFonts w:eastAsia="Calibri"/>
                <w:sz w:val="20"/>
              </w:rPr>
              <w:lastRenderedPageBreak/>
              <w:t>May 25, 2010</w:t>
            </w:r>
          </w:p>
          <w:p w:rsidR="00E63030" w:rsidRPr="00B54051" w:rsidRDefault="00E63030" w:rsidP="00073A03">
            <w:pPr>
              <w:jc w:val="both"/>
              <w:rPr>
                <w:rFonts w:eastAsia="Calibri"/>
                <w:sz w:val="20"/>
              </w:rPr>
            </w:pPr>
            <w:r w:rsidRPr="00B54051">
              <w:rPr>
                <w:rFonts w:eastAsia="Calibri"/>
                <w:sz w:val="20"/>
              </w:rPr>
              <w:t>Quebec Superior Court</w:t>
            </w:r>
          </w:p>
          <w:p w:rsidR="00E63030" w:rsidRPr="00B54051" w:rsidRDefault="00E63030" w:rsidP="00073A03">
            <w:pPr>
              <w:jc w:val="both"/>
              <w:rPr>
                <w:rFonts w:eastAsia="Calibri"/>
                <w:sz w:val="20"/>
              </w:rPr>
            </w:pPr>
            <w:r w:rsidRPr="00B54051">
              <w:rPr>
                <w:rFonts w:eastAsia="Calibri"/>
                <w:sz w:val="20"/>
              </w:rPr>
              <w:t>(Lefebvre J.)</w:t>
            </w:r>
          </w:p>
          <w:p w:rsidR="00E63030" w:rsidRPr="00B54051" w:rsidRDefault="00E63030" w:rsidP="00073A03">
            <w:pPr>
              <w:jc w:val="both"/>
              <w:rPr>
                <w:rFonts w:eastAsia="Calibri"/>
                <w:sz w:val="20"/>
              </w:rPr>
            </w:pPr>
            <w:r w:rsidRPr="00B54051">
              <w:rPr>
                <w:rFonts w:eastAsia="Calibri"/>
                <w:sz w:val="20"/>
              </w:rPr>
              <w:t>2010 QCCS 2191</w:t>
            </w:r>
          </w:p>
          <w:p w:rsidR="00E63030" w:rsidRPr="00B54051" w:rsidRDefault="00E63030" w:rsidP="00073A03">
            <w:pPr>
              <w:jc w:val="both"/>
              <w:rPr>
                <w:rFonts w:eastAsia="Calibri"/>
                <w:sz w:val="20"/>
              </w:rPr>
            </w:pP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Motion to institute proceedings dismissed</w:t>
            </w:r>
          </w:p>
          <w:p w:rsidR="00E63030" w:rsidRPr="00B54051" w:rsidRDefault="00E63030" w:rsidP="00073A03">
            <w:pPr>
              <w:jc w:val="both"/>
              <w:rPr>
                <w:rFonts w:eastAsia="Calibri"/>
                <w:sz w:val="20"/>
              </w:rPr>
            </w:pPr>
          </w:p>
        </w:tc>
      </w:tr>
      <w:tr w:rsidR="00E63030" w:rsidRPr="00B54051" w:rsidTr="00073A03">
        <w:tc>
          <w:tcPr>
            <w:tcW w:w="2427" w:type="pct"/>
          </w:tcPr>
          <w:p w:rsidR="00E63030" w:rsidRPr="00B54051" w:rsidRDefault="00E63030" w:rsidP="00073A03">
            <w:pPr>
              <w:jc w:val="both"/>
              <w:rPr>
                <w:rFonts w:eastAsia="Calibri"/>
                <w:sz w:val="20"/>
              </w:rPr>
            </w:pPr>
            <w:r w:rsidRPr="00B54051">
              <w:rPr>
                <w:rFonts w:eastAsia="Calibri"/>
                <w:sz w:val="20"/>
              </w:rPr>
              <w:t>November 24, 2010</w:t>
            </w:r>
          </w:p>
          <w:p w:rsidR="00E63030" w:rsidRPr="00B54051" w:rsidRDefault="00E63030" w:rsidP="00073A03">
            <w:pPr>
              <w:jc w:val="both"/>
              <w:rPr>
                <w:rFonts w:eastAsia="Calibri"/>
                <w:sz w:val="20"/>
              </w:rPr>
            </w:pPr>
            <w:r w:rsidRPr="00B54051">
              <w:rPr>
                <w:rFonts w:eastAsia="Calibri"/>
                <w:sz w:val="20"/>
              </w:rPr>
              <w:t>Quebec Court of Appeal (Montréal)</w:t>
            </w:r>
          </w:p>
          <w:p w:rsidR="00E63030" w:rsidRPr="00B54051" w:rsidRDefault="00E63030" w:rsidP="00073A03">
            <w:pPr>
              <w:jc w:val="both"/>
              <w:rPr>
                <w:rFonts w:eastAsia="Calibri"/>
                <w:sz w:val="20"/>
              </w:rPr>
            </w:pPr>
            <w:r w:rsidRPr="00B54051">
              <w:rPr>
                <w:rFonts w:eastAsia="Calibri"/>
                <w:sz w:val="20"/>
              </w:rPr>
              <w:t>(Forget, Rochon and Dufresne JJ.A.)</w:t>
            </w:r>
          </w:p>
          <w:p w:rsidR="00E63030" w:rsidRPr="00B54051" w:rsidRDefault="00E63030" w:rsidP="00073A03">
            <w:pPr>
              <w:jc w:val="both"/>
              <w:rPr>
                <w:rFonts w:eastAsia="Calibri"/>
                <w:sz w:val="20"/>
              </w:rPr>
            </w:pPr>
            <w:r w:rsidRPr="00B54051">
              <w:rPr>
                <w:rFonts w:eastAsia="Calibri"/>
                <w:sz w:val="20"/>
              </w:rPr>
              <w:t>2010 QCCA 2153</w:t>
            </w:r>
          </w:p>
          <w:p w:rsidR="00E63030" w:rsidRPr="00B54051" w:rsidRDefault="00E63030" w:rsidP="00073A03">
            <w:pPr>
              <w:jc w:val="both"/>
              <w:rPr>
                <w:rFonts w:eastAsia="Calibri"/>
                <w:sz w:val="20"/>
              </w:rPr>
            </w:pP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Motion to declare appeal improper and dilatory dismissed; motion to dismiss appeal allowed; appeal dismissed</w:t>
            </w:r>
          </w:p>
          <w:p w:rsidR="00E63030" w:rsidRPr="00B54051" w:rsidRDefault="00E63030" w:rsidP="00073A03">
            <w:pPr>
              <w:jc w:val="both"/>
              <w:rPr>
                <w:rFonts w:eastAsia="Calibri"/>
                <w:sz w:val="20"/>
              </w:rPr>
            </w:pPr>
          </w:p>
        </w:tc>
      </w:tr>
      <w:tr w:rsidR="00E63030" w:rsidRPr="00B54051" w:rsidTr="00073A03">
        <w:tc>
          <w:tcPr>
            <w:tcW w:w="2427" w:type="pct"/>
          </w:tcPr>
          <w:p w:rsidR="00E63030" w:rsidRPr="00B54051" w:rsidRDefault="00E63030" w:rsidP="00073A03">
            <w:pPr>
              <w:jc w:val="both"/>
              <w:rPr>
                <w:rFonts w:eastAsia="Calibri"/>
                <w:sz w:val="20"/>
              </w:rPr>
            </w:pPr>
            <w:r w:rsidRPr="00B54051">
              <w:rPr>
                <w:rFonts w:eastAsia="Calibri"/>
                <w:sz w:val="20"/>
              </w:rPr>
              <w:t>January 21, 2011</w:t>
            </w:r>
          </w:p>
          <w:p w:rsidR="00E63030" w:rsidRPr="00B54051" w:rsidRDefault="00E63030" w:rsidP="00073A03">
            <w:pPr>
              <w:jc w:val="both"/>
              <w:rPr>
                <w:rFonts w:eastAsia="Calibri"/>
                <w:sz w:val="20"/>
              </w:rPr>
            </w:pPr>
            <w:r w:rsidRPr="00B54051">
              <w:rPr>
                <w:rFonts w:eastAsia="Calibri"/>
                <w:sz w:val="20"/>
              </w:rPr>
              <w:t>Supreme Court of Canada</w:t>
            </w: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Application for leave to appeal filed</w:t>
            </w:r>
          </w:p>
          <w:p w:rsidR="00E63030" w:rsidRPr="00B54051" w:rsidRDefault="00E63030" w:rsidP="00073A03">
            <w:pPr>
              <w:jc w:val="both"/>
              <w:rPr>
                <w:rFonts w:eastAsia="Calibri"/>
                <w:sz w:val="20"/>
              </w:rPr>
            </w:pPr>
          </w:p>
        </w:tc>
      </w:tr>
    </w:tbl>
    <w:p w:rsidR="00411CD6" w:rsidRPr="00E63030" w:rsidRDefault="00411CD6" w:rsidP="00411CD6">
      <w:pPr>
        <w:rPr>
          <w:sz w:val="20"/>
          <w:szCs w:val="20"/>
        </w:rPr>
      </w:pPr>
    </w:p>
    <w:p w:rsidR="00411CD6" w:rsidRDefault="008C2B81" w:rsidP="00411CD6">
      <w:pPr>
        <w:rPr>
          <w:sz w:val="20"/>
          <w:szCs w:val="20"/>
          <w:lang w:val="fr-CA"/>
        </w:rPr>
      </w:pPr>
      <w:r w:rsidRPr="008C2B81">
        <w:rPr>
          <w:sz w:val="20"/>
          <w:szCs w:val="20"/>
          <w:lang w:val="fr-CA"/>
        </w:rPr>
        <w:pict>
          <v:rect id="_x0000_i1047" style="width:2in;height:1pt" o:hrpct="0" o:hralign="center" o:hrstd="t" o:hrnoshade="t" o:hr="t" fillcolor="black [3213]" stroked="f"/>
        </w:pict>
      </w:r>
    </w:p>
    <w:p w:rsidR="00411CD6" w:rsidRDefault="00411CD6" w:rsidP="00411CD6">
      <w:pPr>
        <w:rPr>
          <w:sz w:val="20"/>
          <w:szCs w:val="20"/>
          <w:lang w:val="fr-CA"/>
        </w:rPr>
      </w:pPr>
    </w:p>
    <w:p w:rsidR="00411CD6" w:rsidRDefault="00411CD6" w:rsidP="00411CD6">
      <w:pPr>
        <w:rPr>
          <w:sz w:val="20"/>
          <w:szCs w:val="20"/>
          <w:lang w:val="fr-CA"/>
        </w:rPr>
      </w:pPr>
      <w:r>
        <w:rPr>
          <w:sz w:val="20"/>
          <w:szCs w:val="20"/>
          <w:u w:val="single"/>
          <w:lang w:val="fr-CA"/>
        </w:rPr>
        <w:t>RÉSUMÉ DE L’AFFAIRE</w:t>
      </w:r>
    </w:p>
    <w:p w:rsidR="00411CD6" w:rsidRDefault="00411CD6"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63030" w:rsidRPr="00B54051" w:rsidTr="00073A03">
        <w:tc>
          <w:tcPr>
            <w:tcW w:w="5000" w:type="pct"/>
            <w:gridSpan w:val="3"/>
          </w:tcPr>
          <w:p w:rsidR="00E63030" w:rsidRPr="00B54051" w:rsidRDefault="00E63030" w:rsidP="00073A03">
            <w:pPr>
              <w:jc w:val="both"/>
              <w:rPr>
                <w:rFonts w:eastAsia="Calibri"/>
                <w:sz w:val="20"/>
                <w:lang w:val="fr-CA"/>
              </w:rPr>
            </w:pPr>
            <w:r w:rsidRPr="00B54051">
              <w:rPr>
                <w:rFonts w:eastAsia="Calibri"/>
                <w:sz w:val="20"/>
                <w:lang w:val="fr-CA"/>
              </w:rPr>
              <w:t>Procédure civile — Appel — Rejet d’appel au motif qu’il ne présente aucune chance raisonnable de succès — Est</w:t>
            </w:r>
            <w:r w:rsidRPr="00B54051">
              <w:rPr>
                <w:rFonts w:eastAsia="Calibri"/>
                <w:sz w:val="20"/>
                <w:lang w:val="fr-CA"/>
              </w:rPr>
              <w:noBreakHyphen/>
              <w:t xml:space="preserve">ce à tort que la Cour d’appel a rejeté l’appel? — </w:t>
            </w:r>
            <w:r w:rsidRPr="00B54051">
              <w:rPr>
                <w:rFonts w:eastAsia="Calibri"/>
                <w:i/>
                <w:sz w:val="20"/>
                <w:lang w:val="fr-CA"/>
              </w:rPr>
              <w:t>Code de procédure civile</w:t>
            </w:r>
            <w:r w:rsidRPr="00B54051">
              <w:rPr>
                <w:rFonts w:eastAsia="Calibri"/>
                <w:sz w:val="20"/>
                <w:lang w:val="fr-CA"/>
              </w:rPr>
              <w:t>, L.R.Q. ch. C</w:t>
            </w:r>
            <w:r w:rsidRPr="00B54051">
              <w:rPr>
                <w:rFonts w:eastAsia="Calibri"/>
                <w:sz w:val="20"/>
                <w:lang w:val="fr-CA"/>
              </w:rPr>
              <w:noBreakHyphen/>
              <w:t>25, art. 501.</w:t>
            </w:r>
          </w:p>
          <w:p w:rsidR="00E63030" w:rsidRPr="00B54051" w:rsidRDefault="00E63030" w:rsidP="00073A03">
            <w:pPr>
              <w:jc w:val="both"/>
              <w:rPr>
                <w:rFonts w:eastAsia="Calibri"/>
                <w:sz w:val="20"/>
                <w:lang w:val="fr-CA"/>
              </w:rPr>
            </w:pPr>
          </w:p>
        </w:tc>
      </w:tr>
      <w:tr w:rsidR="00E63030" w:rsidRPr="00C50886" w:rsidTr="00073A03">
        <w:tc>
          <w:tcPr>
            <w:tcW w:w="5000" w:type="pct"/>
            <w:gridSpan w:val="3"/>
          </w:tcPr>
          <w:p w:rsidR="00E63030" w:rsidRPr="00B54051" w:rsidRDefault="00E63030" w:rsidP="00073A03">
            <w:pPr>
              <w:jc w:val="both"/>
              <w:rPr>
                <w:rFonts w:eastAsia="Calibri"/>
                <w:sz w:val="20"/>
                <w:lang w:val="fr-CA"/>
              </w:rPr>
            </w:pPr>
            <w:r w:rsidRPr="00B54051">
              <w:rPr>
                <w:rFonts w:eastAsia="Calibri"/>
                <w:sz w:val="20"/>
                <w:lang w:val="fr-CA"/>
              </w:rPr>
              <w:t>En 2003, le demandeur Gheorghe est accusé d’agression sexuelle, de voies de fait et de harcèlement criminel à l’égard de son ex</w:t>
            </w:r>
            <w:r w:rsidRPr="00B54051">
              <w:rPr>
                <w:rFonts w:eastAsia="Calibri"/>
                <w:sz w:val="20"/>
                <w:lang w:val="fr-CA"/>
              </w:rPr>
              <w:noBreakHyphen/>
              <w:t>épouse l’intimée Barlea.  En 2007, une juge de la Cour du Québec, siégeant sans jury, acquitte M. Gheorghe.  La juge affirme que, bien qu’elle ne croie pas la version des faits présentée par M. Gheorghe, un doute raisonnable subsiste.</w:t>
            </w:r>
          </w:p>
          <w:p w:rsidR="00E63030" w:rsidRPr="00B54051" w:rsidRDefault="00E63030" w:rsidP="00073A03">
            <w:pPr>
              <w:jc w:val="both"/>
              <w:rPr>
                <w:rFonts w:eastAsia="Calibri"/>
                <w:sz w:val="20"/>
                <w:lang w:val="fr-CA"/>
              </w:rPr>
            </w:pPr>
          </w:p>
          <w:p w:rsidR="00E63030" w:rsidRPr="00B54051" w:rsidRDefault="00E63030" w:rsidP="00073A03">
            <w:pPr>
              <w:jc w:val="both"/>
              <w:rPr>
                <w:rFonts w:eastAsia="Calibri"/>
                <w:sz w:val="20"/>
                <w:lang w:val="fr-CA"/>
              </w:rPr>
            </w:pPr>
            <w:r w:rsidRPr="00B54051">
              <w:rPr>
                <w:rFonts w:eastAsia="Calibri"/>
                <w:sz w:val="20"/>
                <w:lang w:val="fr-CA"/>
              </w:rPr>
              <w:t>En 2007, M. Gheorghe dépose une requête introductive d’instance contre Patrice Carrier, le policier intimé ayant procédé à son arrestation, la Ville de Montréal, employeur de ce dernier, ainsi que Mme Barlea, qui était la plaignante lors de l’instance criminelle.  M. Gheorghe réclame des dommages</w:t>
            </w:r>
            <w:r w:rsidRPr="00B54051">
              <w:rPr>
                <w:rFonts w:eastAsia="Calibri"/>
                <w:sz w:val="20"/>
                <w:lang w:val="fr-CA"/>
              </w:rPr>
              <w:noBreakHyphen/>
              <w:t>intérêts pour fausses accusations, arrestation injustifiée, détention abusive et dommages divers.</w:t>
            </w:r>
          </w:p>
          <w:p w:rsidR="00E63030" w:rsidRPr="00B54051" w:rsidRDefault="00E63030" w:rsidP="00073A03">
            <w:pPr>
              <w:jc w:val="both"/>
              <w:rPr>
                <w:rFonts w:eastAsia="Calibri"/>
                <w:sz w:val="20"/>
                <w:lang w:val="fr-CA"/>
              </w:rPr>
            </w:pPr>
          </w:p>
          <w:p w:rsidR="00E63030" w:rsidRPr="00B54051" w:rsidRDefault="00E63030" w:rsidP="00A15301">
            <w:pPr>
              <w:jc w:val="both"/>
              <w:rPr>
                <w:rFonts w:eastAsia="Calibri"/>
                <w:sz w:val="20"/>
                <w:lang w:val="fr-CA"/>
              </w:rPr>
            </w:pPr>
            <w:r w:rsidRPr="00B54051">
              <w:rPr>
                <w:rFonts w:eastAsia="Calibri"/>
                <w:sz w:val="20"/>
                <w:lang w:val="fr-CA"/>
              </w:rPr>
              <w:t>La Cour supérieure rejette la requête introductive d’instance.  Le juge Lefebvre conclut que M. Gheorghe n’a pas prouvé que Mme Barlea a porté de fausses accusations à son égard. Il conclut que, selon la norme de la prépondérance des probabilités, M. Gheorghe a effectivement commis les actes dont il a été accusé au criminel.  Quant à M. Carrier, le juge conclut que celui</w:t>
            </w:r>
            <w:r w:rsidRPr="00B54051">
              <w:rPr>
                <w:rFonts w:eastAsia="Calibri"/>
                <w:sz w:val="20"/>
                <w:lang w:val="fr-CA"/>
              </w:rPr>
              <w:noBreakHyphen/>
              <w:t>ci « n’a commis aucune faute à l’égard de [M. Gheorghe] tant au niveau de son arrestation que de sa détention » (par. 185), mais qu’il s’est plutôt comporté en policier raisonnable dans les circonstances.  La Cour d’appel du Québec accueille une requête en rejet d’appel et rejette l’appel au motif que selon elle, celui</w:t>
            </w:r>
            <w:r w:rsidRPr="00B54051">
              <w:rPr>
                <w:rFonts w:eastAsia="Calibri"/>
                <w:sz w:val="20"/>
                <w:lang w:val="fr-CA"/>
              </w:rPr>
              <w:noBreakHyphen/>
              <w:t>ci n’a aucune chance raisonnable de succès.</w:t>
            </w:r>
          </w:p>
        </w:tc>
      </w:tr>
      <w:tr w:rsidR="00E63030" w:rsidRPr="00B54051" w:rsidTr="00456777">
        <w:trPr>
          <w:cantSplit/>
        </w:trPr>
        <w:tc>
          <w:tcPr>
            <w:tcW w:w="2427" w:type="pct"/>
          </w:tcPr>
          <w:p w:rsidR="00E63030" w:rsidRPr="00B54051" w:rsidRDefault="00E63030" w:rsidP="00073A03">
            <w:pPr>
              <w:jc w:val="both"/>
              <w:rPr>
                <w:rFonts w:eastAsia="Calibri"/>
                <w:sz w:val="20"/>
                <w:lang w:val="fr-CA"/>
              </w:rPr>
            </w:pPr>
            <w:r w:rsidRPr="00B54051">
              <w:rPr>
                <w:rFonts w:eastAsia="Calibri"/>
                <w:sz w:val="20"/>
                <w:lang w:val="fr-CA"/>
              </w:rPr>
              <w:lastRenderedPageBreak/>
              <w:t>Le 25 mai 2010</w:t>
            </w:r>
          </w:p>
          <w:p w:rsidR="00E63030" w:rsidRPr="00B54051" w:rsidRDefault="00E63030" w:rsidP="00073A03">
            <w:pPr>
              <w:jc w:val="both"/>
              <w:rPr>
                <w:rFonts w:eastAsia="Calibri"/>
                <w:sz w:val="20"/>
                <w:lang w:val="fr-CA"/>
              </w:rPr>
            </w:pPr>
            <w:r w:rsidRPr="00B54051">
              <w:rPr>
                <w:rFonts w:eastAsia="Calibri"/>
                <w:sz w:val="20"/>
                <w:lang w:val="fr-CA"/>
              </w:rPr>
              <w:t>Cour supérieure du Québec</w:t>
            </w:r>
          </w:p>
          <w:p w:rsidR="00E63030" w:rsidRPr="00B54051" w:rsidRDefault="00E63030" w:rsidP="00073A03">
            <w:pPr>
              <w:jc w:val="both"/>
              <w:rPr>
                <w:rFonts w:eastAsia="Calibri"/>
                <w:sz w:val="20"/>
                <w:lang w:val="fr-CA"/>
              </w:rPr>
            </w:pPr>
            <w:r w:rsidRPr="00B54051">
              <w:rPr>
                <w:rFonts w:eastAsia="Calibri"/>
                <w:sz w:val="20"/>
                <w:lang w:val="fr-CA"/>
              </w:rPr>
              <w:t>(Le juge Lefebvre)</w:t>
            </w:r>
          </w:p>
          <w:p w:rsidR="00E63030" w:rsidRPr="00B54051" w:rsidRDefault="00E63030" w:rsidP="00073A03">
            <w:pPr>
              <w:jc w:val="both"/>
              <w:rPr>
                <w:rFonts w:eastAsia="Calibri"/>
                <w:sz w:val="20"/>
                <w:lang w:val="fr-CA"/>
              </w:rPr>
            </w:pPr>
            <w:r w:rsidRPr="00B54051">
              <w:rPr>
                <w:rFonts w:eastAsia="Calibri"/>
                <w:sz w:val="20"/>
                <w:lang w:val="fr-CA"/>
              </w:rPr>
              <w:t>2010 QCCS 2191</w:t>
            </w:r>
          </w:p>
          <w:p w:rsidR="00E63030" w:rsidRPr="00B54051" w:rsidRDefault="00E63030" w:rsidP="00073A03">
            <w:pPr>
              <w:jc w:val="both"/>
              <w:rPr>
                <w:rFonts w:eastAsia="Calibri"/>
                <w:sz w:val="20"/>
              </w:rPr>
            </w:pP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Requête introductive d'instance rejetée</w:t>
            </w:r>
          </w:p>
          <w:p w:rsidR="00E63030" w:rsidRPr="00B54051" w:rsidRDefault="00E63030" w:rsidP="00073A03">
            <w:pPr>
              <w:jc w:val="both"/>
              <w:rPr>
                <w:rFonts w:eastAsia="Calibri"/>
                <w:sz w:val="20"/>
                <w:lang w:val="fr-CA"/>
              </w:rPr>
            </w:pPr>
          </w:p>
        </w:tc>
      </w:tr>
      <w:tr w:rsidR="00E63030" w:rsidRPr="00C50886" w:rsidTr="00456777">
        <w:trPr>
          <w:cantSplit/>
        </w:trPr>
        <w:tc>
          <w:tcPr>
            <w:tcW w:w="2427" w:type="pct"/>
          </w:tcPr>
          <w:p w:rsidR="00E63030" w:rsidRPr="00B54051" w:rsidRDefault="00E63030" w:rsidP="00073A03">
            <w:pPr>
              <w:jc w:val="both"/>
              <w:rPr>
                <w:rFonts w:eastAsia="Calibri"/>
                <w:sz w:val="20"/>
                <w:lang w:val="fr-CA"/>
              </w:rPr>
            </w:pPr>
            <w:r w:rsidRPr="00B54051">
              <w:rPr>
                <w:rFonts w:eastAsia="Calibri"/>
                <w:sz w:val="20"/>
                <w:lang w:val="fr-CA"/>
              </w:rPr>
              <w:t>Le 24 novembre 2010</w:t>
            </w:r>
          </w:p>
          <w:p w:rsidR="00E63030" w:rsidRPr="00B54051" w:rsidRDefault="00E63030" w:rsidP="00073A03">
            <w:pPr>
              <w:jc w:val="both"/>
              <w:rPr>
                <w:rFonts w:eastAsia="Calibri"/>
                <w:sz w:val="20"/>
                <w:lang w:val="fr-CA"/>
              </w:rPr>
            </w:pPr>
            <w:r w:rsidRPr="00B54051">
              <w:rPr>
                <w:rFonts w:eastAsia="Calibri"/>
                <w:sz w:val="20"/>
                <w:lang w:val="fr-CA"/>
              </w:rPr>
              <w:t>Cour d’appel du Québec (Montréal)</w:t>
            </w:r>
          </w:p>
          <w:p w:rsidR="00E63030" w:rsidRPr="00B54051" w:rsidRDefault="00E63030" w:rsidP="00073A03">
            <w:pPr>
              <w:jc w:val="both"/>
              <w:rPr>
                <w:rFonts w:eastAsia="Calibri"/>
                <w:sz w:val="20"/>
                <w:lang w:val="fr-CA"/>
              </w:rPr>
            </w:pPr>
            <w:r w:rsidRPr="00B54051">
              <w:rPr>
                <w:rFonts w:eastAsia="Calibri"/>
                <w:sz w:val="20"/>
                <w:lang w:val="fr-CA"/>
              </w:rPr>
              <w:t>(Les juges Forget, Rochon et Dufresne)</w:t>
            </w:r>
          </w:p>
          <w:p w:rsidR="00E63030" w:rsidRPr="00B54051" w:rsidRDefault="00E63030" w:rsidP="00073A03">
            <w:pPr>
              <w:jc w:val="both"/>
              <w:rPr>
                <w:rFonts w:eastAsia="Calibri"/>
                <w:sz w:val="20"/>
                <w:lang w:val="fr-CA"/>
              </w:rPr>
            </w:pPr>
            <w:r w:rsidRPr="00B54051">
              <w:rPr>
                <w:rFonts w:eastAsia="Calibri"/>
                <w:sz w:val="20"/>
                <w:lang w:val="fr-CA"/>
              </w:rPr>
              <w:t>2010 QCCA 2153</w:t>
            </w:r>
          </w:p>
          <w:p w:rsidR="00E63030" w:rsidRPr="00B54051" w:rsidRDefault="00E63030" w:rsidP="00073A03">
            <w:pPr>
              <w:jc w:val="both"/>
              <w:rPr>
                <w:rFonts w:eastAsia="Calibri"/>
                <w:sz w:val="20"/>
              </w:rPr>
            </w:pP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Requête aux fins de déclarer l’appel abusif et dilatoire rejetée; requête en rejet d’appel accueillie; appel rejeté</w:t>
            </w:r>
          </w:p>
          <w:p w:rsidR="00E63030" w:rsidRPr="00B54051" w:rsidRDefault="00E63030" w:rsidP="00073A03">
            <w:pPr>
              <w:jc w:val="both"/>
              <w:rPr>
                <w:rFonts w:eastAsia="Calibri"/>
                <w:sz w:val="20"/>
                <w:lang w:val="fr-CA"/>
              </w:rPr>
            </w:pPr>
          </w:p>
        </w:tc>
      </w:tr>
      <w:tr w:rsidR="00E63030" w:rsidRPr="00B54051" w:rsidTr="00456777">
        <w:trPr>
          <w:cantSplit/>
        </w:trPr>
        <w:tc>
          <w:tcPr>
            <w:tcW w:w="2427" w:type="pct"/>
          </w:tcPr>
          <w:p w:rsidR="00E63030" w:rsidRPr="00B54051" w:rsidRDefault="00E63030" w:rsidP="00073A03">
            <w:pPr>
              <w:jc w:val="both"/>
              <w:rPr>
                <w:rFonts w:eastAsia="Calibri"/>
                <w:sz w:val="20"/>
                <w:lang w:val="fr-CA"/>
              </w:rPr>
            </w:pPr>
            <w:r w:rsidRPr="00B54051">
              <w:rPr>
                <w:rFonts w:eastAsia="Calibri"/>
                <w:sz w:val="20"/>
                <w:lang w:val="fr-CA"/>
              </w:rPr>
              <w:t>Le 21 janvier 2011</w:t>
            </w:r>
          </w:p>
          <w:p w:rsidR="00E63030" w:rsidRPr="00B54051" w:rsidRDefault="00E63030" w:rsidP="00073A03">
            <w:pPr>
              <w:jc w:val="both"/>
              <w:rPr>
                <w:rFonts w:eastAsia="Calibri"/>
                <w:sz w:val="20"/>
                <w:lang w:val="fr-CA"/>
              </w:rPr>
            </w:pPr>
            <w:r w:rsidRPr="00B54051">
              <w:rPr>
                <w:rFonts w:eastAsia="Calibri"/>
                <w:sz w:val="20"/>
                <w:lang w:val="fr-CA"/>
              </w:rPr>
              <w:t>Cour suprême du Canada</w:t>
            </w:r>
          </w:p>
        </w:tc>
        <w:tc>
          <w:tcPr>
            <w:tcW w:w="243" w:type="pct"/>
          </w:tcPr>
          <w:p w:rsidR="00E63030" w:rsidRPr="00B54051" w:rsidRDefault="00E63030" w:rsidP="00073A03">
            <w:pPr>
              <w:jc w:val="both"/>
              <w:rPr>
                <w:rFonts w:eastAsia="Calibri"/>
                <w:sz w:val="20"/>
                <w:lang w:val="fr-CA"/>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Demande d'autorisation d'appel déposée</w:t>
            </w:r>
          </w:p>
          <w:p w:rsidR="00E63030" w:rsidRPr="00B54051" w:rsidRDefault="00E63030" w:rsidP="00073A03">
            <w:pPr>
              <w:jc w:val="both"/>
              <w:rPr>
                <w:rFonts w:eastAsia="Calibri"/>
                <w:sz w:val="20"/>
                <w:lang w:val="fr-CA"/>
              </w:rPr>
            </w:pPr>
          </w:p>
        </w:tc>
      </w:tr>
    </w:tbl>
    <w:p w:rsidR="00411CD6" w:rsidRDefault="00411CD6" w:rsidP="00411CD6">
      <w:pPr>
        <w:rPr>
          <w:sz w:val="20"/>
          <w:szCs w:val="20"/>
          <w:lang w:val="fr-CA"/>
        </w:rPr>
      </w:pPr>
    </w:p>
    <w:p w:rsidR="00411CD6" w:rsidRDefault="008C2B81" w:rsidP="00411CD6">
      <w:pPr>
        <w:rPr>
          <w:sz w:val="20"/>
          <w:szCs w:val="20"/>
          <w:lang w:val="fr-CA"/>
        </w:rPr>
      </w:pPr>
      <w:r w:rsidRPr="008C2B81">
        <w:rPr>
          <w:sz w:val="20"/>
          <w:szCs w:val="20"/>
          <w:lang w:val="fr-CA"/>
        </w:rPr>
        <w:pict>
          <v:rect id="_x0000_i1048" style="width:2in;height:1pt" o:hrpct="0" o:hralign="center" o:hrstd="t" o:hrnoshade="t" o:hr="t" fillcolor="black [3213]" stroked="f"/>
        </w:pict>
      </w:r>
    </w:p>
    <w:p w:rsidR="00411CD6" w:rsidRPr="00453064" w:rsidRDefault="00411CD6" w:rsidP="00411C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8147C" w:rsidRPr="00E85700" w:rsidTr="000367EB">
        <w:trPr>
          <w:cantSplit/>
        </w:trPr>
        <w:tc>
          <w:tcPr>
            <w:tcW w:w="1458" w:type="dxa"/>
          </w:tcPr>
          <w:p w:rsidR="00F8147C" w:rsidRPr="00E85700" w:rsidRDefault="00F8147C" w:rsidP="000367EB">
            <w:pPr>
              <w:rPr>
                <w:rFonts w:cs="Times New Roman"/>
                <w:sz w:val="20"/>
                <w:szCs w:val="20"/>
              </w:rPr>
            </w:pPr>
            <w:r w:rsidRPr="00E85700">
              <w:rPr>
                <w:rStyle w:val="SCCFileNumberChar"/>
                <w:rFonts w:cs="Times New Roman"/>
                <w:sz w:val="20"/>
                <w:szCs w:val="20"/>
              </w:rPr>
              <w:t>34105</w:t>
            </w:r>
          </w:p>
          <w:p w:rsidR="00F8147C" w:rsidRPr="00E85700" w:rsidRDefault="00F8147C" w:rsidP="000367EB">
            <w:pPr>
              <w:rPr>
                <w:rFonts w:cs="Times New Roman"/>
                <w:b/>
                <w:sz w:val="20"/>
                <w:szCs w:val="20"/>
                <w:lang w:val="fr-CA"/>
              </w:rPr>
            </w:pPr>
          </w:p>
        </w:tc>
        <w:tc>
          <w:tcPr>
            <w:tcW w:w="8118" w:type="dxa"/>
          </w:tcPr>
          <w:p w:rsidR="00F8147C" w:rsidRPr="00E85700" w:rsidRDefault="00F8147C" w:rsidP="000367EB">
            <w:pPr>
              <w:jc w:val="both"/>
              <w:rPr>
                <w:rFonts w:cs="Times New Roman"/>
                <w:sz w:val="20"/>
                <w:szCs w:val="20"/>
              </w:rPr>
            </w:pPr>
            <w:r w:rsidRPr="00E85700">
              <w:rPr>
                <w:rStyle w:val="SCCLsocChar"/>
                <w:rFonts w:cs="Times New Roman"/>
                <w:sz w:val="20"/>
                <w:szCs w:val="20"/>
                <w:lang w:val="en-CA"/>
              </w:rPr>
              <w:t>Gary T. Clancy</w:t>
            </w:r>
            <w:r w:rsidR="00A15301">
              <w:rPr>
                <w:rStyle w:val="SCCLsocChar"/>
                <w:rFonts w:cs="Times New Roman"/>
                <w:sz w:val="20"/>
                <w:szCs w:val="20"/>
                <w:lang w:val="en-CA"/>
              </w:rPr>
              <w:t xml:space="preserve"> and</w:t>
            </w:r>
            <w:r w:rsidRPr="00E85700">
              <w:rPr>
                <w:rStyle w:val="SCCLsocChar"/>
                <w:rFonts w:cs="Times New Roman"/>
                <w:sz w:val="20"/>
                <w:szCs w:val="20"/>
                <w:lang w:val="en-CA"/>
              </w:rPr>
              <w:t xml:space="preserve"> G M Trucking v. Stanley Balemba, William Robertson, Scott Wilkes, Richard Vanderwoude, Ken Lang, Wayne Galloway and Tim Lappan</w:t>
            </w:r>
            <w:r w:rsidRPr="00E85700">
              <w:rPr>
                <w:rFonts w:cs="Times New Roman"/>
                <w:sz w:val="20"/>
                <w:szCs w:val="20"/>
              </w:rPr>
              <w:t xml:space="preserve"> (Ont.) (Civil) (By</w:t>
            </w:r>
            <w:r w:rsidR="00A15301">
              <w:rPr>
                <w:rFonts w:cs="Times New Roman"/>
                <w:sz w:val="20"/>
                <w:szCs w:val="20"/>
                <w:lang w:val="fr-CA"/>
              </w:rPr>
              <w:t> </w:t>
            </w:r>
            <w:r w:rsidRPr="00E85700">
              <w:rPr>
                <w:rFonts w:cs="Times New Roman"/>
                <w:sz w:val="20"/>
                <w:szCs w:val="20"/>
              </w:rPr>
              <w:t>Leave)</w:t>
            </w:r>
          </w:p>
          <w:p w:rsidR="00F8147C" w:rsidRPr="00E85700" w:rsidRDefault="00F8147C" w:rsidP="000367EB">
            <w:pPr>
              <w:rPr>
                <w:rFonts w:cs="Times New Roman"/>
                <w:sz w:val="20"/>
                <w:szCs w:val="20"/>
              </w:rPr>
            </w:pPr>
          </w:p>
        </w:tc>
      </w:tr>
      <w:tr w:rsidR="00F8147C" w:rsidRPr="00E85700" w:rsidTr="000367EB">
        <w:trPr>
          <w:cantSplit/>
        </w:trPr>
        <w:tc>
          <w:tcPr>
            <w:tcW w:w="1458" w:type="dxa"/>
          </w:tcPr>
          <w:p w:rsidR="00F8147C" w:rsidRPr="00E85700" w:rsidRDefault="00F8147C" w:rsidP="000367EB">
            <w:pPr>
              <w:rPr>
                <w:rFonts w:cs="Times New Roman"/>
                <w:sz w:val="20"/>
                <w:szCs w:val="20"/>
              </w:rPr>
            </w:pPr>
            <w:r w:rsidRPr="00E85700">
              <w:rPr>
                <w:rFonts w:cs="Times New Roman"/>
                <w:sz w:val="20"/>
                <w:szCs w:val="20"/>
              </w:rPr>
              <w:t>Coram :</w:t>
            </w:r>
          </w:p>
        </w:tc>
        <w:tc>
          <w:tcPr>
            <w:tcW w:w="8118" w:type="dxa"/>
          </w:tcPr>
          <w:p w:rsidR="00F8147C" w:rsidRPr="00E85700" w:rsidRDefault="00F8147C" w:rsidP="000367EB">
            <w:pPr>
              <w:rPr>
                <w:rFonts w:cs="Times New Roman"/>
                <w:sz w:val="20"/>
                <w:szCs w:val="20"/>
              </w:rPr>
            </w:pPr>
            <w:r w:rsidRPr="00E85700">
              <w:rPr>
                <w:rStyle w:val="SCCCoramChar"/>
                <w:rFonts w:cs="Times New Roman"/>
                <w:sz w:val="20"/>
                <w:szCs w:val="20"/>
                <w:lang w:val="en-CA"/>
              </w:rPr>
              <w:t>McLachlin C.J. and Deschamps and Charron JJ.</w:t>
            </w:r>
          </w:p>
          <w:p w:rsidR="00F8147C" w:rsidRPr="00E85700" w:rsidRDefault="00F8147C" w:rsidP="000367EB">
            <w:pPr>
              <w:rPr>
                <w:rFonts w:cs="Times New Roman"/>
                <w:sz w:val="20"/>
                <w:szCs w:val="20"/>
                <w:u w:val="single"/>
              </w:rPr>
            </w:pPr>
          </w:p>
        </w:tc>
      </w:tr>
      <w:tr w:rsidR="00F8147C" w:rsidRPr="00C50886" w:rsidTr="000367EB">
        <w:trPr>
          <w:cantSplit/>
        </w:trPr>
        <w:tc>
          <w:tcPr>
            <w:tcW w:w="9576" w:type="dxa"/>
            <w:gridSpan w:val="2"/>
          </w:tcPr>
          <w:p w:rsidR="00F8147C" w:rsidRPr="00E85700" w:rsidRDefault="00F8147C" w:rsidP="000367EB">
            <w:pPr>
              <w:pStyle w:val="SCCShortJudgment"/>
              <w:rPr>
                <w:rFonts w:cs="Times New Roman"/>
                <w:szCs w:val="20"/>
              </w:rPr>
            </w:pPr>
            <w:r w:rsidRPr="00E85700">
              <w:rPr>
                <w:rFonts w:cs="Times New Roman"/>
                <w:szCs w:val="20"/>
              </w:rPr>
              <w:t>The motion to hold in abeyance the application for leave to appeal is dismissed without costs.  The application for leave to appeal from the judgment of the Court of Appeal for Ontario, Numbers M38837, M39006 and M39075, 2010 ONCA 837, dated November 26, 2010, is dismissed without costs.</w:t>
            </w:r>
          </w:p>
          <w:p w:rsidR="00F8147C" w:rsidRPr="00E85700" w:rsidRDefault="00F8147C" w:rsidP="000367EB">
            <w:pPr>
              <w:pStyle w:val="SCCShortJudgment"/>
              <w:ind w:firstLine="0"/>
              <w:rPr>
                <w:rFonts w:cs="Times New Roman"/>
                <w:szCs w:val="20"/>
              </w:rPr>
            </w:pPr>
          </w:p>
          <w:p w:rsidR="00F8147C" w:rsidRPr="00E85700" w:rsidRDefault="00F8147C" w:rsidP="000367EB">
            <w:pPr>
              <w:pStyle w:val="SCCShortJudgment"/>
              <w:rPr>
                <w:rFonts w:cs="Times New Roman"/>
                <w:szCs w:val="20"/>
                <w:lang w:val="fr-CA"/>
              </w:rPr>
            </w:pPr>
            <w:r w:rsidRPr="00E85700">
              <w:rPr>
                <w:rFonts w:cs="Times New Roman"/>
                <w:szCs w:val="20"/>
                <w:lang w:val="fr-CA"/>
              </w:rPr>
              <w:t>La requête en suspension de la demande d’autorisation d’appel est rejetée sans dépens. La demande d’autorisation d’appel de l’arrêt de la Cour d’appel de l’Ontario, numéros M38837, M39006 et M39075, 2010 ONCA 837, daté du 26 novembre 2010, est rejetée sans dépens.</w:t>
            </w:r>
          </w:p>
        </w:tc>
      </w:tr>
    </w:tbl>
    <w:p w:rsidR="00456777" w:rsidRDefault="00456777" w:rsidP="008D292F">
      <w:pPr>
        <w:rPr>
          <w:sz w:val="20"/>
          <w:szCs w:val="20"/>
          <w:lang w:val="fr-CA"/>
        </w:rPr>
      </w:pPr>
    </w:p>
    <w:p w:rsidR="00411CD6" w:rsidRPr="00453064" w:rsidRDefault="00411CD6" w:rsidP="00411CD6">
      <w:pPr>
        <w:rPr>
          <w:sz w:val="20"/>
          <w:szCs w:val="20"/>
          <w:lang w:val="fr-CA"/>
        </w:rPr>
      </w:pPr>
      <w:r>
        <w:rPr>
          <w:sz w:val="20"/>
          <w:szCs w:val="20"/>
          <w:u w:val="single"/>
          <w:lang w:val="fr-CA"/>
        </w:rPr>
        <w:t>CASE SUMMARY</w:t>
      </w:r>
    </w:p>
    <w:p w:rsidR="00411CD6" w:rsidRDefault="00411CD6"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63030" w:rsidRPr="00B54051" w:rsidTr="00073A03">
        <w:tc>
          <w:tcPr>
            <w:tcW w:w="5000" w:type="pct"/>
            <w:gridSpan w:val="3"/>
          </w:tcPr>
          <w:p w:rsidR="00E63030" w:rsidRPr="00B54051" w:rsidRDefault="00E63030" w:rsidP="00073A03">
            <w:pPr>
              <w:jc w:val="both"/>
              <w:rPr>
                <w:rFonts w:eastAsia="Calibri"/>
                <w:sz w:val="20"/>
              </w:rPr>
            </w:pPr>
            <w:r w:rsidRPr="00B54051">
              <w:rPr>
                <w:rFonts w:eastAsia="Calibri"/>
                <w:sz w:val="20"/>
              </w:rPr>
              <w:t>Civil procedure — Appeals — Extension of time — Applicants’ original action struck for being frivolous and vexatious and not disclosing a reasonable cause of action — Notice of Appeal not pursued until more than 18 months after expiration of time to appeal — Whether the Court of Appeal erred in dismissing the applicants’ “motion for review” — Whether the Court of Appeal should have extended the time to appeal.</w:t>
            </w:r>
          </w:p>
          <w:p w:rsidR="00E63030" w:rsidRPr="00B54051" w:rsidRDefault="00E63030" w:rsidP="00073A03">
            <w:pPr>
              <w:jc w:val="both"/>
              <w:rPr>
                <w:rFonts w:eastAsia="Calibri"/>
                <w:sz w:val="20"/>
              </w:rPr>
            </w:pPr>
          </w:p>
        </w:tc>
      </w:tr>
      <w:tr w:rsidR="00E63030" w:rsidRPr="00B54051" w:rsidTr="00073A03">
        <w:tc>
          <w:tcPr>
            <w:tcW w:w="5000" w:type="pct"/>
            <w:gridSpan w:val="3"/>
          </w:tcPr>
          <w:p w:rsidR="00E63030" w:rsidRPr="00B54051" w:rsidRDefault="00E63030" w:rsidP="00073A03">
            <w:pPr>
              <w:jc w:val="both"/>
              <w:rPr>
                <w:rFonts w:eastAsia="Calibri"/>
                <w:sz w:val="20"/>
              </w:rPr>
            </w:pPr>
            <w:r w:rsidRPr="00B54051">
              <w:rPr>
                <w:rFonts w:eastAsia="Calibri"/>
                <w:sz w:val="20"/>
              </w:rPr>
              <w:t>The applicants seek leave to appeal from a decision of the Ontario Court of Appeal dismissing their “motion for review”.  This motion stemmed from two previous decisions of judges of the Court of Appeal (1) one decision refusing them an extension of time to bring an appeal and (2) the other dismissing a motion for determination of questions of law for lack of jurisdiction.</w:t>
            </w:r>
          </w:p>
          <w:p w:rsidR="00E63030" w:rsidRPr="00B54051" w:rsidRDefault="00E63030" w:rsidP="00073A03">
            <w:pPr>
              <w:jc w:val="both"/>
              <w:rPr>
                <w:rFonts w:eastAsia="Calibri"/>
                <w:sz w:val="20"/>
              </w:rPr>
            </w:pPr>
          </w:p>
          <w:p w:rsidR="00E63030" w:rsidRPr="00B54051" w:rsidRDefault="00E63030" w:rsidP="00073A03">
            <w:pPr>
              <w:jc w:val="both"/>
              <w:rPr>
                <w:rFonts w:eastAsia="Calibri"/>
                <w:sz w:val="20"/>
              </w:rPr>
            </w:pPr>
            <w:r w:rsidRPr="00B54051">
              <w:rPr>
                <w:rFonts w:eastAsia="Calibri"/>
                <w:sz w:val="20"/>
              </w:rPr>
              <w:t>The applicants began to pursue their appeal more than 18 months late.  The original action at the Ontario Superior Court was struck for being frivolous and vexatious, an abuse of process, and not disclosing a cause of action.  In dismissing the “motion for review”, the Court of Appeal agreed with this assessment.</w:t>
            </w:r>
          </w:p>
          <w:p w:rsidR="00E63030" w:rsidRPr="00B54051" w:rsidRDefault="00E63030" w:rsidP="00073A03">
            <w:pPr>
              <w:jc w:val="both"/>
              <w:rPr>
                <w:rFonts w:eastAsia="Calibri"/>
                <w:sz w:val="20"/>
              </w:rPr>
            </w:pPr>
          </w:p>
        </w:tc>
      </w:tr>
      <w:tr w:rsidR="00E63030" w:rsidRPr="00B54051" w:rsidTr="00073A03">
        <w:tc>
          <w:tcPr>
            <w:tcW w:w="2427" w:type="pct"/>
          </w:tcPr>
          <w:p w:rsidR="00E63030" w:rsidRPr="00B54051" w:rsidRDefault="00E63030" w:rsidP="00073A03">
            <w:pPr>
              <w:jc w:val="both"/>
              <w:rPr>
                <w:rFonts w:eastAsia="Calibri"/>
                <w:sz w:val="20"/>
              </w:rPr>
            </w:pPr>
            <w:r w:rsidRPr="00B54051">
              <w:rPr>
                <w:rFonts w:eastAsia="Calibri"/>
                <w:sz w:val="20"/>
              </w:rPr>
              <w:t>August 7, 2008</w:t>
            </w:r>
          </w:p>
          <w:p w:rsidR="00E63030" w:rsidRPr="00B54051" w:rsidRDefault="00E63030" w:rsidP="00073A03">
            <w:pPr>
              <w:jc w:val="both"/>
              <w:rPr>
                <w:rFonts w:eastAsia="Calibri"/>
                <w:sz w:val="20"/>
              </w:rPr>
            </w:pPr>
            <w:r w:rsidRPr="00B54051">
              <w:rPr>
                <w:rFonts w:eastAsia="Calibri"/>
                <w:sz w:val="20"/>
              </w:rPr>
              <w:t>Ontario Superior Court of Justice</w:t>
            </w:r>
          </w:p>
          <w:p w:rsidR="00E63030" w:rsidRPr="00B54051" w:rsidRDefault="00E63030" w:rsidP="00073A03">
            <w:pPr>
              <w:jc w:val="both"/>
              <w:rPr>
                <w:rFonts w:eastAsia="Calibri"/>
                <w:sz w:val="20"/>
              </w:rPr>
            </w:pPr>
            <w:r w:rsidRPr="00B54051">
              <w:rPr>
                <w:rFonts w:eastAsia="Calibri"/>
                <w:sz w:val="20"/>
              </w:rPr>
              <w:t>(Quigley J.)</w:t>
            </w:r>
          </w:p>
          <w:p w:rsidR="00E63030" w:rsidRPr="00B54051" w:rsidRDefault="00E63030" w:rsidP="00073A03">
            <w:pPr>
              <w:jc w:val="both"/>
              <w:rPr>
                <w:rFonts w:eastAsia="Calibri"/>
                <w:sz w:val="20"/>
              </w:rPr>
            </w:pPr>
            <w:r w:rsidRPr="00B54051">
              <w:rPr>
                <w:rFonts w:eastAsia="Calibri"/>
                <w:sz w:val="20"/>
              </w:rPr>
              <w:t>2008 CanLII 39437</w:t>
            </w:r>
          </w:p>
          <w:p w:rsidR="00E63030" w:rsidRPr="00B54051" w:rsidRDefault="00E63030" w:rsidP="00073A03">
            <w:pPr>
              <w:jc w:val="both"/>
              <w:rPr>
                <w:rFonts w:eastAsia="Calibri"/>
                <w:sz w:val="20"/>
              </w:rPr>
            </w:pP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Respondents’ motion to strike granted; action dismissed</w:t>
            </w:r>
          </w:p>
          <w:p w:rsidR="00E63030" w:rsidRPr="00B54051" w:rsidRDefault="00E63030" w:rsidP="00073A03">
            <w:pPr>
              <w:jc w:val="both"/>
              <w:rPr>
                <w:rFonts w:eastAsia="Calibri"/>
                <w:sz w:val="20"/>
              </w:rPr>
            </w:pPr>
          </w:p>
        </w:tc>
      </w:tr>
      <w:tr w:rsidR="00E63030" w:rsidRPr="00B54051" w:rsidTr="00073A03">
        <w:tc>
          <w:tcPr>
            <w:tcW w:w="2427" w:type="pct"/>
          </w:tcPr>
          <w:p w:rsidR="00E63030" w:rsidRPr="00B54051" w:rsidRDefault="00E63030" w:rsidP="00073A03">
            <w:pPr>
              <w:jc w:val="both"/>
              <w:rPr>
                <w:rFonts w:eastAsia="Calibri"/>
                <w:sz w:val="20"/>
              </w:rPr>
            </w:pPr>
            <w:r w:rsidRPr="00B54051">
              <w:rPr>
                <w:rFonts w:eastAsia="Calibri"/>
                <w:sz w:val="20"/>
              </w:rPr>
              <w:lastRenderedPageBreak/>
              <w:t>July 14, 2010</w:t>
            </w:r>
          </w:p>
          <w:p w:rsidR="00E63030" w:rsidRPr="00B54051" w:rsidRDefault="00E63030" w:rsidP="00073A03">
            <w:pPr>
              <w:jc w:val="both"/>
              <w:rPr>
                <w:rFonts w:eastAsia="Calibri"/>
                <w:sz w:val="20"/>
              </w:rPr>
            </w:pPr>
            <w:r w:rsidRPr="00B54051">
              <w:rPr>
                <w:rFonts w:eastAsia="Calibri"/>
                <w:sz w:val="20"/>
              </w:rPr>
              <w:t>Court of Appeal for Ontario</w:t>
            </w:r>
          </w:p>
          <w:p w:rsidR="00E63030" w:rsidRPr="00B54051" w:rsidRDefault="00E63030" w:rsidP="00073A03">
            <w:pPr>
              <w:jc w:val="both"/>
              <w:rPr>
                <w:rFonts w:eastAsia="Calibri"/>
                <w:sz w:val="20"/>
              </w:rPr>
            </w:pPr>
            <w:r w:rsidRPr="00B54051">
              <w:rPr>
                <w:rFonts w:eastAsia="Calibri"/>
                <w:sz w:val="20"/>
              </w:rPr>
              <w:t>(Juriansz J.A.)</w:t>
            </w:r>
          </w:p>
          <w:p w:rsidR="00E63030" w:rsidRPr="00B54051" w:rsidRDefault="00E63030" w:rsidP="00073A03">
            <w:pPr>
              <w:jc w:val="both"/>
              <w:rPr>
                <w:rFonts w:eastAsia="Calibri"/>
                <w:sz w:val="20"/>
              </w:rPr>
            </w:pP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Adjournment refused; motion to extend the time to appeal dismissed</w:t>
            </w:r>
          </w:p>
        </w:tc>
      </w:tr>
      <w:tr w:rsidR="00E63030" w:rsidRPr="00B54051" w:rsidTr="00073A03">
        <w:tc>
          <w:tcPr>
            <w:tcW w:w="2427" w:type="pct"/>
          </w:tcPr>
          <w:p w:rsidR="00E63030" w:rsidRPr="00B54051" w:rsidRDefault="00E63030" w:rsidP="00073A03">
            <w:pPr>
              <w:jc w:val="both"/>
              <w:rPr>
                <w:rFonts w:eastAsia="Calibri"/>
                <w:sz w:val="20"/>
              </w:rPr>
            </w:pPr>
            <w:r w:rsidRPr="00B54051">
              <w:rPr>
                <w:rFonts w:eastAsia="Calibri"/>
                <w:sz w:val="20"/>
              </w:rPr>
              <w:t>August 24, 2010</w:t>
            </w:r>
          </w:p>
          <w:p w:rsidR="00E63030" w:rsidRPr="00B54051" w:rsidRDefault="00E63030" w:rsidP="00073A03">
            <w:pPr>
              <w:jc w:val="both"/>
              <w:rPr>
                <w:rFonts w:eastAsia="Calibri"/>
                <w:sz w:val="20"/>
              </w:rPr>
            </w:pPr>
            <w:r w:rsidRPr="00B54051">
              <w:rPr>
                <w:rFonts w:eastAsia="Calibri"/>
                <w:sz w:val="20"/>
              </w:rPr>
              <w:t>Court of Appeal for Ontario</w:t>
            </w:r>
          </w:p>
          <w:p w:rsidR="00E63030" w:rsidRPr="00B54051" w:rsidRDefault="00E63030" w:rsidP="00073A03">
            <w:pPr>
              <w:jc w:val="both"/>
              <w:rPr>
                <w:rFonts w:eastAsia="Calibri"/>
                <w:sz w:val="20"/>
              </w:rPr>
            </w:pPr>
            <w:r w:rsidRPr="00B54051">
              <w:rPr>
                <w:rFonts w:eastAsia="Calibri"/>
                <w:sz w:val="20"/>
              </w:rPr>
              <w:t>(Watt J.A.)</w:t>
            </w:r>
          </w:p>
          <w:p w:rsidR="00E63030" w:rsidRPr="00B54051" w:rsidRDefault="00E63030" w:rsidP="00073A03">
            <w:pPr>
              <w:jc w:val="both"/>
              <w:rPr>
                <w:rFonts w:eastAsia="Calibri"/>
                <w:sz w:val="20"/>
              </w:rPr>
            </w:pP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Motion for determination of questions of law dismissed for lack of jurisdiction</w:t>
            </w:r>
          </w:p>
        </w:tc>
      </w:tr>
      <w:tr w:rsidR="00E63030" w:rsidRPr="00B54051" w:rsidTr="00073A03">
        <w:tc>
          <w:tcPr>
            <w:tcW w:w="2427" w:type="pct"/>
          </w:tcPr>
          <w:p w:rsidR="00E63030" w:rsidRPr="00B54051" w:rsidRDefault="00E63030" w:rsidP="00073A03">
            <w:pPr>
              <w:jc w:val="both"/>
              <w:rPr>
                <w:rFonts w:eastAsia="Calibri"/>
                <w:sz w:val="20"/>
              </w:rPr>
            </w:pPr>
            <w:r w:rsidRPr="00B54051">
              <w:rPr>
                <w:rFonts w:eastAsia="Calibri"/>
                <w:sz w:val="20"/>
              </w:rPr>
              <w:t>November 26, 2010</w:t>
            </w:r>
          </w:p>
          <w:p w:rsidR="00E63030" w:rsidRPr="00B54051" w:rsidRDefault="00E63030" w:rsidP="00073A03">
            <w:pPr>
              <w:jc w:val="both"/>
              <w:rPr>
                <w:rFonts w:eastAsia="Calibri"/>
                <w:sz w:val="20"/>
              </w:rPr>
            </w:pPr>
            <w:r w:rsidRPr="00B54051">
              <w:rPr>
                <w:rFonts w:eastAsia="Calibri"/>
                <w:sz w:val="20"/>
              </w:rPr>
              <w:t>Court of Appeal for Ontario</w:t>
            </w:r>
          </w:p>
          <w:p w:rsidR="00E63030" w:rsidRPr="00B54051" w:rsidRDefault="00E63030" w:rsidP="00073A03">
            <w:pPr>
              <w:jc w:val="both"/>
              <w:rPr>
                <w:rFonts w:eastAsia="Calibri"/>
                <w:sz w:val="20"/>
              </w:rPr>
            </w:pPr>
            <w:r w:rsidRPr="00B54051">
              <w:rPr>
                <w:rFonts w:eastAsia="Calibri"/>
                <w:sz w:val="20"/>
              </w:rPr>
              <w:t>(Simmons, Cronk and MacFarland JJ.A.)</w:t>
            </w:r>
          </w:p>
          <w:p w:rsidR="00E63030" w:rsidRPr="00B54051" w:rsidRDefault="00E63030" w:rsidP="00073A03">
            <w:pPr>
              <w:jc w:val="both"/>
              <w:rPr>
                <w:rFonts w:eastAsia="Calibri"/>
                <w:sz w:val="20"/>
              </w:rPr>
            </w:pPr>
            <w:r w:rsidRPr="00B54051">
              <w:rPr>
                <w:rFonts w:eastAsia="Calibri"/>
                <w:sz w:val="20"/>
              </w:rPr>
              <w:t>2010 ONCA 837</w:t>
            </w:r>
          </w:p>
          <w:p w:rsidR="00E63030" w:rsidRPr="00B54051" w:rsidRDefault="00E63030" w:rsidP="00073A03">
            <w:pPr>
              <w:jc w:val="both"/>
              <w:rPr>
                <w:rFonts w:eastAsia="Calibri"/>
                <w:sz w:val="20"/>
              </w:rPr>
            </w:pP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Motion for review dismissed</w:t>
            </w:r>
          </w:p>
          <w:p w:rsidR="00E63030" w:rsidRPr="00B54051" w:rsidRDefault="00E63030" w:rsidP="00073A03">
            <w:pPr>
              <w:jc w:val="both"/>
              <w:rPr>
                <w:rFonts w:eastAsia="Calibri"/>
                <w:sz w:val="20"/>
              </w:rPr>
            </w:pPr>
          </w:p>
        </w:tc>
      </w:tr>
      <w:tr w:rsidR="00E63030" w:rsidRPr="00B54051" w:rsidTr="00073A03">
        <w:tc>
          <w:tcPr>
            <w:tcW w:w="2427" w:type="pct"/>
          </w:tcPr>
          <w:p w:rsidR="00E63030" w:rsidRPr="00B54051" w:rsidRDefault="00E63030" w:rsidP="00073A03">
            <w:pPr>
              <w:jc w:val="both"/>
              <w:rPr>
                <w:rFonts w:eastAsia="Calibri"/>
                <w:sz w:val="20"/>
              </w:rPr>
            </w:pPr>
            <w:r w:rsidRPr="00B54051">
              <w:rPr>
                <w:rFonts w:eastAsia="Calibri"/>
                <w:sz w:val="20"/>
              </w:rPr>
              <w:t>January 24, 2011</w:t>
            </w:r>
          </w:p>
          <w:p w:rsidR="00E63030" w:rsidRPr="00B54051" w:rsidRDefault="00E63030" w:rsidP="00073A03">
            <w:pPr>
              <w:jc w:val="both"/>
              <w:rPr>
                <w:rFonts w:eastAsia="Calibri"/>
                <w:sz w:val="20"/>
              </w:rPr>
            </w:pPr>
            <w:r w:rsidRPr="00B54051">
              <w:rPr>
                <w:rFonts w:eastAsia="Calibri"/>
                <w:sz w:val="20"/>
              </w:rPr>
              <w:t>Supreme Court of Canada</w:t>
            </w: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Application for leave to appeal filed</w:t>
            </w:r>
          </w:p>
          <w:p w:rsidR="00E63030" w:rsidRPr="00B54051" w:rsidRDefault="00E63030" w:rsidP="00073A03">
            <w:pPr>
              <w:jc w:val="both"/>
              <w:rPr>
                <w:rFonts w:eastAsia="Calibri"/>
                <w:sz w:val="20"/>
              </w:rPr>
            </w:pPr>
          </w:p>
        </w:tc>
      </w:tr>
    </w:tbl>
    <w:p w:rsidR="00411CD6" w:rsidRPr="00E63030" w:rsidRDefault="00411CD6" w:rsidP="00411CD6">
      <w:pPr>
        <w:rPr>
          <w:sz w:val="20"/>
          <w:szCs w:val="20"/>
        </w:rPr>
      </w:pPr>
    </w:p>
    <w:p w:rsidR="00411CD6" w:rsidRDefault="008C2B81" w:rsidP="00411CD6">
      <w:pPr>
        <w:rPr>
          <w:sz w:val="20"/>
          <w:szCs w:val="20"/>
          <w:lang w:val="fr-CA"/>
        </w:rPr>
      </w:pPr>
      <w:r w:rsidRPr="008C2B81">
        <w:rPr>
          <w:sz w:val="20"/>
          <w:szCs w:val="20"/>
          <w:lang w:val="fr-CA"/>
        </w:rPr>
        <w:pict>
          <v:rect id="_x0000_i1049" style="width:2in;height:1pt" o:hrpct="0" o:hralign="center" o:hrstd="t" o:hrnoshade="t" o:hr="t" fillcolor="black [3213]" stroked="f"/>
        </w:pict>
      </w:r>
    </w:p>
    <w:p w:rsidR="00411CD6" w:rsidRDefault="00411CD6" w:rsidP="00411CD6">
      <w:pPr>
        <w:rPr>
          <w:sz w:val="20"/>
          <w:szCs w:val="20"/>
          <w:lang w:val="fr-CA"/>
        </w:rPr>
      </w:pPr>
    </w:p>
    <w:p w:rsidR="00411CD6" w:rsidRDefault="00411CD6" w:rsidP="00411CD6">
      <w:pPr>
        <w:rPr>
          <w:sz w:val="20"/>
          <w:szCs w:val="20"/>
          <w:lang w:val="fr-CA"/>
        </w:rPr>
      </w:pPr>
      <w:r>
        <w:rPr>
          <w:sz w:val="20"/>
          <w:szCs w:val="20"/>
          <w:u w:val="single"/>
          <w:lang w:val="fr-CA"/>
        </w:rPr>
        <w:t>RÉSUMÉ DE L’AFFAIRE</w:t>
      </w:r>
    </w:p>
    <w:p w:rsidR="00411CD6" w:rsidRDefault="00411CD6" w:rsidP="00411CD6">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E63030" w:rsidRPr="00C50886" w:rsidTr="00073A03">
        <w:tc>
          <w:tcPr>
            <w:tcW w:w="5000" w:type="pct"/>
            <w:gridSpan w:val="3"/>
          </w:tcPr>
          <w:p w:rsidR="00E63030" w:rsidRPr="00B54051" w:rsidRDefault="00E63030" w:rsidP="00073A03">
            <w:pPr>
              <w:jc w:val="both"/>
              <w:rPr>
                <w:rFonts w:eastAsia="Calibri"/>
                <w:sz w:val="20"/>
                <w:lang w:val="fr-CA"/>
              </w:rPr>
            </w:pPr>
            <w:r w:rsidRPr="00B54051">
              <w:rPr>
                <w:rFonts w:eastAsia="Calibri"/>
                <w:sz w:val="20"/>
                <w:lang w:val="fr-CA"/>
              </w:rPr>
              <w:t xml:space="preserve">Procédure civile — Appels — Prorogation de délai — L’action initiale des demandeurs a été radiée parce qu’elle était frivole et vexatoire et qu’elle ne </w:t>
            </w:r>
            <w:r w:rsidRPr="00B54051">
              <w:rPr>
                <w:rFonts w:eastAsia="Calibri"/>
                <w:color w:val="000000"/>
                <w:sz w:val="20"/>
                <w:lang w:val="fr-FR"/>
              </w:rPr>
              <w:t>révélait aucune cause d’action fondée</w:t>
            </w:r>
            <w:r w:rsidRPr="00B54051">
              <w:rPr>
                <w:rFonts w:eastAsia="Calibri"/>
                <w:sz w:val="20"/>
                <w:lang w:val="fr-CA"/>
              </w:rPr>
              <w:t xml:space="preserve"> — L’avis d’appel a été déposé plus de 18 mois après l’expiration du délai d’appel — La Cour d’appel a-t-elle eu tort de rejeter la « motion en révision » des demandeurs? — La Cour d’appel aurait-elle dû proroger le délai d’appel?</w:t>
            </w:r>
          </w:p>
          <w:p w:rsidR="00E63030" w:rsidRPr="00B54051" w:rsidRDefault="00E63030" w:rsidP="00073A03">
            <w:pPr>
              <w:jc w:val="both"/>
              <w:rPr>
                <w:rFonts w:eastAsia="Calibri"/>
                <w:sz w:val="20"/>
                <w:lang w:val="fr-CA"/>
              </w:rPr>
            </w:pPr>
          </w:p>
        </w:tc>
      </w:tr>
      <w:tr w:rsidR="00E63030" w:rsidRPr="00C50886" w:rsidTr="00073A03">
        <w:tc>
          <w:tcPr>
            <w:tcW w:w="5000" w:type="pct"/>
            <w:gridSpan w:val="3"/>
          </w:tcPr>
          <w:p w:rsidR="00E63030" w:rsidRPr="00B54051" w:rsidRDefault="00E63030" w:rsidP="00073A03">
            <w:pPr>
              <w:jc w:val="both"/>
              <w:rPr>
                <w:rFonts w:eastAsia="Calibri"/>
                <w:sz w:val="20"/>
                <w:lang w:val="fr-CA"/>
              </w:rPr>
            </w:pPr>
            <w:r w:rsidRPr="00B54051">
              <w:rPr>
                <w:rFonts w:eastAsia="Calibri"/>
                <w:sz w:val="20"/>
                <w:lang w:val="fr-CA"/>
              </w:rPr>
              <w:t>Les demandeurs demandent l’autorisation d’appel d’une décision de la Cour d’appel de l’Ontario qui a rejeté leur « motion en révision ».  La présente motion découle de deux décisions précédentes de juges de la Cour d’appel, c’est-à-dire (1) une décision qui leur a refusé une prorogation du délai d’appel (2) une autre décision rejetant une motion soulevant des questions de droit pour défaut de compétence.</w:t>
            </w:r>
          </w:p>
          <w:p w:rsidR="00E63030" w:rsidRPr="00B54051" w:rsidRDefault="00E63030" w:rsidP="00073A03">
            <w:pPr>
              <w:jc w:val="both"/>
              <w:rPr>
                <w:rFonts w:eastAsia="Calibri"/>
                <w:sz w:val="20"/>
                <w:lang w:val="fr-CA"/>
              </w:rPr>
            </w:pPr>
          </w:p>
          <w:p w:rsidR="00E63030" w:rsidRPr="00B54051" w:rsidRDefault="00E63030" w:rsidP="00073A03">
            <w:pPr>
              <w:jc w:val="both"/>
              <w:rPr>
                <w:rFonts w:eastAsia="Calibri"/>
                <w:sz w:val="20"/>
                <w:lang w:val="fr-CA"/>
              </w:rPr>
            </w:pPr>
            <w:r w:rsidRPr="00B54051">
              <w:rPr>
                <w:rFonts w:eastAsia="Calibri"/>
                <w:sz w:val="20"/>
                <w:lang w:val="fr-CA"/>
              </w:rPr>
              <w:t>Les demandeurs ont introduit leur appel avec plus de 18 mois de retard.  L’action initiale à la Cour supérieure de justice de l’Ontario a été radiée parce qu’elle était frivole et vexatoire, qu’elle constituait un abus de procédure et qu’elle ne révélait aucune cause d’action fondée.  En rejetant la « motion en révision », la Cour d’appel a confirmé cette évaluation.</w:t>
            </w:r>
          </w:p>
          <w:p w:rsidR="00E63030" w:rsidRPr="00B54051" w:rsidRDefault="00E63030" w:rsidP="00073A03">
            <w:pPr>
              <w:jc w:val="both"/>
              <w:rPr>
                <w:rFonts w:eastAsia="Calibri"/>
                <w:sz w:val="20"/>
                <w:lang w:val="fr-CA"/>
              </w:rPr>
            </w:pPr>
          </w:p>
        </w:tc>
      </w:tr>
      <w:tr w:rsidR="00E63030" w:rsidRPr="00C50886" w:rsidTr="00073A03">
        <w:tc>
          <w:tcPr>
            <w:tcW w:w="2427" w:type="pct"/>
          </w:tcPr>
          <w:p w:rsidR="00E63030" w:rsidRPr="00B54051" w:rsidRDefault="00E63030" w:rsidP="00073A03">
            <w:pPr>
              <w:jc w:val="both"/>
              <w:rPr>
                <w:rFonts w:eastAsia="Calibri"/>
                <w:sz w:val="20"/>
                <w:lang w:val="fr-CA"/>
              </w:rPr>
            </w:pPr>
            <w:r w:rsidRPr="00B54051">
              <w:rPr>
                <w:rFonts w:eastAsia="Calibri"/>
                <w:sz w:val="20"/>
                <w:lang w:val="fr-CA"/>
              </w:rPr>
              <w:t>7 août 2008</w:t>
            </w:r>
          </w:p>
          <w:p w:rsidR="00E63030" w:rsidRPr="00B54051" w:rsidRDefault="00E63030" w:rsidP="00073A03">
            <w:pPr>
              <w:jc w:val="both"/>
              <w:rPr>
                <w:rFonts w:eastAsia="Calibri"/>
                <w:sz w:val="20"/>
                <w:lang w:val="fr-CA"/>
              </w:rPr>
            </w:pPr>
            <w:r w:rsidRPr="00B54051">
              <w:rPr>
                <w:rFonts w:eastAsia="Calibri"/>
                <w:sz w:val="20"/>
                <w:lang w:val="fr-CA"/>
              </w:rPr>
              <w:t xml:space="preserve">Cour supérieure de justice de l’Ontario </w:t>
            </w:r>
          </w:p>
          <w:p w:rsidR="00E63030" w:rsidRPr="00B54051" w:rsidRDefault="00E63030" w:rsidP="00073A03">
            <w:pPr>
              <w:jc w:val="both"/>
              <w:rPr>
                <w:rFonts w:eastAsia="Calibri"/>
                <w:sz w:val="20"/>
                <w:lang w:val="fr-CA"/>
              </w:rPr>
            </w:pPr>
            <w:r w:rsidRPr="00B54051">
              <w:rPr>
                <w:rFonts w:eastAsia="Calibri"/>
                <w:sz w:val="20"/>
                <w:lang w:val="fr-CA"/>
              </w:rPr>
              <w:t>(Juge Quigley)</w:t>
            </w:r>
          </w:p>
          <w:p w:rsidR="00E63030" w:rsidRPr="00B54051" w:rsidRDefault="00E63030" w:rsidP="00073A03">
            <w:pPr>
              <w:jc w:val="both"/>
              <w:rPr>
                <w:rFonts w:eastAsia="Calibri"/>
                <w:sz w:val="20"/>
                <w:lang w:val="fr-CA"/>
              </w:rPr>
            </w:pPr>
            <w:r w:rsidRPr="00B54051">
              <w:rPr>
                <w:rFonts w:eastAsia="Calibri"/>
                <w:sz w:val="20"/>
                <w:lang w:val="fr-CA"/>
              </w:rPr>
              <w:t>2008 CanLII 39437</w:t>
            </w:r>
          </w:p>
          <w:p w:rsidR="00E63030" w:rsidRPr="00B54051" w:rsidRDefault="00E63030" w:rsidP="00073A03">
            <w:pPr>
              <w:jc w:val="both"/>
              <w:rPr>
                <w:rFonts w:eastAsia="Calibri"/>
                <w:sz w:val="20"/>
                <w:lang w:val="fr-CA"/>
              </w:rPr>
            </w:pPr>
          </w:p>
        </w:tc>
        <w:tc>
          <w:tcPr>
            <w:tcW w:w="243" w:type="pct"/>
          </w:tcPr>
          <w:p w:rsidR="00E63030" w:rsidRPr="00B54051" w:rsidRDefault="00E63030" w:rsidP="00073A03">
            <w:pPr>
              <w:jc w:val="both"/>
              <w:rPr>
                <w:rFonts w:eastAsia="Calibri"/>
                <w:sz w:val="20"/>
                <w:lang w:val="fr-CA"/>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Motion en radiation des intimés, accueillie; action rejetée</w:t>
            </w:r>
          </w:p>
          <w:p w:rsidR="00E63030" w:rsidRPr="00B54051" w:rsidRDefault="00E63030" w:rsidP="00073A03">
            <w:pPr>
              <w:jc w:val="both"/>
              <w:rPr>
                <w:rFonts w:eastAsia="Calibri"/>
                <w:sz w:val="20"/>
                <w:lang w:val="fr-CA"/>
              </w:rPr>
            </w:pPr>
          </w:p>
        </w:tc>
      </w:tr>
      <w:tr w:rsidR="00E63030" w:rsidRPr="00C50886" w:rsidTr="00073A03">
        <w:tc>
          <w:tcPr>
            <w:tcW w:w="2427" w:type="pct"/>
          </w:tcPr>
          <w:p w:rsidR="00E63030" w:rsidRPr="00B54051" w:rsidRDefault="00E63030" w:rsidP="00073A03">
            <w:pPr>
              <w:jc w:val="both"/>
              <w:rPr>
                <w:rFonts w:eastAsia="Calibri"/>
                <w:sz w:val="20"/>
                <w:lang w:val="fr-CA"/>
              </w:rPr>
            </w:pPr>
            <w:r w:rsidRPr="00B54051">
              <w:rPr>
                <w:rFonts w:eastAsia="Calibri"/>
                <w:sz w:val="20"/>
                <w:lang w:val="fr-CA"/>
              </w:rPr>
              <w:t>14 juillet 2010</w:t>
            </w:r>
          </w:p>
          <w:p w:rsidR="00E63030" w:rsidRPr="00B54051" w:rsidRDefault="00E63030" w:rsidP="00073A03">
            <w:pPr>
              <w:jc w:val="both"/>
              <w:rPr>
                <w:rFonts w:eastAsia="Calibri"/>
                <w:sz w:val="20"/>
                <w:lang w:val="fr-CA"/>
              </w:rPr>
            </w:pPr>
            <w:r w:rsidRPr="00B54051">
              <w:rPr>
                <w:rFonts w:eastAsia="Calibri"/>
                <w:sz w:val="20"/>
                <w:lang w:val="fr-CA"/>
              </w:rPr>
              <w:t xml:space="preserve">Cour d’appel de l’Ontario </w:t>
            </w:r>
          </w:p>
          <w:p w:rsidR="00E63030" w:rsidRPr="00B54051" w:rsidRDefault="00E63030" w:rsidP="00073A03">
            <w:pPr>
              <w:jc w:val="both"/>
              <w:rPr>
                <w:rFonts w:eastAsia="Calibri"/>
                <w:sz w:val="20"/>
                <w:lang w:val="fr-CA"/>
              </w:rPr>
            </w:pPr>
            <w:r w:rsidRPr="00B54051">
              <w:rPr>
                <w:rFonts w:eastAsia="Calibri"/>
                <w:sz w:val="20"/>
                <w:lang w:val="fr-CA"/>
              </w:rPr>
              <w:t>(Juge Juriansz)</w:t>
            </w:r>
          </w:p>
          <w:p w:rsidR="00E63030" w:rsidRPr="00B54051" w:rsidRDefault="00E63030" w:rsidP="00073A03">
            <w:pPr>
              <w:jc w:val="both"/>
              <w:rPr>
                <w:rFonts w:eastAsia="Calibri"/>
                <w:sz w:val="20"/>
                <w:lang w:val="fr-CA"/>
              </w:rPr>
            </w:pPr>
          </w:p>
        </w:tc>
        <w:tc>
          <w:tcPr>
            <w:tcW w:w="243" w:type="pct"/>
          </w:tcPr>
          <w:p w:rsidR="00E63030" w:rsidRPr="00B54051" w:rsidRDefault="00E63030" w:rsidP="00073A03">
            <w:pPr>
              <w:jc w:val="both"/>
              <w:rPr>
                <w:rFonts w:eastAsia="Calibri"/>
                <w:sz w:val="20"/>
                <w:lang w:val="fr-CA"/>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Ajournement refusé; motion en prorogation du délai d’appel, rejetée</w:t>
            </w:r>
          </w:p>
        </w:tc>
      </w:tr>
      <w:tr w:rsidR="00E63030" w:rsidRPr="00C50886" w:rsidTr="00073A03">
        <w:tc>
          <w:tcPr>
            <w:tcW w:w="2427" w:type="pct"/>
          </w:tcPr>
          <w:p w:rsidR="00E63030" w:rsidRPr="00B54051" w:rsidRDefault="00E63030" w:rsidP="00073A03">
            <w:pPr>
              <w:jc w:val="both"/>
              <w:rPr>
                <w:rFonts w:eastAsia="Calibri"/>
                <w:sz w:val="20"/>
                <w:lang w:val="fr-CA"/>
              </w:rPr>
            </w:pPr>
            <w:r w:rsidRPr="00B54051">
              <w:rPr>
                <w:rFonts w:eastAsia="Calibri"/>
                <w:sz w:val="20"/>
                <w:lang w:val="fr-CA"/>
              </w:rPr>
              <w:t>24 août 2010</w:t>
            </w:r>
          </w:p>
          <w:p w:rsidR="00E63030" w:rsidRPr="00B54051" w:rsidRDefault="00E63030" w:rsidP="00073A03">
            <w:pPr>
              <w:jc w:val="both"/>
              <w:rPr>
                <w:rFonts w:eastAsia="Calibri"/>
                <w:sz w:val="20"/>
                <w:lang w:val="fr-CA"/>
              </w:rPr>
            </w:pPr>
            <w:r w:rsidRPr="00B54051">
              <w:rPr>
                <w:rFonts w:eastAsia="Calibri"/>
                <w:sz w:val="20"/>
                <w:lang w:val="fr-CA"/>
              </w:rPr>
              <w:t xml:space="preserve">Cour d’appel de l’Ontario </w:t>
            </w:r>
          </w:p>
          <w:p w:rsidR="00E63030" w:rsidRPr="00B54051" w:rsidRDefault="00E63030" w:rsidP="00073A03">
            <w:pPr>
              <w:jc w:val="both"/>
              <w:rPr>
                <w:rFonts w:eastAsia="Calibri"/>
                <w:sz w:val="20"/>
                <w:lang w:val="fr-CA"/>
              </w:rPr>
            </w:pPr>
            <w:r w:rsidRPr="00B54051">
              <w:rPr>
                <w:rFonts w:eastAsia="Calibri"/>
                <w:sz w:val="20"/>
                <w:lang w:val="fr-CA"/>
              </w:rPr>
              <w:t>(Juge Watt)</w:t>
            </w:r>
          </w:p>
          <w:p w:rsidR="00E63030" w:rsidRPr="00B54051" w:rsidRDefault="00E63030" w:rsidP="00073A03">
            <w:pPr>
              <w:jc w:val="both"/>
              <w:rPr>
                <w:rFonts w:eastAsia="Calibri"/>
                <w:sz w:val="20"/>
                <w:lang w:val="fr-CA"/>
              </w:rPr>
            </w:pPr>
          </w:p>
        </w:tc>
        <w:tc>
          <w:tcPr>
            <w:tcW w:w="243" w:type="pct"/>
          </w:tcPr>
          <w:p w:rsidR="00E63030" w:rsidRPr="00B54051" w:rsidRDefault="00E63030" w:rsidP="00073A03">
            <w:pPr>
              <w:jc w:val="both"/>
              <w:rPr>
                <w:rFonts w:eastAsia="Calibri"/>
                <w:sz w:val="20"/>
                <w:lang w:val="fr-CA"/>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Motion soulevant des questions de droit, rejetée pour défaut de compétence</w:t>
            </w:r>
          </w:p>
        </w:tc>
      </w:tr>
      <w:tr w:rsidR="00E63030" w:rsidRPr="00B54051" w:rsidTr="00F8147C">
        <w:trPr>
          <w:cantSplit/>
        </w:trPr>
        <w:tc>
          <w:tcPr>
            <w:tcW w:w="2427" w:type="pct"/>
          </w:tcPr>
          <w:p w:rsidR="00E63030" w:rsidRPr="00B54051" w:rsidRDefault="00E63030" w:rsidP="00073A03">
            <w:pPr>
              <w:jc w:val="both"/>
              <w:rPr>
                <w:rFonts w:eastAsia="Calibri"/>
                <w:sz w:val="20"/>
                <w:lang w:val="fr-CA"/>
              </w:rPr>
            </w:pPr>
            <w:r w:rsidRPr="00B54051">
              <w:rPr>
                <w:rFonts w:eastAsia="Calibri"/>
                <w:sz w:val="20"/>
                <w:lang w:val="fr-CA"/>
              </w:rPr>
              <w:lastRenderedPageBreak/>
              <w:t>26 novembre 2010</w:t>
            </w:r>
          </w:p>
          <w:p w:rsidR="00E63030" w:rsidRPr="00B54051" w:rsidRDefault="00E63030" w:rsidP="00073A03">
            <w:pPr>
              <w:jc w:val="both"/>
              <w:rPr>
                <w:rFonts w:eastAsia="Calibri"/>
                <w:sz w:val="20"/>
                <w:lang w:val="fr-CA"/>
              </w:rPr>
            </w:pPr>
            <w:r w:rsidRPr="00B54051">
              <w:rPr>
                <w:rFonts w:eastAsia="Calibri"/>
                <w:sz w:val="20"/>
                <w:lang w:val="fr-CA"/>
              </w:rPr>
              <w:t xml:space="preserve">Cour d’appel de l’Ontario </w:t>
            </w:r>
          </w:p>
          <w:p w:rsidR="00E63030" w:rsidRPr="00B54051" w:rsidRDefault="00E63030" w:rsidP="00073A03">
            <w:pPr>
              <w:jc w:val="both"/>
              <w:rPr>
                <w:rFonts w:eastAsia="Calibri"/>
                <w:sz w:val="20"/>
                <w:lang w:val="fr-CA"/>
              </w:rPr>
            </w:pPr>
            <w:r w:rsidRPr="00B54051">
              <w:rPr>
                <w:rFonts w:eastAsia="Calibri"/>
                <w:sz w:val="20"/>
                <w:lang w:val="fr-CA"/>
              </w:rPr>
              <w:t>(Juge Simmons, Cronk et MacFarland)</w:t>
            </w:r>
          </w:p>
          <w:p w:rsidR="00E63030" w:rsidRPr="00B54051" w:rsidRDefault="00E63030" w:rsidP="00073A03">
            <w:pPr>
              <w:jc w:val="both"/>
              <w:rPr>
                <w:rFonts w:eastAsia="Calibri"/>
                <w:sz w:val="20"/>
                <w:lang w:val="fr-CA"/>
              </w:rPr>
            </w:pPr>
            <w:r w:rsidRPr="00B54051">
              <w:rPr>
                <w:rFonts w:eastAsia="Calibri"/>
                <w:sz w:val="20"/>
                <w:lang w:val="fr-CA"/>
              </w:rPr>
              <w:t>2010 ONCA 837</w:t>
            </w:r>
          </w:p>
          <w:p w:rsidR="00E63030" w:rsidRPr="00B54051" w:rsidRDefault="00E63030" w:rsidP="00073A03">
            <w:pPr>
              <w:jc w:val="both"/>
              <w:rPr>
                <w:rFonts w:eastAsia="Calibri"/>
                <w:sz w:val="20"/>
                <w:lang w:val="fr-CA"/>
              </w:rPr>
            </w:pPr>
          </w:p>
        </w:tc>
        <w:tc>
          <w:tcPr>
            <w:tcW w:w="243" w:type="pct"/>
          </w:tcPr>
          <w:p w:rsidR="00E63030" w:rsidRPr="00B54051" w:rsidRDefault="00E63030" w:rsidP="00073A03">
            <w:pPr>
              <w:jc w:val="both"/>
              <w:rPr>
                <w:rFonts w:eastAsia="Calibri"/>
                <w:sz w:val="20"/>
                <w:lang w:val="fr-CA"/>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Motion en révision, rejetée</w:t>
            </w:r>
          </w:p>
          <w:p w:rsidR="00E63030" w:rsidRPr="00B54051" w:rsidRDefault="00E63030" w:rsidP="00073A03">
            <w:pPr>
              <w:jc w:val="both"/>
              <w:rPr>
                <w:rFonts w:eastAsia="Calibri"/>
                <w:sz w:val="20"/>
                <w:lang w:val="fr-CA"/>
              </w:rPr>
            </w:pPr>
          </w:p>
        </w:tc>
      </w:tr>
      <w:tr w:rsidR="00E63030" w:rsidRPr="00B54051" w:rsidTr="00F8147C">
        <w:trPr>
          <w:cantSplit/>
        </w:trPr>
        <w:tc>
          <w:tcPr>
            <w:tcW w:w="2427" w:type="pct"/>
          </w:tcPr>
          <w:p w:rsidR="00E63030" w:rsidRPr="00B54051" w:rsidRDefault="00E63030" w:rsidP="00073A03">
            <w:pPr>
              <w:jc w:val="both"/>
              <w:rPr>
                <w:rFonts w:eastAsia="Calibri"/>
                <w:sz w:val="20"/>
                <w:lang w:val="fr-CA"/>
              </w:rPr>
            </w:pPr>
            <w:r w:rsidRPr="00B54051">
              <w:rPr>
                <w:rFonts w:eastAsia="Calibri"/>
                <w:sz w:val="20"/>
                <w:lang w:val="fr-CA"/>
              </w:rPr>
              <w:t>24 janvier 2011</w:t>
            </w:r>
          </w:p>
          <w:p w:rsidR="00E63030" w:rsidRPr="00B54051" w:rsidRDefault="00E63030" w:rsidP="00073A03">
            <w:pPr>
              <w:jc w:val="both"/>
              <w:rPr>
                <w:rFonts w:eastAsia="Calibri"/>
                <w:sz w:val="20"/>
                <w:lang w:val="fr-CA"/>
              </w:rPr>
            </w:pPr>
            <w:r w:rsidRPr="00B54051">
              <w:rPr>
                <w:rFonts w:eastAsia="Calibri"/>
                <w:sz w:val="20"/>
                <w:lang w:val="fr-CA"/>
              </w:rPr>
              <w:t>Cour suprême du Canada</w:t>
            </w:r>
          </w:p>
        </w:tc>
        <w:tc>
          <w:tcPr>
            <w:tcW w:w="243" w:type="pct"/>
          </w:tcPr>
          <w:p w:rsidR="00E63030" w:rsidRPr="00B54051" w:rsidRDefault="00E63030" w:rsidP="00073A03">
            <w:pPr>
              <w:jc w:val="both"/>
              <w:rPr>
                <w:rFonts w:eastAsia="Calibri"/>
                <w:sz w:val="20"/>
                <w:lang w:val="fr-CA"/>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Demande d’autorisation d’appel, déposée</w:t>
            </w:r>
          </w:p>
          <w:p w:rsidR="00E63030" w:rsidRPr="00B54051" w:rsidRDefault="00E63030" w:rsidP="00073A03">
            <w:pPr>
              <w:jc w:val="both"/>
              <w:rPr>
                <w:rFonts w:eastAsia="Calibri"/>
                <w:sz w:val="20"/>
                <w:lang w:val="fr-CA"/>
              </w:rPr>
            </w:pPr>
          </w:p>
        </w:tc>
      </w:tr>
    </w:tbl>
    <w:p w:rsidR="00411CD6" w:rsidRDefault="00411CD6" w:rsidP="00411CD6">
      <w:pPr>
        <w:rPr>
          <w:sz w:val="20"/>
          <w:szCs w:val="20"/>
          <w:lang w:val="fr-CA"/>
        </w:rPr>
      </w:pPr>
    </w:p>
    <w:p w:rsidR="00411CD6" w:rsidRDefault="008C2B81" w:rsidP="00411CD6">
      <w:pPr>
        <w:rPr>
          <w:sz w:val="20"/>
          <w:szCs w:val="20"/>
          <w:lang w:val="fr-CA"/>
        </w:rPr>
      </w:pPr>
      <w:r w:rsidRPr="008C2B81">
        <w:rPr>
          <w:sz w:val="20"/>
          <w:szCs w:val="20"/>
          <w:lang w:val="fr-CA"/>
        </w:rPr>
        <w:pict>
          <v:rect id="_x0000_i1050" style="width:2in;height:1pt" o:hrpct="0" o:hralign="center" o:hrstd="t" o:hrnoshade="t" o:hr="t" fillcolor="black [3213]" stroked="f"/>
        </w:pict>
      </w:r>
    </w:p>
    <w:p w:rsidR="00411CD6" w:rsidRPr="00453064" w:rsidRDefault="00411CD6" w:rsidP="00411C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8147C" w:rsidRPr="00E85700" w:rsidTr="000367EB">
        <w:trPr>
          <w:cantSplit/>
        </w:trPr>
        <w:tc>
          <w:tcPr>
            <w:tcW w:w="1458" w:type="dxa"/>
          </w:tcPr>
          <w:p w:rsidR="00F8147C" w:rsidRPr="00E85700" w:rsidRDefault="00F8147C" w:rsidP="000367EB">
            <w:pPr>
              <w:rPr>
                <w:rFonts w:cs="Times New Roman"/>
                <w:sz w:val="20"/>
                <w:szCs w:val="20"/>
              </w:rPr>
            </w:pPr>
            <w:r w:rsidRPr="00E85700">
              <w:rPr>
                <w:rStyle w:val="SCCFileNumberChar"/>
                <w:rFonts w:cs="Times New Roman"/>
                <w:sz w:val="20"/>
                <w:szCs w:val="20"/>
              </w:rPr>
              <w:t>34120</w:t>
            </w:r>
          </w:p>
          <w:p w:rsidR="00F8147C" w:rsidRPr="00E85700" w:rsidRDefault="00F8147C" w:rsidP="000367EB">
            <w:pPr>
              <w:rPr>
                <w:rFonts w:cs="Times New Roman"/>
                <w:b/>
                <w:sz w:val="20"/>
                <w:szCs w:val="20"/>
                <w:lang w:val="fr-CA"/>
              </w:rPr>
            </w:pPr>
          </w:p>
        </w:tc>
        <w:tc>
          <w:tcPr>
            <w:tcW w:w="8118" w:type="dxa"/>
          </w:tcPr>
          <w:p w:rsidR="00F8147C" w:rsidRPr="00E85700" w:rsidRDefault="00F8147C" w:rsidP="000367EB">
            <w:pPr>
              <w:rPr>
                <w:rFonts w:cs="Times New Roman"/>
                <w:sz w:val="20"/>
                <w:szCs w:val="20"/>
              </w:rPr>
            </w:pPr>
            <w:r w:rsidRPr="00E85700">
              <w:rPr>
                <w:rStyle w:val="SCCLsocChar"/>
                <w:rFonts w:cs="Times New Roman"/>
                <w:sz w:val="20"/>
                <w:szCs w:val="20"/>
                <w:lang w:val="en-CA"/>
              </w:rPr>
              <w:t>Elizabeth Wong v. Her Majesty the Queen</w:t>
            </w:r>
            <w:r w:rsidRPr="00E85700">
              <w:rPr>
                <w:rFonts w:cs="Times New Roman"/>
                <w:sz w:val="20"/>
                <w:szCs w:val="20"/>
              </w:rPr>
              <w:t xml:space="preserve"> (B.C.) (Criminal) (By Leave)</w:t>
            </w:r>
          </w:p>
          <w:p w:rsidR="00F8147C" w:rsidRPr="00E85700" w:rsidRDefault="00F8147C" w:rsidP="000367EB">
            <w:pPr>
              <w:rPr>
                <w:rFonts w:cs="Times New Roman"/>
                <w:sz w:val="20"/>
                <w:szCs w:val="20"/>
              </w:rPr>
            </w:pPr>
          </w:p>
        </w:tc>
      </w:tr>
      <w:tr w:rsidR="00F8147C" w:rsidRPr="00E85700" w:rsidTr="000367EB">
        <w:trPr>
          <w:cantSplit/>
        </w:trPr>
        <w:tc>
          <w:tcPr>
            <w:tcW w:w="1458" w:type="dxa"/>
          </w:tcPr>
          <w:p w:rsidR="00F8147C" w:rsidRPr="00E85700" w:rsidRDefault="00F8147C" w:rsidP="000367EB">
            <w:pPr>
              <w:rPr>
                <w:rFonts w:cs="Times New Roman"/>
                <w:sz w:val="20"/>
                <w:szCs w:val="20"/>
              </w:rPr>
            </w:pPr>
            <w:r w:rsidRPr="00E85700">
              <w:rPr>
                <w:rFonts w:cs="Times New Roman"/>
                <w:sz w:val="20"/>
                <w:szCs w:val="20"/>
              </w:rPr>
              <w:t>Coram :</w:t>
            </w:r>
          </w:p>
        </w:tc>
        <w:tc>
          <w:tcPr>
            <w:tcW w:w="8118" w:type="dxa"/>
          </w:tcPr>
          <w:p w:rsidR="00F8147C" w:rsidRPr="00E85700" w:rsidRDefault="00F8147C" w:rsidP="000367EB">
            <w:pPr>
              <w:rPr>
                <w:rFonts w:cs="Times New Roman"/>
                <w:sz w:val="20"/>
                <w:szCs w:val="20"/>
              </w:rPr>
            </w:pPr>
            <w:r w:rsidRPr="00E85700">
              <w:rPr>
                <w:rStyle w:val="SCCCoramChar"/>
                <w:rFonts w:cs="Times New Roman"/>
                <w:sz w:val="20"/>
                <w:szCs w:val="20"/>
                <w:lang w:val="en-CA"/>
              </w:rPr>
              <w:t>McLachlin C.J. and Deschamps and Charron JJ.</w:t>
            </w:r>
          </w:p>
          <w:p w:rsidR="00F8147C" w:rsidRPr="00E85700" w:rsidRDefault="00F8147C" w:rsidP="000367EB">
            <w:pPr>
              <w:rPr>
                <w:rFonts w:cs="Times New Roman"/>
                <w:sz w:val="20"/>
                <w:szCs w:val="20"/>
                <w:u w:val="single"/>
              </w:rPr>
            </w:pPr>
          </w:p>
        </w:tc>
      </w:tr>
      <w:tr w:rsidR="00F8147C" w:rsidRPr="00C50886" w:rsidTr="000367EB">
        <w:trPr>
          <w:cantSplit/>
        </w:trPr>
        <w:tc>
          <w:tcPr>
            <w:tcW w:w="9576" w:type="dxa"/>
            <w:gridSpan w:val="2"/>
          </w:tcPr>
          <w:p w:rsidR="00F8147C" w:rsidRPr="00E85700" w:rsidRDefault="00F8147C" w:rsidP="000367EB">
            <w:pPr>
              <w:pStyle w:val="SCCShortJudgment"/>
              <w:rPr>
                <w:rFonts w:cs="Times New Roman"/>
                <w:szCs w:val="20"/>
              </w:rPr>
            </w:pPr>
            <w:r w:rsidRPr="00E85700">
              <w:rPr>
                <w:rFonts w:cs="Times New Roman"/>
                <w:szCs w:val="20"/>
              </w:rPr>
              <w:t>The application for leave to appeal from the judgment of the Court of Appeal for British Columbia (Vancouver), Number CA037954, 2011 BCCA 13, dated January 11, 2011, is dismissed without costs.</w:t>
            </w:r>
          </w:p>
          <w:p w:rsidR="00F8147C" w:rsidRPr="00E85700" w:rsidRDefault="00F8147C" w:rsidP="000367EB">
            <w:pPr>
              <w:pStyle w:val="SCCShortJudgment"/>
              <w:ind w:firstLine="0"/>
              <w:rPr>
                <w:rFonts w:cs="Times New Roman"/>
                <w:szCs w:val="20"/>
              </w:rPr>
            </w:pPr>
          </w:p>
          <w:p w:rsidR="00F8147C" w:rsidRPr="00E85700" w:rsidRDefault="00F8147C" w:rsidP="000367EB">
            <w:pPr>
              <w:pStyle w:val="SCCShortJudgment"/>
              <w:rPr>
                <w:rFonts w:cs="Times New Roman"/>
                <w:szCs w:val="20"/>
                <w:lang w:val="fr-CA"/>
              </w:rPr>
            </w:pPr>
            <w:r w:rsidRPr="00E85700">
              <w:rPr>
                <w:rFonts w:cs="Times New Roman"/>
                <w:szCs w:val="20"/>
                <w:lang w:val="fr-CA"/>
              </w:rPr>
              <w:t>La demande d’autorisation d’appel de l’arrêt de la Cour d’appel de la Colombie-Britannique (Vancouver), numéro CA037954, 2011 BCCA 13, daté du 11 janvier 2011, est rejetée sans dépens.</w:t>
            </w:r>
          </w:p>
        </w:tc>
      </w:tr>
    </w:tbl>
    <w:p w:rsidR="00F8147C" w:rsidRPr="00F8147C" w:rsidRDefault="00F8147C" w:rsidP="008D292F">
      <w:pPr>
        <w:rPr>
          <w:sz w:val="20"/>
          <w:szCs w:val="20"/>
          <w:lang w:val="fr-CA"/>
        </w:rPr>
      </w:pPr>
    </w:p>
    <w:p w:rsidR="00411CD6" w:rsidRPr="00453064" w:rsidRDefault="00411CD6" w:rsidP="00411CD6">
      <w:pPr>
        <w:rPr>
          <w:sz w:val="20"/>
          <w:szCs w:val="20"/>
          <w:lang w:val="fr-CA"/>
        </w:rPr>
      </w:pPr>
      <w:r>
        <w:rPr>
          <w:sz w:val="20"/>
          <w:szCs w:val="20"/>
          <w:u w:val="single"/>
          <w:lang w:val="fr-CA"/>
        </w:rPr>
        <w:t>CASE SUMMARY</w:t>
      </w:r>
    </w:p>
    <w:p w:rsidR="00411CD6" w:rsidRDefault="00411CD6"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63030" w:rsidRPr="00B54051" w:rsidTr="00073A03">
        <w:tc>
          <w:tcPr>
            <w:tcW w:w="5000" w:type="pct"/>
            <w:gridSpan w:val="3"/>
          </w:tcPr>
          <w:p w:rsidR="00E63030" w:rsidRPr="00B54051" w:rsidRDefault="00E63030" w:rsidP="00073A03">
            <w:pPr>
              <w:jc w:val="both"/>
              <w:rPr>
                <w:rFonts w:eastAsia="Calibri"/>
                <w:sz w:val="20"/>
              </w:rPr>
            </w:pPr>
            <w:r w:rsidRPr="00B54051">
              <w:rPr>
                <w:rFonts w:eastAsia="Calibri"/>
                <w:sz w:val="20"/>
              </w:rPr>
              <w:t xml:space="preserve">Criminal law — Appeals — Evidence — Conviction for operating a motor vehicle while blood alcohol level exceeded .08 — Whether Court of Appeal applied the correct threshold test for reasonable and probable grounds — Evidence of impairment — Whether trial judge erred by not resolving the evidence available to the police officer of other explanations for the </w:t>
            </w:r>
            <w:r w:rsidRPr="00B54051">
              <w:rPr>
                <w:rFonts w:eastAsia="Calibri"/>
                <w:i/>
                <w:sz w:val="20"/>
              </w:rPr>
              <w:t>indicia</w:t>
            </w:r>
            <w:r w:rsidRPr="00B54051">
              <w:rPr>
                <w:rFonts w:eastAsia="Calibri"/>
                <w:sz w:val="20"/>
              </w:rPr>
              <w:t xml:space="preserve"> of impairment — Whether the trial judge considered the totality of the evidence — Whether there are issues of public importance raised.</w:t>
            </w:r>
          </w:p>
          <w:p w:rsidR="00E63030" w:rsidRPr="00B54051" w:rsidRDefault="00E63030" w:rsidP="00073A03">
            <w:pPr>
              <w:jc w:val="both"/>
              <w:rPr>
                <w:rFonts w:eastAsia="Calibri"/>
                <w:sz w:val="20"/>
              </w:rPr>
            </w:pPr>
          </w:p>
        </w:tc>
      </w:tr>
      <w:tr w:rsidR="00E63030" w:rsidRPr="00B54051" w:rsidTr="00073A03">
        <w:tc>
          <w:tcPr>
            <w:tcW w:w="5000" w:type="pct"/>
            <w:gridSpan w:val="3"/>
          </w:tcPr>
          <w:p w:rsidR="00E63030" w:rsidRPr="00B54051" w:rsidRDefault="00E63030" w:rsidP="00073A03">
            <w:pPr>
              <w:jc w:val="both"/>
              <w:rPr>
                <w:rFonts w:eastAsia="Calibri"/>
                <w:sz w:val="20"/>
              </w:rPr>
            </w:pPr>
            <w:r w:rsidRPr="00B54051">
              <w:rPr>
                <w:rFonts w:eastAsia="Calibri"/>
                <w:sz w:val="20"/>
              </w:rPr>
              <w:t xml:space="preserve">Ms. Wong was driving her vehicle and collided with another vehicle.  Seeing little damage to the other vehicle, she left the scene of the accident.  The police were notified.  The officer formed the opinion that within the previous two hours, Ms. Wong had been driving while impaired and thus arrested her for impaired driving.  The officer informed Ms. Wong of her </w:t>
            </w:r>
            <w:r w:rsidRPr="00B54051">
              <w:rPr>
                <w:rFonts w:eastAsia="Calibri"/>
                <w:i/>
                <w:sz w:val="20"/>
              </w:rPr>
              <w:t>Charter of Rights and Freedoms</w:t>
            </w:r>
            <w:r w:rsidRPr="00B54051">
              <w:rPr>
                <w:rFonts w:eastAsia="Calibri"/>
                <w:sz w:val="20"/>
              </w:rPr>
              <w:t xml:space="preserve"> rights regarding her right to counsel. Following the </w:t>
            </w:r>
            <w:r w:rsidRPr="00B54051">
              <w:rPr>
                <w:rFonts w:eastAsia="Calibri"/>
                <w:i/>
                <w:sz w:val="20"/>
              </w:rPr>
              <w:t>voir dire</w:t>
            </w:r>
            <w:r w:rsidRPr="00B54051">
              <w:rPr>
                <w:rFonts w:eastAsia="Calibri"/>
                <w:sz w:val="20"/>
              </w:rPr>
              <w:t xml:space="preserve">, the trial judge ruled that no breach of the </w:t>
            </w:r>
            <w:r w:rsidRPr="00B54051">
              <w:rPr>
                <w:rFonts w:eastAsia="Calibri"/>
                <w:i/>
                <w:sz w:val="20"/>
              </w:rPr>
              <w:t>Charte</w:t>
            </w:r>
            <w:r w:rsidRPr="00B54051">
              <w:rPr>
                <w:rFonts w:eastAsia="Calibri"/>
                <w:sz w:val="20"/>
              </w:rPr>
              <w:t xml:space="preserve">r had occurred under ss. 10(a) or 10(b), and said that if he had found such a breach, applying the principles enunciated in </w:t>
            </w:r>
            <w:r w:rsidRPr="00B54051">
              <w:rPr>
                <w:rFonts w:eastAsia="Calibri"/>
                <w:i/>
                <w:sz w:val="20"/>
              </w:rPr>
              <w:t>R. v. Grant</w:t>
            </w:r>
            <w:r w:rsidRPr="00B54051">
              <w:rPr>
                <w:rFonts w:eastAsia="Calibri"/>
                <w:sz w:val="20"/>
              </w:rPr>
              <w:t xml:space="preserve">, [2009] S.C.J. No. 32, [2009] 2 S.C.R. 353, the evidence, in the form of the certificate of the results of the breathalyser test, would had been admitted under s. 24(2) of the </w:t>
            </w:r>
            <w:r w:rsidRPr="00B54051">
              <w:rPr>
                <w:rFonts w:eastAsia="Calibri"/>
                <w:i/>
                <w:sz w:val="20"/>
              </w:rPr>
              <w:t>Charter</w:t>
            </w:r>
            <w:r w:rsidRPr="00B54051">
              <w:rPr>
                <w:rFonts w:eastAsia="Calibri"/>
                <w:sz w:val="20"/>
              </w:rPr>
              <w:t>.  The trial judge also ruled that the investigating police officer had reasonable and probable grounds to demand a breath sample from Ms. Wong.  Ms. Wong was convicted of operating a motor vehicle while her blood alcohol level exceeded .08.  A conditional stay was entered with respect to a charge of impaired driving and she was acquitted of failing to remain at the scene of an accident.  Her appeals were dismissed.</w:t>
            </w:r>
          </w:p>
          <w:p w:rsidR="00E63030" w:rsidRPr="00B54051" w:rsidRDefault="00E63030" w:rsidP="00073A03">
            <w:pPr>
              <w:jc w:val="both"/>
              <w:rPr>
                <w:rFonts w:eastAsia="Calibri"/>
                <w:sz w:val="20"/>
              </w:rPr>
            </w:pPr>
          </w:p>
        </w:tc>
      </w:tr>
      <w:tr w:rsidR="00E63030" w:rsidRPr="00B54051" w:rsidTr="00073A03">
        <w:trPr>
          <w:trHeight w:val="487"/>
        </w:trPr>
        <w:tc>
          <w:tcPr>
            <w:tcW w:w="2427" w:type="pct"/>
          </w:tcPr>
          <w:p w:rsidR="00E63030" w:rsidRPr="00B54051" w:rsidRDefault="00E63030" w:rsidP="00073A03">
            <w:pPr>
              <w:jc w:val="both"/>
              <w:rPr>
                <w:rFonts w:eastAsia="Calibri"/>
                <w:sz w:val="20"/>
              </w:rPr>
            </w:pPr>
            <w:r w:rsidRPr="00B54051">
              <w:rPr>
                <w:rFonts w:eastAsia="Calibri"/>
                <w:sz w:val="20"/>
              </w:rPr>
              <w:t>October 16, 2009</w:t>
            </w:r>
          </w:p>
          <w:p w:rsidR="00E63030" w:rsidRPr="00B54051" w:rsidRDefault="00E63030" w:rsidP="00073A03">
            <w:pPr>
              <w:jc w:val="both"/>
              <w:rPr>
                <w:rFonts w:eastAsia="Calibri"/>
                <w:sz w:val="20"/>
              </w:rPr>
            </w:pPr>
            <w:r w:rsidRPr="00B54051">
              <w:rPr>
                <w:rFonts w:eastAsia="Calibri"/>
                <w:sz w:val="20"/>
              </w:rPr>
              <w:t>Provincial Court of British Columbia</w:t>
            </w:r>
          </w:p>
          <w:p w:rsidR="00E63030" w:rsidRPr="00B54051" w:rsidRDefault="00E63030" w:rsidP="00073A03">
            <w:pPr>
              <w:jc w:val="both"/>
              <w:rPr>
                <w:rFonts w:eastAsia="Calibri"/>
                <w:sz w:val="20"/>
              </w:rPr>
            </w:pPr>
            <w:r w:rsidRPr="00B54051">
              <w:rPr>
                <w:rFonts w:eastAsia="Calibri"/>
                <w:sz w:val="20"/>
              </w:rPr>
              <w:t>(Diebolt J.)</w:t>
            </w:r>
          </w:p>
          <w:p w:rsidR="00E63030" w:rsidRPr="00B54051" w:rsidRDefault="00E63030" w:rsidP="00073A03">
            <w:pPr>
              <w:jc w:val="both"/>
              <w:rPr>
                <w:rFonts w:eastAsia="Calibri"/>
                <w:sz w:val="20"/>
              </w:rPr>
            </w:pP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Conviction: blood alcohol level over .08</w:t>
            </w:r>
          </w:p>
          <w:p w:rsidR="00E63030" w:rsidRPr="00B54051" w:rsidRDefault="00E63030" w:rsidP="00073A03">
            <w:pPr>
              <w:jc w:val="both"/>
              <w:rPr>
                <w:rFonts w:eastAsia="Calibri"/>
                <w:sz w:val="20"/>
              </w:rPr>
            </w:pPr>
          </w:p>
        </w:tc>
      </w:tr>
      <w:tr w:rsidR="00E63030" w:rsidRPr="00B54051" w:rsidTr="00073A03">
        <w:trPr>
          <w:trHeight w:val="486"/>
        </w:trPr>
        <w:tc>
          <w:tcPr>
            <w:tcW w:w="2427" w:type="pct"/>
          </w:tcPr>
          <w:p w:rsidR="00E63030" w:rsidRPr="00B54051" w:rsidRDefault="00E63030" w:rsidP="00073A03">
            <w:pPr>
              <w:jc w:val="both"/>
              <w:rPr>
                <w:rFonts w:eastAsia="Calibri"/>
                <w:sz w:val="20"/>
              </w:rPr>
            </w:pPr>
            <w:r w:rsidRPr="00B54051">
              <w:rPr>
                <w:rFonts w:eastAsia="Calibri"/>
                <w:sz w:val="20"/>
              </w:rPr>
              <w:t>February 12, 2010</w:t>
            </w:r>
          </w:p>
          <w:p w:rsidR="00E63030" w:rsidRPr="00B54051" w:rsidRDefault="00E63030" w:rsidP="00073A03">
            <w:pPr>
              <w:jc w:val="both"/>
              <w:rPr>
                <w:rFonts w:eastAsia="Calibri"/>
                <w:sz w:val="20"/>
              </w:rPr>
            </w:pPr>
            <w:r w:rsidRPr="00B54051">
              <w:rPr>
                <w:rFonts w:eastAsia="Calibri"/>
                <w:sz w:val="20"/>
              </w:rPr>
              <w:t>Supreme Court of British Columbia</w:t>
            </w:r>
          </w:p>
          <w:p w:rsidR="00E63030" w:rsidRPr="00B54051" w:rsidRDefault="00E63030" w:rsidP="00073A03">
            <w:pPr>
              <w:jc w:val="both"/>
              <w:rPr>
                <w:rFonts w:eastAsia="Calibri"/>
                <w:sz w:val="20"/>
              </w:rPr>
            </w:pPr>
            <w:r w:rsidRPr="00B54051">
              <w:rPr>
                <w:rFonts w:eastAsia="Calibri"/>
                <w:sz w:val="20"/>
              </w:rPr>
              <w:t>(Bowden J.)</w:t>
            </w:r>
          </w:p>
          <w:p w:rsidR="00E63030" w:rsidRPr="00B54051" w:rsidRDefault="00E63030" w:rsidP="00073A03">
            <w:pPr>
              <w:jc w:val="both"/>
              <w:rPr>
                <w:rFonts w:eastAsia="Calibri"/>
                <w:sz w:val="20"/>
              </w:rPr>
            </w:pP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Appeal from conviction dismissed</w:t>
            </w:r>
          </w:p>
          <w:p w:rsidR="00E63030" w:rsidRPr="00B54051" w:rsidRDefault="00E63030" w:rsidP="00073A03">
            <w:pPr>
              <w:jc w:val="both"/>
              <w:rPr>
                <w:rFonts w:eastAsia="Calibri"/>
                <w:sz w:val="20"/>
              </w:rPr>
            </w:pPr>
          </w:p>
        </w:tc>
      </w:tr>
      <w:tr w:rsidR="00E63030" w:rsidRPr="00B54051" w:rsidTr="00F8147C">
        <w:trPr>
          <w:cantSplit/>
        </w:trPr>
        <w:tc>
          <w:tcPr>
            <w:tcW w:w="2427" w:type="pct"/>
          </w:tcPr>
          <w:p w:rsidR="00E63030" w:rsidRPr="00B54051" w:rsidRDefault="00E63030" w:rsidP="00073A03">
            <w:pPr>
              <w:jc w:val="both"/>
              <w:rPr>
                <w:rFonts w:eastAsia="Calibri"/>
                <w:sz w:val="20"/>
              </w:rPr>
            </w:pPr>
            <w:r w:rsidRPr="00B54051">
              <w:rPr>
                <w:rFonts w:eastAsia="Calibri"/>
                <w:sz w:val="20"/>
              </w:rPr>
              <w:lastRenderedPageBreak/>
              <w:t>January 11, 2011</w:t>
            </w:r>
          </w:p>
          <w:p w:rsidR="00E63030" w:rsidRPr="00B54051" w:rsidRDefault="00E63030" w:rsidP="00073A03">
            <w:pPr>
              <w:jc w:val="both"/>
              <w:rPr>
                <w:rFonts w:eastAsia="Calibri"/>
                <w:sz w:val="20"/>
              </w:rPr>
            </w:pPr>
            <w:r w:rsidRPr="00B54051">
              <w:rPr>
                <w:rFonts w:eastAsia="Calibri"/>
                <w:sz w:val="20"/>
              </w:rPr>
              <w:t>Court of Appeal for British Columbia (Vancouver)</w:t>
            </w:r>
          </w:p>
          <w:p w:rsidR="00E63030" w:rsidRPr="00B54051" w:rsidRDefault="00E63030" w:rsidP="00073A03">
            <w:pPr>
              <w:jc w:val="both"/>
              <w:rPr>
                <w:rFonts w:eastAsia="Calibri"/>
                <w:sz w:val="20"/>
              </w:rPr>
            </w:pPr>
            <w:r w:rsidRPr="00B54051">
              <w:rPr>
                <w:rFonts w:eastAsia="Calibri"/>
                <w:sz w:val="20"/>
              </w:rPr>
              <w:t>(Newbury, Hall, Hinkson JJ.A.)</w:t>
            </w:r>
          </w:p>
          <w:p w:rsidR="00E63030" w:rsidRDefault="00E63030" w:rsidP="00E63030">
            <w:pPr>
              <w:jc w:val="both"/>
              <w:rPr>
                <w:rFonts w:eastAsia="Calibri"/>
                <w:sz w:val="20"/>
              </w:rPr>
            </w:pPr>
            <w:r w:rsidRPr="00B54051">
              <w:rPr>
                <w:rFonts w:eastAsia="Calibri"/>
                <w:sz w:val="20"/>
              </w:rPr>
              <w:t>Neutral citation: 2011 BCCA 13</w:t>
            </w:r>
          </w:p>
          <w:p w:rsidR="00E63030" w:rsidRPr="00B54051" w:rsidRDefault="00E63030" w:rsidP="00E63030">
            <w:pPr>
              <w:jc w:val="both"/>
              <w:rPr>
                <w:rFonts w:eastAsia="Calibri"/>
                <w:sz w:val="20"/>
              </w:rPr>
            </w:pP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Appeal dismissed</w:t>
            </w:r>
          </w:p>
          <w:p w:rsidR="00E63030" w:rsidRPr="00B54051" w:rsidRDefault="00E63030" w:rsidP="00073A03">
            <w:pPr>
              <w:jc w:val="both"/>
              <w:rPr>
                <w:rFonts w:eastAsia="Calibri"/>
                <w:sz w:val="20"/>
              </w:rPr>
            </w:pPr>
          </w:p>
        </w:tc>
      </w:tr>
      <w:tr w:rsidR="00E63030" w:rsidRPr="00B54051" w:rsidTr="00F8147C">
        <w:trPr>
          <w:cantSplit/>
        </w:trPr>
        <w:tc>
          <w:tcPr>
            <w:tcW w:w="2427" w:type="pct"/>
          </w:tcPr>
          <w:p w:rsidR="00E63030" w:rsidRPr="00B54051" w:rsidRDefault="00E63030" w:rsidP="00073A03">
            <w:pPr>
              <w:jc w:val="both"/>
              <w:rPr>
                <w:rFonts w:eastAsia="Calibri"/>
                <w:sz w:val="20"/>
              </w:rPr>
            </w:pPr>
            <w:r w:rsidRPr="00B54051">
              <w:rPr>
                <w:rFonts w:eastAsia="Calibri"/>
                <w:sz w:val="20"/>
              </w:rPr>
              <w:t>February 24, 2011</w:t>
            </w:r>
          </w:p>
          <w:p w:rsidR="00E63030" w:rsidRPr="00B54051" w:rsidRDefault="00E63030" w:rsidP="00073A03">
            <w:pPr>
              <w:jc w:val="both"/>
              <w:rPr>
                <w:rFonts w:eastAsia="Calibri"/>
                <w:sz w:val="20"/>
              </w:rPr>
            </w:pPr>
            <w:r w:rsidRPr="00B54051">
              <w:rPr>
                <w:rFonts w:eastAsia="Calibri"/>
                <w:sz w:val="20"/>
              </w:rPr>
              <w:t>Supreme Court of Canada</w:t>
            </w:r>
          </w:p>
        </w:tc>
        <w:tc>
          <w:tcPr>
            <w:tcW w:w="243" w:type="pct"/>
          </w:tcPr>
          <w:p w:rsidR="00E63030" w:rsidRPr="00B54051" w:rsidRDefault="00E63030" w:rsidP="00073A03">
            <w:pPr>
              <w:jc w:val="both"/>
              <w:rPr>
                <w:rFonts w:eastAsia="Calibri"/>
                <w:sz w:val="20"/>
              </w:rPr>
            </w:pPr>
          </w:p>
        </w:tc>
        <w:tc>
          <w:tcPr>
            <w:tcW w:w="2330" w:type="pct"/>
          </w:tcPr>
          <w:p w:rsidR="00E63030" w:rsidRPr="00B54051" w:rsidRDefault="00E63030" w:rsidP="00073A03">
            <w:pPr>
              <w:jc w:val="both"/>
              <w:rPr>
                <w:rFonts w:eastAsia="Calibri"/>
                <w:sz w:val="20"/>
              </w:rPr>
            </w:pPr>
            <w:r w:rsidRPr="00B54051">
              <w:rPr>
                <w:rFonts w:eastAsia="Calibri"/>
                <w:sz w:val="20"/>
              </w:rPr>
              <w:t>Application for leave to appeal filed</w:t>
            </w:r>
          </w:p>
          <w:p w:rsidR="00E63030" w:rsidRPr="00B54051" w:rsidRDefault="00E63030" w:rsidP="00073A03">
            <w:pPr>
              <w:jc w:val="both"/>
              <w:rPr>
                <w:rFonts w:eastAsia="Calibri"/>
                <w:sz w:val="20"/>
              </w:rPr>
            </w:pPr>
          </w:p>
        </w:tc>
      </w:tr>
    </w:tbl>
    <w:p w:rsidR="00411CD6" w:rsidRPr="00E63030" w:rsidRDefault="00411CD6" w:rsidP="00411CD6">
      <w:pPr>
        <w:rPr>
          <w:sz w:val="20"/>
          <w:szCs w:val="20"/>
        </w:rPr>
      </w:pPr>
    </w:p>
    <w:p w:rsidR="00411CD6" w:rsidRDefault="008C2B81" w:rsidP="00411CD6">
      <w:pPr>
        <w:rPr>
          <w:sz w:val="20"/>
          <w:szCs w:val="20"/>
          <w:lang w:val="fr-CA"/>
        </w:rPr>
      </w:pPr>
      <w:r w:rsidRPr="008C2B81">
        <w:rPr>
          <w:sz w:val="20"/>
          <w:szCs w:val="20"/>
          <w:lang w:val="fr-CA"/>
        </w:rPr>
        <w:pict>
          <v:rect id="_x0000_i1051" style="width:2in;height:1pt" o:hrpct="0" o:hralign="center" o:hrstd="t" o:hrnoshade="t" o:hr="t" fillcolor="black [3213]" stroked="f"/>
        </w:pict>
      </w:r>
    </w:p>
    <w:p w:rsidR="00411CD6" w:rsidRDefault="00411CD6" w:rsidP="00411CD6">
      <w:pPr>
        <w:rPr>
          <w:sz w:val="20"/>
          <w:szCs w:val="20"/>
          <w:lang w:val="fr-CA"/>
        </w:rPr>
      </w:pPr>
    </w:p>
    <w:p w:rsidR="00411CD6" w:rsidRDefault="00411CD6" w:rsidP="00411CD6">
      <w:pPr>
        <w:rPr>
          <w:sz w:val="20"/>
          <w:szCs w:val="20"/>
          <w:lang w:val="fr-CA"/>
        </w:rPr>
      </w:pPr>
      <w:r>
        <w:rPr>
          <w:sz w:val="20"/>
          <w:szCs w:val="20"/>
          <w:u w:val="single"/>
          <w:lang w:val="fr-CA"/>
        </w:rPr>
        <w:t>RÉSUMÉ DE L’AFFAIRE</w:t>
      </w:r>
    </w:p>
    <w:p w:rsidR="00411CD6" w:rsidRDefault="00411CD6" w:rsidP="00411CD6">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E63030" w:rsidRPr="00C50886" w:rsidTr="00073A03">
        <w:tc>
          <w:tcPr>
            <w:tcW w:w="5000" w:type="pct"/>
            <w:gridSpan w:val="3"/>
          </w:tcPr>
          <w:p w:rsidR="00E63030" w:rsidRPr="00B54051" w:rsidRDefault="00E63030" w:rsidP="00073A03">
            <w:pPr>
              <w:jc w:val="both"/>
              <w:rPr>
                <w:rFonts w:eastAsia="Calibri"/>
                <w:sz w:val="20"/>
                <w:lang w:val="fr-CA"/>
              </w:rPr>
            </w:pPr>
            <w:r w:rsidRPr="00B54051">
              <w:rPr>
                <w:rFonts w:eastAsia="Calibri"/>
                <w:sz w:val="20"/>
                <w:lang w:val="fr-CA"/>
              </w:rPr>
              <w:t>Droit criminel — Appels — Preuve — Déclaration de culpabilité pour conduite d’un véhicule à moteur alors que son alcoolémie dépassait ,08 — La Cour d'appel a</w:t>
            </w:r>
            <w:r w:rsidRPr="00B54051">
              <w:rPr>
                <w:rFonts w:eastAsia="Calibri"/>
                <w:sz w:val="20"/>
                <w:lang w:val="fr-CA"/>
              </w:rPr>
              <w:noBreakHyphen/>
              <w:t>t</w:t>
            </w:r>
            <w:r w:rsidRPr="00B54051">
              <w:rPr>
                <w:rFonts w:eastAsia="Calibri"/>
                <w:sz w:val="20"/>
                <w:lang w:val="fr-CA"/>
              </w:rPr>
              <w:noBreakHyphen/>
              <w:t>elle appliqué le bon critère préliminaire en ce qui concerne les motifs raisonnables et probables? — Preuve de l’affaiblissement des facultés — Le juge du procès a</w:t>
            </w:r>
            <w:r w:rsidRPr="00B54051">
              <w:rPr>
                <w:rFonts w:eastAsia="Calibri"/>
                <w:sz w:val="20"/>
                <w:lang w:val="fr-CA"/>
              </w:rPr>
              <w:noBreakHyphen/>
              <w:t>t</w:t>
            </w:r>
            <w:r w:rsidRPr="00B54051">
              <w:rPr>
                <w:rFonts w:eastAsia="Calibri"/>
                <w:sz w:val="20"/>
                <w:lang w:val="fr-CA"/>
              </w:rPr>
              <w:noBreakHyphen/>
              <w:t>il commis une erreur en ne mentionnant pas que la preuve à la disposition du policier admettait d'autres explications que des signes d’affaiblissement des facultés? — Le juge du procès a</w:t>
            </w:r>
            <w:r w:rsidRPr="00B54051">
              <w:rPr>
                <w:rFonts w:eastAsia="Calibri"/>
                <w:sz w:val="20"/>
                <w:lang w:val="fr-CA"/>
              </w:rPr>
              <w:noBreakHyphen/>
              <w:t>t</w:t>
            </w:r>
            <w:r w:rsidRPr="00B54051">
              <w:rPr>
                <w:rFonts w:eastAsia="Calibri"/>
                <w:sz w:val="20"/>
                <w:lang w:val="fr-CA"/>
              </w:rPr>
              <w:noBreakHyphen/>
              <w:t>il considéré l’ensemble de la preuve? — L'affaire soulève</w:t>
            </w:r>
            <w:r w:rsidRPr="00B54051">
              <w:rPr>
                <w:rFonts w:eastAsia="Calibri"/>
                <w:sz w:val="20"/>
                <w:lang w:val="fr-CA"/>
              </w:rPr>
              <w:noBreakHyphen/>
              <w:t>t</w:t>
            </w:r>
            <w:r w:rsidRPr="00B54051">
              <w:rPr>
                <w:rFonts w:eastAsia="Calibri"/>
                <w:sz w:val="20"/>
                <w:lang w:val="fr-CA"/>
              </w:rPr>
              <w:noBreakHyphen/>
              <w:t>elle des questions d'importance pour le public?</w:t>
            </w:r>
          </w:p>
          <w:p w:rsidR="00E63030" w:rsidRPr="00B54051" w:rsidRDefault="00E63030" w:rsidP="00073A03">
            <w:pPr>
              <w:jc w:val="both"/>
              <w:rPr>
                <w:rFonts w:eastAsia="Calibri"/>
                <w:sz w:val="20"/>
                <w:lang w:val="fr-CA"/>
              </w:rPr>
            </w:pPr>
          </w:p>
        </w:tc>
      </w:tr>
      <w:tr w:rsidR="00E63030" w:rsidRPr="00B54051" w:rsidTr="00073A03">
        <w:tc>
          <w:tcPr>
            <w:tcW w:w="5000" w:type="pct"/>
            <w:gridSpan w:val="3"/>
          </w:tcPr>
          <w:p w:rsidR="00E63030" w:rsidRPr="00B54051" w:rsidRDefault="00E63030" w:rsidP="00073A03">
            <w:pPr>
              <w:jc w:val="both"/>
              <w:rPr>
                <w:rFonts w:eastAsia="Calibri"/>
                <w:sz w:val="20"/>
                <w:lang w:val="fr-CA"/>
              </w:rPr>
            </w:pPr>
            <w:r w:rsidRPr="00B54051">
              <w:rPr>
                <w:rFonts w:eastAsia="Calibri"/>
                <w:sz w:val="20"/>
                <w:lang w:val="fr-CA"/>
              </w:rPr>
              <w:t>Madame Wong conduisait son véhicule et est entrée en collision avec un autre véhicule.   Voyant que l'autre véhicule n'avait pas subi beaucoup de dommages, elle a quitté les lieux de l'accident.  On a appelé la police.  Le policier a conclu qu’au cours des deux heures précédentes, Mme Wong avait conduit avec les facultés affaiblies et il l’a donc arrêtée.  Le policier a informé Mme Wong de son droit à l'assistance d'un avocat garanti par la</w:t>
            </w:r>
            <w:r w:rsidRPr="00B54051">
              <w:rPr>
                <w:rFonts w:eastAsia="Calibri"/>
                <w:i/>
                <w:iCs/>
                <w:sz w:val="20"/>
                <w:lang w:val="fr-CA"/>
              </w:rPr>
              <w:t xml:space="preserve"> Charte des droits et libertés</w:t>
            </w:r>
            <w:r w:rsidRPr="00B54051">
              <w:rPr>
                <w:rFonts w:eastAsia="Calibri"/>
                <w:sz w:val="20"/>
                <w:lang w:val="fr-CA"/>
              </w:rPr>
              <w:t>.  À la suite du voir</w:t>
            </w:r>
            <w:r w:rsidRPr="00B54051">
              <w:rPr>
                <w:rFonts w:eastAsia="Calibri"/>
                <w:sz w:val="20"/>
                <w:lang w:val="fr-CA"/>
              </w:rPr>
              <w:noBreakHyphen/>
              <w:t>dire, le juge du procès a statué qu'il n'y avait eu aucune atteinte aux al. 10</w:t>
            </w:r>
            <w:r w:rsidRPr="00B54051">
              <w:rPr>
                <w:rFonts w:eastAsia="Calibri"/>
                <w:i/>
                <w:iCs/>
                <w:sz w:val="20"/>
                <w:lang w:val="fr-CA"/>
              </w:rPr>
              <w:t>a</w:t>
            </w:r>
            <w:r w:rsidRPr="00B54051">
              <w:rPr>
                <w:rFonts w:eastAsia="Calibri"/>
                <w:sz w:val="20"/>
                <w:lang w:val="fr-CA"/>
              </w:rPr>
              <w:t>) ou 10</w:t>
            </w:r>
            <w:r w:rsidRPr="00B54051">
              <w:rPr>
                <w:rFonts w:eastAsia="Calibri"/>
                <w:i/>
                <w:iCs/>
                <w:sz w:val="20"/>
                <w:lang w:val="fr-CA"/>
              </w:rPr>
              <w:t>b</w:t>
            </w:r>
            <w:r w:rsidRPr="00B54051">
              <w:rPr>
                <w:rFonts w:eastAsia="Calibri"/>
                <w:sz w:val="20"/>
                <w:lang w:val="fr-CA"/>
              </w:rPr>
              <w:t xml:space="preserve">) de la </w:t>
            </w:r>
            <w:r w:rsidRPr="00B54051">
              <w:rPr>
                <w:rFonts w:eastAsia="Calibri"/>
                <w:i/>
                <w:iCs/>
                <w:sz w:val="20"/>
                <w:lang w:val="fr-CA"/>
              </w:rPr>
              <w:t>Charte</w:t>
            </w:r>
            <w:r w:rsidRPr="00B54051">
              <w:rPr>
                <w:rFonts w:eastAsia="Calibri"/>
                <w:sz w:val="20"/>
                <w:lang w:val="fr-CA"/>
              </w:rPr>
              <w:t xml:space="preserve"> et a affirmé que même s'il avait conclu le contraire, s'appuyant sur les principes énoncés dans l'arrêt </w:t>
            </w:r>
            <w:r w:rsidRPr="00B54051">
              <w:rPr>
                <w:rFonts w:eastAsia="Calibri"/>
                <w:i/>
                <w:iCs/>
                <w:sz w:val="20"/>
                <w:lang w:val="fr-CA"/>
              </w:rPr>
              <w:t>R. c. Grant</w:t>
            </w:r>
            <w:r w:rsidRPr="00B54051">
              <w:rPr>
                <w:rFonts w:eastAsia="Calibri"/>
                <w:sz w:val="20"/>
                <w:lang w:val="fr-CA"/>
              </w:rPr>
              <w:t>, [2009] S.C.J. No. 32, [2009] 2 R.C.S. 353, la preuve, c’est</w:t>
            </w:r>
            <w:r w:rsidRPr="00B54051">
              <w:rPr>
                <w:rFonts w:eastAsia="Calibri"/>
                <w:sz w:val="20"/>
                <w:lang w:val="fr-CA"/>
              </w:rPr>
              <w:noBreakHyphen/>
              <w:t>à</w:t>
            </w:r>
            <w:r w:rsidRPr="00B54051">
              <w:rPr>
                <w:rFonts w:eastAsia="Calibri"/>
                <w:sz w:val="20"/>
                <w:lang w:val="fr-CA"/>
              </w:rPr>
              <w:noBreakHyphen/>
              <w:t xml:space="preserve">dire le certificat de résultats de l'alcootest, aurait été admise en vertu du par. 24(2) de la </w:t>
            </w:r>
            <w:r w:rsidRPr="00B54051">
              <w:rPr>
                <w:rFonts w:eastAsia="Calibri"/>
                <w:i/>
                <w:iCs/>
                <w:sz w:val="20"/>
                <w:lang w:val="fr-CA"/>
              </w:rPr>
              <w:t>Charte</w:t>
            </w:r>
            <w:r w:rsidRPr="00B54051">
              <w:rPr>
                <w:rFonts w:eastAsia="Calibri"/>
                <w:sz w:val="20"/>
                <w:lang w:val="fr-CA"/>
              </w:rPr>
              <w:t>.  Le juge du procès a également statué que le policier enquêteur avait des motifs raisonnables et probables d'exiger un échantillon d'haleine de Mme Wong.  Madame Wong a été déclarée coupable d'avoir conduit un véhicule à moteur alors que son alcoolémie dépassait ,08. Une suspension conditionnelle a été inscrite à l'égard de l'accusation de conduite avec facultés affaiblies et elle a été acquittée de l'accusation de ne pas être demeurée sur les lieux d'un accident.  Ses appels ont été rejetés.</w:t>
            </w:r>
          </w:p>
          <w:p w:rsidR="00E63030" w:rsidRPr="00B54051" w:rsidRDefault="00E63030" w:rsidP="00073A03">
            <w:pPr>
              <w:jc w:val="both"/>
              <w:rPr>
                <w:rFonts w:eastAsia="Calibri"/>
                <w:sz w:val="20"/>
                <w:lang w:val="fr-CA"/>
              </w:rPr>
            </w:pPr>
          </w:p>
        </w:tc>
      </w:tr>
      <w:tr w:rsidR="00E63030" w:rsidRPr="00C50886" w:rsidTr="00073A03">
        <w:trPr>
          <w:trHeight w:val="487"/>
        </w:trPr>
        <w:tc>
          <w:tcPr>
            <w:tcW w:w="2427" w:type="pct"/>
          </w:tcPr>
          <w:p w:rsidR="00E63030" w:rsidRPr="00B54051" w:rsidRDefault="00E63030" w:rsidP="00073A03">
            <w:pPr>
              <w:jc w:val="both"/>
              <w:rPr>
                <w:rFonts w:eastAsia="Calibri"/>
                <w:sz w:val="20"/>
                <w:lang w:val="fr-CA"/>
              </w:rPr>
            </w:pPr>
            <w:r w:rsidRPr="00B54051">
              <w:rPr>
                <w:rFonts w:eastAsia="Calibri"/>
                <w:sz w:val="20"/>
                <w:lang w:val="fr-CA"/>
              </w:rPr>
              <w:t>16 octobre 2009</w:t>
            </w:r>
          </w:p>
          <w:p w:rsidR="00E63030" w:rsidRPr="00B54051" w:rsidRDefault="00E63030" w:rsidP="00073A03">
            <w:pPr>
              <w:jc w:val="both"/>
              <w:rPr>
                <w:rFonts w:eastAsia="Calibri"/>
                <w:sz w:val="20"/>
                <w:lang w:val="fr-CA"/>
              </w:rPr>
            </w:pPr>
            <w:r w:rsidRPr="00B54051">
              <w:rPr>
                <w:rFonts w:eastAsia="Calibri"/>
                <w:sz w:val="20"/>
                <w:lang w:val="fr-CA"/>
              </w:rPr>
              <w:t>Cour provinciale de la Colombie</w:t>
            </w:r>
            <w:r w:rsidRPr="00B54051">
              <w:rPr>
                <w:rFonts w:eastAsia="Calibri"/>
                <w:sz w:val="20"/>
                <w:lang w:val="fr-CA"/>
              </w:rPr>
              <w:noBreakHyphen/>
              <w:t xml:space="preserve">Britannique </w:t>
            </w:r>
          </w:p>
          <w:p w:rsidR="00E63030" w:rsidRPr="00B54051" w:rsidRDefault="00E63030" w:rsidP="00073A03">
            <w:pPr>
              <w:jc w:val="both"/>
              <w:rPr>
                <w:rFonts w:eastAsia="Calibri"/>
                <w:sz w:val="20"/>
                <w:lang w:val="fr-CA"/>
              </w:rPr>
            </w:pPr>
            <w:r w:rsidRPr="00B54051">
              <w:rPr>
                <w:rFonts w:eastAsia="Calibri"/>
                <w:sz w:val="20"/>
                <w:lang w:val="fr-CA"/>
              </w:rPr>
              <w:t>(Juge Diebolt)</w:t>
            </w:r>
          </w:p>
          <w:p w:rsidR="00E63030" w:rsidRPr="00B54051" w:rsidRDefault="00E63030" w:rsidP="00073A03">
            <w:pPr>
              <w:jc w:val="both"/>
              <w:rPr>
                <w:rFonts w:eastAsia="Calibri"/>
                <w:sz w:val="20"/>
                <w:lang w:val="fr-CA"/>
              </w:rPr>
            </w:pPr>
          </w:p>
        </w:tc>
        <w:tc>
          <w:tcPr>
            <w:tcW w:w="243" w:type="pct"/>
            <w:vMerge w:val="restart"/>
          </w:tcPr>
          <w:p w:rsidR="00E63030" w:rsidRPr="00B54051" w:rsidRDefault="00E63030" w:rsidP="00073A03">
            <w:pPr>
              <w:jc w:val="both"/>
              <w:rPr>
                <w:rFonts w:eastAsia="Calibri"/>
                <w:sz w:val="20"/>
                <w:lang w:val="fr-CA"/>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Déclaration de culpabilité : alcoolémie supérieure à ,08</w:t>
            </w:r>
          </w:p>
          <w:p w:rsidR="00E63030" w:rsidRPr="00B54051" w:rsidRDefault="00E63030" w:rsidP="00073A03">
            <w:pPr>
              <w:jc w:val="both"/>
              <w:rPr>
                <w:rFonts w:eastAsia="Calibri"/>
                <w:sz w:val="20"/>
                <w:lang w:val="fr-CA"/>
              </w:rPr>
            </w:pPr>
          </w:p>
        </w:tc>
      </w:tr>
      <w:tr w:rsidR="00E63030" w:rsidRPr="00C50886" w:rsidTr="00073A03">
        <w:trPr>
          <w:trHeight w:val="486"/>
        </w:trPr>
        <w:tc>
          <w:tcPr>
            <w:tcW w:w="2427" w:type="pct"/>
          </w:tcPr>
          <w:p w:rsidR="00E63030" w:rsidRPr="00B54051" w:rsidRDefault="00E63030" w:rsidP="00073A03">
            <w:pPr>
              <w:jc w:val="both"/>
              <w:rPr>
                <w:rFonts w:eastAsia="Calibri"/>
                <w:sz w:val="20"/>
                <w:lang w:val="fr-CA"/>
              </w:rPr>
            </w:pPr>
            <w:r w:rsidRPr="00B54051">
              <w:rPr>
                <w:rFonts w:eastAsia="Calibri"/>
                <w:sz w:val="20"/>
                <w:lang w:val="fr-CA"/>
              </w:rPr>
              <w:t>12 février 2010</w:t>
            </w:r>
          </w:p>
          <w:p w:rsidR="00E63030" w:rsidRPr="00B54051" w:rsidRDefault="00E63030" w:rsidP="00073A03">
            <w:pPr>
              <w:jc w:val="both"/>
              <w:rPr>
                <w:rFonts w:eastAsia="Calibri"/>
                <w:sz w:val="20"/>
                <w:lang w:val="fr-CA"/>
              </w:rPr>
            </w:pPr>
            <w:r w:rsidRPr="00B54051">
              <w:rPr>
                <w:rFonts w:eastAsia="Calibri"/>
                <w:sz w:val="20"/>
                <w:lang w:val="fr-CA"/>
              </w:rPr>
              <w:t>Cour suprême de la Colombie</w:t>
            </w:r>
            <w:r w:rsidRPr="00B54051">
              <w:rPr>
                <w:rFonts w:eastAsia="Calibri"/>
                <w:sz w:val="20"/>
                <w:lang w:val="fr-CA"/>
              </w:rPr>
              <w:noBreakHyphen/>
              <w:t xml:space="preserve">Britannique </w:t>
            </w:r>
          </w:p>
          <w:p w:rsidR="00E63030" w:rsidRPr="00B54051" w:rsidRDefault="00E63030" w:rsidP="00073A03">
            <w:pPr>
              <w:jc w:val="both"/>
              <w:rPr>
                <w:rFonts w:eastAsia="Calibri"/>
                <w:sz w:val="20"/>
                <w:lang w:val="fr-CA"/>
              </w:rPr>
            </w:pPr>
            <w:r w:rsidRPr="00B54051">
              <w:rPr>
                <w:rFonts w:eastAsia="Calibri"/>
                <w:sz w:val="20"/>
                <w:lang w:val="fr-CA"/>
              </w:rPr>
              <w:t>(Juge Bowden)</w:t>
            </w:r>
          </w:p>
          <w:p w:rsidR="00E63030" w:rsidRPr="00B54051" w:rsidRDefault="00E63030" w:rsidP="00073A03">
            <w:pPr>
              <w:jc w:val="both"/>
              <w:rPr>
                <w:rFonts w:eastAsia="Calibri"/>
                <w:sz w:val="20"/>
                <w:lang w:val="fr-CA"/>
              </w:rPr>
            </w:pPr>
          </w:p>
        </w:tc>
        <w:tc>
          <w:tcPr>
            <w:tcW w:w="243" w:type="pct"/>
            <w:vMerge/>
          </w:tcPr>
          <w:p w:rsidR="00E63030" w:rsidRPr="00B54051" w:rsidRDefault="00E63030" w:rsidP="00073A03">
            <w:pPr>
              <w:jc w:val="both"/>
              <w:rPr>
                <w:rFonts w:eastAsia="Calibri"/>
                <w:sz w:val="20"/>
                <w:lang w:val="fr-CA"/>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Appel de la déclaration de culpabilité, rejeté</w:t>
            </w:r>
          </w:p>
          <w:p w:rsidR="00E63030" w:rsidRPr="00B54051" w:rsidRDefault="00E63030" w:rsidP="00073A03">
            <w:pPr>
              <w:jc w:val="both"/>
              <w:rPr>
                <w:rFonts w:eastAsia="Calibri"/>
                <w:sz w:val="20"/>
                <w:lang w:val="fr-CA"/>
              </w:rPr>
            </w:pPr>
          </w:p>
        </w:tc>
      </w:tr>
      <w:tr w:rsidR="00E63030" w:rsidRPr="00B54051" w:rsidTr="00073A03">
        <w:tc>
          <w:tcPr>
            <w:tcW w:w="2427" w:type="pct"/>
          </w:tcPr>
          <w:p w:rsidR="00E63030" w:rsidRPr="00B54051" w:rsidRDefault="00E63030" w:rsidP="00073A03">
            <w:pPr>
              <w:jc w:val="both"/>
              <w:rPr>
                <w:rFonts w:eastAsia="Calibri"/>
                <w:sz w:val="20"/>
                <w:lang w:val="fr-CA"/>
              </w:rPr>
            </w:pPr>
            <w:r w:rsidRPr="00B54051">
              <w:rPr>
                <w:rFonts w:eastAsia="Calibri"/>
                <w:sz w:val="20"/>
                <w:lang w:val="fr-CA"/>
              </w:rPr>
              <w:t>11 janvier 2011</w:t>
            </w:r>
          </w:p>
          <w:p w:rsidR="00E63030" w:rsidRPr="00B54051" w:rsidRDefault="00E63030" w:rsidP="00073A03">
            <w:pPr>
              <w:jc w:val="both"/>
              <w:rPr>
                <w:rFonts w:eastAsia="Calibri"/>
                <w:sz w:val="20"/>
                <w:lang w:val="fr-CA"/>
              </w:rPr>
            </w:pPr>
            <w:r w:rsidRPr="00B54051">
              <w:rPr>
                <w:rFonts w:eastAsia="Calibri"/>
                <w:sz w:val="20"/>
                <w:lang w:val="fr-CA"/>
              </w:rPr>
              <w:t>Cour d'appel de la Colombie</w:t>
            </w:r>
            <w:r w:rsidRPr="00B54051">
              <w:rPr>
                <w:rFonts w:eastAsia="Calibri"/>
                <w:sz w:val="20"/>
                <w:lang w:val="fr-CA"/>
              </w:rPr>
              <w:noBreakHyphen/>
              <w:t>Britannique (Vancouver)</w:t>
            </w:r>
          </w:p>
          <w:p w:rsidR="00E63030" w:rsidRPr="00B54051" w:rsidRDefault="00E63030" w:rsidP="00073A03">
            <w:pPr>
              <w:jc w:val="both"/>
              <w:rPr>
                <w:rFonts w:eastAsia="Calibri"/>
                <w:sz w:val="20"/>
              </w:rPr>
            </w:pPr>
            <w:r w:rsidRPr="00B54051">
              <w:rPr>
                <w:rFonts w:eastAsia="Calibri"/>
                <w:sz w:val="20"/>
              </w:rPr>
              <w:t>(Juges Newbury, Hall et Hinkson)</w:t>
            </w:r>
          </w:p>
          <w:p w:rsidR="00E63030" w:rsidRPr="00B54051" w:rsidRDefault="00E63030" w:rsidP="00073A03">
            <w:pPr>
              <w:jc w:val="both"/>
              <w:rPr>
                <w:rFonts w:eastAsia="Calibri"/>
                <w:sz w:val="20"/>
                <w:lang w:val="fr-CA"/>
              </w:rPr>
            </w:pPr>
            <w:r w:rsidRPr="00B54051">
              <w:rPr>
                <w:rFonts w:eastAsia="Calibri"/>
                <w:sz w:val="20"/>
                <w:lang w:val="fr-CA"/>
              </w:rPr>
              <w:t>Référence neutre : 2011 BCCA 13</w:t>
            </w:r>
          </w:p>
          <w:p w:rsidR="00E63030" w:rsidRPr="00B54051" w:rsidRDefault="00E63030" w:rsidP="00073A03">
            <w:pPr>
              <w:jc w:val="both"/>
              <w:rPr>
                <w:rFonts w:eastAsia="Calibri"/>
                <w:sz w:val="20"/>
                <w:lang w:val="fr-CA"/>
              </w:rPr>
            </w:pPr>
          </w:p>
        </w:tc>
        <w:tc>
          <w:tcPr>
            <w:tcW w:w="243" w:type="pct"/>
          </w:tcPr>
          <w:p w:rsidR="00E63030" w:rsidRPr="00B54051" w:rsidRDefault="00E63030" w:rsidP="00073A03">
            <w:pPr>
              <w:jc w:val="both"/>
              <w:rPr>
                <w:rFonts w:eastAsia="Calibri"/>
                <w:sz w:val="20"/>
                <w:lang w:val="fr-CA"/>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Appel rejeté</w:t>
            </w:r>
          </w:p>
          <w:p w:rsidR="00E63030" w:rsidRPr="00B54051" w:rsidRDefault="00E63030" w:rsidP="00073A03">
            <w:pPr>
              <w:jc w:val="both"/>
              <w:rPr>
                <w:rFonts w:eastAsia="Calibri"/>
                <w:sz w:val="20"/>
                <w:lang w:val="fr-CA"/>
              </w:rPr>
            </w:pPr>
          </w:p>
        </w:tc>
      </w:tr>
      <w:tr w:rsidR="00E63030" w:rsidRPr="00B54051" w:rsidTr="00073A03">
        <w:tc>
          <w:tcPr>
            <w:tcW w:w="2427" w:type="pct"/>
          </w:tcPr>
          <w:p w:rsidR="00E63030" w:rsidRPr="00B54051" w:rsidRDefault="00E63030" w:rsidP="00073A03">
            <w:pPr>
              <w:jc w:val="both"/>
              <w:rPr>
                <w:rFonts w:eastAsia="Calibri"/>
                <w:sz w:val="20"/>
                <w:lang w:val="fr-CA"/>
              </w:rPr>
            </w:pPr>
            <w:r w:rsidRPr="00B54051">
              <w:rPr>
                <w:rFonts w:eastAsia="Calibri"/>
                <w:sz w:val="20"/>
                <w:lang w:val="fr-CA"/>
              </w:rPr>
              <w:t>24 février 2011</w:t>
            </w:r>
          </w:p>
          <w:p w:rsidR="00E63030" w:rsidRPr="00B54051" w:rsidRDefault="00E63030" w:rsidP="00073A03">
            <w:pPr>
              <w:jc w:val="both"/>
              <w:rPr>
                <w:rFonts w:eastAsia="Calibri"/>
                <w:sz w:val="20"/>
                <w:lang w:val="fr-CA"/>
              </w:rPr>
            </w:pPr>
            <w:r w:rsidRPr="00B54051">
              <w:rPr>
                <w:rFonts w:eastAsia="Calibri"/>
                <w:sz w:val="20"/>
                <w:lang w:val="fr-CA"/>
              </w:rPr>
              <w:t>Cour suprême du Canada</w:t>
            </w:r>
          </w:p>
        </w:tc>
        <w:tc>
          <w:tcPr>
            <w:tcW w:w="243" w:type="pct"/>
          </w:tcPr>
          <w:p w:rsidR="00E63030" w:rsidRPr="00B54051" w:rsidRDefault="00E63030" w:rsidP="00073A03">
            <w:pPr>
              <w:jc w:val="both"/>
              <w:rPr>
                <w:rFonts w:eastAsia="Calibri"/>
                <w:sz w:val="20"/>
                <w:lang w:val="fr-CA"/>
              </w:rPr>
            </w:pPr>
          </w:p>
        </w:tc>
        <w:tc>
          <w:tcPr>
            <w:tcW w:w="2330" w:type="pct"/>
          </w:tcPr>
          <w:p w:rsidR="00E63030" w:rsidRPr="00B54051" w:rsidRDefault="00E63030" w:rsidP="00073A03">
            <w:pPr>
              <w:jc w:val="both"/>
              <w:rPr>
                <w:rFonts w:eastAsia="Calibri"/>
                <w:sz w:val="20"/>
                <w:lang w:val="fr-CA"/>
              </w:rPr>
            </w:pPr>
            <w:r w:rsidRPr="00B54051">
              <w:rPr>
                <w:rFonts w:eastAsia="Calibri"/>
                <w:sz w:val="20"/>
                <w:lang w:val="fr-CA"/>
              </w:rPr>
              <w:t>Demande d'autorisation d'appel, déposée</w:t>
            </w:r>
          </w:p>
          <w:p w:rsidR="00E63030" w:rsidRPr="00B54051" w:rsidRDefault="00E63030" w:rsidP="00073A03">
            <w:pPr>
              <w:jc w:val="both"/>
              <w:rPr>
                <w:rFonts w:eastAsia="Calibri"/>
                <w:sz w:val="20"/>
                <w:lang w:val="fr-CA"/>
              </w:rPr>
            </w:pPr>
          </w:p>
        </w:tc>
      </w:tr>
    </w:tbl>
    <w:p w:rsidR="00411CD6" w:rsidRDefault="00411CD6" w:rsidP="00411CD6">
      <w:pPr>
        <w:rPr>
          <w:sz w:val="20"/>
          <w:szCs w:val="20"/>
          <w:lang w:val="fr-CA"/>
        </w:rPr>
      </w:pPr>
    </w:p>
    <w:p w:rsidR="00411CD6" w:rsidRDefault="008C2B81" w:rsidP="00411CD6">
      <w:pPr>
        <w:rPr>
          <w:sz w:val="20"/>
          <w:szCs w:val="20"/>
          <w:lang w:val="fr-CA"/>
        </w:rPr>
      </w:pPr>
      <w:r w:rsidRPr="008C2B81">
        <w:rPr>
          <w:sz w:val="20"/>
          <w:szCs w:val="20"/>
          <w:lang w:val="fr-CA"/>
        </w:rPr>
        <w:pict>
          <v:rect id="_x0000_i1052" style="width:2in;height:1pt" o:hrpct="0" o:hralign="center" o:hrstd="t" o:hrnoshade="t" o:hr="t" fillcolor="black [3213]" stroked="f"/>
        </w:pict>
      </w:r>
    </w:p>
    <w:p w:rsidR="00411CD6" w:rsidRPr="00453064" w:rsidRDefault="00411CD6" w:rsidP="00411C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8147C" w:rsidRPr="00C50886" w:rsidTr="000367EB">
        <w:trPr>
          <w:cantSplit/>
        </w:trPr>
        <w:tc>
          <w:tcPr>
            <w:tcW w:w="1458" w:type="dxa"/>
          </w:tcPr>
          <w:p w:rsidR="00F8147C" w:rsidRPr="00E85700" w:rsidRDefault="00F8147C" w:rsidP="000367EB">
            <w:pPr>
              <w:rPr>
                <w:rFonts w:cs="Times New Roman"/>
                <w:sz w:val="20"/>
                <w:szCs w:val="20"/>
              </w:rPr>
            </w:pPr>
            <w:r w:rsidRPr="00E85700">
              <w:rPr>
                <w:rStyle w:val="SCCFileNumberChar"/>
                <w:rFonts w:cs="Times New Roman"/>
                <w:sz w:val="20"/>
                <w:szCs w:val="20"/>
              </w:rPr>
              <w:lastRenderedPageBreak/>
              <w:t>34121</w:t>
            </w:r>
          </w:p>
          <w:p w:rsidR="00F8147C" w:rsidRPr="00E85700" w:rsidRDefault="00F8147C" w:rsidP="000367EB">
            <w:pPr>
              <w:rPr>
                <w:rFonts w:cs="Times New Roman"/>
                <w:b/>
                <w:sz w:val="20"/>
                <w:szCs w:val="20"/>
                <w:lang w:val="fr-CA"/>
              </w:rPr>
            </w:pPr>
          </w:p>
        </w:tc>
        <w:tc>
          <w:tcPr>
            <w:tcW w:w="8118" w:type="dxa"/>
          </w:tcPr>
          <w:p w:rsidR="00F8147C" w:rsidRPr="00E85700" w:rsidRDefault="00F8147C" w:rsidP="000367EB">
            <w:pPr>
              <w:jc w:val="both"/>
              <w:rPr>
                <w:rFonts w:cs="Times New Roman"/>
                <w:sz w:val="20"/>
                <w:szCs w:val="20"/>
                <w:lang w:val="fr-CA"/>
              </w:rPr>
            </w:pPr>
            <w:r w:rsidRPr="00E85700">
              <w:rPr>
                <w:rStyle w:val="SCCLsocChar"/>
                <w:rFonts w:cs="Times New Roman"/>
                <w:sz w:val="20"/>
                <w:szCs w:val="20"/>
              </w:rPr>
              <w:t>Suzanne Clermont Bizzaro c. Pasquale Artuso, John A. Marsillo et Fonds d'assurance responsabilité professionnelle du Barreau du Québec</w:t>
            </w:r>
            <w:r w:rsidRPr="00E85700">
              <w:rPr>
                <w:rFonts w:cs="Times New Roman"/>
                <w:sz w:val="20"/>
                <w:szCs w:val="20"/>
                <w:lang w:val="fr-CA"/>
              </w:rPr>
              <w:t xml:space="preserve"> (Qc) (Civile) (Autorisation)</w:t>
            </w:r>
          </w:p>
          <w:p w:rsidR="00F8147C" w:rsidRPr="00E85700" w:rsidRDefault="00F8147C" w:rsidP="000367EB">
            <w:pPr>
              <w:rPr>
                <w:rFonts w:cs="Times New Roman"/>
                <w:sz w:val="20"/>
                <w:szCs w:val="20"/>
                <w:lang w:val="fr-CA"/>
              </w:rPr>
            </w:pPr>
          </w:p>
        </w:tc>
      </w:tr>
      <w:tr w:rsidR="00F8147C" w:rsidRPr="00C50886" w:rsidTr="000367EB">
        <w:trPr>
          <w:cantSplit/>
        </w:trPr>
        <w:tc>
          <w:tcPr>
            <w:tcW w:w="1458" w:type="dxa"/>
          </w:tcPr>
          <w:p w:rsidR="00F8147C" w:rsidRPr="00E85700" w:rsidRDefault="00F8147C" w:rsidP="000367EB">
            <w:pPr>
              <w:rPr>
                <w:rFonts w:cs="Times New Roman"/>
                <w:sz w:val="20"/>
                <w:szCs w:val="20"/>
              </w:rPr>
            </w:pPr>
            <w:r w:rsidRPr="00E85700">
              <w:rPr>
                <w:rFonts w:cs="Times New Roman"/>
                <w:sz w:val="20"/>
                <w:szCs w:val="20"/>
              </w:rPr>
              <w:t>Coram :</w:t>
            </w:r>
          </w:p>
        </w:tc>
        <w:tc>
          <w:tcPr>
            <w:tcW w:w="8118" w:type="dxa"/>
          </w:tcPr>
          <w:p w:rsidR="00F8147C" w:rsidRPr="00E85700" w:rsidRDefault="00F8147C" w:rsidP="000367EB">
            <w:pPr>
              <w:rPr>
                <w:rFonts w:cs="Times New Roman"/>
                <w:sz w:val="20"/>
                <w:szCs w:val="20"/>
                <w:lang w:val="fr-CA"/>
              </w:rPr>
            </w:pPr>
            <w:r w:rsidRPr="00E85700">
              <w:rPr>
                <w:rStyle w:val="SCCCoramChar"/>
                <w:rFonts w:cs="Times New Roman"/>
                <w:sz w:val="20"/>
                <w:szCs w:val="20"/>
              </w:rPr>
              <w:t>Les juges LeBel, Fish et Cromwell</w:t>
            </w:r>
          </w:p>
          <w:p w:rsidR="00F8147C" w:rsidRPr="00E85700" w:rsidRDefault="00F8147C" w:rsidP="000367EB">
            <w:pPr>
              <w:rPr>
                <w:rFonts w:cs="Times New Roman"/>
                <w:sz w:val="20"/>
                <w:szCs w:val="20"/>
                <w:u w:val="single"/>
                <w:lang w:val="fr-CA"/>
              </w:rPr>
            </w:pPr>
          </w:p>
        </w:tc>
      </w:tr>
      <w:tr w:rsidR="00F8147C" w:rsidRPr="00E85700" w:rsidTr="000367EB">
        <w:trPr>
          <w:cantSplit/>
        </w:trPr>
        <w:tc>
          <w:tcPr>
            <w:tcW w:w="9576" w:type="dxa"/>
            <w:gridSpan w:val="2"/>
          </w:tcPr>
          <w:p w:rsidR="00F8147C" w:rsidRPr="00E85700" w:rsidRDefault="000E59D8" w:rsidP="000367EB">
            <w:pPr>
              <w:pStyle w:val="SCCShortJudgment"/>
              <w:rPr>
                <w:rFonts w:cs="Times New Roman"/>
                <w:szCs w:val="20"/>
                <w:lang w:val="fr-CA"/>
              </w:rPr>
            </w:pPr>
            <w:r w:rsidRPr="000E59D8">
              <w:rPr>
                <w:szCs w:val="20"/>
                <w:lang w:val="fr-CA"/>
              </w:rPr>
              <w:t>La requête en prorogation du délai de signification et de dépôt de la demande d’autorisation d’appel est accordée.</w:t>
            </w:r>
            <w:r>
              <w:rPr>
                <w:szCs w:val="20"/>
                <w:lang w:val="fr-CA"/>
              </w:rPr>
              <w:t xml:space="preserve"> </w:t>
            </w:r>
            <w:r w:rsidR="00F8147C" w:rsidRPr="00E85700">
              <w:rPr>
                <w:rFonts w:cs="Times New Roman"/>
                <w:szCs w:val="20"/>
                <w:lang w:val="fr-CA"/>
              </w:rPr>
              <w:t>La demande d’autorisation d’appel de l’arrêt de la Cour d’appel du Québec (Montréal), numéro 500-09-018760-082, 2010 QCCA 2220, daté du 6 décembre 2010, est rejetée avec dépens.</w:t>
            </w:r>
          </w:p>
          <w:p w:rsidR="00F8147C" w:rsidRPr="00E85700" w:rsidRDefault="00F8147C" w:rsidP="000367EB">
            <w:pPr>
              <w:pStyle w:val="SCCShortJudgment"/>
              <w:ind w:firstLine="0"/>
              <w:rPr>
                <w:rFonts w:cs="Times New Roman"/>
                <w:szCs w:val="20"/>
                <w:lang w:val="fr-CA"/>
              </w:rPr>
            </w:pPr>
          </w:p>
          <w:p w:rsidR="00F8147C" w:rsidRPr="00E85700" w:rsidRDefault="000E59D8" w:rsidP="000367EB">
            <w:pPr>
              <w:pStyle w:val="SCCShortJudgment"/>
              <w:rPr>
                <w:rFonts w:cs="Times New Roman"/>
                <w:szCs w:val="20"/>
              </w:rPr>
            </w:pPr>
            <w:r w:rsidRPr="001B7A13">
              <w:rPr>
                <w:szCs w:val="20"/>
              </w:rPr>
              <w:t>The motion for an extension of time to serve and file the application for leave to appeal is granted.</w:t>
            </w:r>
            <w:r>
              <w:rPr>
                <w:szCs w:val="20"/>
              </w:rPr>
              <w:t xml:space="preserve"> </w:t>
            </w:r>
            <w:r w:rsidR="00F8147C" w:rsidRPr="00E85700">
              <w:rPr>
                <w:rFonts w:cs="Times New Roman"/>
                <w:szCs w:val="20"/>
              </w:rPr>
              <w:t>The application for leave to appeal from the judgment of the Court of Appeal of Quebec (Montréal), Number 500-09-018760-082, 2010 QCCA 2220, dated December 6, 2010, is dismissed with costs.</w:t>
            </w:r>
          </w:p>
        </w:tc>
      </w:tr>
    </w:tbl>
    <w:p w:rsidR="00F8147C" w:rsidRPr="00F8147C" w:rsidRDefault="00F8147C" w:rsidP="008D292F">
      <w:pPr>
        <w:rPr>
          <w:sz w:val="20"/>
          <w:szCs w:val="20"/>
        </w:rPr>
      </w:pPr>
    </w:p>
    <w:p w:rsidR="00411CD6" w:rsidRDefault="00411CD6" w:rsidP="00411CD6">
      <w:pPr>
        <w:rPr>
          <w:sz w:val="20"/>
          <w:szCs w:val="20"/>
          <w:u w:val="single"/>
          <w:lang w:val="fr-CA"/>
        </w:rPr>
      </w:pPr>
      <w:r>
        <w:rPr>
          <w:sz w:val="20"/>
          <w:szCs w:val="20"/>
          <w:u w:val="single"/>
          <w:lang w:val="fr-CA"/>
        </w:rPr>
        <w:t>CASE SUMMARY</w:t>
      </w:r>
    </w:p>
    <w:p w:rsidR="001624CB" w:rsidRPr="00453064" w:rsidRDefault="001624CB"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1624CB" w:rsidRPr="00B54051" w:rsidTr="00073A03">
        <w:tc>
          <w:tcPr>
            <w:tcW w:w="5000" w:type="pct"/>
            <w:gridSpan w:val="3"/>
          </w:tcPr>
          <w:p w:rsidR="001624CB" w:rsidRPr="00B54051" w:rsidRDefault="001624CB" w:rsidP="00073A03">
            <w:pPr>
              <w:jc w:val="both"/>
              <w:rPr>
                <w:rFonts w:eastAsia="Calibri"/>
                <w:sz w:val="20"/>
              </w:rPr>
            </w:pPr>
            <w:r w:rsidRPr="00B54051">
              <w:rPr>
                <w:rFonts w:eastAsia="Calibri"/>
                <w:sz w:val="20"/>
              </w:rPr>
              <w:t>Civil liability — Eye surgery with complications — Medical malpractice suit — Evidentiary and procedural difficulties leading to discontinuance — Attorneys sued — Whether respondent attorneys caused client to lose right of action — Whether Court of Appeal applied appropriate legal principles.</w:t>
            </w:r>
          </w:p>
          <w:p w:rsidR="001624CB" w:rsidRPr="00B54051" w:rsidRDefault="001624CB" w:rsidP="00073A03">
            <w:pPr>
              <w:jc w:val="both"/>
              <w:rPr>
                <w:rFonts w:eastAsia="Calibri"/>
                <w:sz w:val="20"/>
              </w:rPr>
            </w:pPr>
          </w:p>
        </w:tc>
      </w:tr>
      <w:tr w:rsidR="001624CB" w:rsidRPr="00B54051" w:rsidTr="00073A03">
        <w:tc>
          <w:tcPr>
            <w:tcW w:w="5000" w:type="pct"/>
            <w:gridSpan w:val="3"/>
          </w:tcPr>
          <w:p w:rsidR="001624CB" w:rsidRPr="00B54051" w:rsidRDefault="001624CB" w:rsidP="00073A03">
            <w:pPr>
              <w:jc w:val="both"/>
              <w:rPr>
                <w:rFonts w:eastAsia="Calibri"/>
                <w:sz w:val="20"/>
              </w:rPr>
            </w:pPr>
            <w:r w:rsidRPr="00B54051">
              <w:rPr>
                <w:rFonts w:eastAsia="Calibri"/>
                <w:sz w:val="20"/>
              </w:rPr>
              <w:t>In 1992, Dr. Kwitko, with the applicant’s consent, performed cataract surgery on the applicant’s left eye but also included a procedure that she thought she would have to undergo later.  Despite some problems, a capsulotomy quickly followed.  Complications occurred, including a fistula that could not be completely eliminated by any means.  Legal proceedings against the physician were instituted in 1995.  A first attorney withdrew from the case in 1998 because of the difficulty of obtaining a favourable expert appraisal.  The applicant turned to the respondent attorneys and then found a Mexican expert who would testify in her favour.  However, in 1999, a second appraisal was filed in defence.  The respondent attorneys suggested giving up, but the applicant continued and the trial was scheduled for June 4, 2001.  A few days before that date, the applicant’s attorneys and her expert suddenly became aware of a discrepancy between their approaches: the attorneys’ action was based on lack of consent, whereas the expert’s conclusion related to medical malpractice.  Since the physician being sued objected to amending the pleadings on the ground of prescription, the applicant’s attorneys recommended a discontinuance, which she reluctantly signed.  She then sued her attorneys for depriving her of her right of action through their fault.</w:t>
            </w:r>
          </w:p>
          <w:p w:rsidR="001624CB" w:rsidRPr="00B54051" w:rsidRDefault="001624CB" w:rsidP="00073A03">
            <w:pPr>
              <w:jc w:val="both"/>
              <w:rPr>
                <w:rFonts w:eastAsia="Calibri"/>
                <w:sz w:val="20"/>
              </w:rPr>
            </w:pPr>
          </w:p>
        </w:tc>
      </w:tr>
      <w:tr w:rsidR="001624CB" w:rsidRPr="00B54051" w:rsidTr="00073A03">
        <w:tc>
          <w:tcPr>
            <w:tcW w:w="2427" w:type="pct"/>
          </w:tcPr>
          <w:p w:rsidR="001624CB" w:rsidRPr="00B54051" w:rsidRDefault="001624CB" w:rsidP="00073A03">
            <w:pPr>
              <w:jc w:val="both"/>
              <w:rPr>
                <w:rFonts w:eastAsia="Calibri"/>
                <w:sz w:val="20"/>
              </w:rPr>
            </w:pPr>
            <w:r w:rsidRPr="00B54051">
              <w:rPr>
                <w:rFonts w:eastAsia="Calibri"/>
                <w:sz w:val="20"/>
              </w:rPr>
              <w:t>May 8, 2008</w:t>
            </w:r>
          </w:p>
          <w:p w:rsidR="001624CB" w:rsidRPr="00B54051" w:rsidRDefault="001624CB" w:rsidP="00073A03">
            <w:pPr>
              <w:jc w:val="both"/>
              <w:rPr>
                <w:rFonts w:eastAsia="Calibri"/>
                <w:sz w:val="20"/>
              </w:rPr>
            </w:pPr>
            <w:r w:rsidRPr="00B54051">
              <w:rPr>
                <w:rFonts w:eastAsia="Calibri"/>
                <w:sz w:val="20"/>
              </w:rPr>
              <w:t>Quebec Superior Court</w:t>
            </w:r>
          </w:p>
          <w:p w:rsidR="001624CB" w:rsidRPr="00B54051" w:rsidRDefault="001624CB" w:rsidP="00073A03">
            <w:pPr>
              <w:jc w:val="both"/>
              <w:rPr>
                <w:rFonts w:eastAsia="Calibri"/>
                <w:sz w:val="20"/>
              </w:rPr>
            </w:pPr>
            <w:r w:rsidRPr="00B54051">
              <w:rPr>
                <w:rFonts w:eastAsia="Calibri"/>
                <w:sz w:val="20"/>
              </w:rPr>
              <w:t>(Petras J.)</w:t>
            </w:r>
          </w:p>
          <w:p w:rsidR="001624CB" w:rsidRPr="00B54051" w:rsidRDefault="001624CB" w:rsidP="00073A03">
            <w:pPr>
              <w:jc w:val="both"/>
              <w:rPr>
                <w:rFonts w:eastAsia="Calibri"/>
                <w:sz w:val="20"/>
              </w:rPr>
            </w:pPr>
            <w:r w:rsidRPr="00B54051">
              <w:rPr>
                <w:rFonts w:eastAsia="Calibri"/>
                <w:sz w:val="20"/>
              </w:rPr>
              <w:t>Neutral citation: 2008 QCCS 1775</w:t>
            </w:r>
          </w:p>
          <w:p w:rsidR="001624CB" w:rsidRPr="00B54051" w:rsidRDefault="001624CB" w:rsidP="00073A03">
            <w:pPr>
              <w:jc w:val="both"/>
              <w:rPr>
                <w:rFonts w:eastAsia="Calibri"/>
                <w:sz w:val="20"/>
              </w:rPr>
            </w:pP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rPr>
            </w:pPr>
            <w:r w:rsidRPr="00B54051">
              <w:rPr>
                <w:rFonts w:eastAsia="Calibri"/>
                <w:sz w:val="20"/>
              </w:rPr>
              <w:t>Applicant’s action against respondents dismissed</w:t>
            </w:r>
          </w:p>
        </w:tc>
      </w:tr>
      <w:tr w:rsidR="001624CB" w:rsidRPr="00B54051" w:rsidTr="00073A03">
        <w:tc>
          <w:tcPr>
            <w:tcW w:w="2427" w:type="pct"/>
          </w:tcPr>
          <w:p w:rsidR="001624CB" w:rsidRPr="00B54051" w:rsidRDefault="001624CB" w:rsidP="00073A03">
            <w:pPr>
              <w:jc w:val="both"/>
              <w:rPr>
                <w:rFonts w:eastAsia="Calibri"/>
                <w:sz w:val="20"/>
              </w:rPr>
            </w:pPr>
            <w:r w:rsidRPr="00B54051">
              <w:rPr>
                <w:rFonts w:eastAsia="Calibri"/>
                <w:sz w:val="20"/>
              </w:rPr>
              <w:t>December 6, 2010</w:t>
            </w:r>
          </w:p>
          <w:p w:rsidR="001624CB" w:rsidRPr="00B54051" w:rsidRDefault="001624CB" w:rsidP="00073A03">
            <w:pPr>
              <w:jc w:val="both"/>
              <w:rPr>
                <w:rFonts w:eastAsia="Calibri"/>
                <w:sz w:val="20"/>
              </w:rPr>
            </w:pPr>
            <w:r w:rsidRPr="00B54051">
              <w:rPr>
                <w:rFonts w:eastAsia="Calibri"/>
                <w:sz w:val="20"/>
              </w:rPr>
              <w:t>Quebec Court of Appeal (Montréal)</w:t>
            </w:r>
          </w:p>
          <w:p w:rsidR="001624CB" w:rsidRPr="00B54051" w:rsidRDefault="001624CB" w:rsidP="00073A03">
            <w:pPr>
              <w:jc w:val="both"/>
              <w:rPr>
                <w:rFonts w:eastAsia="Calibri"/>
                <w:sz w:val="20"/>
              </w:rPr>
            </w:pPr>
            <w:r w:rsidRPr="00B54051">
              <w:rPr>
                <w:rFonts w:eastAsia="Calibri"/>
                <w:sz w:val="20"/>
              </w:rPr>
              <w:t>(Chamberland, Rochette and Dufresne JJ.A.)</w:t>
            </w:r>
          </w:p>
          <w:p w:rsidR="001624CB" w:rsidRPr="00B54051" w:rsidRDefault="001624CB" w:rsidP="00073A03">
            <w:pPr>
              <w:jc w:val="both"/>
              <w:rPr>
                <w:rFonts w:eastAsia="Calibri"/>
                <w:sz w:val="20"/>
              </w:rPr>
            </w:pPr>
            <w:r w:rsidRPr="00B54051">
              <w:rPr>
                <w:rFonts w:eastAsia="Calibri"/>
                <w:sz w:val="20"/>
              </w:rPr>
              <w:t>Neutral citation: 2010 QCCA 2220</w:t>
            </w:r>
          </w:p>
          <w:p w:rsidR="001624CB" w:rsidRPr="00B54051" w:rsidRDefault="001624CB" w:rsidP="00073A03">
            <w:pPr>
              <w:jc w:val="both"/>
              <w:rPr>
                <w:rFonts w:eastAsia="Calibri"/>
                <w:sz w:val="20"/>
              </w:rPr>
            </w:pPr>
          </w:p>
        </w:tc>
        <w:tc>
          <w:tcPr>
            <w:tcW w:w="243" w:type="pct"/>
          </w:tcPr>
          <w:p w:rsidR="001624CB" w:rsidRPr="00B54051" w:rsidRDefault="001624CB" w:rsidP="00073A03">
            <w:pPr>
              <w:jc w:val="both"/>
              <w:rPr>
                <w:rFonts w:eastAsia="Calibri"/>
                <w:sz w:val="20"/>
              </w:rPr>
            </w:pPr>
          </w:p>
          <w:p w:rsidR="001624CB" w:rsidRPr="00B54051" w:rsidRDefault="001624CB" w:rsidP="00073A03">
            <w:pPr>
              <w:jc w:val="both"/>
              <w:rPr>
                <w:rFonts w:eastAsia="Calibri"/>
                <w:sz w:val="20"/>
              </w:rPr>
            </w:pPr>
          </w:p>
          <w:p w:rsidR="001624CB" w:rsidRPr="00B54051" w:rsidRDefault="001624CB" w:rsidP="00073A03">
            <w:pPr>
              <w:jc w:val="both"/>
              <w:rPr>
                <w:rFonts w:eastAsia="Calibri"/>
                <w:sz w:val="20"/>
              </w:rPr>
            </w:pPr>
          </w:p>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rPr>
            </w:pPr>
            <w:r w:rsidRPr="00B54051">
              <w:rPr>
                <w:rFonts w:eastAsia="Calibri"/>
                <w:sz w:val="20"/>
              </w:rPr>
              <w:t>Appeal dismissed</w:t>
            </w:r>
          </w:p>
        </w:tc>
      </w:tr>
      <w:tr w:rsidR="001624CB" w:rsidRPr="00B54051" w:rsidTr="00073A03">
        <w:tc>
          <w:tcPr>
            <w:tcW w:w="2427" w:type="pct"/>
          </w:tcPr>
          <w:p w:rsidR="001624CB" w:rsidRPr="00B54051" w:rsidRDefault="001624CB" w:rsidP="00073A03">
            <w:pPr>
              <w:jc w:val="both"/>
              <w:rPr>
                <w:rFonts w:eastAsia="Calibri"/>
                <w:sz w:val="20"/>
              </w:rPr>
            </w:pPr>
            <w:r w:rsidRPr="00B54051">
              <w:rPr>
                <w:rFonts w:eastAsia="Calibri"/>
                <w:sz w:val="20"/>
              </w:rPr>
              <w:t>February 28, 2011</w:t>
            </w:r>
          </w:p>
          <w:p w:rsidR="001624CB" w:rsidRPr="00B54051" w:rsidRDefault="001624CB" w:rsidP="00073A03">
            <w:pPr>
              <w:jc w:val="both"/>
              <w:rPr>
                <w:rFonts w:eastAsia="Calibri"/>
                <w:sz w:val="20"/>
              </w:rPr>
            </w:pPr>
            <w:r w:rsidRPr="00B54051">
              <w:rPr>
                <w:rFonts w:eastAsia="Calibri"/>
                <w:sz w:val="20"/>
              </w:rPr>
              <w:t>Supreme Court of Canada</w:t>
            </w: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rPr>
            </w:pPr>
            <w:r w:rsidRPr="00B54051">
              <w:rPr>
                <w:rFonts w:eastAsia="Calibri"/>
                <w:sz w:val="20"/>
              </w:rPr>
              <w:t>Application for leave to appeal and motion to extend time to serve and file application filed</w:t>
            </w:r>
          </w:p>
        </w:tc>
      </w:tr>
    </w:tbl>
    <w:p w:rsidR="00411CD6" w:rsidRPr="001624CB" w:rsidRDefault="00411CD6" w:rsidP="00411CD6">
      <w:pPr>
        <w:rPr>
          <w:sz w:val="20"/>
          <w:szCs w:val="20"/>
        </w:rPr>
      </w:pPr>
    </w:p>
    <w:p w:rsidR="00411CD6" w:rsidRDefault="008C2B81" w:rsidP="00411CD6">
      <w:pPr>
        <w:rPr>
          <w:sz w:val="20"/>
          <w:szCs w:val="20"/>
          <w:lang w:val="fr-CA"/>
        </w:rPr>
      </w:pPr>
      <w:r w:rsidRPr="008C2B81">
        <w:rPr>
          <w:sz w:val="20"/>
          <w:szCs w:val="20"/>
          <w:lang w:val="fr-CA"/>
        </w:rPr>
        <w:pict>
          <v:rect id="_x0000_i1053" style="width:2in;height:1pt" o:hrpct="0" o:hralign="center" o:hrstd="t" o:hrnoshade="t" o:hr="t" fillcolor="black [3213]" stroked="f"/>
        </w:pict>
      </w:r>
    </w:p>
    <w:p w:rsidR="00411CD6" w:rsidRDefault="00411CD6" w:rsidP="00411CD6">
      <w:pPr>
        <w:rPr>
          <w:sz w:val="20"/>
          <w:szCs w:val="20"/>
          <w:lang w:val="fr-CA"/>
        </w:rPr>
      </w:pPr>
    </w:p>
    <w:p w:rsidR="00411CD6" w:rsidRDefault="00411CD6" w:rsidP="00411CD6">
      <w:pPr>
        <w:rPr>
          <w:sz w:val="20"/>
          <w:szCs w:val="20"/>
          <w:lang w:val="fr-CA"/>
        </w:rPr>
      </w:pPr>
      <w:r>
        <w:rPr>
          <w:sz w:val="20"/>
          <w:szCs w:val="20"/>
          <w:u w:val="single"/>
          <w:lang w:val="fr-CA"/>
        </w:rPr>
        <w:t>RÉSUMÉ DE L’AFFAIRE</w:t>
      </w:r>
    </w:p>
    <w:p w:rsidR="00411CD6" w:rsidRDefault="00411CD6"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1624CB" w:rsidRPr="00C50886" w:rsidTr="00073A03">
        <w:tc>
          <w:tcPr>
            <w:tcW w:w="5000" w:type="pct"/>
            <w:gridSpan w:val="3"/>
          </w:tcPr>
          <w:p w:rsidR="001624CB" w:rsidRPr="00B54051" w:rsidRDefault="001624CB" w:rsidP="00073A03">
            <w:pPr>
              <w:jc w:val="both"/>
              <w:rPr>
                <w:rFonts w:eastAsia="Calibri"/>
                <w:sz w:val="20"/>
                <w:lang w:val="fr-CA"/>
              </w:rPr>
            </w:pPr>
            <w:r w:rsidRPr="00B54051">
              <w:rPr>
                <w:rFonts w:eastAsia="Calibri"/>
                <w:sz w:val="20"/>
                <w:lang w:val="fr-CA"/>
              </w:rPr>
              <w:t xml:space="preserve">Responsabilité civile — Chirurgie des yeux avec complications — Poursuite en responsabilité médicale — Difficultés </w:t>
            </w:r>
            <w:r w:rsidRPr="00B54051">
              <w:rPr>
                <w:rFonts w:eastAsia="Calibri"/>
                <w:sz w:val="20"/>
                <w:lang w:val="fr-CA"/>
              </w:rPr>
              <w:lastRenderedPageBreak/>
              <w:t>de preuve et de procédure entraînant un désistement — Poursuite contre les avocats — Les procureurs intimés ont-ils fait perdre le droit d’action de leur cliente? — La Cour d’appel a-t-elle appliqué les principes de droit appropriés?</w:t>
            </w:r>
          </w:p>
          <w:p w:rsidR="001624CB" w:rsidRPr="00B54051" w:rsidRDefault="001624CB" w:rsidP="00073A03">
            <w:pPr>
              <w:jc w:val="both"/>
              <w:rPr>
                <w:rFonts w:eastAsia="Calibri"/>
                <w:sz w:val="20"/>
                <w:lang w:val="fr-FR"/>
              </w:rPr>
            </w:pPr>
          </w:p>
        </w:tc>
      </w:tr>
      <w:tr w:rsidR="001624CB" w:rsidRPr="00C50886" w:rsidTr="00073A03">
        <w:tc>
          <w:tcPr>
            <w:tcW w:w="5000" w:type="pct"/>
            <w:gridSpan w:val="3"/>
          </w:tcPr>
          <w:p w:rsidR="001624CB" w:rsidRPr="00B54051" w:rsidRDefault="001624CB" w:rsidP="00073A03">
            <w:pPr>
              <w:jc w:val="both"/>
              <w:rPr>
                <w:rFonts w:eastAsia="Calibri"/>
                <w:sz w:val="20"/>
                <w:lang w:val="fr-CA"/>
              </w:rPr>
            </w:pPr>
            <w:r w:rsidRPr="00B54051">
              <w:rPr>
                <w:rFonts w:eastAsia="Calibri"/>
                <w:sz w:val="20"/>
                <w:lang w:val="fr-CA"/>
              </w:rPr>
              <w:lastRenderedPageBreak/>
              <w:t>En 1992, le Dr Kwitko opère la demanderesse, avec son consentement, pour une cataracte à l’œil gauche mais il inclut une procédure qu’elle croyait devoir survenir plus tard. Malgré des difficultés, une capsulotomie s’ensuit rapidement.  Des complications surviennent, dont une fistule que rien ne permettra de résorber complètement. Une poursuite judiciaire contre le médecin est entamée en 1995.  Devant la difficulté d’obtenir une expertise favorable, un premier avocat se désiste en 1998.  La demanderesse se tourne vers les avocats intimés puis obtient la collaboration d’un expert mexicain pour témoigner en sa faveur.  En 1999, cependant, une contre-expertise est déposée en défense.  Les avocats intimés suggèrent alors d’abandonner la partie mais la demanderesse continue et la date du procès est fixée au 4 juin 2001.  Quelques jours avant cette date, les procureurs et l’expert de la demanderesse constatent soudain un hiatus entre leurs approches : l’action des premiers est fondée sur l’absence de consentement alors que la conclusion du second porte sur la faute médicale.  Le médecin poursuivi s’objectant à la modification des procédures, au motif de prescription, un désistement est recommandé par les procureurs de la demanderesse; celle-ci le signe à regret.  Elle poursuit ensuite ses procureurs pour l’avoir privée de son droit d’action par leurs fautes.</w:t>
            </w:r>
          </w:p>
          <w:p w:rsidR="001624CB" w:rsidRPr="00B54051" w:rsidRDefault="001624CB" w:rsidP="00073A03">
            <w:pPr>
              <w:jc w:val="both"/>
              <w:rPr>
                <w:rFonts w:eastAsia="Calibri"/>
                <w:sz w:val="20"/>
                <w:lang w:val="fr-CA"/>
              </w:rPr>
            </w:pPr>
          </w:p>
        </w:tc>
      </w:tr>
      <w:tr w:rsidR="001624CB" w:rsidRPr="00C50886" w:rsidTr="00073A03">
        <w:tc>
          <w:tcPr>
            <w:tcW w:w="2427" w:type="pct"/>
          </w:tcPr>
          <w:p w:rsidR="001624CB" w:rsidRPr="00B54051" w:rsidRDefault="001624CB" w:rsidP="00073A03">
            <w:pPr>
              <w:jc w:val="both"/>
              <w:rPr>
                <w:rFonts w:eastAsia="Calibri"/>
                <w:sz w:val="20"/>
                <w:lang w:val="fr-CA"/>
              </w:rPr>
            </w:pPr>
            <w:r w:rsidRPr="00B54051">
              <w:rPr>
                <w:rFonts w:eastAsia="Calibri"/>
                <w:sz w:val="20"/>
                <w:lang w:val="fr-CA"/>
              </w:rPr>
              <w:t>Le 8 mai 2008</w:t>
            </w:r>
          </w:p>
          <w:p w:rsidR="001624CB" w:rsidRPr="00B54051" w:rsidRDefault="001624CB" w:rsidP="00073A03">
            <w:pPr>
              <w:jc w:val="both"/>
              <w:rPr>
                <w:rFonts w:eastAsia="Calibri"/>
                <w:sz w:val="20"/>
                <w:lang w:val="fr-CA"/>
              </w:rPr>
            </w:pPr>
            <w:r w:rsidRPr="00B54051">
              <w:rPr>
                <w:rFonts w:eastAsia="Calibri"/>
                <w:sz w:val="20"/>
                <w:lang w:val="fr-CA"/>
              </w:rPr>
              <w:t>Cour supérieure du Québec</w:t>
            </w:r>
          </w:p>
          <w:p w:rsidR="001624CB" w:rsidRPr="00B54051" w:rsidRDefault="001624CB" w:rsidP="00073A03">
            <w:pPr>
              <w:jc w:val="both"/>
              <w:rPr>
                <w:rFonts w:eastAsia="Calibri"/>
                <w:sz w:val="20"/>
                <w:lang w:val="fr-CA"/>
              </w:rPr>
            </w:pPr>
            <w:r w:rsidRPr="00B54051">
              <w:rPr>
                <w:rFonts w:eastAsia="Calibri"/>
                <w:sz w:val="20"/>
                <w:lang w:val="fr-CA"/>
              </w:rPr>
              <w:t>(La juge Petras)</w:t>
            </w:r>
          </w:p>
          <w:p w:rsidR="001624CB" w:rsidRPr="00B54051" w:rsidRDefault="001624CB" w:rsidP="00073A03">
            <w:pPr>
              <w:jc w:val="both"/>
              <w:rPr>
                <w:rFonts w:eastAsia="Calibri"/>
                <w:sz w:val="20"/>
                <w:lang w:val="fr-CA"/>
              </w:rPr>
            </w:pPr>
            <w:r w:rsidRPr="00B54051">
              <w:rPr>
                <w:rFonts w:eastAsia="Calibri"/>
                <w:sz w:val="20"/>
                <w:lang w:val="fr-CA"/>
              </w:rPr>
              <w:t>Référence neutre : 2008 QCCS 1775</w:t>
            </w:r>
          </w:p>
          <w:p w:rsidR="001624CB" w:rsidRPr="00B54051" w:rsidRDefault="001624CB" w:rsidP="00073A03">
            <w:pPr>
              <w:jc w:val="both"/>
              <w:rPr>
                <w:rFonts w:eastAsia="Calibri"/>
                <w:sz w:val="20"/>
                <w:lang w:val="fr-CA"/>
              </w:rPr>
            </w:pPr>
          </w:p>
        </w:tc>
        <w:tc>
          <w:tcPr>
            <w:tcW w:w="243" w:type="pct"/>
          </w:tcPr>
          <w:p w:rsidR="001624CB" w:rsidRPr="00B54051" w:rsidRDefault="001624CB" w:rsidP="00073A03">
            <w:pPr>
              <w:jc w:val="both"/>
              <w:rPr>
                <w:rFonts w:eastAsia="Calibri"/>
                <w:sz w:val="20"/>
                <w:lang w:val="fr-FR"/>
              </w:rPr>
            </w:pPr>
          </w:p>
        </w:tc>
        <w:tc>
          <w:tcPr>
            <w:tcW w:w="2330" w:type="pct"/>
          </w:tcPr>
          <w:p w:rsidR="001624CB" w:rsidRPr="00B54051" w:rsidRDefault="001624CB" w:rsidP="00073A03">
            <w:pPr>
              <w:jc w:val="both"/>
              <w:rPr>
                <w:rFonts w:eastAsia="Calibri"/>
                <w:sz w:val="20"/>
                <w:lang w:val="fr-CA"/>
              </w:rPr>
            </w:pPr>
            <w:r w:rsidRPr="00B54051">
              <w:rPr>
                <w:rFonts w:eastAsia="Calibri"/>
                <w:sz w:val="20"/>
                <w:lang w:val="fr-CA"/>
              </w:rPr>
              <w:t>Rejet de l’action de la demanderesse contre les intimés.</w:t>
            </w:r>
          </w:p>
        </w:tc>
      </w:tr>
      <w:tr w:rsidR="001624CB" w:rsidRPr="00B54051" w:rsidTr="00073A03">
        <w:tc>
          <w:tcPr>
            <w:tcW w:w="2427" w:type="pct"/>
          </w:tcPr>
          <w:p w:rsidR="001624CB" w:rsidRPr="00B54051" w:rsidRDefault="001624CB" w:rsidP="00073A03">
            <w:pPr>
              <w:rPr>
                <w:rFonts w:eastAsia="Calibri"/>
                <w:sz w:val="20"/>
                <w:lang w:val="fr-CA"/>
              </w:rPr>
            </w:pPr>
            <w:r w:rsidRPr="00B54051">
              <w:rPr>
                <w:rFonts w:eastAsia="Calibri"/>
                <w:sz w:val="20"/>
                <w:lang w:val="fr-CA"/>
              </w:rPr>
              <w:t>Le 6 décembre 2010</w:t>
            </w:r>
          </w:p>
          <w:p w:rsidR="001624CB" w:rsidRPr="00B54051" w:rsidRDefault="001624CB" w:rsidP="00073A03">
            <w:pPr>
              <w:jc w:val="both"/>
              <w:rPr>
                <w:rFonts w:eastAsia="Calibri"/>
                <w:sz w:val="20"/>
                <w:lang w:val="fr-CA"/>
              </w:rPr>
            </w:pPr>
            <w:r w:rsidRPr="00B54051">
              <w:rPr>
                <w:rFonts w:eastAsia="Calibri"/>
                <w:sz w:val="20"/>
                <w:lang w:val="fr-CA"/>
              </w:rPr>
              <w:t>Cour d’appel du Québec (Montréal)</w:t>
            </w:r>
          </w:p>
          <w:p w:rsidR="001624CB" w:rsidRPr="00B54051" w:rsidRDefault="001624CB" w:rsidP="00073A03">
            <w:pPr>
              <w:rPr>
                <w:rFonts w:eastAsia="Calibri"/>
                <w:sz w:val="20"/>
                <w:lang w:val="fr-CA"/>
              </w:rPr>
            </w:pPr>
            <w:r w:rsidRPr="00B54051">
              <w:rPr>
                <w:rFonts w:eastAsia="Calibri"/>
                <w:sz w:val="20"/>
                <w:lang w:val="fr-CA"/>
              </w:rPr>
              <w:t>(Les juges Chamberland, Rochette et Dufresne)</w:t>
            </w:r>
          </w:p>
          <w:p w:rsidR="001624CB" w:rsidRPr="00B54051" w:rsidRDefault="001624CB" w:rsidP="00073A03">
            <w:pPr>
              <w:jc w:val="both"/>
              <w:rPr>
                <w:rFonts w:eastAsia="Calibri"/>
                <w:sz w:val="20"/>
                <w:lang w:val="fr-CA"/>
              </w:rPr>
            </w:pPr>
            <w:r w:rsidRPr="00B54051">
              <w:rPr>
                <w:rFonts w:eastAsia="Calibri"/>
                <w:sz w:val="20"/>
                <w:lang w:val="fr-CA"/>
              </w:rPr>
              <w:t>Référence neutre : 2010 QCCA 2220</w:t>
            </w:r>
          </w:p>
          <w:p w:rsidR="001624CB" w:rsidRPr="00B54051" w:rsidRDefault="001624CB" w:rsidP="00073A03">
            <w:pPr>
              <w:jc w:val="both"/>
              <w:rPr>
                <w:rFonts w:eastAsia="Calibri"/>
                <w:sz w:val="20"/>
                <w:lang w:val="fr-FR"/>
              </w:rPr>
            </w:pPr>
          </w:p>
        </w:tc>
        <w:tc>
          <w:tcPr>
            <w:tcW w:w="243" w:type="pct"/>
          </w:tcPr>
          <w:p w:rsidR="001624CB" w:rsidRPr="00B54051" w:rsidRDefault="001624CB" w:rsidP="00073A03">
            <w:pPr>
              <w:jc w:val="both"/>
              <w:rPr>
                <w:rFonts w:eastAsia="Calibri"/>
                <w:sz w:val="20"/>
                <w:lang w:val="fr-FR"/>
              </w:rPr>
            </w:pPr>
          </w:p>
        </w:tc>
        <w:tc>
          <w:tcPr>
            <w:tcW w:w="2330" w:type="pct"/>
          </w:tcPr>
          <w:p w:rsidR="001624CB" w:rsidRPr="00B54051" w:rsidRDefault="001624CB" w:rsidP="00073A03">
            <w:pPr>
              <w:jc w:val="both"/>
              <w:rPr>
                <w:rFonts w:eastAsia="Calibri"/>
                <w:sz w:val="20"/>
                <w:lang w:val="fr-CA"/>
              </w:rPr>
            </w:pPr>
            <w:r w:rsidRPr="00B54051">
              <w:rPr>
                <w:rFonts w:eastAsia="Calibri"/>
                <w:sz w:val="20"/>
                <w:lang w:val="fr-CA"/>
              </w:rPr>
              <w:t>Rejet de l’appel.</w:t>
            </w:r>
          </w:p>
        </w:tc>
      </w:tr>
      <w:tr w:rsidR="001624CB" w:rsidRPr="00C50886" w:rsidTr="00073A03">
        <w:tc>
          <w:tcPr>
            <w:tcW w:w="2427" w:type="pct"/>
          </w:tcPr>
          <w:p w:rsidR="001624CB" w:rsidRPr="00B54051" w:rsidRDefault="001624CB" w:rsidP="00073A03">
            <w:pPr>
              <w:jc w:val="both"/>
              <w:rPr>
                <w:rFonts w:eastAsia="Calibri"/>
                <w:sz w:val="20"/>
                <w:lang w:val="fr-CA"/>
              </w:rPr>
            </w:pPr>
            <w:r w:rsidRPr="00B54051">
              <w:rPr>
                <w:rFonts w:eastAsia="Calibri"/>
                <w:sz w:val="20"/>
                <w:lang w:val="fr-CA"/>
              </w:rPr>
              <w:t>Le 28 février 2011</w:t>
            </w:r>
          </w:p>
          <w:p w:rsidR="001624CB" w:rsidRPr="00B54051" w:rsidRDefault="001624CB" w:rsidP="00073A03">
            <w:pPr>
              <w:jc w:val="both"/>
              <w:rPr>
                <w:rFonts w:eastAsia="Calibri"/>
                <w:sz w:val="20"/>
                <w:lang w:val="fr-FR"/>
              </w:rPr>
            </w:pPr>
            <w:r w:rsidRPr="00B54051">
              <w:rPr>
                <w:rFonts w:eastAsia="Calibri"/>
                <w:sz w:val="20"/>
                <w:lang w:val="fr-CA"/>
              </w:rPr>
              <w:t>Cour suprême du Canada</w:t>
            </w:r>
          </w:p>
        </w:tc>
        <w:tc>
          <w:tcPr>
            <w:tcW w:w="243" w:type="pct"/>
          </w:tcPr>
          <w:p w:rsidR="001624CB" w:rsidRPr="00B54051" w:rsidRDefault="001624CB" w:rsidP="00073A03">
            <w:pPr>
              <w:jc w:val="both"/>
              <w:rPr>
                <w:rFonts w:eastAsia="Calibri"/>
                <w:sz w:val="20"/>
                <w:lang w:val="fr-FR"/>
              </w:rPr>
            </w:pPr>
          </w:p>
        </w:tc>
        <w:tc>
          <w:tcPr>
            <w:tcW w:w="2330" w:type="pct"/>
          </w:tcPr>
          <w:p w:rsidR="001624CB" w:rsidRPr="00B54051" w:rsidRDefault="001624CB" w:rsidP="00073A03">
            <w:pPr>
              <w:jc w:val="both"/>
              <w:rPr>
                <w:rFonts w:eastAsia="Calibri"/>
                <w:sz w:val="20"/>
                <w:lang w:val="fr-CA"/>
              </w:rPr>
            </w:pPr>
            <w:r w:rsidRPr="00B54051">
              <w:rPr>
                <w:rFonts w:eastAsia="Calibri"/>
                <w:sz w:val="20"/>
                <w:lang w:val="fr-CA"/>
              </w:rPr>
              <w:t>Dépôt de la demande d'autorisation d'appel et de la requête en prorogation du délai pour déposer et signifier une demande.</w:t>
            </w:r>
          </w:p>
        </w:tc>
      </w:tr>
    </w:tbl>
    <w:p w:rsidR="00411CD6" w:rsidRDefault="00411CD6" w:rsidP="00411CD6">
      <w:pPr>
        <w:rPr>
          <w:sz w:val="20"/>
          <w:szCs w:val="20"/>
          <w:lang w:val="fr-CA"/>
        </w:rPr>
      </w:pPr>
    </w:p>
    <w:p w:rsidR="00411CD6" w:rsidRDefault="008C2B81" w:rsidP="00411CD6">
      <w:pPr>
        <w:rPr>
          <w:sz w:val="20"/>
          <w:szCs w:val="20"/>
          <w:lang w:val="fr-CA"/>
        </w:rPr>
      </w:pPr>
      <w:r w:rsidRPr="008C2B81">
        <w:rPr>
          <w:sz w:val="20"/>
          <w:szCs w:val="20"/>
          <w:lang w:val="fr-CA"/>
        </w:rPr>
        <w:pict>
          <v:rect id="_x0000_i1054" style="width:2in;height:1pt" o:hrpct="0" o:hralign="center" o:hrstd="t" o:hrnoshade="t" o:hr="t" fillcolor="black [3213]" stroked="f"/>
        </w:pict>
      </w:r>
    </w:p>
    <w:p w:rsidR="00411CD6" w:rsidRPr="00453064" w:rsidRDefault="00411CD6" w:rsidP="00411CD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23A1E" w:rsidRPr="00C50886" w:rsidTr="00DC1FAA">
        <w:trPr>
          <w:cantSplit/>
        </w:trPr>
        <w:tc>
          <w:tcPr>
            <w:tcW w:w="1458" w:type="dxa"/>
          </w:tcPr>
          <w:p w:rsidR="00D23A1E" w:rsidRPr="00E85700" w:rsidRDefault="00D23A1E" w:rsidP="00DC1FAA">
            <w:pPr>
              <w:rPr>
                <w:rFonts w:cs="Times New Roman"/>
                <w:sz w:val="20"/>
                <w:szCs w:val="20"/>
              </w:rPr>
            </w:pPr>
            <w:r w:rsidRPr="00E85700">
              <w:rPr>
                <w:rStyle w:val="SCCFileNumberChar"/>
                <w:rFonts w:cs="Times New Roman"/>
                <w:sz w:val="20"/>
                <w:szCs w:val="20"/>
              </w:rPr>
              <w:t>3412</w:t>
            </w:r>
            <w:r>
              <w:rPr>
                <w:rStyle w:val="SCCFileNumberChar"/>
                <w:rFonts w:cs="Times New Roman"/>
                <w:sz w:val="20"/>
                <w:szCs w:val="20"/>
              </w:rPr>
              <w:t>6</w:t>
            </w:r>
          </w:p>
          <w:p w:rsidR="00D23A1E" w:rsidRPr="00E85700" w:rsidRDefault="00D23A1E" w:rsidP="00DC1FAA">
            <w:pPr>
              <w:rPr>
                <w:rFonts w:cs="Times New Roman"/>
                <w:b/>
                <w:sz w:val="20"/>
                <w:szCs w:val="20"/>
                <w:lang w:val="fr-CA"/>
              </w:rPr>
            </w:pPr>
          </w:p>
        </w:tc>
        <w:tc>
          <w:tcPr>
            <w:tcW w:w="8118" w:type="dxa"/>
          </w:tcPr>
          <w:p w:rsidR="00D23A1E" w:rsidRPr="00E85700" w:rsidRDefault="00D23A1E" w:rsidP="00DC1FAA">
            <w:pPr>
              <w:jc w:val="both"/>
              <w:rPr>
                <w:rFonts w:cs="Times New Roman"/>
                <w:sz w:val="20"/>
                <w:szCs w:val="20"/>
                <w:lang w:val="fr-CA"/>
              </w:rPr>
            </w:pPr>
            <w:r w:rsidRPr="00E85700">
              <w:rPr>
                <w:rStyle w:val="SCCLsocChar"/>
                <w:rFonts w:cs="Times New Roman"/>
                <w:sz w:val="20"/>
                <w:szCs w:val="20"/>
              </w:rPr>
              <w:t>S</w:t>
            </w:r>
            <w:r>
              <w:rPr>
                <w:rStyle w:val="SCCLsocChar"/>
                <w:rFonts w:cs="Times New Roman"/>
                <w:sz w:val="20"/>
                <w:szCs w:val="20"/>
              </w:rPr>
              <w:t>téphane Rozier</w:t>
            </w:r>
            <w:r w:rsidRPr="00E85700">
              <w:rPr>
                <w:rStyle w:val="SCCLsocChar"/>
                <w:rFonts w:cs="Times New Roman"/>
                <w:sz w:val="20"/>
                <w:szCs w:val="20"/>
              </w:rPr>
              <w:t xml:space="preserve"> c. </w:t>
            </w:r>
            <w:r>
              <w:rPr>
                <w:rStyle w:val="SCCLsocChar"/>
                <w:rFonts w:cs="Times New Roman"/>
                <w:sz w:val="20"/>
                <w:szCs w:val="20"/>
              </w:rPr>
              <w:t>Commission des lésions professionnelles</w:t>
            </w:r>
            <w:r w:rsidRPr="00E85700">
              <w:rPr>
                <w:rFonts w:cs="Times New Roman"/>
                <w:sz w:val="20"/>
                <w:szCs w:val="20"/>
                <w:lang w:val="fr-CA"/>
              </w:rPr>
              <w:t xml:space="preserve"> (Qc) (Civile) (Autorisation)</w:t>
            </w:r>
          </w:p>
          <w:p w:rsidR="00D23A1E" w:rsidRPr="00E85700" w:rsidRDefault="00D23A1E" w:rsidP="00DC1FAA">
            <w:pPr>
              <w:rPr>
                <w:rFonts w:cs="Times New Roman"/>
                <w:sz w:val="20"/>
                <w:szCs w:val="20"/>
                <w:lang w:val="fr-CA"/>
              </w:rPr>
            </w:pPr>
          </w:p>
        </w:tc>
      </w:tr>
      <w:tr w:rsidR="00D23A1E" w:rsidRPr="00C50886" w:rsidTr="00DC1FAA">
        <w:trPr>
          <w:cantSplit/>
        </w:trPr>
        <w:tc>
          <w:tcPr>
            <w:tcW w:w="1458" w:type="dxa"/>
          </w:tcPr>
          <w:p w:rsidR="00D23A1E" w:rsidRPr="00E85700" w:rsidRDefault="00D23A1E" w:rsidP="00DC1FAA">
            <w:pPr>
              <w:rPr>
                <w:rFonts w:cs="Times New Roman"/>
                <w:sz w:val="20"/>
                <w:szCs w:val="20"/>
              </w:rPr>
            </w:pPr>
            <w:r w:rsidRPr="00E85700">
              <w:rPr>
                <w:rFonts w:cs="Times New Roman"/>
                <w:sz w:val="20"/>
                <w:szCs w:val="20"/>
              </w:rPr>
              <w:t>Coram :</w:t>
            </w:r>
          </w:p>
        </w:tc>
        <w:tc>
          <w:tcPr>
            <w:tcW w:w="8118" w:type="dxa"/>
          </w:tcPr>
          <w:p w:rsidR="00D23A1E" w:rsidRPr="00E85700" w:rsidRDefault="00D23A1E" w:rsidP="00D23A1E">
            <w:pPr>
              <w:rPr>
                <w:rFonts w:cs="Times New Roman"/>
                <w:sz w:val="20"/>
                <w:szCs w:val="20"/>
                <w:lang w:val="fr-CA"/>
              </w:rPr>
            </w:pPr>
            <w:r w:rsidRPr="00E85700">
              <w:rPr>
                <w:rStyle w:val="SCCCoramChar"/>
                <w:rFonts w:cs="Times New Roman"/>
                <w:sz w:val="20"/>
                <w:szCs w:val="20"/>
              </w:rPr>
              <w:t>L</w:t>
            </w:r>
            <w:r>
              <w:rPr>
                <w:rStyle w:val="SCCCoramChar"/>
                <w:rFonts w:cs="Times New Roman"/>
                <w:sz w:val="20"/>
                <w:szCs w:val="20"/>
              </w:rPr>
              <w:t>a ju</w:t>
            </w:r>
            <w:r w:rsidRPr="00E85700">
              <w:rPr>
                <w:rStyle w:val="SCCCoramChar"/>
                <w:rFonts w:cs="Times New Roman"/>
                <w:sz w:val="20"/>
                <w:szCs w:val="20"/>
              </w:rPr>
              <w:t>ge</w:t>
            </w:r>
            <w:r>
              <w:rPr>
                <w:rStyle w:val="SCCCoramChar"/>
                <w:rFonts w:cs="Times New Roman"/>
                <w:sz w:val="20"/>
                <w:szCs w:val="20"/>
              </w:rPr>
              <w:t xml:space="preserve"> en chef McLachlin et les juge</w:t>
            </w:r>
            <w:r w:rsidRPr="00E85700">
              <w:rPr>
                <w:rStyle w:val="SCCCoramChar"/>
                <w:rFonts w:cs="Times New Roman"/>
                <w:sz w:val="20"/>
                <w:szCs w:val="20"/>
              </w:rPr>
              <w:t xml:space="preserve">s </w:t>
            </w:r>
            <w:r>
              <w:rPr>
                <w:rStyle w:val="SCCCoramChar"/>
                <w:rFonts w:cs="Times New Roman"/>
                <w:sz w:val="20"/>
                <w:szCs w:val="20"/>
              </w:rPr>
              <w:t>D</w:t>
            </w:r>
            <w:r w:rsidRPr="00E85700">
              <w:rPr>
                <w:rStyle w:val="SCCCoramChar"/>
                <w:rFonts w:cs="Times New Roman"/>
                <w:sz w:val="20"/>
                <w:szCs w:val="20"/>
              </w:rPr>
              <w:t>e</w:t>
            </w:r>
            <w:r>
              <w:rPr>
                <w:rStyle w:val="SCCCoramChar"/>
                <w:rFonts w:cs="Times New Roman"/>
                <w:sz w:val="20"/>
                <w:szCs w:val="20"/>
              </w:rPr>
              <w:t xml:space="preserve">schamps et </w:t>
            </w:r>
            <w:r w:rsidRPr="00E85700">
              <w:rPr>
                <w:rStyle w:val="SCCCoramChar"/>
                <w:rFonts w:cs="Times New Roman"/>
                <w:sz w:val="20"/>
                <w:szCs w:val="20"/>
              </w:rPr>
              <w:t>C</w:t>
            </w:r>
            <w:r>
              <w:rPr>
                <w:rStyle w:val="SCCCoramChar"/>
                <w:rFonts w:cs="Times New Roman"/>
                <w:sz w:val="20"/>
                <w:szCs w:val="20"/>
              </w:rPr>
              <w:t>ha</w:t>
            </w:r>
            <w:r w:rsidRPr="00E85700">
              <w:rPr>
                <w:rStyle w:val="SCCCoramChar"/>
                <w:rFonts w:cs="Times New Roman"/>
                <w:sz w:val="20"/>
                <w:szCs w:val="20"/>
              </w:rPr>
              <w:t>r</w:t>
            </w:r>
            <w:r>
              <w:rPr>
                <w:rStyle w:val="SCCCoramChar"/>
                <w:rFonts w:cs="Times New Roman"/>
                <w:sz w:val="20"/>
                <w:szCs w:val="20"/>
              </w:rPr>
              <w:t>r</w:t>
            </w:r>
            <w:r w:rsidRPr="00E85700">
              <w:rPr>
                <w:rStyle w:val="SCCCoramChar"/>
                <w:rFonts w:cs="Times New Roman"/>
                <w:sz w:val="20"/>
                <w:szCs w:val="20"/>
              </w:rPr>
              <w:t>o</w:t>
            </w:r>
            <w:r>
              <w:rPr>
                <w:rStyle w:val="SCCCoramChar"/>
                <w:rFonts w:cs="Times New Roman"/>
                <w:sz w:val="20"/>
                <w:szCs w:val="20"/>
              </w:rPr>
              <w:t>n</w:t>
            </w:r>
          </w:p>
          <w:p w:rsidR="00D23A1E" w:rsidRPr="00E85700" w:rsidRDefault="00D23A1E" w:rsidP="00D23A1E">
            <w:pPr>
              <w:rPr>
                <w:rFonts w:cs="Times New Roman"/>
                <w:sz w:val="20"/>
                <w:szCs w:val="20"/>
                <w:u w:val="single"/>
                <w:lang w:val="fr-CA"/>
              </w:rPr>
            </w:pPr>
          </w:p>
        </w:tc>
      </w:tr>
      <w:tr w:rsidR="00D23A1E" w:rsidRPr="00E85700" w:rsidTr="00DC1FAA">
        <w:trPr>
          <w:cantSplit/>
        </w:trPr>
        <w:tc>
          <w:tcPr>
            <w:tcW w:w="9576" w:type="dxa"/>
            <w:gridSpan w:val="2"/>
          </w:tcPr>
          <w:p w:rsidR="00D23A1E" w:rsidRDefault="00D23A1E" w:rsidP="00D23A1E">
            <w:pPr>
              <w:pStyle w:val="SCCShortJudgment"/>
              <w:rPr>
                <w:szCs w:val="20"/>
                <w:lang w:val="fr-CA"/>
              </w:rPr>
            </w:pPr>
            <w:r w:rsidRPr="000367EB">
              <w:rPr>
                <w:szCs w:val="20"/>
                <w:lang w:val="fr-CA"/>
              </w:rPr>
              <w:t>La requ</w:t>
            </w:r>
            <w:r w:rsidRPr="000367EB">
              <w:rPr>
                <w:rFonts w:cs="Times New Roman"/>
                <w:szCs w:val="20"/>
                <w:lang w:val="fr-CA"/>
              </w:rPr>
              <w:t>ê</w:t>
            </w:r>
            <w:r w:rsidRPr="000367EB">
              <w:rPr>
                <w:szCs w:val="20"/>
                <w:lang w:val="fr-CA"/>
              </w:rPr>
              <w:t>te en prorogation du d</w:t>
            </w:r>
            <w:r w:rsidRPr="000367EB">
              <w:rPr>
                <w:rFonts w:cs="Times New Roman"/>
                <w:szCs w:val="20"/>
                <w:lang w:val="fr-CA"/>
              </w:rPr>
              <w:t>é</w:t>
            </w:r>
            <w:r w:rsidRPr="000367EB">
              <w:rPr>
                <w:szCs w:val="20"/>
                <w:lang w:val="fr-CA"/>
              </w:rPr>
              <w:t>lai de signification et de d</w:t>
            </w:r>
            <w:r w:rsidRPr="000367EB">
              <w:rPr>
                <w:rFonts w:cs="Times New Roman"/>
                <w:szCs w:val="20"/>
                <w:lang w:val="fr-CA"/>
              </w:rPr>
              <w:t>é</w:t>
            </w:r>
            <w:r w:rsidRPr="000367EB">
              <w:rPr>
                <w:szCs w:val="20"/>
                <w:lang w:val="fr-CA"/>
              </w:rPr>
              <w:t>p</w:t>
            </w:r>
            <w:r w:rsidRPr="000367EB">
              <w:rPr>
                <w:rFonts w:cs="Times New Roman"/>
                <w:szCs w:val="20"/>
                <w:lang w:val="fr-CA"/>
              </w:rPr>
              <w:t>ô</w:t>
            </w:r>
            <w:r w:rsidRPr="000367EB">
              <w:rPr>
                <w:szCs w:val="20"/>
                <w:lang w:val="fr-CA"/>
              </w:rPr>
              <w:t>t de la demande d’autorisation d’appel et les autres requ</w:t>
            </w:r>
            <w:r w:rsidRPr="000367EB">
              <w:rPr>
                <w:rFonts w:cs="Times New Roman"/>
                <w:szCs w:val="20"/>
                <w:lang w:val="fr-CA"/>
              </w:rPr>
              <w:t>ê</w:t>
            </w:r>
            <w:r w:rsidRPr="000367EB">
              <w:rPr>
                <w:szCs w:val="20"/>
                <w:lang w:val="fr-CA"/>
              </w:rPr>
              <w:t>tes accessoires sont rejet</w:t>
            </w:r>
            <w:r w:rsidRPr="000367EB">
              <w:rPr>
                <w:rFonts w:cs="Times New Roman"/>
                <w:szCs w:val="20"/>
                <w:lang w:val="fr-CA"/>
              </w:rPr>
              <w:t>é</w:t>
            </w:r>
            <w:r w:rsidRPr="000367EB">
              <w:rPr>
                <w:szCs w:val="20"/>
                <w:lang w:val="fr-CA"/>
              </w:rPr>
              <w:t>es.  Même si la requête en prorogation du délai avait été accueillie, la demande d’autorisation d’appel de l’arrêt de la Cour d’appel du Québec (Montréal), numéro 500-09-020248-092, 2010 QCCA 1974, daté du 25 octobre 2010, aurait été rejet</w:t>
            </w:r>
            <w:r w:rsidRPr="000367EB">
              <w:rPr>
                <w:rFonts w:cs="Times New Roman"/>
                <w:szCs w:val="20"/>
                <w:lang w:val="fr-CA"/>
              </w:rPr>
              <w:t>é</w:t>
            </w:r>
            <w:r w:rsidRPr="000367EB">
              <w:rPr>
                <w:szCs w:val="20"/>
                <w:lang w:val="fr-CA"/>
              </w:rPr>
              <w:t>e.</w:t>
            </w:r>
          </w:p>
          <w:p w:rsidR="00D23A1E" w:rsidRDefault="00D23A1E" w:rsidP="00D23A1E">
            <w:pPr>
              <w:pStyle w:val="SCCShortJudgment"/>
              <w:rPr>
                <w:szCs w:val="20"/>
                <w:lang w:val="fr-CA"/>
              </w:rPr>
            </w:pPr>
          </w:p>
          <w:p w:rsidR="00D23A1E" w:rsidRPr="00E85700" w:rsidRDefault="00D23A1E" w:rsidP="00D23A1E">
            <w:pPr>
              <w:pStyle w:val="SCCShortJudgment"/>
              <w:rPr>
                <w:rFonts w:cs="Times New Roman"/>
                <w:szCs w:val="20"/>
              </w:rPr>
            </w:pPr>
            <w:r w:rsidRPr="008C5F1F">
              <w:rPr>
                <w:szCs w:val="20"/>
              </w:rPr>
              <w:t xml:space="preserve">The motion for an extension of time to serve and file the application for leave to appeal and the other ancillary motions are dismissed.  Had the motion for an extension of time been granted, the application for leave to appeal from the judgment of the </w:t>
            </w:r>
            <w:r w:rsidRPr="008C5F1F">
              <w:rPr>
                <w:szCs w:val="20"/>
                <w:lang w:val="en-US"/>
              </w:rPr>
              <w:t>Court of Appeal of Quebec (Montréal)</w:t>
            </w:r>
            <w:r w:rsidRPr="008C5F1F">
              <w:rPr>
                <w:szCs w:val="20"/>
              </w:rPr>
              <w:t xml:space="preserve">, Number </w:t>
            </w:r>
            <w:r w:rsidRPr="008C5F1F">
              <w:rPr>
                <w:szCs w:val="20"/>
                <w:lang w:val="en-US"/>
              </w:rPr>
              <w:t>500-09-020248-092, 2010 QCCA 1974</w:t>
            </w:r>
            <w:r w:rsidRPr="008C5F1F">
              <w:rPr>
                <w:szCs w:val="20"/>
              </w:rPr>
              <w:t xml:space="preserve">, dated </w:t>
            </w:r>
            <w:r w:rsidRPr="008C5F1F">
              <w:rPr>
                <w:szCs w:val="20"/>
                <w:lang w:val="en-US"/>
              </w:rPr>
              <w:t>October 25, 2010, would nevertheless have been</w:t>
            </w:r>
            <w:r w:rsidRPr="008C5F1F">
              <w:rPr>
                <w:szCs w:val="20"/>
              </w:rPr>
              <w:t xml:space="preserve"> dismissed.</w:t>
            </w:r>
          </w:p>
        </w:tc>
      </w:tr>
    </w:tbl>
    <w:p w:rsidR="00D23A1E" w:rsidRDefault="00D23A1E" w:rsidP="00411CD6">
      <w:pPr>
        <w:rPr>
          <w:sz w:val="20"/>
          <w:szCs w:val="20"/>
        </w:rPr>
      </w:pPr>
    </w:p>
    <w:p w:rsidR="00411CD6" w:rsidRPr="00453064" w:rsidRDefault="00411CD6" w:rsidP="00411CD6">
      <w:pPr>
        <w:rPr>
          <w:sz w:val="20"/>
          <w:szCs w:val="20"/>
          <w:lang w:val="fr-CA"/>
        </w:rPr>
      </w:pPr>
      <w:r>
        <w:rPr>
          <w:sz w:val="20"/>
          <w:szCs w:val="20"/>
          <w:u w:val="single"/>
          <w:lang w:val="fr-CA"/>
        </w:rPr>
        <w:t>CASE SUMMARY</w:t>
      </w:r>
    </w:p>
    <w:p w:rsidR="00411CD6" w:rsidRDefault="00411CD6"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1624CB" w:rsidRPr="00B54051" w:rsidTr="00073A03">
        <w:tc>
          <w:tcPr>
            <w:tcW w:w="5000" w:type="pct"/>
            <w:gridSpan w:val="3"/>
          </w:tcPr>
          <w:p w:rsidR="001624CB" w:rsidRPr="00B54051" w:rsidRDefault="001624CB" w:rsidP="00073A03">
            <w:pPr>
              <w:jc w:val="both"/>
              <w:rPr>
                <w:rFonts w:eastAsia="Calibri"/>
                <w:sz w:val="20"/>
              </w:rPr>
            </w:pPr>
            <w:r w:rsidRPr="00B54051">
              <w:rPr>
                <w:rFonts w:eastAsia="Calibri"/>
                <w:sz w:val="20"/>
              </w:rPr>
              <w:t>Civil procedure — Whether Court of Appeal should have allowed applicant’s actions.</w:t>
            </w:r>
          </w:p>
          <w:p w:rsidR="001624CB" w:rsidRPr="00B54051" w:rsidRDefault="001624CB" w:rsidP="00073A03">
            <w:pPr>
              <w:jc w:val="both"/>
              <w:rPr>
                <w:rFonts w:eastAsia="Calibri"/>
                <w:sz w:val="20"/>
              </w:rPr>
            </w:pPr>
          </w:p>
        </w:tc>
      </w:tr>
      <w:tr w:rsidR="001624CB" w:rsidRPr="00B54051" w:rsidTr="00073A03">
        <w:tc>
          <w:tcPr>
            <w:tcW w:w="5000" w:type="pct"/>
            <w:gridSpan w:val="3"/>
          </w:tcPr>
          <w:p w:rsidR="001624CB" w:rsidRPr="00B54051" w:rsidRDefault="001624CB" w:rsidP="00073A03">
            <w:pPr>
              <w:jc w:val="both"/>
              <w:rPr>
                <w:rFonts w:eastAsia="Calibri"/>
                <w:sz w:val="20"/>
              </w:rPr>
            </w:pPr>
            <w:r w:rsidRPr="00B54051">
              <w:rPr>
                <w:rFonts w:eastAsia="Calibri"/>
                <w:sz w:val="20"/>
              </w:rPr>
              <w:lastRenderedPageBreak/>
              <w:t>The applicant, Mr. Rozier, applied to the Quebec Court of Appeal for leave to appeal certain decisions made by the Commission des lésions professionnelles in 2007, 2008 and 2009.  The Court of Appeal dismissed the application for lack of jurisdiction.  Mr. Rozier then filed an application for judicial review against the Commission’s decisions, but the application was dismissed because it had been instituted after the expiry of the time limit.  Rochon J.A. of the Court of Appeal dismissed Mr. Rozier’s motion for leave to appeal on the ground that it did not raise a new question of principle or a question of law that had given rise to conflicting judicial precedents.  He then dismissed the motions in revocation of the judgment refusing leave to appeal.  The Court of Appeal dismissed another motion by Mr. Rozier, noting that there was no legislative provision authorizing it to review the judgments of Rochon J.A.</w:t>
            </w:r>
          </w:p>
          <w:p w:rsidR="001624CB" w:rsidRPr="00B54051" w:rsidRDefault="001624CB" w:rsidP="00073A03">
            <w:pPr>
              <w:jc w:val="both"/>
              <w:rPr>
                <w:rFonts w:eastAsia="Calibri"/>
                <w:sz w:val="20"/>
              </w:rPr>
            </w:pPr>
          </w:p>
        </w:tc>
      </w:tr>
      <w:tr w:rsidR="001624CB" w:rsidRPr="00B54051" w:rsidTr="00073A03">
        <w:tc>
          <w:tcPr>
            <w:tcW w:w="2427" w:type="pct"/>
          </w:tcPr>
          <w:p w:rsidR="001624CB" w:rsidRPr="00B54051" w:rsidRDefault="001624CB" w:rsidP="00073A03">
            <w:pPr>
              <w:jc w:val="both"/>
              <w:rPr>
                <w:rFonts w:eastAsia="Calibri"/>
                <w:sz w:val="20"/>
              </w:rPr>
            </w:pPr>
            <w:r w:rsidRPr="00B54051">
              <w:rPr>
                <w:rFonts w:eastAsia="Calibri"/>
                <w:sz w:val="20"/>
              </w:rPr>
              <w:t>July 8, 2009</w:t>
            </w:r>
          </w:p>
          <w:p w:rsidR="001624CB" w:rsidRPr="00B54051" w:rsidRDefault="001624CB" w:rsidP="00073A03">
            <w:pPr>
              <w:jc w:val="both"/>
              <w:rPr>
                <w:rFonts w:eastAsia="Calibri"/>
                <w:sz w:val="20"/>
              </w:rPr>
            </w:pPr>
            <w:r w:rsidRPr="00B54051">
              <w:rPr>
                <w:rFonts w:eastAsia="Calibri"/>
                <w:sz w:val="20"/>
              </w:rPr>
              <w:t>Quebec Court of Appeal (Montréal)</w:t>
            </w:r>
          </w:p>
          <w:p w:rsidR="001624CB" w:rsidRPr="00B54051" w:rsidRDefault="001624CB" w:rsidP="00073A03">
            <w:pPr>
              <w:jc w:val="both"/>
              <w:rPr>
                <w:rFonts w:eastAsia="Calibri"/>
                <w:sz w:val="20"/>
              </w:rPr>
            </w:pPr>
            <w:r w:rsidRPr="00B54051">
              <w:rPr>
                <w:rFonts w:eastAsia="Calibri"/>
                <w:sz w:val="20"/>
              </w:rPr>
              <w:t>(Bich, Dufresne and Côté JJ.A.)</w:t>
            </w:r>
          </w:p>
          <w:p w:rsidR="001624CB" w:rsidRPr="00B54051" w:rsidRDefault="001624CB" w:rsidP="00073A03">
            <w:pPr>
              <w:jc w:val="both"/>
              <w:rPr>
                <w:rFonts w:eastAsia="Calibri"/>
                <w:sz w:val="20"/>
              </w:rPr>
            </w:pPr>
            <w:r w:rsidRPr="00B54051">
              <w:rPr>
                <w:rFonts w:eastAsia="Calibri"/>
                <w:sz w:val="20"/>
              </w:rPr>
              <w:t>2009 QCCA 1328</w:t>
            </w:r>
          </w:p>
          <w:p w:rsidR="001624CB" w:rsidRPr="00B54051" w:rsidRDefault="001624CB" w:rsidP="00073A03">
            <w:pPr>
              <w:jc w:val="both"/>
              <w:rPr>
                <w:rFonts w:eastAsia="Calibri"/>
                <w:sz w:val="20"/>
              </w:rPr>
            </w:pP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rPr>
            </w:pPr>
            <w:r w:rsidRPr="00B54051">
              <w:rPr>
                <w:rFonts w:eastAsia="Calibri"/>
                <w:sz w:val="20"/>
              </w:rPr>
              <w:t>Motion for leave to appeal decisions of Commission des lésions professionnelles dismissed</w:t>
            </w:r>
          </w:p>
        </w:tc>
      </w:tr>
      <w:tr w:rsidR="001624CB" w:rsidRPr="00B54051" w:rsidTr="00073A03">
        <w:tc>
          <w:tcPr>
            <w:tcW w:w="2427" w:type="pct"/>
          </w:tcPr>
          <w:p w:rsidR="001624CB" w:rsidRPr="00B54051" w:rsidRDefault="001624CB" w:rsidP="00073A03">
            <w:pPr>
              <w:jc w:val="both"/>
              <w:rPr>
                <w:rFonts w:eastAsia="Calibri"/>
                <w:sz w:val="20"/>
              </w:rPr>
            </w:pPr>
            <w:r w:rsidRPr="00B54051">
              <w:rPr>
                <w:rFonts w:eastAsia="Calibri"/>
                <w:sz w:val="20"/>
              </w:rPr>
              <w:t>June 29, 2010</w:t>
            </w:r>
          </w:p>
          <w:p w:rsidR="001624CB" w:rsidRPr="00B54051" w:rsidRDefault="001624CB" w:rsidP="00073A03">
            <w:pPr>
              <w:jc w:val="both"/>
              <w:rPr>
                <w:rFonts w:eastAsia="Calibri"/>
                <w:sz w:val="20"/>
              </w:rPr>
            </w:pPr>
            <w:r w:rsidRPr="00B54051">
              <w:rPr>
                <w:rFonts w:eastAsia="Calibri"/>
                <w:sz w:val="20"/>
              </w:rPr>
              <w:t>Quebec Court of Appeal (Montréal)</w:t>
            </w:r>
          </w:p>
          <w:p w:rsidR="001624CB" w:rsidRPr="00B54051" w:rsidRDefault="001624CB" w:rsidP="00073A03">
            <w:pPr>
              <w:jc w:val="both"/>
              <w:rPr>
                <w:rFonts w:eastAsia="Calibri"/>
                <w:sz w:val="20"/>
              </w:rPr>
            </w:pPr>
            <w:r w:rsidRPr="00B54051">
              <w:rPr>
                <w:rFonts w:eastAsia="Calibri"/>
                <w:sz w:val="20"/>
              </w:rPr>
              <w:t>(Rochon J.A.)</w:t>
            </w:r>
          </w:p>
          <w:p w:rsidR="001624CB" w:rsidRPr="00B54051" w:rsidRDefault="001624CB" w:rsidP="00073A03">
            <w:pPr>
              <w:jc w:val="both"/>
              <w:rPr>
                <w:rFonts w:eastAsia="Calibri"/>
                <w:sz w:val="20"/>
              </w:rPr>
            </w:pPr>
            <w:r w:rsidRPr="00B54051">
              <w:rPr>
                <w:rFonts w:eastAsia="Calibri"/>
                <w:sz w:val="20"/>
              </w:rPr>
              <w:t>2010 QCCA 1234</w:t>
            </w:r>
          </w:p>
          <w:p w:rsidR="001624CB" w:rsidRPr="00B54051" w:rsidRDefault="001624CB" w:rsidP="00073A03">
            <w:pPr>
              <w:jc w:val="both"/>
              <w:rPr>
                <w:rFonts w:eastAsia="Calibri"/>
                <w:sz w:val="20"/>
              </w:rPr>
            </w:pP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rPr>
            </w:pPr>
            <w:r w:rsidRPr="00B54051">
              <w:rPr>
                <w:rFonts w:eastAsia="Calibri"/>
                <w:sz w:val="20"/>
              </w:rPr>
              <w:t>Motion for leave to appeal decision of Superior Court dismissed</w:t>
            </w:r>
          </w:p>
        </w:tc>
      </w:tr>
      <w:tr w:rsidR="001624CB" w:rsidRPr="00B54051" w:rsidTr="00073A03">
        <w:tc>
          <w:tcPr>
            <w:tcW w:w="2427" w:type="pct"/>
          </w:tcPr>
          <w:p w:rsidR="001624CB" w:rsidRPr="00B54051" w:rsidRDefault="001624CB" w:rsidP="00073A03">
            <w:pPr>
              <w:jc w:val="both"/>
              <w:rPr>
                <w:rFonts w:eastAsia="Calibri"/>
                <w:sz w:val="20"/>
              </w:rPr>
            </w:pPr>
            <w:r w:rsidRPr="00B54051">
              <w:rPr>
                <w:rFonts w:eastAsia="Calibri"/>
                <w:sz w:val="20"/>
              </w:rPr>
              <w:t>September 3, 2010</w:t>
            </w:r>
          </w:p>
          <w:p w:rsidR="001624CB" w:rsidRPr="00B54051" w:rsidRDefault="001624CB" w:rsidP="00073A03">
            <w:pPr>
              <w:jc w:val="both"/>
              <w:rPr>
                <w:rFonts w:eastAsia="Calibri"/>
                <w:sz w:val="20"/>
              </w:rPr>
            </w:pPr>
            <w:r w:rsidRPr="00B54051">
              <w:rPr>
                <w:rFonts w:eastAsia="Calibri"/>
                <w:sz w:val="20"/>
              </w:rPr>
              <w:t>Quebec Court of Appeal (Montréal)</w:t>
            </w:r>
          </w:p>
          <w:p w:rsidR="001624CB" w:rsidRPr="00B54051" w:rsidRDefault="001624CB" w:rsidP="00073A03">
            <w:pPr>
              <w:jc w:val="both"/>
              <w:rPr>
                <w:rFonts w:eastAsia="Calibri"/>
                <w:sz w:val="20"/>
              </w:rPr>
            </w:pPr>
            <w:r w:rsidRPr="00B54051">
              <w:rPr>
                <w:rFonts w:eastAsia="Calibri"/>
                <w:sz w:val="20"/>
              </w:rPr>
              <w:t>(Rochon J.A.)</w:t>
            </w:r>
          </w:p>
          <w:p w:rsidR="001624CB" w:rsidRPr="00B54051" w:rsidRDefault="001624CB" w:rsidP="00073A03">
            <w:pPr>
              <w:jc w:val="both"/>
              <w:rPr>
                <w:rFonts w:eastAsia="Calibri"/>
                <w:sz w:val="20"/>
              </w:rPr>
            </w:pPr>
            <w:r w:rsidRPr="00B54051">
              <w:rPr>
                <w:rFonts w:eastAsia="Calibri"/>
                <w:sz w:val="20"/>
              </w:rPr>
              <w:t>2010 QCCA 1601</w:t>
            </w:r>
          </w:p>
          <w:p w:rsidR="001624CB" w:rsidRPr="00B54051" w:rsidRDefault="001624CB" w:rsidP="00073A03">
            <w:pPr>
              <w:jc w:val="both"/>
              <w:rPr>
                <w:rFonts w:eastAsia="Calibri"/>
                <w:sz w:val="20"/>
              </w:rPr>
            </w:pP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rPr>
            </w:pPr>
            <w:r w:rsidRPr="00B54051">
              <w:rPr>
                <w:rFonts w:eastAsia="Calibri"/>
                <w:sz w:val="20"/>
              </w:rPr>
              <w:t>Motions dismissed</w:t>
            </w:r>
          </w:p>
        </w:tc>
      </w:tr>
      <w:tr w:rsidR="001624CB" w:rsidRPr="00B54051" w:rsidTr="00073A03">
        <w:tc>
          <w:tcPr>
            <w:tcW w:w="2427" w:type="pct"/>
          </w:tcPr>
          <w:p w:rsidR="001624CB" w:rsidRPr="00B54051" w:rsidRDefault="001624CB" w:rsidP="00073A03">
            <w:pPr>
              <w:jc w:val="both"/>
              <w:rPr>
                <w:rFonts w:eastAsia="Calibri"/>
                <w:sz w:val="20"/>
              </w:rPr>
            </w:pPr>
            <w:r w:rsidRPr="00B54051">
              <w:rPr>
                <w:rFonts w:eastAsia="Calibri"/>
                <w:sz w:val="20"/>
              </w:rPr>
              <w:t>October 25, 2010</w:t>
            </w:r>
          </w:p>
          <w:p w:rsidR="001624CB" w:rsidRPr="00B54051" w:rsidRDefault="001624CB" w:rsidP="00073A03">
            <w:pPr>
              <w:jc w:val="both"/>
              <w:rPr>
                <w:rFonts w:eastAsia="Calibri"/>
                <w:sz w:val="20"/>
              </w:rPr>
            </w:pPr>
            <w:r w:rsidRPr="00B54051">
              <w:rPr>
                <w:rFonts w:eastAsia="Calibri"/>
                <w:sz w:val="20"/>
              </w:rPr>
              <w:t>Quebec Court of Appeal (Montréal)</w:t>
            </w:r>
          </w:p>
          <w:p w:rsidR="001624CB" w:rsidRPr="00B54051" w:rsidRDefault="001624CB" w:rsidP="00073A03">
            <w:pPr>
              <w:jc w:val="both"/>
              <w:rPr>
                <w:rFonts w:eastAsia="Calibri"/>
                <w:sz w:val="20"/>
              </w:rPr>
            </w:pPr>
            <w:r w:rsidRPr="00B54051">
              <w:rPr>
                <w:rFonts w:eastAsia="Calibri"/>
                <w:sz w:val="20"/>
              </w:rPr>
              <w:t>(Dalphond, Kasirer and Cournoyer JJ.A.)</w:t>
            </w:r>
          </w:p>
          <w:p w:rsidR="001624CB" w:rsidRPr="00B54051" w:rsidRDefault="001624CB" w:rsidP="00073A03">
            <w:pPr>
              <w:jc w:val="both"/>
              <w:rPr>
                <w:rFonts w:eastAsia="Calibri"/>
                <w:sz w:val="20"/>
              </w:rPr>
            </w:pPr>
            <w:r w:rsidRPr="00B54051">
              <w:rPr>
                <w:rFonts w:eastAsia="Calibri"/>
                <w:sz w:val="20"/>
              </w:rPr>
              <w:t>2010 QCCA 1974</w:t>
            </w:r>
          </w:p>
          <w:p w:rsidR="001624CB" w:rsidRPr="00B54051" w:rsidRDefault="001624CB" w:rsidP="00073A03">
            <w:pPr>
              <w:jc w:val="both"/>
              <w:rPr>
                <w:rFonts w:eastAsia="Calibri"/>
                <w:sz w:val="20"/>
              </w:rPr>
            </w:pP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rPr>
            </w:pPr>
            <w:r w:rsidRPr="00B54051">
              <w:rPr>
                <w:rFonts w:eastAsia="Calibri"/>
                <w:sz w:val="20"/>
              </w:rPr>
              <w:t>Motion in revocation of judgment dismissed</w:t>
            </w:r>
          </w:p>
        </w:tc>
      </w:tr>
      <w:tr w:rsidR="001624CB" w:rsidRPr="00B54051" w:rsidTr="00073A03">
        <w:tc>
          <w:tcPr>
            <w:tcW w:w="2427" w:type="pct"/>
          </w:tcPr>
          <w:p w:rsidR="001624CB" w:rsidRPr="00B54051" w:rsidRDefault="001624CB" w:rsidP="00073A03">
            <w:pPr>
              <w:jc w:val="both"/>
              <w:rPr>
                <w:rFonts w:eastAsia="Calibri"/>
                <w:sz w:val="20"/>
              </w:rPr>
            </w:pPr>
            <w:r w:rsidRPr="00B54051">
              <w:rPr>
                <w:rFonts w:eastAsia="Calibri"/>
                <w:sz w:val="20"/>
              </w:rPr>
              <w:t>January 17, 2011</w:t>
            </w:r>
          </w:p>
          <w:p w:rsidR="001624CB" w:rsidRPr="00B54051" w:rsidRDefault="001624CB" w:rsidP="00073A03">
            <w:pPr>
              <w:jc w:val="both"/>
              <w:rPr>
                <w:rFonts w:eastAsia="Calibri"/>
                <w:sz w:val="20"/>
              </w:rPr>
            </w:pPr>
            <w:r w:rsidRPr="00B54051">
              <w:rPr>
                <w:rFonts w:eastAsia="Calibri"/>
                <w:sz w:val="20"/>
              </w:rPr>
              <w:t>Supreme Court of Canada</w:t>
            </w:r>
          </w:p>
          <w:p w:rsidR="001624CB" w:rsidRPr="00B54051" w:rsidRDefault="001624CB" w:rsidP="00073A03">
            <w:pPr>
              <w:jc w:val="both"/>
              <w:rPr>
                <w:rFonts w:eastAsia="Calibri"/>
                <w:sz w:val="20"/>
              </w:rPr>
            </w:pP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rPr>
            </w:pPr>
            <w:r w:rsidRPr="00B54051">
              <w:rPr>
                <w:rFonts w:eastAsia="Calibri"/>
                <w:sz w:val="20"/>
              </w:rPr>
              <w:t>Application for leave to appeal filed</w:t>
            </w:r>
          </w:p>
          <w:p w:rsidR="001624CB" w:rsidRPr="00B54051" w:rsidRDefault="001624CB" w:rsidP="00073A03">
            <w:pPr>
              <w:jc w:val="both"/>
              <w:rPr>
                <w:rFonts w:eastAsia="Calibri"/>
                <w:sz w:val="20"/>
              </w:rPr>
            </w:pPr>
          </w:p>
        </w:tc>
      </w:tr>
      <w:tr w:rsidR="001624CB" w:rsidRPr="00B54051" w:rsidTr="00073A03">
        <w:tc>
          <w:tcPr>
            <w:tcW w:w="2427" w:type="pct"/>
          </w:tcPr>
          <w:p w:rsidR="001624CB" w:rsidRPr="00B54051" w:rsidRDefault="001624CB" w:rsidP="00073A03">
            <w:pPr>
              <w:jc w:val="both"/>
              <w:rPr>
                <w:rFonts w:eastAsia="Calibri"/>
                <w:sz w:val="20"/>
              </w:rPr>
            </w:pPr>
            <w:r w:rsidRPr="00B54051">
              <w:rPr>
                <w:rFonts w:eastAsia="Calibri"/>
                <w:sz w:val="20"/>
              </w:rPr>
              <w:t xml:space="preserve">February 7, 2011 </w:t>
            </w:r>
          </w:p>
          <w:p w:rsidR="001624CB" w:rsidRPr="00B54051" w:rsidRDefault="001624CB" w:rsidP="00073A03">
            <w:pPr>
              <w:jc w:val="both"/>
              <w:rPr>
                <w:rFonts w:eastAsia="Calibri"/>
                <w:sz w:val="20"/>
              </w:rPr>
            </w:pPr>
            <w:r w:rsidRPr="00B54051">
              <w:rPr>
                <w:rFonts w:eastAsia="Calibri"/>
                <w:sz w:val="20"/>
              </w:rPr>
              <w:t>Supreme Court of Canada</w:t>
            </w: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rPr>
            </w:pPr>
            <w:r w:rsidRPr="00B54051">
              <w:rPr>
                <w:rFonts w:eastAsia="Calibri"/>
                <w:sz w:val="20"/>
              </w:rPr>
              <w:t>Motion to extend time to serve and file application for leave to appeal filed</w:t>
            </w:r>
          </w:p>
        </w:tc>
      </w:tr>
    </w:tbl>
    <w:p w:rsidR="00411CD6" w:rsidRPr="001624CB" w:rsidRDefault="00411CD6" w:rsidP="00411CD6">
      <w:pPr>
        <w:rPr>
          <w:sz w:val="20"/>
          <w:szCs w:val="20"/>
        </w:rPr>
      </w:pPr>
    </w:p>
    <w:p w:rsidR="00411CD6" w:rsidRDefault="008C2B81" w:rsidP="00411CD6">
      <w:pPr>
        <w:rPr>
          <w:sz w:val="20"/>
          <w:szCs w:val="20"/>
          <w:lang w:val="fr-CA"/>
        </w:rPr>
      </w:pPr>
      <w:r w:rsidRPr="008C2B81">
        <w:rPr>
          <w:sz w:val="20"/>
          <w:szCs w:val="20"/>
          <w:lang w:val="fr-CA"/>
        </w:rPr>
        <w:pict>
          <v:rect id="_x0000_i1055" style="width:2in;height:1pt" o:hrpct="0" o:hralign="center" o:hrstd="t" o:hrnoshade="t" o:hr="t" fillcolor="black [3213]" stroked="f"/>
        </w:pict>
      </w:r>
    </w:p>
    <w:p w:rsidR="00411CD6" w:rsidRDefault="00411CD6" w:rsidP="00411CD6">
      <w:pPr>
        <w:rPr>
          <w:sz w:val="20"/>
          <w:szCs w:val="20"/>
          <w:lang w:val="fr-CA"/>
        </w:rPr>
      </w:pPr>
    </w:p>
    <w:p w:rsidR="00411CD6" w:rsidRDefault="00411CD6" w:rsidP="00411CD6">
      <w:pPr>
        <w:rPr>
          <w:sz w:val="20"/>
          <w:szCs w:val="20"/>
          <w:lang w:val="fr-CA"/>
        </w:rPr>
      </w:pPr>
      <w:r>
        <w:rPr>
          <w:sz w:val="20"/>
          <w:szCs w:val="20"/>
          <w:u w:val="single"/>
          <w:lang w:val="fr-CA"/>
        </w:rPr>
        <w:t>RÉSUMÉ DE L’AFFAIRE</w:t>
      </w:r>
    </w:p>
    <w:p w:rsidR="00411CD6" w:rsidRDefault="00411CD6" w:rsidP="00411CD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1624CB" w:rsidRPr="00C50886" w:rsidTr="00073A03">
        <w:tc>
          <w:tcPr>
            <w:tcW w:w="5000" w:type="pct"/>
            <w:gridSpan w:val="3"/>
          </w:tcPr>
          <w:p w:rsidR="001624CB" w:rsidRPr="00B54051" w:rsidRDefault="001624CB" w:rsidP="00073A03">
            <w:pPr>
              <w:jc w:val="both"/>
              <w:rPr>
                <w:rFonts w:eastAsia="Calibri"/>
                <w:sz w:val="20"/>
                <w:lang w:val="fr-CA"/>
              </w:rPr>
            </w:pPr>
            <w:r w:rsidRPr="00B54051">
              <w:rPr>
                <w:rFonts w:eastAsia="Calibri"/>
                <w:sz w:val="20"/>
                <w:lang w:val="fr-CA"/>
              </w:rPr>
              <w:t>Procédure civile — La Cour d’appel aurait</w:t>
            </w:r>
            <w:r w:rsidRPr="00B54051">
              <w:rPr>
                <w:rFonts w:eastAsia="Calibri"/>
                <w:sz w:val="20"/>
                <w:lang w:val="fr-CA"/>
              </w:rPr>
              <w:noBreakHyphen/>
              <w:t>elle dû accueillir les recours du demandeur?</w:t>
            </w:r>
          </w:p>
          <w:p w:rsidR="001624CB" w:rsidRPr="00B54051" w:rsidRDefault="001624CB" w:rsidP="00073A03">
            <w:pPr>
              <w:jc w:val="both"/>
              <w:rPr>
                <w:rFonts w:eastAsia="Calibri"/>
                <w:sz w:val="20"/>
                <w:lang w:val="fr-CA"/>
              </w:rPr>
            </w:pPr>
          </w:p>
        </w:tc>
      </w:tr>
      <w:tr w:rsidR="001624CB" w:rsidRPr="00C50886" w:rsidTr="00073A03">
        <w:tc>
          <w:tcPr>
            <w:tcW w:w="5000" w:type="pct"/>
            <w:gridSpan w:val="3"/>
          </w:tcPr>
          <w:p w:rsidR="001624CB" w:rsidRPr="00B54051" w:rsidRDefault="001624CB" w:rsidP="00073A03">
            <w:pPr>
              <w:jc w:val="both"/>
              <w:rPr>
                <w:rFonts w:eastAsia="Calibri"/>
                <w:sz w:val="20"/>
                <w:lang w:val="fr-CA"/>
              </w:rPr>
            </w:pPr>
            <w:r w:rsidRPr="00B54051">
              <w:rPr>
                <w:rFonts w:eastAsia="Calibri"/>
                <w:sz w:val="20"/>
                <w:lang w:val="fr-CA"/>
              </w:rPr>
              <w:t>Le demandeur, M. Rozier, a demandé à la Cour d’appel du Québec l’autorisation d’en appeler de certaines décisions de la Commission des lésions professionnelles rendues en 2007, 2008 et 2009.  La Cour d’appel a refusé cette demande au motif d’absence de compétence.  M. Rozier a alors déposé un recours en révision judiciaire à l’encontre des décisions de la Commission, mais le recours a été rejeté parce qu’entrepris hors délai.  Le juge Rochon de la Cour d’appel a rejeté la requête de M. Rozier pour permission d’appeler au motif que la requête ne soulevait pas une question de principe nouvelle ou une question de droit faisant l’objet d’une jurisprudence contradictoire.  Il a ensuite rejeté des requêtes visant la rétraction du jugement refusant la permission d’appel.  La Cour d’appel a rejeté une autre requête de M. Rozier.  Elle a souligné qu’aucune disposition de la loi ne lui permettait de réviser les jugements du juge Rochon.</w:t>
            </w:r>
          </w:p>
          <w:p w:rsidR="001624CB" w:rsidRPr="00B54051" w:rsidRDefault="001624CB" w:rsidP="00073A03">
            <w:pPr>
              <w:jc w:val="both"/>
              <w:rPr>
                <w:rFonts w:eastAsia="Calibri"/>
                <w:sz w:val="20"/>
                <w:lang w:val="fr-CA"/>
              </w:rPr>
            </w:pPr>
          </w:p>
        </w:tc>
      </w:tr>
      <w:tr w:rsidR="001624CB" w:rsidRPr="00C50886" w:rsidTr="005B3DE4">
        <w:trPr>
          <w:cantSplit/>
        </w:trPr>
        <w:tc>
          <w:tcPr>
            <w:tcW w:w="2427" w:type="pct"/>
          </w:tcPr>
          <w:p w:rsidR="001624CB" w:rsidRPr="00B54051" w:rsidRDefault="001624CB" w:rsidP="00073A03">
            <w:pPr>
              <w:jc w:val="both"/>
              <w:rPr>
                <w:rFonts w:eastAsia="Calibri"/>
                <w:sz w:val="20"/>
                <w:lang w:val="fr-CA"/>
              </w:rPr>
            </w:pPr>
            <w:r w:rsidRPr="00B54051">
              <w:rPr>
                <w:rFonts w:eastAsia="Calibri"/>
                <w:sz w:val="20"/>
                <w:lang w:val="fr-CA"/>
              </w:rPr>
              <w:lastRenderedPageBreak/>
              <w:t>Le 8 juillet 2009</w:t>
            </w:r>
          </w:p>
          <w:p w:rsidR="001624CB" w:rsidRPr="00B54051" w:rsidRDefault="001624CB" w:rsidP="00073A03">
            <w:pPr>
              <w:jc w:val="both"/>
              <w:rPr>
                <w:rFonts w:eastAsia="Calibri"/>
                <w:sz w:val="20"/>
                <w:lang w:val="fr-CA"/>
              </w:rPr>
            </w:pPr>
            <w:r w:rsidRPr="00B54051">
              <w:rPr>
                <w:rFonts w:eastAsia="Calibri"/>
                <w:sz w:val="20"/>
                <w:lang w:val="fr-CA"/>
              </w:rPr>
              <w:t>Cour d’appel du Québec (Montréal)</w:t>
            </w:r>
          </w:p>
          <w:p w:rsidR="001624CB" w:rsidRPr="00B54051" w:rsidRDefault="001624CB" w:rsidP="00073A03">
            <w:pPr>
              <w:jc w:val="both"/>
              <w:rPr>
                <w:rFonts w:eastAsia="Calibri"/>
                <w:sz w:val="20"/>
                <w:lang w:val="fr-CA"/>
              </w:rPr>
            </w:pPr>
            <w:r w:rsidRPr="00B54051">
              <w:rPr>
                <w:rFonts w:eastAsia="Calibri"/>
                <w:sz w:val="20"/>
                <w:lang w:val="fr-CA"/>
              </w:rPr>
              <w:t>(Les juges Bich, Dufresne et Côté)</w:t>
            </w:r>
          </w:p>
          <w:p w:rsidR="001624CB" w:rsidRPr="00B54051" w:rsidRDefault="001624CB" w:rsidP="00073A03">
            <w:pPr>
              <w:jc w:val="both"/>
              <w:rPr>
                <w:rFonts w:eastAsia="Calibri"/>
                <w:sz w:val="20"/>
                <w:lang w:val="fr-CA"/>
              </w:rPr>
            </w:pPr>
            <w:r w:rsidRPr="00B54051">
              <w:rPr>
                <w:rFonts w:eastAsia="Calibri"/>
                <w:sz w:val="20"/>
                <w:lang w:val="fr-CA"/>
              </w:rPr>
              <w:t>2009 QCCA 1328</w:t>
            </w:r>
          </w:p>
          <w:p w:rsidR="001624CB" w:rsidRPr="00B54051" w:rsidRDefault="001624CB" w:rsidP="00073A03">
            <w:pPr>
              <w:jc w:val="both"/>
              <w:rPr>
                <w:rFonts w:eastAsia="Calibri"/>
                <w:sz w:val="20"/>
                <w:lang w:val="fr-CA"/>
              </w:rPr>
            </w:pP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lang w:val="fr-CA"/>
              </w:rPr>
            </w:pPr>
            <w:r w:rsidRPr="00B54051">
              <w:rPr>
                <w:rFonts w:eastAsia="Calibri"/>
                <w:sz w:val="20"/>
                <w:lang w:val="fr-CA"/>
              </w:rPr>
              <w:t>Requête pour permission d’appeler de décisions de la Commission des lésions professionnelles rejetée</w:t>
            </w:r>
          </w:p>
        </w:tc>
      </w:tr>
      <w:tr w:rsidR="001624CB" w:rsidRPr="00C50886" w:rsidTr="005B3DE4">
        <w:trPr>
          <w:cantSplit/>
        </w:trPr>
        <w:tc>
          <w:tcPr>
            <w:tcW w:w="2427" w:type="pct"/>
          </w:tcPr>
          <w:p w:rsidR="001624CB" w:rsidRPr="00B54051" w:rsidRDefault="001624CB" w:rsidP="00073A03">
            <w:pPr>
              <w:jc w:val="both"/>
              <w:rPr>
                <w:rFonts w:eastAsia="Calibri"/>
                <w:sz w:val="20"/>
                <w:lang w:val="fr-CA"/>
              </w:rPr>
            </w:pPr>
            <w:r w:rsidRPr="00B54051">
              <w:rPr>
                <w:rFonts w:eastAsia="Calibri"/>
                <w:sz w:val="20"/>
                <w:lang w:val="fr-CA"/>
              </w:rPr>
              <w:t>Le 29 juin 2010</w:t>
            </w:r>
          </w:p>
          <w:p w:rsidR="001624CB" w:rsidRPr="00B54051" w:rsidRDefault="001624CB" w:rsidP="00073A03">
            <w:pPr>
              <w:jc w:val="both"/>
              <w:rPr>
                <w:rFonts w:eastAsia="Calibri"/>
                <w:sz w:val="20"/>
                <w:lang w:val="fr-CA"/>
              </w:rPr>
            </w:pPr>
            <w:r w:rsidRPr="00B54051">
              <w:rPr>
                <w:rFonts w:eastAsia="Calibri"/>
                <w:sz w:val="20"/>
                <w:lang w:val="fr-CA"/>
              </w:rPr>
              <w:t>Cour d’appel du Québec (Montréal)</w:t>
            </w:r>
          </w:p>
          <w:p w:rsidR="001624CB" w:rsidRPr="00B54051" w:rsidRDefault="001624CB" w:rsidP="00073A03">
            <w:pPr>
              <w:jc w:val="both"/>
              <w:rPr>
                <w:rFonts w:eastAsia="Calibri"/>
                <w:sz w:val="20"/>
                <w:lang w:val="fr-CA"/>
              </w:rPr>
            </w:pPr>
            <w:r w:rsidRPr="00B54051">
              <w:rPr>
                <w:rFonts w:eastAsia="Calibri"/>
                <w:sz w:val="20"/>
                <w:lang w:val="fr-CA"/>
              </w:rPr>
              <w:t>(Le juge Rochon)</w:t>
            </w:r>
          </w:p>
          <w:p w:rsidR="001624CB" w:rsidRPr="00B54051" w:rsidRDefault="001624CB" w:rsidP="00073A03">
            <w:pPr>
              <w:jc w:val="both"/>
              <w:rPr>
                <w:rFonts w:eastAsia="Calibri"/>
                <w:sz w:val="20"/>
                <w:lang w:val="fr-CA"/>
              </w:rPr>
            </w:pPr>
            <w:r w:rsidRPr="00B54051">
              <w:rPr>
                <w:rFonts w:eastAsia="Calibri"/>
                <w:sz w:val="20"/>
                <w:lang w:val="fr-CA"/>
              </w:rPr>
              <w:t>2010 QCCA 1234</w:t>
            </w:r>
          </w:p>
          <w:p w:rsidR="001624CB" w:rsidRPr="00B54051" w:rsidRDefault="001624CB" w:rsidP="00073A03">
            <w:pPr>
              <w:jc w:val="both"/>
              <w:rPr>
                <w:rFonts w:eastAsia="Calibri"/>
                <w:sz w:val="20"/>
                <w:lang w:val="fr-CA"/>
              </w:rPr>
            </w:pP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lang w:val="fr-CA"/>
              </w:rPr>
            </w:pPr>
            <w:r w:rsidRPr="00B54051">
              <w:rPr>
                <w:rFonts w:eastAsia="Calibri"/>
                <w:sz w:val="20"/>
                <w:lang w:val="fr-CA"/>
              </w:rPr>
              <w:t>Requête pour permission d’appeler d’une décision de la Cour supérieure rejetée</w:t>
            </w:r>
          </w:p>
        </w:tc>
      </w:tr>
      <w:tr w:rsidR="001624CB" w:rsidRPr="00B54051" w:rsidTr="005B3DE4">
        <w:trPr>
          <w:cantSplit/>
        </w:trPr>
        <w:tc>
          <w:tcPr>
            <w:tcW w:w="2427" w:type="pct"/>
          </w:tcPr>
          <w:p w:rsidR="001624CB" w:rsidRPr="00B54051" w:rsidRDefault="001624CB" w:rsidP="00073A03">
            <w:pPr>
              <w:jc w:val="both"/>
              <w:rPr>
                <w:rFonts w:eastAsia="Calibri"/>
                <w:sz w:val="20"/>
                <w:lang w:val="fr-CA"/>
              </w:rPr>
            </w:pPr>
            <w:r w:rsidRPr="00B54051">
              <w:rPr>
                <w:rFonts w:eastAsia="Calibri"/>
                <w:sz w:val="20"/>
                <w:lang w:val="fr-CA"/>
              </w:rPr>
              <w:t>Le 3 septembre 2010</w:t>
            </w:r>
          </w:p>
          <w:p w:rsidR="001624CB" w:rsidRPr="00B54051" w:rsidRDefault="001624CB" w:rsidP="00073A03">
            <w:pPr>
              <w:jc w:val="both"/>
              <w:rPr>
                <w:rFonts w:eastAsia="Calibri"/>
                <w:sz w:val="20"/>
                <w:lang w:val="fr-CA"/>
              </w:rPr>
            </w:pPr>
            <w:r w:rsidRPr="00B54051">
              <w:rPr>
                <w:rFonts w:eastAsia="Calibri"/>
                <w:sz w:val="20"/>
                <w:lang w:val="fr-CA"/>
              </w:rPr>
              <w:t>Cour d’appel du Québec (Montréal)</w:t>
            </w:r>
          </w:p>
          <w:p w:rsidR="001624CB" w:rsidRPr="00B54051" w:rsidRDefault="001624CB" w:rsidP="00073A03">
            <w:pPr>
              <w:jc w:val="both"/>
              <w:rPr>
                <w:rFonts w:eastAsia="Calibri"/>
                <w:sz w:val="20"/>
                <w:lang w:val="fr-CA"/>
              </w:rPr>
            </w:pPr>
            <w:r w:rsidRPr="00B54051">
              <w:rPr>
                <w:rFonts w:eastAsia="Calibri"/>
                <w:sz w:val="20"/>
                <w:lang w:val="fr-CA"/>
              </w:rPr>
              <w:t>(Le juge Rochon</w:t>
            </w:r>
          </w:p>
          <w:p w:rsidR="001624CB" w:rsidRPr="00B54051" w:rsidRDefault="001624CB" w:rsidP="00073A03">
            <w:pPr>
              <w:jc w:val="both"/>
              <w:rPr>
                <w:rFonts w:eastAsia="Calibri"/>
                <w:sz w:val="20"/>
                <w:lang w:val="fr-CA"/>
              </w:rPr>
            </w:pPr>
            <w:r w:rsidRPr="00B54051">
              <w:rPr>
                <w:rFonts w:eastAsia="Calibri"/>
                <w:sz w:val="20"/>
                <w:lang w:val="fr-CA"/>
              </w:rPr>
              <w:t>2010 QCCA 1601</w:t>
            </w:r>
          </w:p>
          <w:p w:rsidR="001624CB" w:rsidRPr="00B54051" w:rsidRDefault="001624CB" w:rsidP="00073A03">
            <w:pPr>
              <w:jc w:val="both"/>
              <w:rPr>
                <w:rFonts w:eastAsia="Calibri"/>
                <w:sz w:val="20"/>
                <w:lang w:val="fr-CA"/>
              </w:rPr>
            </w:pP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lang w:val="fr-CA"/>
              </w:rPr>
            </w:pPr>
            <w:r w:rsidRPr="00B54051">
              <w:rPr>
                <w:rFonts w:eastAsia="Calibri"/>
                <w:sz w:val="20"/>
                <w:lang w:val="fr-CA"/>
              </w:rPr>
              <w:t>Requêtes rejetées</w:t>
            </w:r>
          </w:p>
        </w:tc>
      </w:tr>
      <w:tr w:rsidR="001624CB" w:rsidRPr="00C50886" w:rsidTr="005B3DE4">
        <w:trPr>
          <w:cantSplit/>
        </w:trPr>
        <w:tc>
          <w:tcPr>
            <w:tcW w:w="2427" w:type="pct"/>
          </w:tcPr>
          <w:p w:rsidR="001624CB" w:rsidRPr="00B54051" w:rsidRDefault="001624CB" w:rsidP="00073A03">
            <w:pPr>
              <w:jc w:val="both"/>
              <w:rPr>
                <w:rFonts w:eastAsia="Calibri"/>
                <w:sz w:val="20"/>
                <w:lang w:val="fr-CA"/>
              </w:rPr>
            </w:pPr>
            <w:r w:rsidRPr="00B54051">
              <w:rPr>
                <w:rFonts w:eastAsia="Calibri"/>
                <w:sz w:val="20"/>
                <w:lang w:val="fr-CA"/>
              </w:rPr>
              <w:t>Le 25 octobre 2010</w:t>
            </w:r>
          </w:p>
          <w:p w:rsidR="001624CB" w:rsidRPr="00B54051" w:rsidRDefault="001624CB" w:rsidP="00073A03">
            <w:pPr>
              <w:jc w:val="both"/>
              <w:rPr>
                <w:rFonts w:eastAsia="Calibri"/>
                <w:sz w:val="20"/>
                <w:lang w:val="fr-CA"/>
              </w:rPr>
            </w:pPr>
            <w:r w:rsidRPr="00B54051">
              <w:rPr>
                <w:rFonts w:eastAsia="Calibri"/>
                <w:sz w:val="20"/>
                <w:lang w:val="fr-CA"/>
              </w:rPr>
              <w:t>Cour d’appel du Québec (Montréal)</w:t>
            </w:r>
          </w:p>
          <w:p w:rsidR="001624CB" w:rsidRPr="00B54051" w:rsidRDefault="001624CB" w:rsidP="00073A03">
            <w:pPr>
              <w:jc w:val="both"/>
              <w:rPr>
                <w:rFonts w:eastAsia="Calibri"/>
                <w:sz w:val="20"/>
                <w:lang w:val="fr-CA"/>
              </w:rPr>
            </w:pPr>
            <w:r w:rsidRPr="00B54051">
              <w:rPr>
                <w:rFonts w:eastAsia="Calibri"/>
                <w:sz w:val="20"/>
                <w:lang w:val="fr-CA"/>
              </w:rPr>
              <w:t>(Les juges Dalphond, Kasirer et Cournoyer)</w:t>
            </w:r>
          </w:p>
          <w:p w:rsidR="001624CB" w:rsidRPr="00B54051" w:rsidRDefault="001624CB" w:rsidP="00073A03">
            <w:pPr>
              <w:jc w:val="both"/>
              <w:rPr>
                <w:rFonts w:eastAsia="Calibri"/>
                <w:sz w:val="20"/>
                <w:lang w:val="fr-CA"/>
              </w:rPr>
            </w:pPr>
            <w:r w:rsidRPr="00B54051">
              <w:rPr>
                <w:rFonts w:eastAsia="Calibri"/>
                <w:sz w:val="20"/>
                <w:lang w:val="fr-CA"/>
              </w:rPr>
              <w:t>2010 QCCA 1974</w:t>
            </w:r>
          </w:p>
          <w:p w:rsidR="001624CB" w:rsidRPr="00B54051" w:rsidRDefault="001624CB" w:rsidP="00073A03">
            <w:pPr>
              <w:jc w:val="both"/>
              <w:rPr>
                <w:rFonts w:eastAsia="Calibri"/>
                <w:sz w:val="20"/>
                <w:lang w:val="fr-CA"/>
              </w:rPr>
            </w:pPr>
          </w:p>
        </w:tc>
        <w:tc>
          <w:tcPr>
            <w:tcW w:w="243" w:type="pct"/>
          </w:tcPr>
          <w:p w:rsidR="001624CB" w:rsidRPr="00B54051" w:rsidRDefault="001624CB" w:rsidP="00073A03">
            <w:pPr>
              <w:jc w:val="both"/>
              <w:rPr>
                <w:rFonts w:eastAsia="Calibri"/>
                <w:sz w:val="20"/>
              </w:rPr>
            </w:pPr>
          </w:p>
        </w:tc>
        <w:tc>
          <w:tcPr>
            <w:tcW w:w="2330" w:type="pct"/>
          </w:tcPr>
          <w:p w:rsidR="001624CB" w:rsidRPr="00B54051" w:rsidRDefault="001624CB" w:rsidP="00073A03">
            <w:pPr>
              <w:jc w:val="both"/>
              <w:rPr>
                <w:rFonts w:eastAsia="Calibri"/>
                <w:sz w:val="20"/>
                <w:lang w:val="fr-CA"/>
              </w:rPr>
            </w:pPr>
            <w:r w:rsidRPr="00B54051">
              <w:rPr>
                <w:rFonts w:eastAsia="Calibri"/>
                <w:sz w:val="20"/>
                <w:lang w:val="fr-CA"/>
              </w:rPr>
              <w:t>Requête en récusation de jugement rejetée</w:t>
            </w:r>
          </w:p>
        </w:tc>
      </w:tr>
      <w:tr w:rsidR="001624CB" w:rsidRPr="00B54051" w:rsidTr="005B3DE4">
        <w:trPr>
          <w:cantSplit/>
        </w:trPr>
        <w:tc>
          <w:tcPr>
            <w:tcW w:w="2427" w:type="pct"/>
          </w:tcPr>
          <w:p w:rsidR="001624CB" w:rsidRPr="00B54051" w:rsidRDefault="001624CB" w:rsidP="00073A03">
            <w:pPr>
              <w:jc w:val="both"/>
              <w:rPr>
                <w:rFonts w:eastAsia="Calibri"/>
                <w:sz w:val="20"/>
                <w:lang w:val="fr-CA"/>
              </w:rPr>
            </w:pPr>
            <w:r w:rsidRPr="00B54051">
              <w:rPr>
                <w:rFonts w:eastAsia="Calibri"/>
                <w:sz w:val="20"/>
                <w:lang w:val="fr-CA"/>
              </w:rPr>
              <w:t>Le 17 janvier 2011</w:t>
            </w:r>
          </w:p>
          <w:p w:rsidR="001624CB" w:rsidRPr="00B54051" w:rsidRDefault="001624CB" w:rsidP="00073A03">
            <w:pPr>
              <w:jc w:val="both"/>
              <w:rPr>
                <w:rFonts w:eastAsia="Calibri"/>
                <w:sz w:val="20"/>
                <w:lang w:val="fr-CA"/>
              </w:rPr>
            </w:pPr>
            <w:r w:rsidRPr="00B54051">
              <w:rPr>
                <w:rFonts w:eastAsia="Calibri"/>
                <w:sz w:val="20"/>
                <w:lang w:val="fr-CA"/>
              </w:rPr>
              <w:t>Cour suprême du Canada</w:t>
            </w:r>
          </w:p>
          <w:p w:rsidR="001624CB" w:rsidRPr="00B54051" w:rsidRDefault="001624CB" w:rsidP="00073A03">
            <w:pPr>
              <w:jc w:val="both"/>
              <w:rPr>
                <w:rFonts w:eastAsia="Calibri"/>
                <w:sz w:val="20"/>
                <w:lang w:val="fr-CA"/>
              </w:rPr>
            </w:pPr>
          </w:p>
        </w:tc>
        <w:tc>
          <w:tcPr>
            <w:tcW w:w="243" w:type="pct"/>
          </w:tcPr>
          <w:p w:rsidR="001624CB" w:rsidRPr="00B54051" w:rsidRDefault="001624CB" w:rsidP="00073A03">
            <w:pPr>
              <w:jc w:val="both"/>
              <w:rPr>
                <w:rFonts w:eastAsia="Calibri"/>
                <w:sz w:val="20"/>
                <w:lang w:val="fr-CA"/>
              </w:rPr>
            </w:pPr>
          </w:p>
        </w:tc>
        <w:tc>
          <w:tcPr>
            <w:tcW w:w="2330" w:type="pct"/>
          </w:tcPr>
          <w:p w:rsidR="001624CB" w:rsidRPr="00B54051" w:rsidRDefault="001624CB" w:rsidP="00073A03">
            <w:pPr>
              <w:jc w:val="both"/>
              <w:rPr>
                <w:rFonts w:eastAsia="Calibri"/>
                <w:sz w:val="20"/>
                <w:lang w:val="fr-CA"/>
              </w:rPr>
            </w:pPr>
            <w:r w:rsidRPr="00B54051">
              <w:rPr>
                <w:rFonts w:eastAsia="Calibri"/>
                <w:sz w:val="20"/>
                <w:lang w:val="fr-CA"/>
              </w:rPr>
              <w:t>Demande d'autorisation d'appel déposée</w:t>
            </w:r>
          </w:p>
          <w:p w:rsidR="001624CB" w:rsidRPr="00B54051" w:rsidRDefault="001624CB" w:rsidP="00073A03">
            <w:pPr>
              <w:jc w:val="both"/>
              <w:rPr>
                <w:rFonts w:eastAsia="Calibri"/>
                <w:sz w:val="20"/>
                <w:lang w:val="fr-CA"/>
              </w:rPr>
            </w:pPr>
          </w:p>
        </w:tc>
      </w:tr>
      <w:tr w:rsidR="001624CB" w:rsidRPr="00C50886" w:rsidTr="005B3DE4">
        <w:trPr>
          <w:cantSplit/>
        </w:trPr>
        <w:tc>
          <w:tcPr>
            <w:tcW w:w="2427" w:type="pct"/>
          </w:tcPr>
          <w:p w:rsidR="001624CB" w:rsidRPr="00B54051" w:rsidRDefault="001624CB" w:rsidP="00073A03">
            <w:pPr>
              <w:jc w:val="both"/>
              <w:rPr>
                <w:rFonts w:eastAsia="Calibri"/>
                <w:sz w:val="20"/>
                <w:lang w:val="fr-CA"/>
              </w:rPr>
            </w:pPr>
            <w:r w:rsidRPr="00B54051">
              <w:rPr>
                <w:rFonts w:eastAsia="Calibri"/>
                <w:sz w:val="20"/>
                <w:lang w:val="fr-CA"/>
              </w:rPr>
              <w:t xml:space="preserve">Le 7 février 2011 </w:t>
            </w:r>
          </w:p>
          <w:p w:rsidR="001624CB" w:rsidRPr="00B54051" w:rsidRDefault="001624CB" w:rsidP="00073A03">
            <w:pPr>
              <w:jc w:val="both"/>
              <w:rPr>
                <w:rFonts w:eastAsia="Calibri"/>
                <w:sz w:val="20"/>
                <w:lang w:val="fr-CA"/>
              </w:rPr>
            </w:pPr>
            <w:r w:rsidRPr="00B54051">
              <w:rPr>
                <w:rFonts w:eastAsia="Calibri"/>
                <w:sz w:val="20"/>
                <w:lang w:val="fr-CA"/>
              </w:rPr>
              <w:t>Cour suprême du Canada</w:t>
            </w:r>
          </w:p>
        </w:tc>
        <w:tc>
          <w:tcPr>
            <w:tcW w:w="243" w:type="pct"/>
          </w:tcPr>
          <w:p w:rsidR="001624CB" w:rsidRPr="00B54051" w:rsidRDefault="001624CB" w:rsidP="00073A03">
            <w:pPr>
              <w:jc w:val="both"/>
              <w:rPr>
                <w:rFonts w:eastAsia="Calibri"/>
                <w:sz w:val="20"/>
                <w:lang w:val="fr-CA"/>
              </w:rPr>
            </w:pPr>
          </w:p>
        </w:tc>
        <w:tc>
          <w:tcPr>
            <w:tcW w:w="2330" w:type="pct"/>
          </w:tcPr>
          <w:p w:rsidR="001624CB" w:rsidRPr="00B54051" w:rsidRDefault="001624CB" w:rsidP="00073A03">
            <w:pPr>
              <w:jc w:val="both"/>
              <w:rPr>
                <w:rFonts w:eastAsia="Calibri"/>
                <w:sz w:val="20"/>
                <w:lang w:val="fr-CA"/>
              </w:rPr>
            </w:pPr>
            <w:r w:rsidRPr="00B54051">
              <w:rPr>
                <w:rFonts w:eastAsia="Calibri"/>
                <w:sz w:val="20"/>
                <w:lang w:val="fr-CA"/>
              </w:rPr>
              <w:t>Requête en prorogation du délai de signification et de dépôt d’une demande d’autorisation d’appel déposée</w:t>
            </w:r>
          </w:p>
        </w:tc>
      </w:tr>
    </w:tbl>
    <w:p w:rsidR="00411CD6" w:rsidRDefault="00411CD6" w:rsidP="00411CD6">
      <w:pPr>
        <w:rPr>
          <w:sz w:val="20"/>
          <w:szCs w:val="20"/>
          <w:lang w:val="fr-CA"/>
        </w:rPr>
      </w:pPr>
    </w:p>
    <w:p w:rsidR="008D292F" w:rsidRDefault="008C2B81" w:rsidP="008D292F">
      <w:pPr>
        <w:rPr>
          <w:sz w:val="20"/>
          <w:szCs w:val="20"/>
          <w:lang w:val="fr-CA"/>
        </w:rPr>
      </w:pPr>
      <w:r w:rsidRPr="008C2B81">
        <w:rPr>
          <w:sz w:val="20"/>
          <w:szCs w:val="20"/>
          <w:lang w:val="fr-CA"/>
        </w:rPr>
        <w:pict>
          <v:rect id="_x0000_i1056" style="width:2in;height:1pt" o:hrpct="0" o:hralign="center" o:hrstd="t" o:hrnoshade="t" o:hr="t" fillcolor="black [3213]" stroked="f"/>
        </w:pict>
      </w:r>
    </w:p>
    <w:p w:rsidR="005A13D3" w:rsidRDefault="005A13D3" w:rsidP="008D292F">
      <w:pPr>
        <w:rPr>
          <w:sz w:val="20"/>
          <w:szCs w:val="20"/>
          <w:lang w:val="fr-CA"/>
        </w:rPr>
      </w:pPr>
    </w:p>
    <w:p w:rsidR="005A13D3" w:rsidRDefault="005A13D3" w:rsidP="008D292F">
      <w:pPr>
        <w:rPr>
          <w:sz w:val="20"/>
          <w:szCs w:val="20"/>
          <w:lang w:val="fr-CA"/>
        </w:rPr>
      </w:pPr>
    </w:p>
    <w:p w:rsidR="005A13D3" w:rsidRPr="00C50A5C" w:rsidRDefault="005A13D3"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DE0992" w:rsidRPr="00DE0992" w:rsidRDefault="00DE0992" w:rsidP="00DE0992">
      <w:pPr>
        <w:tabs>
          <w:tab w:val="left" w:pos="-1440"/>
          <w:tab w:val="left" w:pos="-720"/>
        </w:tabs>
        <w:jc w:val="both"/>
        <w:rPr>
          <w:sz w:val="20"/>
          <w:szCs w:val="20"/>
        </w:rPr>
      </w:pPr>
      <w:r w:rsidRPr="00DE0992">
        <w:rPr>
          <w:sz w:val="20"/>
          <w:szCs w:val="20"/>
        </w:rPr>
        <w:t>17.05.2011</w:t>
      </w:r>
    </w:p>
    <w:p w:rsidR="00DE0992" w:rsidRPr="00DE0992" w:rsidRDefault="00DE0992" w:rsidP="00DE0992">
      <w:pPr>
        <w:tabs>
          <w:tab w:val="left" w:pos="-1440"/>
          <w:tab w:val="left" w:pos="-720"/>
        </w:tabs>
        <w:jc w:val="both"/>
        <w:rPr>
          <w:sz w:val="20"/>
          <w:szCs w:val="20"/>
        </w:rPr>
      </w:pPr>
    </w:p>
    <w:p w:rsidR="00DE0992" w:rsidRPr="00DE0992" w:rsidRDefault="00DE0992" w:rsidP="00DE0992">
      <w:pPr>
        <w:jc w:val="both"/>
        <w:rPr>
          <w:sz w:val="20"/>
          <w:szCs w:val="20"/>
          <w:lang w:val="fr-CA"/>
        </w:rPr>
      </w:pPr>
      <w:r w:rsidRPr="00DE0992">
        <w:rPr>
          <w:sz w:val="20"/>
          <w:szCs w:val="20"/>
          <w:lang w:val="fr-CA"/>
        </w:rPr>
        <w:t>Before / Devant:   THE REGISTRAR / LE REGISTRAIRE</w:t>
      </w:r>
    </w:p>
    <w:p w:rsidR="00DE0992" w:rsidRPr="00DE0992" w:rsidRDefault="00DE0992" w:rsidP="00DE0992">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E0992" w:rsidRPr="00625110" w:rsidTr="00A53406">
        <w:trPr>
          <w:trHeight w:val="151"/>
        </w:trPr>
        <w:tc>
          <w:tcPr>
            <w:tcW w:w="4338" w:type="dxa"/>
          </w:tcPr>
          <w:p w:rsidR="00DE0992" w:rsidRPr="00DE0992" w:rsidRDefault="00DE0992" w:rsidP="00A53406">
            <w:pPr>
              <w:tabs>
                <w:tab w:val="left" w:pos="-1440"/>
                <w:tab w:val="left" w:pos="-720"/>
              </w:tabs>
              <w:jc w:val="both"/>
              <w:rPr>
                <w:sz w:val="20"/>
                <w:szCs w:val="20"/>
              </w:rPr>
            </w:pPr>
            <w:r w:rsidRPr="00DE0992">
              <w:rPr>
                <w:b/>
                <w:bCs/>
                <w:sz w:val="20"/>
                <w:szCs w:val="20"/>
              </w:rPr>
              <w:t>Motion to extend the time to serve and file the appellant’s factum and book of authorities to May 6, 2011</w:t>
            </w:r>
          </w:p>
        </w:tc>
        <w:tc>
          <w:tcPr>
            <w:tcW w:w="1170" w:type="dxa"/>
          </w:tcPr>
          <w:p w:rsidR="00DE0992" w:rsidRPr="00DE0992" w:rsidRDefault="00DE0992" w:rsidP="00A53406">
            <w:pPr>
              <w:jc w:val="both"/>
              <w:rPr>
                <w:sz w:val="20"/>
                <w:szCs w:val="20"/>
              </w:rPr>
            </w:pPr>
          </w:p>
          <w:p w:rsidR="00DE0992" w:rsidRPr="00DE0992" w:rsidRDefault="00DE0992" w:rsidP="00A53406">
            <w:pPr>
              <w:jc w:val="both"/>
              <w:rPr>
                <w:sz w:val="20"/>
                <w:szCs w:val="20"/>
              </w:rPr>
            </w:pPr>
          </w:p>
          <w:p w:rsidR="00DE0992" w:rsidRPr="00DE0992" w:rsidRDefault="00DE0992" w:rsidP="00A53406">
            <w:pPr>
              <w:jc w:val="both"/>
              <w:rPr>
                <w:sz w:val="20"/>
                <w:szCs w:val="20"/>
              </w:rPr>
            </w:pPr>
          </w:p>
          <w:p w:rsidR="00DE0992" w:rsidRPr="00DE0992" w:rsidRDefault="00DE0992" w:rsidP="00A53406">
            <w:pPr>
              <w:jc w:val="both"/>
              <w:rPr>
                <w:sz w:val="20"/>
                <w:szCs w:val="20"/>
              </w:rPr>
            </w:pPr>
          </w:p>
        </w:tc>
        <w:tc>
          <w:tcPr>
            <w:tcW w:w="4327" w:type="dxa"/>
          </w:tcPr>
          <w:p w:rsidR="00DE0992" w:rsidRPr="00DE0992" w:rsidRDefault="00DE0992" w:rsidP="00A53406">
            <w:pPr>
              <w:jc w:val="both"/>
              <w:rPr>
                <w:b/>
                <w:sz w:val="20"/>
                <w:szCs w:val="20"/>
                <w:lang w:val="fr-CA"/>
              </w:rPr>
            </w:pPr>
            <w:r w:rsidRPr="00DE0992">
              <w:rPr>
                <w:b/>
                <w:bCs/>
                <w:sz w:val="20"/>
                <w:szCs w:val="20"/>
                <w:lang w:val="fr-CA"/>
              </w:rPr>
              <w:t>Requête en prorogation du délai de signification et de dépôt des mémoire et recueil de sources de l’appelant jusqu’au 6 mai 2011</w:t>
            </w:r>
          </w:p>
        </w:tc>
      </w:tr>
      <w:tr w:rsidR="00DE0992" w:rsidRPr="00DE0992" w:rsidTr="00A53406">
        <w:trPr>
          <w:trHeight w:val="150"/>
        </w:trPr>
        <w:tc>
          <w:tcPr>
            <w:tcW w:w="4338" w:type="dxa"/>
          </w:tcPr>
          <w:p w:rsidR="00DE0992" w:rsidRPr="00DE0992" w:rsidRDefault="00DE0992" w:rsidP="00A53406">
            <w:pPr>
              <w:tabs>
                <w:tab w:val="left" w:pos="-1440"/>
                <w:tab w:val="left" w:pos="-720"/>
              </w:tabs>
              <w:jc w:val="both"/>
              <w:rPr>
                <w:sz w:val="20"/>
                <w:szCs w:val="20"/>
              </w:rPr>
            </w:pPr>
            <w:r w:rsidRPr="00DE0992">
              <w:rPr>
                <w:sz w:val="20"/>
                <w:szCs w:val="20"/>
              </w:rPr>
              <w:t>Larry Wayne Jesse</w:t>
            </w:r>
          </w:p>
          <w:p w:rsidR="00DE0992" w:rsidRPr="00DE0992" w:rsidRDefault="00DE0992" w:rsidP="00A53406">
            <w:pPr>
              <w:tabs>
                <w:tab w:val="left" w:pos="-1440"/>
                <w:tab w:val="left" w:pos="-720"/>
              </w:tabs>
              <w:jc w:val="both"/>
              <w:rPr>
                <w:sz w:val="20"/>
                <w:szCs w:val="20"/>
              </w:rPr>
            </w:pPr>
          </w:p>
          <w:p w:rsidR="00DE0992" w:rsidRPr="00DE0992" w:rsidRDefault="00DE0992" w:rsidP="00A53406">
            <w:pPr>
              <w:tabs>
                <w:tab w:val="left" w:pos="-1440"/>
                <w:tab w:val="left" w:pos="-720"/>
              </w:tabs>
              <w:jc w:val="both"/>
              <w:rPr>
                <w:sz w:val="20"/>
                <w:szCs w:val="20"/>
              </w:rPr>
            </w:pPr>
            <w:r w:rsidRPr="00DE0992">
              <w:rPr>
                <w:sz w:val="20"/>
                <w:szCs w:val="20"/>
              </w:rPr>
              <w:tab/>
              <w:t>v. (33694)</w:t>
            </w:r>
          </w:p>
          <w:p w:rsidR="00DE0992" w:rsidRPr="00DE0992" w:rsidRDefault="00DE0992" w:rsidP="00A53406">
            <w:pPr>
              <w:tabs>
                <w:tab w:val="left" w:pos="-1440"/>
                <w:tab w:val="left" w:pos="-720"/>
              </w:tabs>
              <w:jc w:val="both"/>
              <w:rPr>
                <w:sz w:val="20"/>
                <w:szCs w:val="20"/>
              </w:rPr>
            </w:pPr>
          </w:p>
          <w:p w:rsidR="00DE0992" w:rsidRPr="00DE0992" w:rsidRDefault="00DE0992" w:rsidP="00A53406">
            <w:pPr>
              <w:tabs>
                <w:tab w:val="left" w:pos="-1440"/>
                <w:tab w:val="left" w:pos="-720"/>
              </w:tabs>
              <w:jc w:val="both"/>
              <w:rPr>
                <w:sz w:val="20"/>
                <w:szCs w:val="20"/>
              </w:rPr>
            </w:pPr>
            <w:r w:rsidRPr="00DE0992">
              <w:rPr>
                <w:sz w:val="20"/>
                <w:szCs w:val="20"/>
              </w:rPr>
              <w:t>Her Majesty the Queen (Crim.) (B.C.)</w:t>
            </w:r>
          </w:p>
        </w:tc>
        <w:tc>
          <w:tcPr>
            <w:tcW w:w="1170" w:type="dxa"/>
          </w:tcPr>
          <w:p w:rsidR="00DE0992" w:rsidRPr="00DE0992" w:rsidRDefault="00DE0992" w:rsidP="00A53406">
            <w:pPr>
              <w:jc w:val="both"/>
              <w:rPr>
                <w:sz w:val="20"/>
                <w:szCs w:val="20"/>
              </w:rPr>
            </w:pPr>
          </w:p>
        </w:tc>
        <w:tc>
          <w:tcPr>
            <w:tcW w:w="4327" w:type="dxa"/>
          </w:tcPr>
          <w:p w:rsidR="00DE0992" w:rsidRPr="00DE0992" w:rsidRDefault="00DE0992" w:rsidP="00A53406">
            <w:pPr>
              <w:jc w:val="both"/>
              <w:rPr>
                <w:sz w:val="20"/>
                <w:szCs w:val="20"/>
              </w:rPr>
            </w:pPr>
          </w:p>
        </w:tc>
      </w:tr>
    </w:tbl>
    <w:p w:rsidR="00DE0992" w:rsidRPr="00DE0992" w:rsidRDefault="00DE0992" w:rsidP="00DE0992">
      <w:pPr>
        <w:tabs>
          <w:tab w:val="left" w:pos="-1440"/>
          <w:tab w:val="left" w:pos="-720"/>
        </w:tabs>
        <w:jc w:val="both"/>
        <w:rPr>
          <w:sz w:val="20"/>
          <w:szCs w:val="20"/>
        </w:rPr>
      </w:pPr>
    </w:p>
    <w:p w:rsidR="00DE0992" w:rsidRPr="00DE0992" w:rsidRDefault="00DE0992" w:rsidP="00DE0992">
      <w:pPr>
        <w:tabs>
          <w:tab w:val="left" w:pos="-1440"/>
          <w:tab w:val="left" w:pos="-720"/>
        </w:tabs>
        <w:jc w:val="both"/>
        <w:rPr>
          <w:sz w:val="20"/>
          <w:szCs w:val="20"/>
        </w:rPr>
      </w:pPr>
      <w:r w:rsidRPr="00DE0992">
        <w:rPr>
          <w:b/>
          <w:sz w:val="20"/>
          <w:szCs w:val="20"/>
        </w:rPr>
        <w:t>GRANTED / ACCORDÉE</w:t>
      </w:r>
    </w:p>
    <w:p w:rsidR="00DE0992" w:rsidRPr="00DE0992" w:rsidRDefault="00DE0992" w:rsidP="00DE0992">
      <w:pPr>
        <w:tabs>
          <w:tab w:val="left" w:pos="-1440"/>
          <w:tab w:val="left" w:pos="-720"/>
        </w:tabs>
        <w:jc w:val="both"/>
        <w:rPr>
          <w:sz w:val="20"/>
          <w:szCs w:val="20"/>
        </w:rPr>
      </w:pPr>
    </w:p>
    <w:p w:rsidR="00DE0992" w:rsidRPr="00DE0992" w:rsidRDefault="00DE0992" w:rsidP="00DE0992">
      <w:pPr>
        <w:tabs>
          <w:tab w:val="left" w:pos="-1440"/>
          <w:tab w:val="left" w:pos="-720"/>
        </w:tabs>
        <w:spacing w:line="-19" w:lineRule="auto"/>
        <w:jc w:val="both"/>
        <w:rPr>
          <w:sz w:val="20"/>
          <w:szCs w:val="20"/>
          <w:lang w:val="fr-CA"/>
        </w:rPr>
      </w:pPr>
    </w:p>
    <w:p w:rsidR="00DE0992" w:rsidRPr="00DE0992" w:rsidRDefault="008C2B81" w:rsidP="00DE0992">
      <w:pPr>
        <w:tabs>
          <w:tab w:val="left" w:pos="-1440"/>
          <w:tab w:val="left" w:pos="-720"/>
        </w:tabs>
        <w:jc w:val="both"/>
        <w:rPr>
          <w:sz w:val="20"/>
          <w:szCs w:val="20"/>
        </w:rPr>
      </w:pPr>
      <w:r w:rsidRPr="008C2B81">
        <w:rPr>
          <w:sz w:val="20"/>
          <w:szCs w:val="20"/>
          <w:lang w:val="fr-CA"/>
        </w:rPr>
        <w:pict>
          <v:rect id="_x0000_i1059" style="width:2in;height:1pt" o:hrpct="0" o:hralign="center" o:hrstd="t" o:hrnoshade="t" o:hr="t" fillcolor="black [3213]" stroked="f"/>
        </w:pict>
      </w:r>
    </w:p>
    <w:p w:rsidR="00DE0992" w:rsidRPr="00DE0992" w:rsidRDefault="00DE0992" w:rsidP="00DE0992">
      <w:pPr>
        <w:tabs>
          <w:tab w:val="left" w:pos="-1440"/>
          <w:tab w:val="left" w:pos="-720"/>
        </w:tabs>
        <w:jc w:val="both"/>
        <w:rPr>
          <w:sz w:val="20"/>
          <w:szCs w:val="20"/>
          <w:lang w:val="fr-CA"/>
        </w:rPr>
      </w:pPr>
    </w:p>
    <w:p w:rsidR="00DE0992" w:rsidRPr="00DE0992" w:rsidRDefault="00DE0992" w:rsidP="00DE0992">
      <w:pPr>
        <w:tabs>
          <w:tab w:val="left" w:pos="-1440"/>
          <w:tab w:val="left" w:pos="-720"/>
        </w:tabs>
        <w:jc w:val="both"/>
        <w:rPr>
          <w:sz w:val="20"/>
          <w:szCs w:val="20"/>
        </w:rPr>
      </w:pPr>
      <w:r w:rsidRPr="00DE0992">
        <w:rPr>
          <w:sz w:val="20"/>
          <w:szCs w:val="20"/>
        </w:rPr>
        <w:t>18.05.2011</w:t>
      </w:r>
    </w:p>
    <w:p w:rsidR="00DE0992" w:rsidRPr="00DE0992" w:rsidRDefault="00DE0992" w:rsidP="00DE0992">
      <w:pPr>
        <w:tabs>
          <w:tab w:val="left" w:pos="-1440"/>
          <w:tab w:val="left" w:pos="-720"/>
        </w:tabs>
        <w:jc w:val="both"/>
        <w:rPr>
          <w:sz w:val="20"/>
          <w:szCs w:val="20"/>
        </w:rPr>
      </w:pPr>
    </w:p>
    <w:p w:rsidR="00DE0992" w:rsidRPr="00DE0992" w:rsidRDefault="00DE0992" w:rsidP="00DE0992">
      <w:pPr>
        <w:jc w:val="both"/>
        <w:rPr>
          <w:sz w:val="20"/>
          <w:szCs w:val="20"/>
          <w:lang w:val="fr-CA"/>
        </w:rPr>
      </w:pPr>
      <w:r w:rsidRPr="00DE0992">
        <w:rPr>
          <w:sz w:val="20"/>
          <w:szCs w:val="20"/>
          <w:lang w:val="fr-CA"/>
        </w:rPr>
        <w:t>Before / Devant:   THE REGISTRAR / LE REGISTRAIRE</w:t>
      </w:r>
    </w:p>
    <w:p w:rsidR="00DE0992" w:rsidRPr="00DE0992" w:rsidRDefault="00DE0992" w:rsidP="00DE0992">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E0992" w:rsidRPr="00C50886" w:rsidTr="00A53406">
        <w:trPr>
          <w:trHeight w:val="151"/>
        </w:trPr>
        <w:tc>
          <w:tcPr>
            <w:tcW w:w="4338" w:type="dxa"/>
          </w:tcPr>
          <w:p w:rsidR="00DE0992" w:rsidRPr="00DE0992" w:rsidRDefault="00DE0992" w:rsidP="00A53406">
            <w:pPr>
              <w:tabs>
                <w:tab w:val="left" w:pos="-1440"/>
                <w:tab w:val="left" w:pos="-720"/>
              </w:tabs>
              <w:jc w:val="both"/>
              <w:rPr>
                <w:sz w:val="20"/>
                <w:szCs w:val="20"/>
              </w:rPr>
            </w:pPr>
            <w:r w:rsidRPr="00DE0992">
              <w:rPr>
                <w:b/>
                <w:bCs/>
                <w:sz w:val="20"/>
                <w:szCs w:val="20"/>
              </w:rPr>
              <w:t>Motion to extend the time to serve and file the respondents’ response to May 9, 2011</w:t>
            </w:r>
            <w:r w:rsidR="008C2B81" w:rsidRPr="00DE0992">
              <w:rPr>
                <w:sz w:val="20"/>
                <w:szCs w:val="20"/>
              </w:rPr>
              <w:fldChar w:fldCharType="begin"/>
            </w:r>
            <w:r w:rsidRPr="00DE0992">
              <w:rPr>
                <w:sz w:val="20"/>
                <w:szCs w:val="20"/>
              </w:rPr>
              <w:instrText xml:space="preserve"> SEQ CHAPTER \h \r 1</w:instrText>
            </w:r>
            <w:r w:rsidR="008C2B81" w:rsidRPr="00DE0992">
              <w:rPr>
                <w:sz w:val="20"/>
                <w:szCs w:val="20"/>
              </w:rPr>
              <w:fldChar w:fldCharType="end"/>
            </w:r>
          </w:p>
        </w:tc>
        <w:tc>
          <w:tcPr>
            <w:tcW w:w="1170" w:type="dxa"/>
          </w:tcPr>
          <w:p w:rsidR="00DE0992" w:rsidRPr="00DE0992" w:rsidRDefault="00DE0992" w:rsidP="00A53406">
            <w:pPr>
              <w:jc w:val="both"/>
              <w:rPr>
                <w:sz w:val="20"/>
                <w:szCs w:val="20"/>
              </w:rPr>
            </w:pPr>
          </w:p>
          <w:p w:rsidR="00DE0992" w:rsidRPr="00DE0992" w:rsidRDefault="00DE0992" w:rsidP="00A53406">
            <w:pPr>
              <w:jc w:val="both"/>
              <w:rPr>
                <w:sz w:val="20"/>
                <w:szCs w:val="20"/>
              </w:rPr>
            </w:pPr>
          </w:p>
          <w:p w:rsidR="00DE0992" w:rsidRPr="00DE0992" w:rsidRDefault="00DE0992" w:rsidP="00A53406">
            <w:pPr>
              <w:jc w:val="both"/>
              <w:rPr>
                <w:sz w:val="20"/>
                <w:szCs w:val="20"/>
              </w:rPr>
            </w:pPr>
          </w:p>
          <w:p w:rsidR="00DE0992" w:rsidRPr="00DE0992" w:rsidRDefault="00DE0992" w:rsidP="00A53406">
            <w:pPr>
              <w:jc w:val="both"/>
              <w:rPr>
                <w:sz w:val="20"/>
                <w:szCs w:val="20"/>
              </w:rPr>
            </w:pPr>
          </w:p>
        </w:tc>
        <w:tc>
          <w:tcPr>
            <w:tcW w:w="4327" w:type="dxa"/>
          </w:tcPr>
          <w:p w:rsidR="00DE0992" w:rsidRPr="00DE0992" w:rsidRDefault="00DE0992" w:rsidP="00A53406">
            <w:pPr>
              <w:jc w:val="both"/>
              <w:rPr>
                <w:b/>
                <w:sz w:val="20"/>
                <w:szCs w:val="20"/>
                <w:lang w:val="fr-CA"/>
              </w:rPr>
            </w:pPr>
            <w:r w:rsidRPr="00DE0992">
              <w:rPr>
                <w:b/>
                <w:bCs/>
                <w:sz w:val="20"/>
                <w:szCs w:val="20"/>
                <w:lang w:val="fr-CA"/>
              </w:rPr>
              <w:t>Requête en prorogation du délai de signification et de dépôt de la réponse des intimés jusqu’au 9 mai 2011</w:t>
            </w:r>
            <w:r w:rsidR="008C2B81" w:rsidRPr="00DE0992">
              <w:rPr>
                <w:b/>
                <w:sz w:val="20"/>
                <w:szCs w:val="20"/>
              </w:rPr>
              <w:fldChar w:fldCharType="begin"/>
            </w:r>
            <w:r w:rsidRPr="00DE0992">
              <w:rPr>
                <w:b/>
                <w:sz w:val="20"/>
                <w:szCs w:val="20"/>
                <w:lang w:val="fr-CA"/>
              </w:rPr>
              <w:instrText xml:space="preserve"> SEQ CHAPTER \h \r 1</w:instrText>
            </w:r>
            <w:r w:rsidR="008C2B81" w:rsidRPr="00DE0992">
              <w:rPr>
                <w:b/>
                <w:sz w:val="20"/>
                <w:szCs w:val="20"/>
              </w:rPr>
              <w:fldChar w:fldCharType="end"/>
            </w:r>
            <w:r w:rsidR="008C2B81" w:rsidRPr="00DE0992">
              <w:rPr>
                <w:b/>
                <w:sz w:val="20"/>
                <w:szCs w:val="20"/>
              </w:rPr>
              <w:fldChar w:fldCharType="begin"/>
            </w:r>
            <w:r w:rsidRPr="00DE0992">
              <w:rPr>
                <w:b/>
                <w:sz w:val="20"/>
                <w:szCs w:val="20"/>
                <w:lang w:val="fr-CA"/>
              </w:rPr>
              <w:instrText xml:space="preserve"> SEQ CHAPTER \h \r 1</w:instrText>
            </w:r>
            <w:r w:rsidR="008C2B81" w:rsidRPr="00DE0992">
              <w:rPr>
                <w:b/>
                <w:sz w:val="20"/>
                <w:szCs w:val="20"/>
              </w:rPr>
              <w:fldChar w:fldCharType="end"/>
            </w:r>
            <w:r w:rsidR="008C2B81" w:rsidRPr="00DE0992">
              <w:rPr>
                <w:b/>
                <w:sz w:val="20"/>
                <w:szCs w:val="20"/>
              </w:rPr>
              <w:fldChar w:fldCharType="begin"/>
            </w:r>
            <w:r w:rsidRPr="00DE0992">
              <w:rPr>
                <w:b/>
                <w:sz w:val="20"/>
                <w:szCs w:val="20"/>
                <w:lang w:val="fr-CA"/>
              </w:rPr>
              <w:instrText xml:space="preserve"> SEQ CHAPTER \h \r 1</w:instrText>
            </w:r>
            <w:r w:rsidR="008C2B81" w:rsidRPr="00DE0992">
              <w:rPr>
                <w:b/>
                <w:sz w:val="20"/>
                <w:szCs w:val="20"/>
              </w:rPr>
              <w:fldChar w:fldCharType="end"/>
            </w:r>
          </w:p>
        </w:tc>
      </w:tr>
      <w:tr w:rsidR="00DE0992" w:rsidRPr="00C50886" w:rsidTr="00A53406">
        <w:trPr>
          <w:trHeight w:val="150"/>
        </w:trPr>
        <w:tc>
          <w:tcPr>
            <w:tcW w:w="4338" w:type="dxa"/>
          </w:tcPr>
          <w:p w:rsidR="00DE0992" w:rsidRPr="00DE0992" w:rsidRDefault="00DE0992" w:rsidP="00A53406">
            <w:pPr>
              <w:tabs>
                <w:tab w:val="left" w:pos="-1440"/>
                <w:tab w:val="left" w:pos="-720"/>
              </w:tabs>
              <w:jc w:val="both"/>
              <w:rPr>
                <w:sz w:val="20"/>
                <w:szCs w:val="20"/>
                <w:lang w:val="fr-CA"/>
              </w:rPr>
            </w:pPr>
            <w:r w:rsidRPr="00DE0992">
              <w:rPr>
                <w:sz w:val="20"/>
                <w:szCs w:val="20"/>
                <w:lang w:val="fr-CA"/>
              </w:rPr>
              <w:t>Syndicat des débardeurs du Port de Québec, Section locale 2614</w:t>
            </w:r>
          </w:p>
          <w:p w:rsidR="00DE0992" w:rsidRPr="00DE0992" w:rsidRDefault="00DE0992" w:rsidP="00A53406">
            <w:pPr>
              <w:tabs>
                <w:tab w:val="left" w:pos="-1440"/>
                <w:tab w:val="left" w:pos="-720"/>
              </w:tabs>
              <w:jc w:val="both"/>
              <w:rPr>
                <w:sz w:val="20"/>
                <w:szCs w:val="20"/>
                <w:lang w:val="fr-CA"/>
              </w:rPr>
            </w:pPr>
          </w:p>
          <w:p w:rsidR="00DE0992" w:rsidRPr="00DE0992" w:rsidRDefault="00DE0992" w:rsidP="00A53406">
            <w:pPr>
              <w:tabs>
                <w:tab w:val="left" w:pos="-1440"/>
                <w:tab w:val="left" w:pos="-720"/>
              </w:tabs>
              <w:jc w:val="both"/>
              <w:rPr>
                <w:sz w:val="20"/>
                <w:szCs w:val="20"/>
                <w:lang w:val="fr-CA"/>
              </w:rPr>
            </w:pPr>
            <w:r w:rsidRPr="00DE0992">
              <w:rPr>
                <w:sz w:val="20"/>
                <w:szCs w:val="20"/>
                <w:lang w:val="fr-CA"/>
              </w:rPr>
              <w:tab/>
              <w:t>c. (34146)</w:t>
            </w:r>
          </w:p>
          <w:p w:rsidR="00DE0992" w:rsidRPr="00DE0992" w:rsidRDefault="00DE0992" w:rsidP="00A53406">
            <w:pPr>
              <w:tabs>
                <w:tab w:val="left" w:pos="-1440"/>
                <w:tab w:val="left" w:pos="-720"/>
              </w:tabs>
              <w:jc w:val="both"/>
              <w:rPr>
                <w:sz w:val="20"/>
                <w:szCs w:val="20"/>
                <w:lang w:val="fr-CA"/>
              </w:rPr>
            </w:pPr>
          </w:p>
          <w:p w:rsidR="00DE0992" w:rsidRPr="00DE0992" w:rsidRDefault="00DE0992" w:rsidP="00A53406">
            <w:pPr>
              <w:tabs>
                <w:tab w:val="left" w:pos="-1440"/>
                <w:tab w:val="left" w:pos="-720"/>
              </w:tabs>
              <w:jc w:val="both"/>
              <w:rPr>
                <w:sz w:val="20"/>
                <w:szCs w:val="20"/>
                <w:lang w:val="fr-CA"/>
              </w:rPr>
            </w:pPr>
            <w:r w:rsidRPr="00DE0992">
              <w:rPr>
                <w:sz w:val="20"/>
                <w:szCs w:val="20"/>
                <w:lang w:val="fr-CA"/>
              </w:rPr>
              <w:t>Société des Arrimeurs de Québec et autres (C.F.)</w:t>
            </w:r>
          </w:p>
        </w:tc>
        <w:tc>
          <w:tcPr>
            <w:tcW w:w="1170" w:type="dxa"/>
          </w:tcPr>
          <w:p w:rsidR="00DE0992" w:rsidRPr="00DE0992" w:rsidRDefault="00DE0992" w:rsidP="00A53406">
            <w:pPr>
              <w:jc w:val="both"/>
              <w:rPr>
                <w:sz w:val="20"/>
                <w:szCs w:val="20"/>
                <w:lang w:val="fr-CA"/>
              </w:rPr>
            </w:pPr>
          </w:p>
        </w:tc>
        <w:tc>
          <w:tcPr>
            <w:tcW w:w="4327" w:type="dxa"/>
          </w:tcPr>
          <w:p w:rsidR="00DE0992" w:rsidRPr="00DE0992" w:rsidRDefault="00DE0992" w:rsidP="00A53406">
            <w:pPr>
              <w:jc w:val="both"/>
              <w:rPr>
                <w:sz w:val="20"/>
                <w:szCs w:val="20"/>
                <w:lang w:val="fr-CA"/>
              </w:rPr>
            </w:pPr>
          </w:p>
        </w:tc>
      </w:tr>
    </w:tbl>
    <w:p w:rsidR="00DE0992" w:rsidRPr="00DE0992" w:rsidRDefault="00DE0992" w:rsidP="00DE0992">
      <w:pPr>
        <w:tabs>
          <w:tab w:val="left" w:pos="-1440"/>
          <w:tab w:val="left" w:pos="-720"/>
        </w:tabs>
        <w:jc w:val="both"/>
        <w:rPr>
          <w:sz w:val="20"/>
          <w:szCs w:val="20"/>
          <w:lang w:val="fr-CA"/>
        </w:rPr>
      </w:pPr>
    </w:p>
    <w:p w:rsidR="00DE0992" w:rsidRPr="00DE0992" w:rsidRDefault="00DE0992" w:rsidP="00DE0992">
      <w:pPr>
        <w:tabs>
          <w:tab w:val="left" w:pos="-1440"/>
          <w:tab w:val="left" w:pos="-720"/>
        </w:tabs>
        <w:jc w:val="both"/>
        <w:rPr>
          <w:sz w:val="20"/>
          <w:szCs w:val="20"/>
        </w:rPr>
      </w:pPr>
      <w:r w:rsidRPr="00DE0992">
        <w:rPr>
          <w:b/>
          <w:sz w:val="20"/>
          <w:szCs w:val="20"/>
        </w:rPr>
        <w:t>GRANTED / ACCORDÉE</w:t>
      </w:r>
    </w:p>
    <w:p w:rsidR="00DE0992" w:rsidRPr="00DE0992" w:rsidRDefault="00DE0992" w:rsidP="00DE0992">
      <w:pPr>
        <w:tabs>
          <w:tab w:val="left" w:pos="-1440"/>
          <w:tab w:val="left" w:pos="-720"/>
        </w:tabs>
        <w:jc w:val="both"/>
        <w:rPr>
          <w:sz w:val="20"/>
          <w:szCs w:val="20"/>
          <w:lang w:val="fr-CA"/>
        </w:rPr>
      </w:pPr>
    </w:p>
    <w:p w:rsidR="00DE0992" w:rsidRPr="00DE0992" w:rsidRDefault="00DE0992" w:rsidP="00DE0992">
      <w:pPr>
        <w:tabs>
          <w:tab w:val="left" w:pos="-1440"/>
          <w:tab w:val="left" w:pos="-720"/>
        </w:tabs>
        <w:spacing w:line="-19" w:lineRule="auto"/>
        <w:jc w:val="both"/>
        <w:rPr>
          <w:sz w:val="20"/>
          <w:szCs w:val="20"/>
          <w:lang w:val="fr-CA"/>
        </w:rPr>
      </w:pPr>
    </w:p>
    <w:p w:rsidR="00DE0992" w:rsidRPr="00DE0992" w:rsidRDefault="008C2B81" w:rsidP="00DE0992">
      <w:pPr>
        <w:tabs>
          <w:tab w:val="left" w:pos="-1440"/>
          <w:tab w:val="left" w:pos="-720"/>
        </w:tabs>
        <w:jc w:val="both"/>
        <w:rPr>
          <w:sz w:val="20"/>
          <w:szCs w:val="20"/>
          <w:lang w:val="fr-CA"/>
        </w:rPr>
      </w:pPr>
      <w:r w:rsidRPr="008C2B81">
        <w:rPr>
          <w:sz w:val="20"/>
          <w:szCs w:val="20"/>
          <w:lang w:val="fr-CA"/>
        </w:rPr>
        <w:pict>
          <v:rect id="_x0000_i1060" style="width:2in;height:1pt" o:hrpct="0" o:hralign="center" o:hrstd="t" o:hrnoshade="t" o:hr="t" fillcolor="black [3213]" stroked="f"/>
        </w:pict>
      </w:r>
    </w:p>
    <w:p w:rsidR="00DE0992" w:rsidRPr="00DE0992" w:rsidRDefault="00DE0992" w:rsidP="00DE0992">
      <w:pPr>
        <w:rPr>
          <w:sz w:val="20"/>
          <w:szCs w:val="20"/>
          <w:lang w:val="fr-CA"/>
        </w:rPr>
      </w:pPr>
    </w:p>
    <w:p w:rsidR="00DE0992" w:rsidRPr="00DE0992" w:rsidRDefault="00DE0992" w:rsidP="00DE0992">
      <w:pPr>
        <w:tabs>
          <w:tab w:val="left" w:pos="-1440"/>
          <w:tab w:val="left" w:pos="-720"/>
        </w:tabs>
        <w:jc w:val="both"/>
        <w:rPr>
          <w:sz w:val="20"/>
          <w:szCs w:val="20"/>
          <w:lang w:val="fr-CA"/>
        </w:rPr>
      </w:pPr>
      <w:r w:rsidRPr="00DE0992">
        <w:rPr>
          <w:sz w:val="20"/>
          <w:szCs w:val="20"/>
          <w:lang w:val="fr-CA"/>
        </w:rPr>
        <w:t>18.05.2011</w:t>
      </w:r>
    </w:p>
    <w:p w:rsidR="00DE0992" w:rsidRPr="00DE0992" w:rsidRDefault="00DE0992" w:rsidP="00DE0992">
      <w:pPr>
        <w:tabs>
          <w:tab w:val="left" w:pos="-1440"/>
          <w:tab w:val="left" w:pos="-720"/>
        </w:tabs>
        <w:jc w:val="both"/>
        <w:rPr>
          <w:sz w:val="20"/>
          <w:szCs w:val="20"/>
          <w:lang w:val="fr-CA"/>
        </w:rPr>
      </w:pPr>
    </w:p>
    <w:p w:rsidR="00DE0992" w:rsidRPr="00DE0992" w:rsidRDefault="00DE0992" w:rsidP="00DE0992">
      <w:pPr>
        <w:tabs>
          <w:tab w:val="left" w:pos="-1440"/>
          <w:tab w:val="left" w:pos="-720"/>
        </w:tabs>
        <w:jc w:val="both"/>
        <w:rPr>
          <w:sz w:val="20"/>
          <w:szCs w:val="20"/>
          <w:lang w:val="fr-CA"/>
        </w:rPr>
      </w:pPr>
      <w:r w:rsidRPr="00DE0992">
        <w:rPr>
          <w:sz w:val="20"/>
          <w:szCs w:val="20"/>
          <w:lang w:val="fr-CA"/>
        </w:rPr>
        <w:t>Before / Devant :   THE REGISTRAR / LE REGISTRAIRE</w:t>
      </w:r>
    </w:p>
    <w:p w:rsidR="00DE0992" w:rsidRPr="00DE0992" w:rsidRDefault="00DE0992" w:rsidP="00DE099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E0992" w:rsidRPr="00C50886" w:rsidTr="00A53406">
        <w:tc>
          <w:tcPr>
            <w:tcW w:w="4338" w:type="dxa"/>
          </w:tcPr>
          <w:p w:rsidR="00DE0992" w:rsidRPr="00DE0992" w:rsidRDefault="008C2B81" w:rsidP="00A53406">
            <w:pPr>
              <w:jc w:val="both"/>
              <w:rPr>
                <w:b/>
                <w:sz w:val="20"/>
                <w:szCs w:val="20"/>
              </w:rPr>
            </w:pPr>
            <w:r w:rsidRPr="00DE0992">
              <w:rPr>
                <w:b/>
                <w:sz w:val="20"/>
                <w:szCs w:val="20"/>
              </w:rPr>
              <w:fldChar w:fldCharType="begin"/>
            </w:r>
            <w:r w:rsidR="00DE0992" w:rsidRPr="00DE0992">
              <w:rPr>
                <w:b/>
                <w:sz w:val="20"/>
                <w:szCs w:val="20"/>
              </w:rPr>
              <w:instrText xml:space="preserve"> SEQ CHAPTER \h \r 1</w:instrText>
            </w:r>
            <w:r w:rsidRPr="00DE0992">
              <w:rPr>
                <w:b/>
                <w:sz w:val="20"/>
                <w:szCs w:val="20"/>
              </w:rPr>
              <w:fldChar w:fldCharType="end"/>
            </w:r>
            <w:r w:rsidRPr="00DE0992">
              <w:rPr>
                <w:b/>
                <w:sz w:val="20"/>
                <w:szCs w:val="20"/>
              </w:rPr>
              <w:fldChar w:fldCharType="begin"/>
            </w:r>
            <w:r w:rsidR="00DE0992" w:rsidRPr="00DE0992">
              <w:rPr>
                <w:b/>
                <w:sz w:val="20"/>
                <w:szCs w:val="20"/>
              </w:rPr>
              <w:instrText xml:space="preserve"> SEQ CHAPTER \h \r 1</w:instrText>
            </w:r>
            <w:r w:rsidRPr="00DE0992">
              <w:rPr>
                <w:b/>
                <w:sz w:val="20"/>
                <w:szCs w:val="20"/>
              </w:rPr>
              <w:fldChar w:fldCharType="end"/>
            </w:r>
            <w:r w:rsidR="00DE0992" w:rsidRPr="00DE0992">
              <w:rPr>
                <w:b/>
                <w:bCs/>
                <w:sz w:val="20"/>
                <w:szCs w:val="20"/>
              </w:rPr>
              <w:t>Motion to file additional documents</w:t>
            </w:r>
            <w:r w:rsidR="00DE0992" w:rsidRPr="00DE0992">
              <w:rPr>
                <w:b/>
                <w:sz w:val="20"/>
                <w:szCs w:val="20"/>
              </w:rPr>
              <w:t xml:space="preserve"> </w:t>
            </w:r>
            <w:r w:rsidR="00DE0992" w:rsidRPr="00DE0992">
              <w:rPr>
                <w:b/>
                <w:bCs/>
                <w:sz w:val="20"/>
                <w:szCs w:val="20"/>
              </w:rPr>
              <w:t xml:space="preserve">pursuant to Rule 32(2) of the </w:t>
            </w:r>
            <w:r w:rsidR="00DE0992" w:rsidRPr="00DE0992">
              <w:rPr>
                <w:b/>
                <w:bCs/>
                <w:i/>
                <w:iCs/>
                <w:sz w:val="20"/>
                <w:szCs w:val="20"/>
              </w:rPr>
              <w:t>Rules of the Supreme Court of Canada</w:t>
            </w:r>
          </w:p>
        </w:tc>
        <w:tc>
          <w:tcPr>
            <w:tcW w:w="1170" w:type="dxa"/>
          </w:tcPr>
          <w:p w:rsidR="00DE0992" w:rsidRPr="00DE0992" w:rsidRDefault="00DE0992" w:rsidP="00A53406">
            <w:pPr>
              <w:tabs>
                <w:tab w:val="left" w:pos="-1440"/>
                <w:tab w:val="left" w:pos="-720"/>
              </w:tabs>
              <w:jc w:val="both"/>
              <w:rPr>
                <w:sz w:val="20"/>
                <w:szCs w:val="20"/>
              </w:rPr>
            </w:pPr>
          </w:p>
          <w:p w:rsidR="00DE0992" w:rsidRPr="00DE0992" w:rsidRDefault="00DE0992" w:rsidP="00A53406">
            <w:pPr>
              <w:tabs>
                <w:tab w:val="left" w:pos="-1440"/>
                <w:tab w:val="left" w:pos="-720"/>
              </w:tabs>
              <w:jc w:val="both"/>
              <w:rPr>
                <w:sz w:val="20"/>
                <w:szCs w:val="20"/>
              </w:rPr>
            </w:pPr>
          </w:p>
          <w:p w:rsidR="00DE0992" w:rsidRPr="00DE0992" w:rsidRDefault="00DE0992" w:rsidP="00A53406">
            <w:pPr>
              <w:tabs>
                <w:tab w:val="left" w:pos="-1440"/>
                <w:tab w:val="left" w:pos="-720"/>
              </w:tabs>
              <w:jc w:val="both"/>
              <w:rPr>
                <w:sz w:val="20"/>
                <w:szCs w:val="20"/>
              </w:rPr>
            </w:pPr>
          </w:p>
          <w:p w:rsidR="00DE0992" w:rsidRPr="00DE0992" w:rsidRDefault="00DE0992" w:rsidP="00A53406">
            <w:pPr>
              <w:tabs>
                <w:tab w:val="left" w:pos="-1440"/>
                <w:tab w:val="left" w:pos="-720"/>
              </w:tabs>
              <w:jc w:val="both"/>
              <w:rPr>
                <w:sz w:val="20"/>
                <w:szCs w:val="20"/>
              </w:rPr>
            </w:pPr>
          </w:p>
        </w:tc>
        <w:tc>
          <w:tcPr>
            <w:tcW w:w="4327" w:type="dxa"/>
          </w:tcPr>
          <w:p w:rsidR="00DE0992" w:rsidRPr="00DE0992" w:rsidRDefault="008C2B81" w:rsidP="00A53406">
            <w:pPr>
              <w:jc w:val="both"/>
              <w:rPr>
                <w:sz w:val="20"/>
                <w:szCs w:val="20"/>
                <w:lang w:val="fr-CA"/>
              </w:rPr>
            </w:pPr>
            <w:r w:rsidRPr="00DE0992">
              <w:rPr>
                <w:sz w:val="20"/>
                <w:szCs w:val="20"/>
              </w:rPr>
              <w:fldChar w:fldCharType="begin"/>
            </w:r>
            <w:r w:rsidR="00DE0992" w:rsidRPr="00DE0992">
              <w:rPr>
                <w:sz w:val="20"/>
                <w:szCs w:val="20"/>
                <w:lang w:val="fr-CA"/>
              </w:rPr>
              <w:instrText xml:space="preserve"> SEQ CHAPTER \h \r 1</w:instrText>
            </w:r>
            <w:r w:rsidRPr="00DE0992">
              <w:rPr>
                <w:sz w:val="20"/>
                <w:szCs w:val="20"/>
              </w:rPr>
              <w:fldChar w:fldCharType="end"/>
            </w:r>
            <w:r w:rsidRPr="00DE0992">
              <w:rPr>
                <w:sz w:val="20"/>
                <w:szCs w:val="20"/>
              </w:rPr>
              <w:fldChar w:fldCharType="begin"/>
            </w:r>
            <w:r w:rsidR="00DE0992" w:rsidRPr="00DE0992">
              <w:rPr>
                <w:sz w:val="20"/>
                <w:szCs w:val="20"/>
                <w:lang w:val="fr-CA"/>
              </w:rPr>
              <w:instrText xml:space="preserve"> SEQ CHAPTER \h \r 1</w:instrText>
            </w:r>
            <w:r w:rsidRPr="00DE0992">
              <w:rPr>
                <w:sz w:val="20"/>
                <w:szCs w:val="20"/>
              </w:rPr>
              <w:fldChar w:fldCharType="end"/>
            </w:r>
            <w:r w:rsidR="00DE0992" w:rsidRPr="00DE0992">
              <w:rPr>
                <w:b/>
                <w:bCs/>
                <w:sz w:val="20"/>
                <w:szCs w:val="20"/>
                <w:lang w:val="fr-CA"/>
              </w:rPr>
              <w:t>Requête en vue de déposer des documents supplémentaires</w:t>
            </w:r>
            <w:r w:rsidR="00DE0992" w:rsidRPr="00DE0992">
              <w:rPr>
                <w:sz w:val="20"/>
                <w:szCs w:val="20"/>
                <w:lang w:val="fr-CA"/>
              </w:rPr>
              <w:t xml:space="preserve"> </w:t>
            </w:r>
            <w:r w:rsidR="00DE0992" w:rsidRPr="00DE0992">
              <w:rPr>
                <w:b/>
                <w:bCs/>
                <w:sz w:val="20"/>
                <w:szCs w:val="20"/>
                <w:lang w:val="fr-CA"/>
              </w:rPr>
              <w:t xml:space="preserve">en vertu du paragraphe 32(2) des </w:t>
            </w:r>
            <w:r w:rsidR="00DE0992" w:rsidRPr="00DE0992">
              <w:rPr>
                <w:b/>
                <w:bCs/>
                <w:i/>
                <w:iCs/>
                <w:sz w:val="20"/>
                <w:szCs w:val="20"/>
                <w:lang w:val="fr-CA"/>
              </w:rPr>
              <w:t>Règles de la Cour suprême du Canada</w:t>
            </w:r>
          </w:p>
        </w:tc>
      </w:tr>
      <w:tr w:rsidR="00DE0992" w:rsidRPr="00C50886" w:rsidTr="00A53406">
        <w:tc>
          <w:tcPr>
            <w:tcW w:w="4338" w:type="dxa"/>
          </w:tcPr>
          <w:p w:rsidR="00DE0992" w:rsidRPr="00DE0992" w:rsidRDefault="00DE0992" w:rsidP="00A53406">
            <w:pPr>
              <w:tabs>
                <w:tab w:val="left" w:pos="-1440"/>
                <w:tab w:val="left" w:pos="-720"/>
              </w:tabs>
              <w:jc w:val="both"/>
              <w:rPr>
                <w:sz w:val="20"/>
                <w:szCs w:val="20"/>
                <w:lang w:val="fr-CA"/>
              </w:rPr>
            </w:pPr>
            <w:r w:rsidRPr="00DE0992">
              <w:rPr>
                <w:sz w:val="20"/>
                <w:szCs w:val="20"/>
                <w:lang w:val="fr-CA"/>
              </w:rPr>
              <w:t>Stéphane Rozier</w:t>
            </w:r>
          </w:p>
          <w:p w:rsidR="00DE0992" w:rsidRPr="00DE0992" w:rsidRDefault="00DE0992" w:rsidP="00A53406">
            <w:pPr>
              <w:tabs>
                <w:tab w:val="left" w:pos="-1440"/>
                <w:tab w:val="left" w:pos="-720"/>
              </w:tabs>
              <w:jc w:val="both"/>
              <w:rPr>
                <w:sz w:val="20"/>
                <w:szCs w:val="20"/>
                <w:lang w:val="fr-CA"/>
              </w:rPr>
            </w:pPr>
          </w:p>
          <w:p w:rsidR="00DE0992" w:rsidRPr="00DE0992" w:rsidRDefault="00DE0992" w:rsidP="00A53406">
            <w:pPr>
              <w:tabs>
                <w:tab w:val="left" w:pos="-1440"/>
                <w:tab w:val="left" w:pos="-720"/>
              </w:tabs>
              <w:jc w:val="both"/>
              <w:rPr>
                <w:sz w:val="20"/>
                <w:szCs w:val="20"/>
                <w:lang w:val="fr-CA"/>
              </w:rPr>
            </w:pPr>
            <w:r w:rsidRPr="00DE0992">
              <w:rPr>
                <w:sz w:val="20"/>
                <w:szCs w:val="20"/>
                <w:lang w:val="fr-CA"/>
              </w:rPr>
              <w:tab/>
              <w:t>c. (34126)</w:t>
            </w:r>
          </w:p>
          <w:p w:rsidR="00DE0992" w:rsidRPr="00DE0992" w:rsidRDefault="00DE0992" w:rsidP="00A53406">
            <w:pPr>
              <w:tabs>
                <w:tab w:val="left" w:pos="-1440"/>
                <w:tab w:val="left" w:pos="-720"/>
              </w:tabs>
              <w:jc w:val="both"/>
              <w:rPr>
                <w:sz w:val="20"/>
                <w:szCs w:val="20"/>
                <w:lang w:val="fr-CA"/>
              </w:rPr>
            </w:pPr>
          </w:p>
          <w:p w:rsidR="00DE0992" w:rsidRPr="00DE0992" w:rsidRDefault="00DE0992" w:rsidP="00A53406">
            <w:pPr>
              <w:tabs>
                <w:tab w:val="left" w:pos="-1440"/>
                <w:tab w:val="left" w:pos="-720"/>
              </w:tabs>
              <w:jc w:val="both"/>
              <w:rPr>
                <w:sz w:val="20"/>
                <w:szCs w:val="20"/>
                <w:lang w:val="fr-CA"/>
              </w:rPr>
            </w:pPr>
            <w:r w:rsidRPr="00DE0992">
              <w:rPr>
                <w:sz w:val="20"/>
                <w:szCs w:val="20"/>
                <w:lang w:val="fr-CA"/>
              </w:rPr>
              <w:t>Commission des lésions professionnelles (Qc)</w:t>
            </w:r>
          </w:p>
        </w:tc>
        <w:tc>
          <w:tcPr>
            <w:tcW w:w="1170" w:type="dxa"/>
          </w:tcPr>
          <w:p w:rsidR="00DE0992" w:rsidRPr="00DE0992" w:rsidRDefault="00DE0992" w:rsidP="00A53406">
            <w:pPr>
              <w:tabs>
                <w:tab w:val="left" w:pos="-1440"/>
                <w:tab w:val="left" w:pos="-720"/>
              </w:tabs>
              <w:jc w:val="both"/>
              <w:rPr>
                <w:sz w:val="20"/>
                <w:szCs w:val="20"/>
                <w:lang w:val="fr-CA"/>
              </w:rPr>
            </w:pPr>
          </w:p>
        </w:tc>
        <w:tc>
          <w:tcPr>
            <w:tcW w:w="4327" w:type="dxa"/>
          </w:tcPr>
          <w:p w:rsidR="00DE0992" w:rsidRPr="00DE0992" w:rsidRDefault="00DE0992" w:rsidP="00A53406">
            <w:pPr>
              <w:tabs>
                <w:tab w:val="left" w:pos="-1440"/>
                <w:tab w:val="left" w:pos="-720"/>
              </w:tabs>
              <w:jc w:val="both"/>
              <w:rPr>
                <w:sz w:val="20"/>
                <w:szCs w:val="20"/>
                <w:lang w:val="fr-CA"/>
              </w:rPr>
            </w:pPr>
          </w:p>
        </w:tc>
      </w:tr>
    </w:tbl>
    <w:p w:rsidR="00DE0992" w:rsidRPr="00DE0992" w:rsidRDefault="00DE0992" w:rsidP="00DE0992">
      <w:pPr>
        <w:tabs>
          <w:tab w:val="left" w:pos="-1440"/>
          <w:tab w:val="left" w:pos="-720"/>
        </w:tabs>
        <w:jc w:val="both"/>
        <w:rPr>
          <w:b/>
          <w:sz w:val="20"/>
          <w:szCs w:val="20"/>
          <w:lang w:val="fr-CA"/>
        </w:rPr>
      </w:pPr>
    </w:p>
    <w:p w:rsidR="00DE0992" w:rsidRPr="00DE0992" w:rsidRDefault="00DE0992" w:rsidP="00DE0992">
      <w:pPr>
        <w:jc w:val="both"/>
        <w:rPr>
          <w:sz w:val="20"/>
          <w:szCs w:val="20"/>
          <w:lang w:val="fr-CA"/>
        </w:rPr>
      </w:pPr>
      <w:r w:rsidRPr="00DE0992">
        <w:rPr>
          <w:b/>
          <w:sz w:val="20"/>
          <w:szCs w:val="20"/>
          <w:lang w:val="fr-CA"/>
        </w:rPr>
        <w:t>DISMISSED / REJETÉE</w:t>
      </w:r>
    </w:p>
    <w:p w:rsidR="00DE0992" w:rsidRPr="00DE0992" w:rsidRDefault="00DE0992" w:rsidP="00DE0992">
      <w:pPr>
        <w:tabs>
          <w:tab w:val="left" w:pos="-1440"/>
          <w:tab w:val="left" w:pos="-720"/>
        </w:tabs>
        <w:jc w:val="both"/>
        <w:rPr>
          <w:sz w:val="20"/>
          <w:szCs w:val="20"/>
        </w:rPr>
      </w:pPr>
    </w:p>
    <w:p w:rsidR="00DE0992" w:rsidRPr="00DE0992" w:rsidRDefault="00DE0992" w:rsidP="00DE0992">
      <w:pPr>
        <w:tabs>
          <w:tab w:val="left" w:pos="-1440"/>
          <w:tab w:val="left" w:pos="-720"/>
        </w:tabs>
        <w:spacing w:line="-19" w:lineRule="auto"/>
        <w:jc w:val="both"/>
        <w:rPr>
          <w:sz w:val="20"/>
          <w:szCs w:val="20"/>
          <w:lang w:val="fr-CA"/>
        </w:rPr>
      </w:pPr>
    </w:p>
    <w:p w:rsidR="00DE0992" w:rsidRPr="00DE0992" w:rsidRDefault="008C2B81" w:rsidP="00DE0992">
      <w:pPr>
        <w:tabs>
          <w:tab w:val="left" w:pos="-1440"/>
          <w:tab w:val="left" w:pos="-720"/>
        </w:tabs>
        <w:jc w:val="both"/>
        <w:rPr>
          <w:sz w:val="20"/>
          <w:szCs w:val="20"/>
        </w:rPr>
      </w:pPr>
      <w:r w:rsidRPr="008C2B81">
        <w:rPr>
          <w:sz w:val="20"/>
          <w:szCs w:val="20"/>
          <w:lang w:val="fr-CA"/>
        </w:rPr>
        <w:pict>
          <v:rect id="_x0000_i1061" style="width:2in;height:1pt" o:hrpct="0" o:hralign="center" o:hrstd="t" o:hrnoshade="t" o:hr="t" fillcolor="black [3213]" stroked="f"/>
        </w:pict>
      </w:r>
    </w:p>
    <w:p w:rsidR="00DE0992" w:rsidRPr="00DE0992" w:rsidRDefault="00DE0992" w:rsidP="00DE0992">
      <w:pPr>
        <w:jc w:val="both"/>
        <w:rPr>
          <w:sz w:val="20"/>
          <w:szCs w:val="20"/>
        </w:rPr>
      </w:pPr>
      <w:r w:rsidRPr="00DE0992">
        <w:rPr>
          <w:sz w:val="20"/>
          <w:szCs w:val="20"/>
        </w:rPr>
        <w:lastRenderedPageBreak/>
        <w:t>19.05.2011</w:t>
      </w:r>
    </w:p>
    <w:p w:rsidR="00DE0992" w:rsidRPr="00DE0992" w:rsidRDefault="00DE0992" w:rsidP="00DE0992">
      <w:pPr>
        <w:tabs>
          <w:tab w:val="left" w:pos="-1440"/>
          <w:tab w:val="left" w:pos="-720"/>
        </w:tabs>
        <w:jc w:val="both"/>
        <w:rPr>
          <w:sz w:val="20"/>
          <w:szCs w:val="20"/>
        </w:rPr>
      </w:pPr>
    </w:p>
    <w:p w:rsidR="00DE0992" w:rsidRPr="00DE0992" w:rsidRDefault="00DE0992" w:rsidP="00DE0992">
      <w:pPr>
        <w:jc w:val="both"/>
        <w:rPr>
          <w:sz w:val="20"/>
          <w:szCs w:val="20"/>
          <w:lang w:val="fr-CA"/>
        </w:rPr>
      </w:pPr>
      <w:r w:rsidRPr="00DE0992">
        <w:rPr>
          <w:sz w:val="20"/>
          <w:szCs w:val="20"/>
          <w:lang w:val="fr-CA"/>
        </w:rPr>
        <w:t>Before / Devant:   THE REGISTRAR / LE REGISTRAIRE</w:t>
      </w:r>
    </w:p>
    <w:p w:rsidR="00DE0992" w:rsidRPr="00DE0992" w:rsidRDefault="00DE0992" w:rsidP="00DE0992">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E0992" w:rsidRPr="00C50886" w:rsidTr="00A53406">
        <w:trPr>
          <w:trHeight w:val="151"/>
        </w:trPr>
        <w:tc>
          <w:tcPr>
            <w:tcW w:w="4338" w:type="dxa"/>
          </w:tcPr>
          <w:p w:rsidR="00DE0992" w:rsidRPr="00DE0992" w:rsidRDefault="00DE0992" w:rsidP="00A53406">
            <w:pPr>
              <w:tabs>
                <w:tab w:val="left" w:pos="-1440"/>
                <w:tab w:val="left" w:pos="-720"/>
              </w:tabs>
              <w:jc w:val="both"/>
              <w:rPr>
                <w:sz w:val="20"/>
                <w:szCs w:val="20"/>
              </w:rPr>
            </w:pPr>
            <w:r w:rsidRPr="00DE0992">
              <w:rPr>
                <w:b/>
                <w:bCs/>
                <w:sz w:val="20"/>
                <w:szCs w:val="20"/>
              </w:rPr>
              <w:t>Motion to extend the time to serve and file the respondents’ response to May 10, 2011</w:t>
            </w:r>
            <w:r w:rsidR="008C2B81" w:rsidRPr="00DE0992">
              <w:rPr>
                <w:sz w:val="20"/>
                <w:szCs w:val="20"/>
              </w:rPr>
              <w:fldChar w:fldCharType="begin"/>
            </w:r>
            <w:r w:rsidRPr="00DE0992">
              <w:rPr>
                <w:sz w:val="20"/>
                <w:szCs w:val="20"/>
              </w:rPr>
              <w:instrText xml:space="preserve"> SEQ CHAPTER \h \r 1</w:instrText>
            </w:r>
            <w:r w:rsidR="008C2B81" w:rsidRPr="00DE0992">
              <w:rPr>
                <w:sz w:val="20"/>
                <w:szCs w:val="20"/>
              </w:rPr>
              <w:fldChar w:fldCharType="end"/>
            </w:r>
          </w:p>
        </w:tc>
        <w:tc>
          <w:tcPr>
            <w:tcW w:w="1170" w:type="dxa"/>
          </w:tcPr>
          <w:p w:rsidR="00DE0992" w:rsidRPr="00DE0992" w:rsidRDefault="00DE0992" w:rsidP="00A53406">
            <w:pPr>
              <w:jc w:val="both"/>
              <w:rPr>
                <w:sz w:val="20"/>
                <w:szCs w:val="20"/>
              </w:rPr>
            </w:pPr>
          </w:p>
          <w:p w:rsidR="00DE0992" w:rsidRPr="00DE0992" w:rsidRDefault="00DE0992" w:rsidP="00A53406">
            <w:pPr>
              <w:jc w:val="both"/>
              <w:rPr>
                <w:sz w:val="20"/>
                <w:szCs w:val="20"/>
              </w:rPr>
            </w:pPr>
          </w:p>
          <w:p w:rsidR="00DE0992" w:rsidRPr="00DE0992" w:rsidRDefault="00DE0992" w:rsidP="00A53406">
            <w:pPr>
              <w:jc w:val="both"/>
              <w:rPr>
                <w:sz w:val="20"/>
                <w:szCs w:val="20"/>
              </w:rPr>
            </w:pPr>
          </w:p>
          <w:p w:rsidR="00DE0992" w:rsidRPr="00DE0992" w:rsidRDefault="00DE0992" w:rsidP="00A53406">
            <w:pPr>
              <w:jc w:val="both"/>
              <w:rPr>
                <w:sz w:val="20"/>
                <w:szCs w:val="20"/>
              </w:rPr>
            </w:pPr>
          </w:p>
        </w:tc>
        <w:tc>
          <w:tcPr>
            <w:tcW w:w="4327" w:type="dxa"/>
          </w:tcPr>
          <w:p w:rsidR="00DE0992" w:rsidRPr="00DE0992" w:rsidRDefault="00DE0992" w:rsidP="00A53406">
            <w:pPr>
              <w:jc w:val="both"/>
              <w:rPr>
                <w:b/>
                <w:sz w:val="20"/>
                <w:szCs w:val="20"/>
                <w:lang w:val="fr-CA"/>
              </w:rPr>
            </w:pPr>
            <w:r w:rsidRPr="00DE0992">
              <w:rPr>
                <w:b/>
                <w:bCs/>
                <w:sz w:val="20"/>
                <w:szCs w:val="20"/>
                <w:lang w:val="fr-CA"/>
              </w:rPr>
              <w:t>Requête en prorogation du délai de signification et de dépôt de la réponse de l’intimée jusqu’au 10 mai 2011</w:t>
            </w:r>
            <w:r w:rsidR="008C2B81" w:rsidRPr="00DE0992">
              <w:rPr>
                <w:b/>
                <w:sz w:val="20"/>
                <w:szCs w:val="20"/>
              </w:rPr>
              <w:fldChar w:fldCharType="begin"/>
            </w:r>
            <w:r w:rsidRPr="00DE0992">
              <w:rPr>
                <w:b/>
                <w:sz w:val="20"/>
                <w:szCs w:val="20"/>
                <w:lang w:val="fr-CA"/>
              </w:rPr>
              <w:instrText xml:space="preserve"> SEQ CHAPTER \h \r 1</w:instrText>
            </w:r>
            <w:r w:rsidR="008C2B81" w:rsidRPr="00DE0992">
              <w:rPr>
                <w:b/>
                <w:sz w:val="20"/>
                <w:szCs w:val="20"/>
              </w:rPr>
              <w:fldChar w:fldCharType="end"/>
            </w:r>
            <w:r w:rsidR="008C2B81" w:rsidRPr="00DE0992">
              <w:rPr>
                <w:b/>
                <w:sz w:val="20"/>
                <w:szCs w:val="20"/>
              </w:rPr>
              <w:fldChar w:fldCharType="begin"/>
            </w:r>
            <w:r w:rsidRPr="00DE0992">
              <w:rPr>
                <w:b/>
                <w:sz w:val="20"/>
                <w:szCs w:val="20"/>
                <w:lang w:val="fr-CA"/>
              </w:rPr>
              <w:instrText xml:space="preserve"> SEQ CHAPTER \h \r 1</w:instrText>
            </w:r>
            <w:r w:rsidR="008C2B81" w:rsidRPr="00DE0992">
              <w:rPr>
                <w:b/>
                <w:sz w:val="20"/>
                <w:szCs w:val="20"/>
              </w:rPr>
              <w:fldChar w:fldCharType="end"/>
            </w:r>
            <w:r w:rsidR="008C2B81" w:rsidRPr="00DE0992">
              <w:rPr>
                <w:b/>
                <w:sz w:val="20"/>
                <w:szCs w:val="20"/>
              </w:rPr>
              <w:fldChar w:fldCharType="begin"/>
            </w:r>
            <w:r w:rsidRPr="00DE0992">
              <w:rPr>
                <w:b/>
                <w:sz w:val="20"/>
                <w:szCs w:val="20"/>
                <w:lang w:val="fr-CA"/>
              </w:rPr>
              <w:instrText xml:space="preserve"> SEQ CHAPTER \h \r 1</w:instrText>
            </w:r>
            <w:r w:rsidR="008C2B81" w:rsidRPr="00DE0992">
              <w:rPr>
                <w:b/>
                <w:sz w:val="20"/>
                <w:szCs w:val="20"/>
              </w:rPr>
              <w:fldChar w:fldCharType="end"/>
            </w:r>
          </w:p>
        </w:tc>
      </w:tr>
      <w:tr w:rsidR="00DE0992" w:rsidRPr="00DE0992" w:rsidTr="00A53406">
        <w:trPr>
          <w:trHeight w:val="150"/>
        </w:trPr>
        <w:tc>
          <w:tcPr>
            <w:tcW w:w="4338" w:type="dxa"/>
          </w:tcPr>
          <w:p w:rsidR="00DE0992" w:rsidRPr="00DE0992" w:rsidRDefault="00DE0992" w:rsidP="00A53406">
            <w:pPr>
              <w:tabs>
                <w:tab w:val="left" w:pos="-1440"/>
                <w:tab w:val="left" w:pos="-720"/>
              </w:tabs>
              <w:jc w:val="both"/>
              <w:rPr>
                <w:sz w:val="20"/>
                <w:szCs w:val="20"/>
              </w:rPr>
            </w:pPr>
            <w:r w:rsidRPr="00DE0992">
              <w:rPr>
                <w:sz w:val="20"/>
                <w:szCs w:val="20"/>
              </w:rPr>
              <w:t>Gavra Largie</w:t>
            </w:r>
          </w:p>
          <w:p w:rsidR="00DE0992" w:rsidRPr="00DE0992" w:rsidRDefault="00DE0992" w:rsidP="00A53406">
            <w:pPr>
              <w:tabs>
                <w:tab w:val="left" w:pos="-1440"/>
                <w:tab w:val="left" w:pos="-720"/>
              </w:tabs>
              <w:jc w:val="both"/>
              <w:rPr>
                <w:sz w:val="20"/>
                <w:szCs w:val="20"/>
              </w:rPr>
            </w:pPr>
          </w:p>
          <w:p w:rsidR="00DE0992" w:rsidRPr="00DE0992" w:rsidRDefault="00DE0992" w:rsidP="00A53406">
            <w:pPr>
              <w:tabs>
                <w:tab w:val="left" w:pos="-1440"/>
                <w:tab w:val="left" w:pos="-720"/>
              </w:tabs>
              <w:jc w:val="both"/>
              <w:rPr>
                <w:sz w:val="20"/>
                <w:szCs w:val="20"/>
              </w:rPr>
            </w:pPr>
            <w:r w:rsidRPr="00DE0992">
              <w:rPr>
                <w:sz w:val="20"/>
                <w:szCs w:val="20"/>
              </w:rPr>
              <w:tab/>
              <w:t>v. (34160)</w:t>
            </w:r>
          </w:p>
          <w:p w:rsidR="00DE0992" w:rsidRPr="00DE0992" w:rsidRDefault="00DE0992" w:rsidP="00A53406">
            <w:pPr>
              <w:tabs>
                <w:tab w:val="left" w:pos="-1440"/>
                <w:tab w:val="left" w:pos="-720"/>
              </w:tabs>
              <w:jc w:val="both"/>
              <w:rPr>
                <w:sz w:val="20"/>
                <w:szCs w:val="20"/>
              </w:rPr>
            </w:pPr>
          </w:p>
          <w:p w:rsidR="00DE0992" w:rsidRPr="00DE0992" w:rsidRDefault="00DE0992" w:rsidP="00A53406">
            <w:pPr>
              <w:tabs>
                <w:tab w:val="left" w:pos="-1440"/>
                <w:tab w:val="left" w:pos="-720"/>
              </w:tabs>
              <w:jc w:val="both"/>
              <w:rPr>
                <w:sz w:val="20"/>
                <w:szCs w:val="20"/>
                <w:lang w:val="fr-CA"/>
              </w:rPr>
            </w:pPr>
            <w:r w:rsidRPr="00DE0992">
              <w:rPr>
                <w:sz w:val="20"/>
                <w:szCs w:val="20"/>
              </w:rPr>
              <w:t xml:space="preserve">Her Majesty the Queen (Crim.) </w:t>
            </w:r>
            <w:r w:rsidRPr="00DE0992">
              <w:rPr>
                <w:sz w:val="20"/>
                <w:szCs w:val="20"/>
                <w:lang w:val="fr-CA"/>
              </w:rPr>
              <w:t>(Ont.)</w:t>
            </w:r>
          </w:p>
        </w:tc>
        <w:tc>
          <w:tcPr>
            <w:tcW w:w="1170" w:type="dxa"/>
          </w:tcPr>
          <w:p w:rsidR="00DE0992" w:rsidRPr="00DE0992" w:rsidRDefault="00DE0992" w:rsidP="00A53406">
            <w:pPr>
              <w:jc w:val="both"/>
              <w:rPr>
                <w:sz w:val="20"/>
                <w:szCs w:val="20"/>
                <w:lang w:val="fr-CA"/>
              </w:rPr>
            </w:pPr>
          </w:p>
        </w:tc>
        <w:tc>
          <w:tcPr>
            <w:tcW w:w="4327" w:type="dxa"/>
          </w:tcPr>
          <w:p w:rsidR="00DE0992" w:rsidRPr="00DE0992" w:rsidRDefault="00DE0992" w:rsidP="00A53406">
            <w:pPr>
              <w:jc w:val="both"/>
              <w:rPr>
                <w:sz w:val="20"/>
                <w:szCs w:val="20"/>
                <w:lang w:val="fr-CA"/>
              </w:rPr>
            </w:pPr>
          </w:p>
        </w:tc>
      </w:tr>
    </w:tbl>
    <w:p w:rsidR="00DE0992" w:rsidRPr="00DE0992" w:rsidRDefault="00DE0992" w:rsidP="00DE0992">
      <w:pPr>
        <w:tabs>
          <w:tab w:val="left" w:pos="-1440"/>
          <w:tab w:val="left" w:pos="-720"/>
        </w:tabs>
        <w:jc w:val="both"/>
        <w:rPr>
          <w:sz w:val="20"/>
          <w:szCs w:val="20"/>
          <w:lang w:val="fr-CA"/>
        </w:rPr>
      </w:pPr>
    </w:p>
    <w:p w:rsidR="00DE0992" w:rsidRPr="00DE0992" w:rsidRDefault="00DE0992" w:rsidP="00DE0992">
      <w:pPr>
        <w:jc w:val="both"/>
        <w:rPr>
          <w:sz w:val="20"/>
          <w:szCs w:val="20"/>
        </w:rPr>
      </w:pPr>
      <w:r w:rsidRPr="00DE0992">
        <w:rPr>
          <w:b/>
          <w:sz w:val="20"/>
          <w:szCs w:val="20"/>
        </w:rPr>
        <w:t>GRANTED / ACCORDÉE</w:t>
      </w:r>
    </w:p>
    <w:p w:rsidR="00DE0992" w:rsidRPr="00DE0992" w:rsidRDefault="00DE0992" w:rsidP="00DE0992">
      <w:pPr>
        <w:tabs>
          <w:tab w:val="left" w:pos="-1440"/>
          <w:tab w:val="left" w:pos="-720"/>
        </w:tabs>
        <w:jc w:val="both"/>
        <w:rPr>
          <w:sz w:val="20"/>
          <w:szCs w:val="20"/>
          <w:lang w:val="fr-CA"/>
        </w:rPr>
      </w:pPr>
    </w:p>
    <w:p w:rsidR="00DE0992" w:rsidRPr="00DE0992" w:rsidRDefault="00DE0992" w:rsidP="00DE0992">
      <w:pPr>
        <w:tabs>
          <w:tab w:val="left" w:pos="-1440"/>
          <w:tab w:val="left" w:pos="-720"/>
        </w:tabs>
        <w:spacing w:line="-19" w:lineRule="auto"/>
        <w:jc w:val="both"/>
        <w:rPr>
          <w:sz w:val="20"/>
          <w:szCs w:val="20"/>
          <w:lang w:val="fr-CA"/>
        </w:rPr>
      </w:pPr>
    </w:p>
    <w:p w:rsidR="00DE0992" w:rsidRPr="00DE0992" w:rsidRDefault="008C2B81" w:rsidP="00DE0992">
      <w:pPr>
        <w:tabs>
          <w:tab w:val="left" w:pos="-1440"/>
          <w:tab w:val="left" w:pos="-720"/>
        </w:tabs>
        <w:jc w:val="both"/>
        <w:rPr>
          <w:sz w:val="20"/>
          <w:szCs w:val="20"/>
          <w:lang w:val="fr-CA"/>
        </w:rPr>
      </w:pPr>
      <w:r w:rsidRPr="008C2B81">
        <w:rPr>
          <w:sz w:val="20"/>
          <w:szCs w:val="20"/>
          <w:lang w:val="fr-CA"/>
        </w:rPr>
        <w:pict>
          <v:rect id="_x0000_i1062" style="width:2in;height:1pt" o:hrpct="0" o:hralign="center" o:hrstd="t" o:hrnoshade="t" o:hr="t" fillcolor="black [3213]" stroked="f"/>
        </w:pict>
      </w:r>
    </w:p>
    <w:p w:rsidR="00DE0992" w:rsidRPr="00DE0992" w:rsidRDefault="00DE0992" w:rsidP="00DE0992">
      <w:pPr>
        <w:rPr>
          <w:sz w:val="20"/>
          <w:szCs w:val="20"/>
          <w:lang w:val="fr-CA"/>
        </w:rPr>
      </w:pPr>
    </w:p>
    <w:p w:rsidR="00DE0992" w:rsidRPr="00DE0992" w:rsidRDefault="00DE0992" w:rsidP="00DE0992">
      <w:pPr>
        <w:jc w:val="both"/>
        <w:rPr>
          <w:sz w:val="20"/>
          <w:szCs w:val="20"/>
          <w:lang w:val="fr-CA"/>
        </w:rPr>
      </w:pPr>
      <w:r w:rsidRPr="00DE0992">
        <w:rPr>
          <w:sz w:val="20"/>
          <w:szCs w:val="20"/>
          <w:lang w:val="fr-CA"/>
        </w:rPr>
        <w:t>20.05.2011</w:t>
      </w:r>
    </w:p>
    <w:p w:rsidR="00DE0992" w:rsidRPr="00DE0992" w:rsidRDefault="00DE0992" w:rsidP="00DE0992">
      <w:pPr>
        <w:tabs>
          <w:tab w:val="left" w:pos="-1440"/>
          <w:tab w:val="left" w:pos="-720"/>
        </w:tabs>
        <w:jc w:val="both"/>
        <w:rPr>
          <w:sz w:val="20"/>
          <w:szCs w:val="20"/>
          <w:lang w:val="fr-CA"/>
        </w:rPr>
      </w:pPr>
    </w:p>
    <w:p w:rsidR="00DE0992" w:rsidRPr="00DE0992" w:rsidRDefault="00DE0992" w:rsidP="00DE0992">
      <w:pPr>
        <w:tabs>
          <w:tab w:val="left" w:pos="-1440"/>
          <w:tab w:val="left" w:pos="-720"/>
        </w:tabs>
        <w:jc w:val="both"/>
        <w:rPr>
          <w:sz w:val="20"/>
          <w:szCs w:val="20"/>
          <w:lang w:val="fr-CA"/>
        </w:rPr>
      </w:pPr>
      <w:r w:rsidRPr="00DE0992">
        <w:rPr>
          <w:sz w:val="20"/>
          <w:szCs w:val="20"/>
          <w:lang w:val="fr-CA"/>
        </w:rPr>
        <w:t>Before / Devant :   THE CHIEF JUSTICE / LA JUGE EN CHEF</w:t>
      </w:r>
    </w:p>
    <w:p w:rsidR="00DE0992" w:rsidRPr="00DE0992" w:rsidRDefault="00DE0992" w:rsidP="00DE099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E0992" w:rsidRPr="00C50886" w:rsidTr="00A53406">
        <w:tc>
          <w:tcPr>
            <w:tcW w:w="4338" w:type="dxa"/>
          </w:tcPr>
          <w:p w:rsidR="00DE0992" w:rsidRPr="00DE0992" w:rsidRDefault="008C2B81" w:rsidP="00A53406">
            <w:pPr>
              <w:tabs>
                <w:tab w:val="left" w:pos="-1440"/>
                <w:tab w:val="left" w:pos="-720"/>
              </w:tabs>
              <w:jc w:val="both"/>
              <w:rPr>
                <w:b/>
                <w:sz w:val="20"/>
                <w:szCs w:val="20"/>
              </w:rPr>
            </w:pPr>
            <w:r w:rsidRPr="00DE0992">
              <w:rPr>
                <w:sz w:val="20"/>
                <w:szCs w:val="20"/>
              </w:rPr>
              <w:fldChar w:fldCharType="begin"/>
            </w:r>
            <w:r w:rsidR="00DE0992" w:rsidRPr="00DE0992">
              <w:rPr>
                <w:sz w:val="20"/>
                <w:szCs w:val="20"/>
              </w:rPr>
              <w:instrText xml:space="preserve"> SEQ CHAPTER \h \r 1</w:instrText>
            </w:r>
            <w:r w:rsidRPr="00DE0992">
              <w:rPr>
                <w:sz w:val="20"/>
                <w:szCs w:val="20"/>
              </w:rPr>
              <w:fldChar w:fldCharType="end"/>
            </w:r>
            <w:r w:rsidR="00DE0992" w:rsidRPr="00DE0992">
              <w:rPr>
                <w:b/>
                <w:bCs/>
                <w:sz w:val="20"/>
                <w:szCs w:val="20"/>
              </w:rPr>
              <w:t>Motion to state constitutional questions</w:t>
            </w:r>
          </w:p>
        </w:tc>
        <w:tc>
          <w:tcPr>
            <w:tcW w:w="1170" w:type="dxa"/>
          </w:tcPr>
          <w:p w:rsidR="00DE0992" w:rsidRPr="00DE0992" w:rsidRDefault="00DE0992" w:rsidP="00A53406">
            <w:pPr>
              <w:tabs>
                <w:tab w:val="left" w:pos="-1440"/>
                <w:tab w:val="left" w:pos="-720"/>
              </w:tabs>
              <w:jc w:val="both"/>
              <w:rPr>
                <w:sz w:val="20"/>
                <w:szCs w:val="20"/>
              </w:rPr>
            </w:pPr>
          </w:p>
          <w:p w:rsidR="00DE0992" w:rsidRPr="00DE0992" w:rsidRDefault="00DE0992" w:rsidP="00A53406">
            <w:pPr>
              <w:tabs>
                <w:tab w:val="left" w:pos="-1440"/>
                <w:tab w:val="left" w:pos="-720"/>
              </w:tabs>
              <w:jc w:val="both"/>
              <w:rPr>
                <w:sz w:val="20"/>
                <w:szCs w:val="20"/>
              </w:rPr>
            </w:pPr>
          </w:p>
        </w:tc>
        <w:tc>
          <w:tcPr>
            <w:tcW w:w="4327" w:type="dxa"/>
          </w:tcPr>
          <w:p w:rsidR="00DE0992" w:rsidRPr="00DE0992" w:rsidRDefault="00DE0992" w:rsidP="00A53406">
            <w:pPr>
              <w:ind w:left="72" w:hanging="72"/>
              <w:jc w:val="both"/>
              <w:rPr>
                <w:b/>
                <w:bCs/>
                <w:sz w:val="20"/>
                <w:szCs w:val="20"/>
                <w:lang w:val="fr-CA"/>
              </w:rPr>
            </w:pPr>
            <w:r w:rsidRPr="00DE0992">
              <w:rPr>
                <w:b/>
                <w:bCs/>
                <w:sz w:val="20"/>
                <w:szCs w:val="20"/>
                <w:lang w:val="fr-CA"/>
              </w:rPr>
              <w:t>Requête en formulation de questions</w:t>
            </w:r>
          </w:p>
          <w:p w:rsidR="00DE0992" w:rsidRPr="00DE0992" w:rsidRDefault="00DE0992" w:rsidP="00A53406">
            <w:pPr>
              <w:jc w:val="both"/>
              <w:rPr>
                <w:b/>
                <w:sz w:val="20"/>
                <w:szCs w:val="20"/>
                <w:lang w:val="fr-CA"/>
              </w:rPr>
            </w:pPr>
            <w:r w:rsidRPr="00DE0992">
              <w:rPr>
                <w:b/>
                <w:bCs/>
                <w:sz w:val="20"/>
                <w:szCs w:val="20"/>
                <w:lang w:val="fr-CA"/>
              </w:rPr>
              <w:t>constitutionnelles</w:t>
            </w:r>
            <w:r w:rsidRPr="00DE0992">
              <w:rPr>
                <w:b/>
                <w:sz w:val="20"/>
                <w:szCs w:val="20"/>
                <w:lang w:val="fr-CA"/>
              </w:rPr>
              <w:t xml:space="preserve"> </w:t>
            </w:r>
            <w:r w:rsidR="008C2B81" w:rsidRPr="00DE0992">
              <w:rPr>
                <w:b/>
                <w:sz w:val="20"/>
                <w:szCs w:val="20"/>
              </w:rPr>
              <w:fldChar w:fldCharType="begin"/>
            </w:r>
            <w:r w:rsidRPr="00DE0992">
              <w:rPr>
                <w:b/>
                <w:sz w:val="20"/>
                <w:szCs w:val="20"/>
                <w:lang w:val="fr-CA"/>
              </w:rPr>
              <w:instrText xml:space="preserve"> SEQ CHAPTER \h \r 1</w:instrText>
            </w:r>
            <w:r w:rsidR="008C2B81" w:rsidRPr="00DE0992">
              <w:rPr>
                <w:b/>
                <w:sz w:val="20"/>
                <w:szCs w:val="20"/>
              </w:rPr>
              <w:fldChar w:fldCharType="end"/>
            </w:r>
            <w:r w:rsidR="008C2B81" w:rsidRPr="00DE0992">
              <w:rPr>
                <w:b/>
                <w:sz w:val="20"/>
                <w:szCs w:val="20"/>
              </w:rPr>
              <w:fldChar w:fldCharType="begin"/>
            </w:r>
            <w:r w:rsidRPr="00DE0992">
              <w:rPr>
                <w:b/>
                <w:sz w:val="20"/>
                <w:szCs w:val="20"/>
                <w:lang w:val="fr-CA"/>
              </w:rPr>
              <w:instrText xml:space="preserve"> SEQ CHAPTER \h \r 1</w:instrText>
            </w:r>
            <w:r w:rsidR="008C2B81" w:rsidRPr="00DE0992">
              <w:rPr>
                <w:b/>
                <w:sz w:val="20"/>
                <w:szCs w:val="20"/>
              </w:rPr>
              <w:fldChar w:fldCharType="end"/>
            </w:r>
          </w:p>
        </w:tc>
      </w:tr>
      <w:tr w:rsidR="00DE0992" w:rsidRPr="00C50886" w:rsidTr="00A53406">
        <w:tc>
          <w:tcPr>
            <w:tcW w:w="4338" w:type="dxa"/>
          </w:tcPr>
          <w:p w:rsidR="00DE0992" w:rsidRPr="00DE0992" w:rsidRDefault="00DE0992" w:rsidP="00A53406">
            <w:pPr>
              <w:tabs>
                <w:tab w:val="left" w:pos="-1440"/>
                <w:tab w:val="left" w:pos="-720"/>
              </w:tabs>
              <w:jc w:val="both"/>
              <w:rPr>
                <w:sz w:val="20"/>
                <w:szCs w:val="20"/>
                <w:lang w:val="fr-CA"/>
              </w:rPr>
            </w:pPr>
            <w:r w:rsidRPr="00DE0992">
              <w:rPr>
                <w:sz w:val="20"/>
                <w:szCs w:val="20"/>
                <w:lang w:val="fr-CA"/>
              </w:rPr>
              <w:t>Procureur général du Québec et autres</w:t>
            </w:r>
          </w:p>
          <w:p w:rsidR="00DE0992" w:rsidRPr="00DE0992" w:rsidRDefault="00DE0992" w:rsidP="00A53406">
            <w:pPr>
              <w:tabs>
                <w:tab w:val="left" w:pos="-1440"/>
                <w:tab w:val="left" w:pos="-720"/>
              </w:tabs>
              <w:jc w:val="both"/>
              <w:rPr>
                <w:sz w:val="20"/>
                <w:szCs w:val="20"/>
                <w:lang w:val="fr-CA"/>
              </w:rPr>
            </w:pPr>
          </w:p>
          <w:p w:rsidR="00DE0992" w:rsidRPr="00DE0992" w:rsidRDefault="00DE0992" w:rsidP="00A53406">
            <w:pPr>
              <w:tabs>
                <w:tab w:val="left" w:pos="-1440"/>
                <w:tab w:val="left" w:pos="-720"/>
              </w:tabs>
              <w:jc w:val="both"/>
              <w:rPr>
                <w:sz w:val="20"/>
                <w:szCs w:val="20"/>
                <w:lang w:val="fr-CA"/>
              </w:rPr>
            </w:pPr>
            <w:r w:rsidRPr="00DE0992">
              <w:rPr>
                <w:sz w:val="20"/>
                <w:szCs w:val="20"/>
                <w:lang w:val="fr-CA"/>
              </w:rPr>
              <w:tab/>
              <w:t>c. (33990)</w:t>
            </w:r>
          </w:p>
          <w:p w:rsidR="00DE0992" w:rsidRPr="00DE0992" w:rsidRDefault="00DE0992" w:rsidP="00A53406">
            <w:pPr>
              <w:tabs>
                <w:tab w:val="left" w:pos="-1440"/>
                <w:tab w:val="left" w:pos="-720"/>
              </w:tabs>
              <w:jc w:val="both"/>
              <w:rPr>
                <w:sz w:val="20"/>
                <w:szCs w:val="20"/>
                <w:lang w:val="fr-CA"/>
              </w:rPr>
            </w:pPr>
          </w:p>
          <w:p w:rsidR="00DE0992" w:rsidRPr="00DE0992" w:rsidRDefault="00DE0992" w:rsidP="00A53406">
            <w:pPr>
              <w:tabs>
                <w:tab w:val="left" w:pos="-1440"/>
                <w:tab w:val="left" w:pos="-720"/>
              </w:tabs>
              <w:jc w:val="both"/>
              <w:rPr>
                <w:sz w:val="20"/>
                <w:szCs w:val="20"/>
                <w:lang w:val="fr-CA"/>
              </w:rPr>
            </w:pPr>
            <w:r w:rsidRPr="00DE0992">
              <w:rPr>
                <w:sz w:val="20"/>
                <w:szCs w:val="20"/>
                <w:lang w:val="fr-CA"/>
              </w:rPr>
              <w:t>A et autre (Qc)</w:t>
            </w:r>
          </w:p>
        </w:tc>
        <w:tc>
          <w:tcPr>
            <w:tcW w:w="1170" w:type="dxa"/>
          </w:tcPr>
          <w:p w:rsidR="00DE0992" w:rsidRPr="00DE0992" w:rsidRDefault="00DE0992" w:rsidP="00A53406">
            <w:pPr>
              <w:tabs>
                <w:tab w:val="left" w:pos="-1440"/>
                <w:tab w:val="left" w:pos="-720"/>
              </w:tabs>
              <w:jc w:val="both"/>
              <w:rPr>
                <w:sz w:val="20"/>
                <w:szCs w:val="20"/>
                <w:lang w:val="fr-CA"/>
              </w:rPr>
            </w:pPr>
          </w:p>
        </w:tc>
        <w:tc>
          <w:tcPr>
            <w:tcW w:w="4327" w:type="dxa"/>
          </w:tcPr>
          <w:p w:rsidR="00DE0992" w:rsidRPr="00DE0992" w:rsidRDefault="00DE0992" w:rsidP="00A53406">
            <w:pPr>
              <w:tabs>
                <w:tab w:val="left" w:pos="-1440"/>
                <w:tab w:val="left" w:pos="-720"/>
              </w:tabs>
              <w:jc w:val="both"/>
              <w:rPr>
                <w:sz w:val="20"/>
                <w:szCs w:val="20"/>
                <w:lang w:val="fr-CA"/>
              </w:rPr>
            </w:pPr>
          </w:p>
        </w:tc>
      </w:tr>
    </w:tbl>
    <w:p w:rsidR="00DE0992" w:rsidRPr="00DE0992" w:rsidRDefault="00DE0992" w:rsidP="00DE0992">
      <w:pPr>
        <w:tabs>
          <w:tab w:val="left" w:pos="-1440"/>
          <w:tab w:val="left" w:pos="-720"/>
        </w:tabs>
        <w:jc w:val="both"/>
        <w:rPr>
          <w:sz w:val="20"/>
          <w:szCs w:val="20"/>
          <w:lang w:val="fr-CA"/>
        </w:rPr>
      </w:pPr>
    </w:p>
    <w:p w:rsidR="00DE0992" w:rsidRPr="00DE0992" w:rsidRDefault="00DE0992" w:rsidP="00DE0992">
      <w:pPr>
        <w:jc w:val="both"/>
        <w:rPr>
          <w:b/>
          <w:sz w:val="20"/>
          <w:szCs w:val="20"/>
          <w:lang w:val="fr-CA"/>
        </w:rPr>
      </w:pPr>
      <w:r w:rsidRPr="00DE0992">
        <w:rPr>
          <w:b/>
          <w:sz w:val="20"/>
          <w:szCs w:val="20"/>
          <w:lang w:val="fr-CA"/>
        </w:rPr>
        <w:t>GRANTED / ACCORDÉE</w:t>
      </w:r>
    </w:p>
    <w:p w:rsidR="00DE0992" w:rsidRPr="00DE0992" w:rsidRDefault="00DE0992" w:rsidP="00DE0992">
      <w:pPr>
        <w:tabs>
          <w:tab w:val="left" w:pos="-1440"/>
          <w:tab w:val="left" w:pos="-720"/>
        </w:tabs>
        <w:jc w:val="both"/>
        <w:rPr>
          <w:sz w:val="20"/>
          <w:szCs w:val="20"/>
          <w:lang w:val="fr-CA"/>
        </w:rPr>
      </w:pPr>
    </w:p>
    <w:p w:rsidR="00DE0992" w:rsidRPr="00DE0992" w:rsidRDefault="00DE0992" w:rsidP="00DE0992">
      <w:pPr>
        <w:jc w:val="both"/>
        <w:rPr>
          <w:sz w:val="20"/>
          <w:szCs w:val="20"/>
          <w:lang w:val="fr-CA"/>
        </w:rPr>
      </w:pPr>
      <w:r w:rsidRPr="00DE0992">
        <w:rPr>
          <w:b/>
          <w:bCs/>
          <w:sz w:val="20"/>
          <w:szCs w:val="20"/>
          <w:lang w:val="fr-CA"/>
        </w:rPr>
        <w:t>À LA SUITE DE LA DEMANDE</w:t>
      </w:r>
      <w:r w:rsidRPr="00DE0992">
        <w:rPr>
          <w:sz w:val="20"/>
          <w:szCs w:val="20"/>
          <w:lang w:val="fr-CA"/>
        </w:rPr>
        <w:t xml:space="preserve"> du Procureur général du Québec visant à obtenir la formulation de questions constitutionnelles dans l’appel susmentionné;</w:t>
      </w:r>
    </w:p>
    <w:p w:rsidR="00DE0992" w:rsidRPr="00DE0992" w:rsidRDefault="00DE0992" w:rsidP="00DE0992">
      <w:pPr>
        <w:jc w:val="both"/>
        <w:rPr>
          <w:sz w:val="20"/>
          <w:szCs w:val="20"/>
          <w:lang w:val="fr-CA"/>
        </w:rPr>
      </w:pPr>
    </w:p>
    <w:p w:rsidR="00DE0992" w:rsidRPr="00DE0992" w:rsidRDefault="00DE0992" w:rsidP="00DE0992">
      <w:pPr>
        <w:jc w:val="both"/>
        <w:rPr>
          <w:sz w:val="20"/>
          <w:szCs w:val="20"/>
          <w:vertAlign w:val="superscript"/>
          <w:lang w:val="fr-CA"/>
        </w:rPr>
      </w:pPr>
      <w:r w:rsidRPr="00DE0992">
        <w:rPr>
          <w:b/>
          <w:bCs/>
          <w:sz w:val="20"/>
          <w:szCs w:val="20"/>
          <w:lang w:val="fr-CA"/>
        </w:rPr>
        <w:t>ET APRÈS AVOIR LU</w:t>
      </w:r>
      <w:r w:rsidRPr="00DE0992">
        <w:rPr>
          <w:sz w:val="20"/>
          <w:szCs w:val="20"/>
          <w:lang w:val="fr-CA"/>
        </w:rPr>
        <w:t xml:space="preserve"> la documentation déposée;</w:t>
      </w:r>
    </w:p>
    <w:p w:rsidR="00DE0992" w:rsidRPr="00DE0992" w:rsidRDefault="00DE0992" w:rsidP="00DE0992">
      <w:pPr>
        <w:jc w:val="both"/>
        <w:rPr>
          <w:sz w:val="20"/>
          <w:szCs w:val="20"/>
          <w:lang w:val="fr-CA"/>
        </w:rPr>
      </w:pPr>
    </w:p>
    <w:p w:rsidR="00DE0992" w:rsidRPr="00DE0992" w:rsidRDefault="00DE0992" w:rsidP="00DE0992">
      <w:pPr>
        <w:jc w:val="both"/>
        <w:rPr>
          <w:sz w:val="20"/>
          <w:szCs w:val="20"/>
          <w:lang w:val="fr-CA"/>
        </w:rPr>
      </w:pPr>
      <w:r w:rsidRPr="00DE0992">
        <w:rPr>
          <w:b/>
          <w:bCs/>
          <w:sz w:val="20"/>
          <w:szCs w:val="20"/>
          <w:lang w:val="fr-CA"/>
        </w:rPr>
        <w:t>LES QUESTIONS CONSTITUTIONNELLES SUIVANTES SONT FORMULÉES  :</w:t>
      </w:r>
    </w:p>
    <w:p w:rsidR="00DE0992" w:rsidRPr="00DE0992" w:rsidRDefault="00DE0992" w:rsidP="00DE0992">
      <w:pPr>
        <w:jc w:val="both"/>
        <w:rPr>
          <w:sz w:val="20"/>
          <w:szCs w:val="20"/>
          <w:lang w:val="fr-CA"/>
        </w:rPr>
      </w:pPr>
    </w:p>
    <w:p w:rsidR="00DE0992" w:rsidRPr="00DE0992" w:rsidRDefault="00DE0992" w:rsidP="00DE0992">
      <w:pPr>
        <w:pStyle w:val="ListParagraph"/>
        <w:numPr>
          <w:ilvl w:val="0"/>
          <w:numId w:val="2"/>
        </w:numPr>
        <w:contextualSpacing w:val="0"/>
        <w:jc w:val="both"/>
        <w:rPr>
          <w:sz w:val="20"/>
          <w:szCs w:val="20"/>
          <w:lang w:val="fr-CA"/>
        </w:rPr>
      </w:pPr>
      <w:r w:rsidRPr="00DE0992">
        <w:rPr>
          <w:sz w:val="20"/>
          <w:szCs w:val="20"/>
          <w:lang w:val="fr-CA"/>
        </w:rPr>
        <w:t xml:space="preserve">Les articles 401 à 430, 432, 433, 448 à 484 et 585 du </w:t>
      </w:r>
      <w:r w:rsidRPr="00DE0992">
        <w:rPr>
          <w:i/>
          <w:iCs/>
          <w:sz w:val="20"/>
          <w:szCs w:val="20"/>
          <w:lang w:val="fr-CA"/>
        </w:rPr>
        <w:t>Code civil du Québec</w:t>
      </w:r>
      <w:r w:rsidRPr="00DE0992">
        <w:rPr>
          <w:sz w:val="20"/>
          <w:szCs w:val="20"/>
          <w:lang w:val="fr-CA"/>
        </w:rPr>
        <w:t xml:space="preserve">, L.Q. 1991, ch. 64, contreviennent-ils au par. 15(1) de la </w:t>
      </w:r>
      <w:r w:rsidRPr="00DE0992">
        <w:rPr>
          <w:i/>
          <w:iCs/>
          <w:sz w:val="20"/>
          <w:szCs w:val="20"/>
          <w:lang w:val="fr-CA"/>
        </w:rPr>
        <w:t>Charte canadienne des droits et libertés</w:t>
      </w:r>
      <w:r w:rsidRPr="00DE0992">
        <w:rPr>
          <w:sz w:val="20"/>
          <w:szCs w:val="20"/>
          <w:lang w:val="fr-CA"/>
        </w:rPr>
        <w:t>?</w:t>
      </w:r>
    </w:p>
    <w:p w:rsidR="00DE0992" w:rsidRPr="00DE0992" w:rsidRDefault="00DE0992" w:rsidP="00DE0992">
      <w:pPr>
        <w:jc w:val="both"/>
        <w:rPr>
          <w:sz w:val="20"/>
          <w:szCs w:val="20"/>
          <w:lang w:val="fr-CA"/>
        </w:rPr>
      </w:pPr>
    </w:p>
    <w:p w:rsidR="00DE0992" w:rsidRPr="00DE0992" w:rsidRDefault="00DE0992" w:rsidP="00DE0992">
      <w:pPr>
        <w:pStyle w:val="ListParagraph"/>
        <w:numPr>
          <w:ilvl w:val="0"/>
          <w:numId w:val="2"/>
        </w:numPr>
        <w:contextualSpacing w:val="0"/>
        <w:jc w:val="both"/>
        <w:rPr>
          <w:sz w:val="20"/>
          <w:szCs w:val="20"/>
          <w:lang w:val="fr-CA"/>
        </w:rPr>
      </w:pPr>
      <w:r w:rsidRPr="00DE0992">
        <w:rPr>
          <w:sz w:val="20"/>
          <w:szCs w:val="20"/>
          <w:lang w:val="fr-CA"/>
        </w:rPr>
        <w:t xml:space="preserve">Dans l’affirmative, s’agit-il d’une limite raisonnable prescrite par une règle de droit dont la justification peut se démontrer dans le cadre d’une société libre et démocratique au sens de l’article premier de la </w:t>
      </w:r>
      <w:r w:rsidRPr="00DE0992">
        <w:rPr>
          <w:i/>
          <w:iCs/>
          <w:sz w:val="20"/>
          <w:szCs w:val="20"/>
          <w:lang w:val="fr-CA"/>
        </w:rPr>
        <w:t>Charte canadienne des droits et libertés</w:t>
      </w:r>
      <w:r w:rsidRPr="00DE0992">
        <w:rPr>
          <w:sz w:val="20"/>
          <w:szCs w:val="20"/>
          <w:lang w:val="fr-CA"/>
        </w:rPr>
        <w:t>?</w:t>
      </w:r>
    </w:p>
    <w:p w:rsidR="00DE0992" w:rsidRPr="00DE0992" w:rsidRDefault="00DE0992" w:rsidP="00DE0992">
      <w:pPr>
        <w:jc w:val="both"/>
        <w:rPr>
          <w:sz w:val="20"/>
          <w:szCs w:val="20"/>
          <w:lang w:val="fr-CA"/>
        </w:rPr>
      </w:pPr>
    </w:p>
    <w:p w:rsidR="00DE0992" w:rsidRPr="00DE0992" w:rsidRDefault="00DE0992" w:rsidP="00DE0992">
      <w:pPr>
        <w:jc w:val="both"/>
        <w:rPr>
          <w:sz w:val="20"/>
          <w:szCs w:val="20"/>
          <w:lang w:val="fr-CA"/>
        </w:rPr>
      </w:pPr>
    </w:p>
    <w:p w:rsidR="00DE0992" w:rsidRPr="00DE0992" w:rsidRDefault="00DE0992" w:rsidP="00DE0992">
      <w:pPr>
        <w:jc w:val="both"/>
        <w:rPr>
          <w:sz w:val="20"/>
          <w:szCs w:val="20"/>
          <w:lang w:val="fr-CA"/>
        </w:rPr>
      </w:pPr>
    </w:p>
    <w:p w:rsidR="00DE0992" w:rsidRPr="00DE0992" w:rsidRDefault="008C2B81" w:rsidP="00DE0992">
      <w:pPr>
        <w:jc w:val="both"/>
        <w:rPr>
          <w:sz w:val="20"/>
          <w:szCs w:val="20"/>
        </w:rPr>
      </w:pPr>
      <w:r w:rsidRPr="00DE0992">
        <w:rPr>
          <w:sz w:val="20"/>
          <w:szCs w:val="20"/>
        </w:rPr>
        <w:fldChar w:fldCharType="begin"/>
      </w:r>
      <w:r w:rsidR="00DE0992" w:rsidRPr="00DE0992">
        <w:rPr>
          <w:sz w:val="20"/>
          <w:szCs w:val="20"/>
        </w:rPr>
        <w:instrText xml:space="preserve"> SEQ CHAPTER \h \r 1</w:instrText>
      </w:r>
      <w:r w:rsidRPr="00DE0992">
        <w:rPr>
          <w:sz w:val="20"/>
          <w:szCs w:val="20"/>
        </w:rPr>
        <w:fldChar w:fldCharType="end"/>
      </w:r>
      <w:r w:rsidR="00DE0992" w:rsidRPr="00DE0992">
        <w:rPr>
          <w:b/>
          <w:bCs/>
          <w:sz w:val="20"/>
          <w:szCs w:val="20"/>
        </w:rPr>
        <w:t>UPON APPLICATION</w:t>
      </w:r>
      <w:r w:rsidR="00DE0992" w:rsidRPr="00DE0992">
        <w:rPr>
          <w:sz w:val="20"/>
          <w:szCs w:val="20"/>
        </w:rPr>
        <w:t xml:space="preserve"> by the Attorney General of Quebec for an order stating constitutional questions in the above appeal;</w:t>
      </w:r>
    </w:p>
    <w:p w:rsidR="00DE0992" w:rsidRPr="00DE0992" w:rsidRDefault="00DE0992" w:rsidP="00DE0992">
      <w:pPr>
        <w:jc w:val="both"/>
        <w:rPr>
          <w:sz w:val="20"/>
          <w:szCs w:val="20"/>
        </w:rPr>
      </w:pPr>
    </w:p>
    <w:p w:rsidR="00DE0992" w:rsidRPr="00DE0992" w:rsidRDefault="00DE0992" w:rsidP="00DE0992">
      <w:pPr>
        <w:jc w:val="both"/>
        <w:rPr>
          <w:sz w:val="20"/>
          <w:szCs w:val="20"/>
        </w:rPr>
      </w:pPr>
      <w:r w:rsidRPr="00DE0992">
        <w:rPr>
          <w:b/>
          <w:bCs/>
          <w:sz w:val="20"/>
          <w:szCs w:val="20"/>
        </w:rPr>
        <w:t>AND THE MATERIAL FILED</w:t>
      </w:r>
      <w:r w:rsidRPr="00DE0992">
        <w:rPr>
          <w:sz w:val="20"/>
          <w:szCs w:val="20"/>
        </w:rPr>
        <w:t xml:space="preserve"> having been read;</w:t>
      </w:r>
    </w:p>
    <w:p w:rsidR="00DE0992" w:rsidRPr="00DE0992" w:rsidRDefault="00DE0992" w:rsidP="00DE0992">
      <w:pPr>
        <w:rPr>
          <w:sz w:val="20"/>
          <w:szCs w:val="20"/>
        </w:rPr>
      </w:pPr>
      <w:r w:rsidRPr="00DE0992">
        <w:rPr>
          <w:sz w:val="20"/>
          <w:szCs w:val="20"/>
        </w:rPr>
        <w:br w:type="page"/>
      </w:r>
    </w:p>
    <w:p w:rsidR="00DE0992" w:rsidRPr="00DE0992" w:rsidRDefault="00DE0992" w:rsidP="00DE0992">
      <w:pPr>
        <w:jc w:val="both"/>
        <w:rPr>
          <w:b/>
          <w:bCs/>
          <w:sz w:val="20"/>
          <w:szCs w:val="20"/>
        </w:rPr>
      </w:pPr>
      <w:r w:rsidRPr="00DE0992">
        <w:rPr>
          <w:b/>
          <w:bCs/>
          <w:sz w:val="20"/>
          <w:szCs w:val="20"/>
        </w:rPr>
        <w:lastRenderedPageBreak/>
        <w:t>IT IS HEREBY ORDERED THAT THE CONSTITUTIONAL QUESTIONS BE STATED AS FOLLOWS:</w:t>
      </w:r>
    </w:p>
    <w:p w:rsidR="00DE0992" w:rsidRPr="00DE0992" w:rsidRDefault="00DE0992" w:rsidP="00DE0992">
      <w:pPr>
        <w:jc w:val="both"/>
        <w:rPr>
          <w:b/>
          <w:bCs/>
          <w:sz w:val="20"/>
          <w:szCs w:val="20"/>
        </w:rPr>
      </w:pPr>
    </w:p>
    <w:p w:rsidR="00DE0992" w:rsidRPr="00DE0992" w:rsidRDefault="00DE0992" w:rsidP="00DE0992">
      <w:pPr>
        <w:pStyle w:val="ListParagraph"/>
        <w:numPr>
          <w:ilvl w:val="0"/>
          <w:numId w:val="3"/>
        </w:numPr>
        <w:contextualSpacing w:val="0"/>
        <w:jc w:val="both"/>
        <w:rPr>
          <w:sz w:val="20"/>
          <w:szCs w:val="20"/>
          <w:lang w:val="en-US"/>
        </w:rPr>
      </w:pPr>
      <w:r w:rsidRPr="00DE0992">
        <w:rPr>
          <w:sz w:val="20"/>
          <w:szCs w:val="20"/>
          <w:lang w:val="en-US"/>
        </w:rPr>
        <w:t xml:space="preserve">Do arts. 401 to 430, 432, 433, 448 to 484 and 585 of the </w:t>
      </w:r>
      <w:r w:rsidRPr="00DE0992">
        <w:rPr>
          <w:i/>
          <w:iCs/>
          <w:sz w:val="20"/>
          <w:szCs w:val="20"/>
          <w:lang w:val="en-US"/>
        </w:rPr>
        <w:t>Civil Code of Québec</w:t>
      </w:r>
      <w:r w:rsidRPr="00DE0992">
        <w:rPr>
          <w:sz w:val="20"/>
          <w:szCs w:val="20"/>
          <w:lang w:val="en-US"/>
        </w:rPr>
        <w:t xml:space="preserve">, S.Q. 1991, c. 64, infringe s. 15(1) of the </w:t>
      </w:r>
      <w:r w:rsidRPr="00DE0992">
        <w:rPr>
          <w:i/>
          <w:iCs/>
          <w:sz w:val="20"/>
          <w:szCs w:val="20"/>
          <w:lang w:val="en-US"/>
        </w:rPr>
        <w:t>Canadian Charter of Rights and Freedoms</w:t>
      </w:r>
      <w:r w:rsidRPr="00DE0992">
        <w:rPr>
          <w:sz w:val="20"/>
          <w:szCs w:val="20"/>
          <w:lang w:val="en-US"/>
        </w:rPr>
        <w:t>?</w:t>
      </w:r>
    </w:p>
    <w:p w:rsidR="00DE0992" w:rsidRPr="00DE0992" w:rsidRDefault="00DE0992" w:rsidP="00DE0992">
      <w:pPr>
        <w:jc w:val="both"/>
        <w:rPr>
          <w:sz w:val="20"/>
          <w:szCs w:val="20"/>
        </w:rPr>
      </w:pPr>
    </w:p>
    <w:p w:rsidR="00DE0992" w:rsidRPr="00DE0992" w:rsidRDefault="00DE0992" w:rsidP="00DE0992">
      <w:pPr>
        <w:pStyle w:val="ListParagraph"/>
        <w:numPr>
          <w:ilvl w:val="0"/>
          <w:numId w:val="3"/>
        </w:numPr>
        <w:contextualSpacing w:val="0"/>
        <w:jc w:val="both"/>
        <w:rPr>
          <w:sz w:val="20"/>
          <w:szCs w:val="20"/>
          <w:lang w:val="en-US"/>
        </w:rPr>
      </w:pPr>
      <w:r w:rsidRPr="00DE0992">
        <w:rPr>
          <w:sz w:val="20"/>
          <w:szCs w:val="20"/>
          <w:lang w:val="en-US"/>
        </w:rPr>
        <w:t xml:space="preserve">If so, is the infringement a reasonable limit prescribed by law that can be demonstrably justified in a free and democratic society under s. 1 of the </w:t>
      </w:r>
      <w:r w:rsidRPr="00DE0992">
        <w:rPr>
          <w:i/>
          <w:iCs/>
          <w:sz w:val="20"/>
          <w:szCs w:val="20"/>
          <w:lang w:val="en-US"/>
        </w:rPr>
        <w:t>Canadian Charter of Rights and Freedoms</w:t>
      </w:r>
      <w:r w:rsidRPr="00DE0992">
        <w:rPr>
          <w:sz w:val="20"/>
          <w:szCs w:val="20"/>
          <w:lang w:val="en-US"/>
        </w:rPr>
        <w:t>?</w:t>
      </w:r>
    </w:p>
    <w:p w:rsidR="00DE0992" w:rsidRPr="00DE0992" w:rsidRDefault="00DE0992" w:rsidP="00DE0992">
      <w:pPr>
        <w:tabs>
          <w:tab w:val="left" w:pos="-1440"/>
          <w:tab w:val="left" w:pos="-720"/>
        </w:tabs>
        <w:jc w:val="both"/>
        <w:rPr>
          <w:sz w:val="20"/>
          <w:szCs w:val="20"/>
        </w:rPr>
      </w:pPr>
    </w:p>
    <w:p w:rsidR="00DE0992" w:rsidRPr="00DE0992" w:rsidRDefault="008C2B81" w:rsidP="00DE0992">
      <w:pPr>
        <w:tabs>
          <w:tab w:val="left" w:pos="-1440"/>
          <w:tab w:val="left" w:pos="-720"/>
        </w:tabs>
        <w:jc w:val="both"/>
        <w:rPr>
          <w:sz w:val="20"/>
          <w:szCs w:val="20"/>
        </w:rPr>
      </w:pPr>
      <w:r w:rsidRPr="008C2B81">
        <w:rPr>
          <w:sz w:val="20"/>
          <w:szCs w:val="20"/>
          <w:lang w:val="fr-CA"/>
        </w:rPr>
        <w:pict>
          <v:rect id="_x0000_i1063" style="width:2in;height:1pt" o:hrpct="0" o:hralign="center" o:hrstd="t" o:hrnoshade="t" o:hr="t" fillcolor="black [3213]" stroked="f"/>
        </w:pict>
      </w:r>
    </w:p>
    <w:p w:rsidR="00DE0992" w:rsidRPr="00DE0992" w:rsidRDefault="00DE0992" w:rsidP="00DE0992">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890FEB" w:rsidRDefault="00890FEB" w:rsidP="00831CA9">
      <w:pPr>
        <w:jc w:val="both"/>
        <w:rPr>
          <w:sz w:val="20"/>
          <w:szCs w:val="20"/>
          <w:lang w:val="fr-CA"/>
        </w:rPr>
      </w:pPr>
    </w:p>
    <w:p w:rsidR="00E308C6" w:rsidRPr="00C50A5C" w:rsidRDefault="00E308C6"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C50886"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732DB7" w:rsidRDefault="00732DB7" w:rsidP="00732DB7">
      <w:pPr>
        <w:widowControl w:val="0"/>
        <w:rPr>
          <w:sz w:val="20"/>
          <w:szCs w:val="20"/>
        </w:rPr>
      </w:pPr>
      <w:r w:rsidRPr="00C50A5C">
        <w:rPr>
          <w:sz w:val="20"/>
          <w:szCs w:val="20"/>
        </w:rPr>
        <w:t>2</w:t>
      </w:r>
      <w:r w:rsidR="00E308C6">
        <w:rPr>
          <w:sz w:val="20"/>
          <w:szCs w:val="20"/>
        </w:rPr>
        <w:t>0</w:t>
      </w:r>
      <w:r w:rsidRPr="00C50A5C">
        <w:rPr>
          <w:sz w:val="20"/>
          <w:szCs w:val="20"/>
        </w:rPr>
        <w:t>.0</w:t>
      </w:r>
      <w:r w:rsidR="00E308C6">
        <w:rPr>
          <w:sz w:val="20"/>
          <w:szCs w:val="20"/>
        </w:rPr>
        <w:t>5</w:t>
      </w:r>
      <w:r w:rsidRPr="00C50A5C">
        <w:rPr>
          <w:sz w:val="20"/>
          <w:szCs w:val="20"/>
        </w:rPr>
        <w:t>.201</w:t>
      </w:r>
      <w:r w:rsidR="00E308C6">
        <w:rPr>
          <w:sz w:val="20"/>
          <w:szCs w:val="20"/>
        </w:rPr>
        <w:t>1</w:t>
      </w:r>
    </w:p>
    <w:p w:rsidR="00E308C6" w:rsidRDefault="00E308C6" w:rsidP="00732DB7">
      <w:pPr>
        <w:widowControl w:val="0"/>
        <w:rPr>
          <w:sz w:val="20"/>
          <w:szCs w:val="20"/>
        </w:rPr>
      </w:pPr>
    </w:p>
    <w:p w:rsidR="00E308C6" w:rsidRPr="006F63EB" w:rsidRDefault="00E308C6" w:rsidP="00E308C6">
      <w:pPr>
        <w:widowControl w:val="0"/>
        <w:ind w:left="720" w:hanging="720"/>
        <w:rPr>
          <w:sz w:val="20"/>
          <w:szCs w:val="20"/>
          <w:u w:val="single"/>
        </w:rPr>
      </w:pPr>
      <w:r w:rsidRPr="006F63EB">
        <w:rPr>
          <w:sz w:val="20"/>
          <w:szCs w:val="20"/>
        </w:rPr>
        <w:t xml:space="preserve">Coram: </w:t>
      </w:r>
      <w:r w:rsidRPr="006F63EB">
        <w:rPr>
          <w:sz w:val="20"/>
          <w:szCs w:val="20"/>
        </w:rPr>
        <w:tab/>
      </w:r>
      <w:r w:rsidRPr="006F63EB">
        <w:rPr>
          <w:sz w:val="20"/>
          <w:szCs w:val="20"/>
          <w:u w:val="single"/>
        </w:rPr>
        <w:t>McLachlin C.J. and Binnie, Deschamps, Fish, Abella, Charron and Cromwell JJ.</w:t>
      </w:r>
    </w:p>
    <w:p w:rsidR="00E308C6" w:rsidRDefault="00E308C6" w:rsidP="00732DB7">
      <w:pPr>
        <w:widowControl w:val="0"/>
        <w:rPr>
          <w:sz w:val="20"/>
          <w:szCs w:val="20"/>
        </w:rPr>
      </w:pPr>
    </w:p>
    <w:p w:rsidR="00E308C6" w:rsidRDefault="00E308C6"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308C6" w:rsidRPr="00C50A5C" w:rsidTr="00A53406">
        <w:tc>
          <w:tcPr>
            <w:tcW w:w="4380" w:type="dxa"/>
            <w:tcMar>
              <w:left w:w="0" w:type="dxa"/>
              <w:right w:w="0" w:type="dxa"/>
            </w:tcMar>
          </w:tcPr>
          <w:p w:rsidR="00E308C6" w:rsidRPr="00E308C6" w:rsidRDefault="00E308C6" w:rsidP="00E308C6">
            <w:pPr>
              <w:rPr>
                <w:rStyle w:val="SCCSsocChar"/>
                <w:b/>
                <w:i w:val="0"/>
              </w:rPr>
            </w:pPr>
            <w:r w:rsidRPr="00E308C6">
              <w:rPr>
                <w:rStyle w:val="SCCSsocChar"/>
                <w:b/>
                <w:i w:val="0"/>
              </w:rPr>
              <w:t>Her Majesty the Queen</w:t>
            </w:r>
          </w:p>
          <w:p w:rsidR="00E308C6" w:rsidRPr="00E308C6" w:rsidRDefault="00E308C6" w:rsidP="00E308C6">
            <w:pPr>
              <w:rPr>
                <w:rStyle w:val="SCCSsocChar"/>
                <w:b/>
                <w:i w:val="0"/>
              </w:rPr>
            </w:pPr>
          </w:p>
          <w:p w:rsidR="00E308C6" w:rsidRPr="00E308C6" w:rsidRDefault="00E308C6" w:rsidP="00E308C6">
            <w:pPr>
              <w:rPr>
                <w:rStyle w:val="SCCSsocChar"/>
                <w:b/>
                <w:i w:val="0"/>
              </w:rPr>
            </w:pPr>
            <w:r w:rsidRPr="00E308C6">
              <w:rPr>
                <w:rStyle w:val="SCCSsocChar"/>
                <w:b/>
                <w:i w:val="0"/>
              </w:rPr>
              <w:tab/>
              <w:t>v. (33930)</w:t>
            </w:r>
          </w:p>
          <w:p w:rsidR="00E308C6" w:rsidRPr="00E308C6" w:rsidRDefault="00E308C6" w:rsidP="00E308C6">
            <w:pPr>
              <w:rPr>
                <w:rStyle w:val="SCCSsocChar"/>
                <w:b/>
                <w:i w:val="0"/>
              </w:rPr>
            </w:pPr>
          </w:p>
          <w:p w:rsidR="00E308C6" w:rsidRPr="007779C1" w:rsidRDefault="00E308C6" w:rsidP="00E308C6">
            <w:pPr>
              <w:rPr>
                <w:sz w:val="20"/>
                <w:szCs w:val="20"/>
              </w:rPr>
            </w:pPr>
            <w:r w:rsidRPr="00E308C6">
              <w:rPr>
                <w:rStyle w:val="SCCSsocChar"/>
                <w:b/>
                <w:i w:val="0"/>
              </w:rPr>
              <w:t>E.M.W.</w:t>
            </w:r>
            <w:r w:rsidRPr="00E308C6">
              <w:rPr>
                <w:b/>
                <w:i/>
                <w:sz w:val="20"/>
                <w:szCs w:val="20"/>
              </w:rPr>
              <w:t xml:space="preserve"> </w:t>
            </w:r>
            <w:r w:rsidRPr="00E308C6">
              <w:rPr>
                <w:b/>
                <w:sz w:val="20"/>
                <w:szCs w:val="20"/>
              </w:rPr>
              <w:t>(N.S.) (Criminal) (As of Right)</w:t>
            </w:r>
          </w:p>
        </w:tc>
        <w:tc>
          <w:tcPr>
            <w:tcW w:w="720" w:type="dxa"/>
            <w:tcMar>
              <w:left w:w="0" w:type="dxa"/>
              <w:right w:w="0" w:type="dxa"/>
            </w:tcMar>
          </w:tcPr>
          <w:p w:rsidR="00E308C6" w:rsidRPr="007779C1" w:rsidRDefault="00E308C6" w:rsidP="00A53406">
            <w:pPr>
              <w:widowControl w:val="0"/>
              <w:jc w:val="center"/>
              <w:rPr>
                <w:sz w:val="20"/>
                <w:szCs w:val="20"/>
              </w:rPr>
            </w:pPr>
          </w:p>
        </w:tc>
        <w:tc>
          <w:tcPr>
            <w:tcW w:w="4380" w:type="dxa"/>
            <w:tcMar>
              <w:left w:w="0" w:type="dxa"/>
              <w:right w:w="0" w:type="dxa"/>
            </w:tcMar>
          </w:tcPr>
          <w:p w:rsidR="00CF57BE" w:rsidRPr="00F131C1" w:rsidRDefault="00CF57BE" w:rsidP="00CF57BE">
            <w:pPr>
              <w:jc w:val="both"/>
              <w:rPr>
                <w:sz w:val="20"/>
                <w:szCs w:val="20"/>
                <w:lang w:val="en-US"/>
              </w:rPr>
            </w:pPr>
            <w:r w:rsidRPr="00F131C1">
              <w:rPr>
                <w:sz w:val="20"/>
                <w:szCs w:val="20"/>
              </w:rPr>
              <w:t>James A. Gumpert, Q.C. and</w:t>
            </w:r>
            <w:r>
              <w:rPr>
                <w:sz w:val="20"/>
                <w:szCs w:val="20"/>
              </w:rPr>
              <w:t xml:space="preserve"> </w:t>
            </w:r>
            <w:r w:rsidRPr="00F131C1">
              <w:rPr>
                <w:sz w:val="20"/>
                <w:szCs w:val="20"/>
                <w:lang w:val="en-US"/>
              </w:rPr>
              <w:t>Mark Scott</w:t>
            </w:r>
            <w:r>
              <w:rPr>
                <w:sz w:val="20"/>
                <w:szCs w:val="20"/>
                <w:lang w:val="en-US"/>
              </w:rPr>
              <w:t>, f</w:t>
            </w:r>
            <w:r w:rsidRPr="00F131C1">
              <w:rPr>
                <w:sz w:val="20"/>
                <w:szCs w:val="20"/>
                <w:lang w:val="en-US"/>
              </w:rPr>
              <w:t xml:space="preserve">or the </w:t>
            </w:r>
            <w:r>
              <w:rPr>
                <w:sz w:val="20"/>
                <w:szCs w:val="20"/>
                <w:lang w:val="en-US"/>
              </w:rPr>
              <w:t>a</w:t>
            </w:r>
            <w:r w:rsidRPr="00F131C1">
              <w:rPr>
                <w:sz w:val="20"/>
                <w:szCs w:val="20"/>
                <w:lang w:val="en-US"/>
              </w:rPr>
              <w:t>ppellant</w:t>
            </w:r>
            <w:r>
              <w:rPr>
                <w:sz w:val="20"/>
                <w:szCs w:val="20"/>
                <w:lang w:val="en-US"/>
              </w:rPr>
              <w:t>.</w:t>
            </w:r>
          </w:p>
          <w:p w:rsidR="00CF57BE" w:rsidRPr="00F131C1" w:rsidRDefault="00CF57BE" w:rsidP="00CF57BE">
            <w:pPr>
              <w:jc w:val="both"/>
              <w:rPr>
                <w:sz w:val="20"/>
                <w:szCs w:val="20"/>
                <w:lang w:val="en-US"/>
              </w:rPr>
            </w:pPr>
          </w:p>
          <w:p w:rsidR="00E308C6" w:rsidRPr="00C50A5C" w:rsidRDefault="00CF57BE" w:rsidP="00CF57BE">
            <w:pPr>
              <w:jc w:val="both"/>
              <w:rPr>
                <w:sz w:val="20"/>
                <w:szCs w:val="20"/>
              </w:rPr>
            </w:pPr>
            <w:r w:rsidRPr="00F131C1">
              <w:rPr>
                <w:sz w:val="20"/>
                <w:szCs w:val="20"/>
              </w:rPr>
              <w:t>Donald C. Murray, Q.C.</w:t>
            </w:r>
            <w:r>
              <w:rPr>
                <w:sz w:val="20"/>
                <w:szCs w:val="20"/>
              </w:rPr>
              <w:t xml:space="preserve"> and </w:t>
            </w:r>
            <w:r w:rsidRPr="00F131C1">
              <w:rPr>
                <w:sz w:val="20"/>
                <w:szCs w:val="20"/>
              </w:rPr>
              <w:t>Roger Burrill</w:t>
            </w:r>
            <w:r>
              <w:rPr>
                <w:sz w:val="20"/>
                <w:szCs w:val="20"/>
              </w:rPr>
              <w:t>, f</w:t>
            </w:r>
            <w:r w:rsidRPr="00F131C1">
              <w:rPr>
                <w:sz w:val="20"/>
                <w:szCs w:val="20"/>
              </w:rPr>
              <w:t xml:space="preserve">or the </w:t>
            </w:r>
            <w:r>
              <w:rPr>
                <w:sz w:val="20"/>
                <w:szCs w:val="20"/>
              </w:rPr>
              <w:t>r</w:t>
            </w:r>
            <w:r w:rsidRPr="00F131C1">
              <w:rPr>
                <w:sz w:val="20"/>
                <w:szCs w:val="20"/>
              </w:rPr>
              <w:t>espondent</w:t>
            </w:r>
            <w:r>
              <w:rPr>
                <w:sz w:val="20"/>
                <w:szCs w:val="20"/>
              </w:rPr>
              <w:t>.</w:t>
            </w:r>
          </w:p>
        </w:tc>
      </w:tr>
    </w:tbl>
    <w:p w:rsidR="00E308C6" w:rsidRDefault="00E308C6" w:rsidP="00732DB7">
      <w:pPr>
        <w:widowControl w:val="0"/>
        <w:rPr>
          <w:sz w:val="20"/>
          <w:szCs w:val="20"/>
        </w:rPr>
      </w:pPr>
    </w:p>
    <w:p w:rsidR="00E308C6" w:rsidRPr="0085476B" w:rsidRDefault="00E308C6" w:rsidP="00E308C6">
      <w:pPr>
        <w:widowControl w:val="0"/>
        <w:rPr>
          <w:sz w:val="20"/>
          <w:szCs w:val="20"/>
        </w:rPr>
      </w:pPr>
      <w:r w:rsidRPr="0085476B">
        <w:rPr>
          <w:b/>
          <w:sz w:val="20"/>
          <w:szCs w:val="20"/>
        </w:rPr>
        <w:t xml:space="preserve">RESERVED / </w:t>
      </w:r>
      <w:r w:rsidRPr="0085476B">
        <w:rPr>
          <w:b/>
          <w:sz w:val="20"/>
          <w:szCs w:val="20"/>
          <w:lang w:val="fr-CA"/>
        </w:rPr>
        <w:t>EN DÉLIBÉRÉ</w:t>
      </w:r>
    </w:p>
    <w:p w:rsidR="00E308C6" w:rsidRDefault="00E308C6"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308C6" w:rsidRPr="00625110" w:rsidTr="00A53406">
        <w:tc>
          <w:tcPr>
            <w:tcW w:w="4380" w:type="dxa"/>
            <w:tcMar>
              <w:left w:w="0" w:type="dxa"/>
              <w:right w:w="0" w:type="dxa"/>
            </w:tcMar>
          </w:tcPr>
          <w:p w:rsidR="00E308C6" w:rsidRPr="00CC4D84" w:rsidRDefault="00E308C6" w:rsidP="00A53406">
            <w:pPr>
              <w:widowControl w:val="0"/>
              <w:jc w:val="both"/>
              <w:rPr>
                <w:b/>
                <w:sz w:val="20"/>
                <w:szCs w:val="20"/>
                <w:u w:val="single"/>
              </w:rPr>
            </w:pPr>
            <w:r w:rsidRPr="00CC4D84">
              <w:rPr>
                <w:b/>
                <w:sz w:val="20"/>
                <w:szCs w:val="20"/>
                <w:u w:val="single"/>
              </w:rPr>
              <w:t>Nature of the case:</w:t>
            </w:r>
          </w:p>
          <w:p w:rsidR="00E308C6" w:rsidRPr="00C1697B" w:rsidRDefault="00E308C6" w:rsidP="00A53406">
            <w:pPr>
              <w:widowControl w:val="0"/>
              <w:jc w:val="both"/>
              <w:rPr>
                <w:b/>
                <w:sz w:val="20"/>
                <w:szCs w:val="20"/>
              </w:rPr>
            </w:pPr>
          </w:p>
          <w:p w:rsidR="009F04AB" w:rsidRPr="00712D22" w:rsidRDefault="009F04AB" w:rsidP="009F04AB">
            <w:pPr>
              <w:widowControl w:val="0"/>
              <w:jc w:val="both"/>
              <w:rPr>
                <w:smallCaps/>
                <w:sz w:val="20"/>
                <w:szCs w:val="20"/>
              </w:rPr>
            </w:pPr>
            <w:r w:rsidRPr="00712D22">
              <w:rPr>
                <w:smallCaps/>
                <w:sz w:val="20"/>
                <w:szCs w:val="20"/>
              </w:rPr>
              <w:t>(Publication Ban on Party)</w:t>
            </w:r>
          </w:p>
          <w:p w:rsidR="009F04AB" w:rsidRPr="00712D22" w:rsidRDefault="009F04AB" w:rsidP="009F04AB">
            <w:pPr>
              <w:widowControl w:val="0"/>
              <w:jc w:val="both"/>
              <w:rPr>
                <w:sz w:val="20"/>
                <w:szCs w:val="20"/>
              </w:rPr>
            </w:pPr>
          </w:p>
          <w:p w:rsidR="00E308C6" w:rsidRPr="00C1697B" w:rsidRDefault="009F04AB" w:rsidP="009F04AB">
            <w:pPr>
              <w:widowControl w:val="0"/>
              <w:jc w:val="both"/>
              <w:rPr>
                <w:b/>
                <w:sz w:val="20"/>
                <w:szCs w:val="20"/>
              </w:rPr>
            </w:pPr>
            <w:r w:rsidRPr="00712D22">
              <w:rPr>
                <w:sz w:val="20"/>
                <w:szCs w:val="20"/>
              </w:rPr>
              <w:t xml:space="preserve">Criminal law </w:t>
            </w:r>
            <w:r w:rsidRPr="00712D22">
              <w:rPr>
                <w:sz w:val="20"/>
                <w:szCs w:val="20"/>
              </w:rPr>
              <w:noBreakHyphen/>
              <w:t xml:space="preserve"> Trial </w:t>
            </w:r>
            <w:r w:rsidRPr="00712D22">
              <w:rPr>
                <w:sz w:val="20"/>
                <w:szCs w:val="20"/>
              </w:rPr>
              <w:noBreakHyphen/>
              <w:t xml:space="preserve"> Evidence </w:t>
            </w:r>
            <w:r w:rsidRPr="00712D22">
              <w:rPr>
                <w:sz w:val="20"/>
                <w:szCs w:val="20"/>
              </w:rPr>
              <w:noBreakHyphen/>
              <w:t xml:space="preserve"> Admissibility </w:t>
            </w:r>
            <w:r w:rsidRPr="00712D22">
              <w:rPr>
                <w:sz w:val="20"/>
                <w:szCs w:val="20"/>
              </w:rPr>
              <w:noBreakHyphen/>
              <w:t xml:space="preserve"> Prior statements </w:t>
            </w:r>
            <w:r w:rsidRPr="00712D22">
              <w:rPr>
                <w:sz w:val="20"/>
                <w:szCs w:val="20"/>
              </w:rPr>
              <w:noBreakHyphen/>
              <w:t xml:space="preserve"> Miscarriage of justice </w:t>
            </w:r>
            <w:r w:rsidRPr="00712D22">
              <w:rPr>
                <w:sz w:val="20"/>
                <w:szCs w:val="20"/>
              </w:rPr>
              <w:noBreakHyphen/>
              <w:t xml:space="preserve"> Whether the majority of the Court of Appeal erred in allowing the appeal on the basis that a miscarriage of justice had occurred even though that issue had not been explicitly formulated as a ground of appeal </w:t>
            </w:r>
            <w:r w:rsidRPr="00712D22">
              <w:rPr>
                <w:sz w:val="20"/>
                <w:szCs w:val="20"/>
              </w:rPr>
              <w:noBreakHyphen/>
              <w:t xml:space="preserve"> Whether the majority of the Court of Appeal erred in deciding that the trial judge improperly used prior statements </w:t>
            </w:r>
            <w:r w:rsidRPr="00712D22">
              <w:rPr>
                <w:sz w:val="20"/>
                <w:szCs w:val="20"/>
              </w:rPr>
              <w:noBreakHyphen/>
              <w:t xml:space="preserve"> Whether the majority of the Court of Appeal erred in holding that there had been a miscarriage of justice </w:t>
            </w:r>
            <w:r w:rsidRPr="00712D22">
              <w:rPr>
                <w:sz w:val="20"/>
                <w:szCs w:val="20"/>
              </w:rPr>
              <w:noBreakHyphen/>
              <w:t xml:space="preserve"> </w:t>
            </w:r>
            <w:r w:rsidRPr="00712D22">
              <w:rPr>
                <w:i/>
                <w:sz w:val="20"/>
                <w:szCs w:val="20"/>
              </w:rPr>
              <w:t>Criminal Code</w:t>
            </w:r>
            <w:r w:rsidRPr="00712D22">
              <w:rPr>
                <w:sz w:val="20"/>
                <w:szCs w:val="20"/>
              </w:rPr>
              <w:t>, R.S.C. 1985 c. C</w:t>
            </w:r>
            <w:r w:rsidRPr="00712D22">
              <w:rPr>
                <w:sz w:val="20"/>
                <w:szCs w:val="20"/>
              </w:rPr>
              <w:noBreakHyphen/>
              <w:t>46, s. 686(1)(a)(iii).</w:t>
            </w:r>
          </w:p>
        </w:tc>
        <w:tc>
          <w:tcPr>
            <w:tcW w:w="720" w:type="dxa"/>
            <w:tcMar>
              <w:left w:w="0" w:type="dxa"/>
              <w:right w:w="0" w:type="dxa"/>
            </w:tcMar>
          </w:tcPr>
          <w:p w:rsidR="00E308C6" w:rsidRPr="00C1697B" w:rsidRDefault="00E308C6" w:rsidP="00A53406">
            <w:pPr>
              <w:widowControl w:val="0"/>
              <w:jc w:val="center"/>
              <w:rPr>
                <w:sz w:val="20"/>
                <w:szCs w:val="20"/>
              </w:rPr>
            </w:pPr>
          </w:p>
        </w:tc>
        <w:tc>
          <w:tcPr>
            <w:tcW w:w="4380" w:type="dxa"/>
            <w:tcMar>
              <w:left w:w="0" w:type="dxa"/>
              <w:right w:w="0" w:type="dxa"/>
            </w:tcMar>
          </w:tcPr>
          <w:p w:rsidR="00E308C6" w:rsidRPr="00CC4D84" w:rsidRDefault="00E308C6" w:rsidP="00A53406">
            <w:pPr>
              <w:widowControl w:val="0"/>
              <w:jc w:val="both"/>
              <w:rPr>
                <w:b/>
                <w:sz w:val="20"/>
                <w:szCs w:val="20"/>
                <w:u w:val="single"/>
                <w:lang w:val="fr-CA"/>
              </w:rPr>
            </w:pPr>
            <w:r w:rsidRPr="00CC4D84">
              <w:rPr>
                <w:b/>
                <w:sz w:val="20"/>
                <w:szCs w:val="20"/>
                <w:u w:val="single"/>
                <w:lang w:val="fr-CA"/>
              </w:rPr>
              <w:t>Nature de la cause :</w:t>
            </w:r>
          </w:p>
          <w:p w:rsidR="00E308C6" w:rsidRPr="00C1697B" w:rsidRDefault="00E308C6" w:rsidP="00A53406">
            <w:pPr>
              <w:widowControl w:val="0"/>
              <w:jc w:val="both"/>
              <w:rPr>
                <w:sz w:val="20"/>
                <w:szCs w:val="20"/>
                <w:lang w:val="fr-CA"/>
              </w:rPr>
            </w:pPr>
          </w:p>
          <w:p w:rsidR="009F04AB" w:rsidRPr="00CC5522" w:rsidRDefault="009F04AB" w:rsidP="009F04AB">
            <w:pPr>
              <w:widowControl w:val="0"/>
              <w:jc w:val="both"/>
              <w:rPr>
                <w:smallCaps/>
                <w:sz w:val="20"/>
                <w:szCs w:val="20"/>
                <w:lang w:val="fr-CA"/>
              </w:rPr>
            </w:pPr>
            <w:r w:rsidRPr="00CC5522">
              <w:rPr>
                <w:smallCaps/>
                <w:sz w:val="20"/>
                <w:szCs w:val="20"/>
                <w:lang w:val="fr-CA"/>
              </w:rPr>
              <w:t>(Ordonnance de non</w:t>
            </w:r>
            <w:r w:rsidRPr="00CC5522">
              <w:rPr>
                <w:smallCaps/>
                <w:sz w:val="20"/>
                <w:szCs w:val="20"/>
                <w:lang w:val="fr-CA"/>
              </w:rPr>
              <w:noBreakHyphen/>
              <w:t>publication visant une partie)</w:t>
            </w:r>
          </w:p>
          <w:p w:rsidR="009F04AB" w:rsidRPr="00CC5522" w:rsidRDefault="009F04AB" w:rsidP="009F04AB">
            <w:pPr>
              <w:widowControl w:val="0"/>
              <w:jc w:val="both"/>
              <w:rPr>
                <w:sz w:val="20"/>
                <w:szCs w:val="20"/>
                <w:lang w:val="fr-CA"/>
              </w:rPr>
            </w:pPr>
          </w:p>
          <w:p w:rsidR="00E308C6" w:rsidRPr="00C1697B" w:rsidRDefault="009F04AB" w:rsidP="009F04AB">
            <w:pPr>
              <w:widowControl w:val="0"/>
              <w:jc w:val="both"/>
              <w:rPr>
                <w:sz w:val="20"/>
                <w:szCs w:val="20"/>
                <w:lang w:val="fr-CA"/>
              </w:rPr>
            </w:pPr>
            <w:r w:rsidRPr="00CC5522">
              <w:rPr>
                <w:sz w:val="20"/>
                <w:szCs w:val="20"/>
                <w:lang w:val="fr-CA"/>
              </w:rPr>
              <w:t xml:space="preserve">Droit criminel </w:t>
            </w:r>
            <w:r w:rsidRPr="00CC5522">
              <w:rPr>
                <w:sz w:val="20"/>
                <w:szCs w:val="20"/>
                <w:lang w:val="fr-CA"/>
              </w:rPr>
              <w:noBreakHyphen/>
              <w:t xml:space="preserve"> Procès </w:t>
            </w:r>
            <w:r w:rsidRPr="00CC5522">
              <w:rPr>
                <w:sz w:val="20"/>
                <w:szCs w:val="20"/>
                <w:lang w:val="fr-CA"/>
              </w:rPr>
              <w:noBreakHyphen/>
              <w:t xml:space="preserve"> Preuve </w:t>
            </w:r>
            <w:r w:rsidRPr="00CC5522">
              <w:rPr>
                <w:sz w:val="20"/>
                <w:szCs w:val="20"/>
                <w:lang w:val="fr-CA"/>
              </w:rPr>
              <w:noBreakHyphen/>
              <w:t xml:space="preserve"> Admissibilité </w:t>
            </w:r>
            <w:r w:rsidRPr="00CC5522">
              <w:rPr>
                <w:sz w:val="20"/>
                <w:szCs w:val="20"/>
                <w:lang w:val="fr-CA"/>
              </w:rPr>
              <w:noBreakHyphen/>
              <w:t xml:space="preserve"> Déclarations antérieures </w:t>
            </w:r>
            <w:r w:rsidRPr="00CC5522">
              <w:rPr>
                <w:sz w:val="20"/>
                <w:szCs w:val="20"/>
                <w:lang w:val="fr-CA"/>
              </w:rPr>
              <w:noBreakHyphen/>
              <w:t xml:space="preserve"> Erreur judiciaire </w:t>
            </w:r>
            <w:r w:rsidRPr="00CC5522">
              <w:rPr>
                <w:sz w:val="20"/>
                <w:szCs w:val="20"/>
                <w:lang w:val="fr-CA"/>
              </w:rPr>
              <w:noBreakHyphen/>
              <w:t xml:space="preserve"> Les juges majoritaires de la Cour d’appel ont</w:t>
            </w:r>
            <w:r w:rsidRPr="00CC5522">
              <w:rPr>
                <w:sz w:val="20"/>
                <w:szCs w:val="20"/>
                <w:lang w:val="fr-CA"/>
              </w:rPr>
              <w:noBreakHyphen/>
              <w:t xml:space="preserve">ils eu tort d’accueillir l’appel en statuant qu’une erreur judiciaire s’était produite, même si cette question n’avait pas été expressément formulée comme moyen d’appel? </w:t>
            </w:r>
            <w:r w:rsidRPr="00CC5522">
              <w:rPr>
                <w:sz w:val="20"/>
                <w:szCs w:val="20"/>
                <w:lang w:val="fr-CA"/>
              </w:rPr>
              <w:noBreakHyphen/>
              <w:t xml:space="preserve"> Les juges majoritaires ont</w:t>
            </w:r>
            <w:r w:rsidRPr="00CC5522">
              <w:rPr>
                <w:sz w:val="20"/>
                <w:szCs w:val="20"/>
                <w:lang w:val="fr-CA"/>
              </w:rPr>
              <w:noBreakHyphen/>
              <w:t xml:space="preserve">ils eu tort de statuer que le juge du procès s’était servi à tort de déclarations antérieures? </w:t>
            </w:r>
            <w:r w:rsidRPr="00CC5522">
              <w:rPr>
                <w:sz w:val="20"/>
                <w:szCs w:val="20"/>
                <w:lang w:val="fr-CA"/>
              </w:rPr>
              <w:noBreakHyphen/>
              <w:t xml:space="preserve"> Les juges majoritaires de la Cour d’appel ont</w:t>
            </w:r>
            <w:r w:rsidRPr="00CC5522">
              <w:rPr>
                <w:sz w:val="20"/>
                <w:szCs w:val="20"/>
                <w:lang w:val="fr-CA"/>
              </w:rPr>
              <w:noBreakHyphen/>
              <w:t xml:space="preserve">ils eu tort de statuer qu’il y avait eu une erreur judiciaire? </w:t>
            </w:r>
            <w:r w:rsidRPr="00CC5522">
              <w:rPr>
                <w:sz w:val="20"/>
                <w:szCs w:val="20"/>
                <w:lang w:val="fr-CA"/>
              </w:rPr>
              <w:noBreakHyphen/>
              <w:t xml:space="preserve"> </w:t>
            </w:r>
            <w:r w:rsidRPr="00CC5522">
              <w:rPr>
                <w:i/>
                <w:iCs/>
                <w:sz w:val="20"/>
                <w:szCs w:val="20"/>
                <w:lang w:val="fr-CA"/>
              </w:rPr>
              <w:t>Code criminel</w:t>
            </w:r>
            <w:r w:rsidRPr="00CC5522">
              <w:rPr>
                <w:sz w:val="20"/>
                <w:szCs w:val="20"/>
                <w:lang w:val="fr-CA"/>
              </w:rPr>
              <w:t>, L.R.C. 1985 ch. C</w:t>
            </w:r>
            <w:r w:rsidRPr="00CC5522">
              <w:rPr>
                <w:sz w:val="20"/>
                <w:szCs w:val="20"/>
                <w:lang w:val="fr-CA"/>
              </w:rPr>
              <w:noBreakHyphen/>
              <w:t>46, sous</w:t>
            </w:r>
            <w:r w:rsidRPr="00CC5522">
              <w:rPr>
                <w:sz w:val="20"/>
                <w:szCs w:val="20"/>
                <w:lang w:val="fr-CA"/>
              </w:rPr>
              <w:noBreakHyphen/>
              <w:t>al. 686(1)a)(iii).</w:t>
            </w:r>
          </w:p>
        </w:tc>
      </w:tr>
    </w:tbl>
    <w:p w:rsidR="00E308C6" w:rsidRPr="009F04AB" w:rsidRDefault="00E308C6" w:rsidP="00732DB7">
      <w:pPr>
        <w:widowControl w:val="0"/>
        <w:rPr>
          <w:sz w:val="20"/>
          <w:szCs w:val="20"/>
          <w:lang w:val="fr-CA"/>
        </w:rPr>
      </w:pPr>
    </w:p>
    <w:p w:rsidR="00E308C6" w:rsidRPr="00C50A5C" w:rsidRDefault="008C2B81" w:rsidP="00732DB7">
      <w:pPr>
        <w:widowControl w:val="0"/>
        <w:rPr>
          <w:sz w:val="20"/>
          <w:szCs w:val="20"/>
        </w:rPr>
      </w:pPr>
      <w:r w:rsidRPr="008C2B81">
        <w:rPr>
          <w:sz w:val="20"/>
          <w:szCs w:val="20"/>
          <w:lang w:val="fr-CA"/>
        </w:rPr>
        <w:pict>
          <v:rect id="_x0000_i1066" style="width:2in;height:1pt" o:hrpct="0" o:hralign="center" o:hrstd="t" o:hrnoshade="t" o:hr="t" fillcolor="black [3213]" stroked="f"/>
        </w:pict>
      </w:r>
    </w:p>
    <w:p w:rsidR="00732DB7" w:rsidRPr="001471CE" w:rsidRDefault="00732DB7" w:rsidP="00732DB7">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C50886"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sz w:val="20"/>
          <w:szCs w:val="20"/>
          <w:lang w:val="fr-CA"/>
        </w:rPr>
      </w:pPr>
    </w:p>
    <w:p w:rsidR="001471CE" w:rsidRPr="00EE1427" w:rsidRDefault="001471CE" w:rsidP="00FF6EEC">
      <w:pPr>
        <w:rPr>
          <w:b/>
          <w:sz w:val="20"/>
          <w:szCs w:val="20"/>
        </w:rPr>
      </w:pPr>
      <w:r w:rsidRPr="00EE1427">
        <w:rPr>
          <w:b/>
          <w:sz w:val="20"/>
          <w:szCs w:val="20"/>
        </w:rPr>
        <w:t>MAY 2</w:t>
      </w:r>
      <w:r w:rsidR="00003473" w:rsidRPr="00EE1427">
        <w:rPr>
          <w:b/>
          <w:sz w:val="20"/>
          <w:szCs w:val="20"/>
        </w:rPr>
        <w:t>6</w:t>
      </w:r>
      <w:r w:rsidRPr="00EE1427">
        <w:rPr>
          <w:b/>
          <w:sz w:val="20"/>
          <w:szCs w:val="20"/>
        </w:rPr>
        <w:t>, 2011 / LE 2</w:t>
      </w:r>
      <w:r w:rsidR="00003473" w:rsidRPr="00EE1427">
        <w:rPr>
          <w:b/>
          <w:sz w:val="20"/>
          <w:szCs w:val="20"/>
        </w:rPr>
        <w:t>6</w:t>
      </w:r>
      <w:r w:rsidRPr="00EE1427">
        <w:rPr>
          <w:b/>
          <w:sz w:val="20"/>
          <w:szCs w:val="20"/>
        </w:rPr>
        <w:t xml:space="preserve"> MAI 2011</w:t>
      </w:r>
    </w:p>
    <w:p w:rsidR="001471CE" w:rsidRPr="00EE1427" w:rsidRDefault="001471CE" w:rsidP="00FF6EEC">
      <w:pPr>
        <w:rPr>
          <w:sz w:val="20"/>
          <w:szCs w:val="20"/>
        </w:rPr>
      </w:pPr>
    </w:p>
    <w:p w:rsidR="00EE1427" w:rsidRPr="00907039" w:rsidRDefault="00EE1427" w:rsidP="00EE1427">
      <w:pPr>
        <w:ind w:left="1440" w:hanging="1440"/>
        <w:jc w:val="both"/>
        <w:rPr>
          <w:b/>
          <w:sz w:val="20"/>
          <w:szCs w:val="20"/>
          <w:lang w:val="en-GB"/>
        </w:rPr>
      </w:pPr>
      <w:r w:rsidRPr="00907039">
        <w:rPr>
          <w:b/>
          <w:sz w:val="20"/>
          <w:szCs w:val="20"/>
        </w:rPr>
        <w:t>33459</w:t>
      </w:r>
      <w:r w:rsidRPr="00907039">
        <w:rPr>
          <w:b/>
          <w:sz w:val="20"/>
          <w:szCs w:val="20"/>
        </w:rPr>
        <w:tab/>
      </w:r>
      <w:r w:rsidRPr="00907039">
        <w:rPr>
          <w:b/>
          <w:iCs/>
          <w:sz w:val="20"/>
          <w:szCs w:val="20"/>
          <w:u w:val="single"/>
        </w:rPr>
        <w:t xml:space="preserve">Masterpiece Inc. </w:t>
      </w:r>
      <w:r w:rsidRPr="00907039">
        <w:rPr>
          <w:b/>
          <w:iCs/>
          <w:sz w:val="20"/>
          <w:szCs w:val="20"/>
          <w:u w:val="single"/>
          <w:lang w:val="en-GB"/>
        </w:rPr>
        <w:t xml:space="preserve">v. </w:t>
      </w:r>
      <w:r w:rsidRPr="00907039">
        <w:rPr>
          <w:b/>
          <w:iCs/>
          <w:sz w:val="20"/>
          <w:szCs w:val="20"/>
          <w:u w:val="single"/>
        </w:rPr>
        <w:t>Alavida Lifestyles Inc. – and – International Trademark Association</w:t>
      </w:r>
      <w:r w:rsidRPr="00907039">
        <w:rPr>
          <w:b/>
          <w:sz w:val="20"/>
          <w:szCs w:val="20"/>
          <w:lang w:val="en-GB"/>
        </w:rPr>
        <w:t xml:space="preserve"> </w:t>
      </w:r>
      <w:r w:rsidRPr="00EB7917">
        <w:rPr>
          <w:sz w:val="20"/>
          <w:szCs w:val="20"/>
          <w:lang w:val="en-GB"/>
        </w:rPr>
        <w:t>(F.C.)</w:t>
      </w:r>
      <w:r w:rsidRPr="00907039">
        <w:rPr>
          <w:b/>
          <w:sz w:val="20"/>
          <w:szCs w:val="20"/>
          <w:lang w:val="en-GB"/>
        </w:rPr>
        <w:t xml:space="preserve"> </w:t>
      </w:r>
    </w:p>
    <w:p w:rsidR="00EE1427" w:rsidRPr="00907039" w:rsidRDefault="00EE1427" w:rsidP="00EE1427">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907039">
        <w:rPr>
          <w:b/>
          <w:sz w:val="20"/>
          <w:szCs w:val="20"/>
        </w:rPr>
        <w:t>2011 SCC 27 / 2011 CSC 27</w:t>
      </w:r>
    </w:p>
    <w:p w:rsidR="00EE1427" w:rsidRPr="00907039" w:rsidRDefault="00EE1427" w:rsidP="00EE1427">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rPr>
      </w:pPr>
    </w:p>
    <w:p w:rsidR="00EE1427" w:rsidRPr="00907039" w:rsidRDefault="00EE1427" w:rsidP="00EE1427">
      <w:pPr>
        <w:ind w:left="1440" w:hanging="1440"/>
        <w:jc w:val="both"/>
        <w:rPr>
          <w:sz w:val="20"/>
          <w:szCs w:val="20"/>
        </w:rPr>
      </w:pPr>
      <w:r w:rsidRPr="00907039">
        <w:rPr>
          <w:sz w:val="20"/>
          <w:szCs w:val="20"/>
        </w:rPr>
        <w:t>Coram:</w:t>
      </w:r>
      <w:r>
        <w:rPr>
          <w:sz w:val="20"/>
          <w:szCs w:val="20"/>
        </w:rPr>
        <w:tab/>
      </w:r>
      <w:r w:rsidRPr="00907039">
        <w:rPr>
          <w:sz w:val="20"/>
          <w:szCs w:val="20"/>
          <w:u w:val="single"/>
        </w:rPr>
        <w:t>McLachlin C.J. and Binnie, LeBel, Fish, Charron, Rothstein and Cromwell JJ.</w:t>
      </w:r>
      <w:r w:rsidR="008C2B81" w:rsidRPr="00907039">
        <w:rPr>
          <w:sz w:val="20"/>
          <w:szCs w:val="20"/>
          <w:u w:val="single"/>
        </w:rPr>
        <w:fldChar w:fldCharType="begin"/>
      </w:r>
      <w:r w:rsidRPr="00907039">
        <w:rPr>
          <w:sz w:val="20"/>
          <w:szCs w:val="20"/>
          <w:u w:val="single"/>
        </w:rPr>
        <w:instrText xml:space="preserve"> SEQ CHAPTER \h \r 1</w:instrText>
      </w:r>
      <w:r w:rsidR="008C2B81" w:rsidRPr="00907039">
        <w:rPr>
          <w:sz w:val="20"/>
          <w:szCs w:val="20"/>
          <w:u w:val="single"/>
        </w:rPr>
        <w:fldChar w:fldCharType="end"/>
      </w:r>
    </w:p>
    <w:p w:rsidR="00EE1427" w:rsidRPr="00907039" w:rsidRDefault="00EE1427" w:rsidP="00EE142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EE1427" w:rsidRPr="00907039" w:rsidRDefault="00EE1427" w:rsidP="00EE1427">
      <w:pPr>
        <w:jc w:val="both"/>
        <w:rPr>
          <w:sz w:val="20"/>
          <w:szCs w:val="20"/>
        </w:rPr>
      </w:pPr>
      <w:r w:rsidRPr="00907039">
        <w:rPr>
          <w:sz w:val="20"/>
          <w:szCs w:val="20"/>
        </w:rPr>
        <w:t>The appeal from the judgment of the Federal Court of Appeal, Number A-40-09, 2009 FCA 290, dated October 13, 2009, heard on December 8, 2010, is allowed with costs in this Court and in the courts below.  The Registrar of Trade-marks is ordered to expunge the respondent’s registration from the register of trade-marks.</w:t>
      </w:r>
    </w:p>
    <w:p w:rsidR="00EE1427" w:rsidRPr="00907039" w:rsidRDefault="00EE1427" w:rsidP="00EE1427">
      <w:pPr>
        <w:jc w:val="both"/>
        <w:rPr>
          <w:sz w:val="20"/>
          <w:szCs w:val="20"/>
        </w:rPr>
      </w:pPr>
    </w:p>
    <w:p w:rsidR="00EE1427" w:rsidRPr="00907039" w:rsidRDefault="00EE1427" w:rsidP="00EE1427">
      <w:pPr>
        <w:jc w:val="both"/>
        <w:rPr>
          <w:sz w:val="20"/>
          <w:szCs w:val="20"/>
          <w:lang w:val="fr-CA"/>
        </w:rPr>
      </w:pPr>
      <w:r w:rsidRPr="00907039">
        <w:rPr>
          <w:sz w:val="20"/>
          <w:szCs w:val="20"/>
          <w:lang w:val="fr-CA"/>
        </w:rPr>
        <w:t>L’appel interjeté contre l’arrêt de la Cour d’appel fédérale, numéro A-40-09, 2009 CAF 290, en date du 13 octobre 2009, entendu le 8 décembre 2010, est accueilli avec dépens devant la Cour et les juridictions inférieures.  Il est ordonné au registraire des marques de commerce de biffer l’enregistrement de l’intimée du registre des marques de commerce.</w:t>
      </w:r>
    </w:p>
    <w:p w:rsidR="001471CE" w:rsidRDefault="001471CE" w:rsidP="00FF6EEC">
      <w:pPr>
        <w:rPr>
          <w:sz w:val="20"/>
          <w:szCs w:val="20"/>
          <w:lang w:val="fr-CA"/>
        </w:rPr>
      </w:pPr>
    </w:p>
    <w:p w:rsidR="001471CE" w:rsidRDefault="008C2B81" w:rsidP="00FF6EEC">
      <w:pPr>
        <w:rPr>
          <w:sz w:val="20"/>
          <w:szCs w:val="20"/>
          <w:lang w:val="fr-CA"/>
        </w:rPr>
      </w:pPr>
      <w:r w:rsidRPr="008C2B81">
        <w:rPr>
          <w:b/>
          <w:sz w:val="20"/>
          <w:szCs w:val="20"/>
        </w:rPr>
        <w:pict>
          <v:rect id="_x0000_i1069" style="width:144.3pt;height:1pt" o:hrpct="300" o:hralign="center" o:hrstd="t" o:hrnoshade="t" o:hr="t" fillcolor="black [3213]" stroked="f"/>
        </w:pict>
      </w:r>
    </w:p>
    <w:p w:rsidR="001471CE" w:rsidRPr="001471CE" w:rsidRDefault="001471CE" w:rsidP="00FF6EEC">
      <w:pPr>
        <w:rPr>
          <w:sz w:val="20"/>
          <w:szCs w:val="20"/>
          <w:lang w:val="fr-CA"/>
        </w:rPr>
      </w:pPr>
    </w:p>
    <w:p w:rsidR="00AF1715" w:rsidRPr="003B3977" w:rsidRDefault="00003473" w:rsidP="00AF1715">
      <w:pPr>
        <w:rPr>
          <w:b/>
          <w:sz w:val="20"/>
          <w:szCs w:val="20"/>
        </w:rPr>
      </w:pPr>
      <w:r>
        <w:rPr>
          <w:b/>
          <w:sz w:val="20"/>
          <w:szCs w:val="20"/>
        </w:rPr>
        <w:t>MAY 27</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27 MAI</w:t>
      </w:r>
      <w:r w:rsidR="00AF1715" w:rsidRPr="003B3977">
        <w:rPr>
          <w:b/>
          <w:sz w:val="20"/>
          <w:szCs w:val="20"/>
        </w:rPr>
        <w:t xml:space="preserve"> 201</w:t>
      </w:r>
      <w:r>
        <w:rPr>
          <w:b/>
          <w:sz w:val="20"/>
          <w:szCs w:val="20"/>
        </w:rPr>
        <w:t>1</w:t>
      </w:r>
    </w:p>
    <w:p w:rsidR="00AF1715" w:rsidRDefault="00AF1715" w:rsidP="00AF1715">
      <w:pPr>
        <w:rPr>
          <w:sz w:val="20"/>
          <w:szCs w:val="20"/>
        </w:rPr>
      </w:pPr>
    </w:p>
    <w:p w:rsidR="007B5498" w:rsidRPr="00CB4C1A" w:rsidRDefault="007B5498" w:rsidP="007B5498">
      <w:pPr>
        <w:ind w:left="1440" w:hanging="1440"/>
        <w:jc w:val="both"/>
        <w:rPr>
          <w:b/>
          <w:sz w:val="20"/>
          <w:szCs w:val="20"/>
        </w:rPr>
      </w:pPr>
      <w:r w:rsidRPr="00CB4C1A">
        <w:rPr>
          <w:b/>
          <w:sz w:val="20"/>
          <w:szCs w:val="20"/>
        </w:rPr>
        <w:t>33684</w:t>
      </w:r>
      <w:r w:rsidRPr="00CB4C1A">
        <w:rPr>
          <w:b/>
          <w:sz w:val="20"/>
          <w:szCs w:val="20"/>
        </w:rPr>
        <w:tab/>
      </w:r>
      <w:r w:rsidRPr="00CB4C1A">
        <w:rPr>
          <w:b/>
          <w:sz w:val="20"/>
          <w:szCs w:val="20"/>
          <w:u w:val="single"/>
        </w:rPr>
        <w:t>Her Majesty The Queen v. J.A. – and – Attorney General of Canada and Women’s Legal Education and Action Fund</w:t>
      </w:r>
      <w:r w:rsidRPr="00CB4C1A">
        <w:rPr>
          <w:b/>
          <w:sz w:val="20"/>
          <w:szCs w:val="20"/>
        </w:rPr>
        <w:t xml:space="preserve"> </w:t>
      </w:r>
      <w:r w:rsidRPr="00CB4C1A">
        <w:rPr>
          <w:bCs/>
          <w:iCs/>
          <w:sz w:val="20"/>
          <w:szCs w:val="20"/>
          <w:lang w:val="en-GB"/>
        </w:rPr>
        <w:t>(Ont.)</w:t>
      </w:r>
    </w:p>
    <w:p w:rsidR="007B5498" w:rsidRPr="00CB4C1A" w:rsidRDefault="007B5498" w:rsidP="007B5498">
      <w:pPr>
        <w:ind w:left="1440"/>
        <w:jc w:val="both"/>
        <w:rPr>
          <w:sz w:val="20"/>
          <w:szCs w:val="20"/>
        </w:rPr>
      </w:pPr>
      <w:r w:rsidRPr="00CB4C1A">
        <w:rPr>
          <w:b/>
          <w:sz w:val="20"/>
          <w:szCs w:val="20"/>
        </w:rPr>
        <w:t>2011 SCC 28 / 2011 CSC 28</w:t>
      </w:r>
    </w:p>
    <w:p w:rsidR="007B5498" w:rsidRPr="00CB4C1A" w:rsidRDefault="007B5498" w:rsidP="007B5498">
      <w:pPr>
        <w:jc w:val="both"/>
        <w:rPr>
          <w:sz w:val="20"/>
          <w:szCs w:val="20"/>
        </w:rPr>
      </w:pPr>
    </w:p>
    <w:p w:rsidR="007B5498" w:rsidRPr="00CB4C1A" w:rsidRDefault="007B5498" w:rsidP="007B5498">
      <w:pPr>
        <w:ind w:left="1440" w:hanging="1440"/>
        <w:jc w:val="both"/>
        <w:rPr>
          <w:sz w:val="20"/>
          <w:szCs w:val="20"/>
        </w:rPr>
      </w:pPr>
      <w:r w:rsidRPr="00CB4C1A">
        <w:rPr>
          <w:sz w:val="20"/>
          <w:szCs w:val="20"/>
        </w:rPr>
        <w:t>Coram:</w:t>
      </w:r>
      <w:r>
        <w:rPr>
          <w:sz w:val="20"/>
          <w:szCs w:val="20"/>
        </w:rPr>
        <w:tab/>
      </w:r>
      <w:r w:rsidRPr="00CB4C1A">
        <w:rPr>
          <w:sz w:val="20"/>
          <w:szCs w:val="20"/>
          <w:u w:val="single"/>
        </w:rPr>
        <w:t>McLachlin C.J. and Binnie, LeBel, Deschamps, Fish, Abella, Charron, Rothstein and Cromwell JJ.</w:t>
      </w:r>
      <w:r w:rsidR="008C2B81" w:rsidRPr="00CB4C1A">
        <w:rPr>
          <w:sz w:val="20"/>
          <w:szCs w:val="20"/>
          <w:u w:val="single"/>
        </w:rPr>
        <w:fldChar w:fldCharType="begin"/>
      </w:r>
      <w:r w:rsidRPr="00CB4C1A">
        <w:rPr>
          <w:sz w:val="20"/>
          <w:szCs w:val="20"/>
          <w:u w:val="single"/>
        </w:rPr>
        <w:instrText xml:space="preserve"> SEQ CHAPTER \h \r 1</w:instrText>
      </w:r>
      <w:r w:rsidR="008C2B81" w:rsidRPr="00CB4C1A">
        <w:rPr>
          <w:sz w:val="20"/>
          <w:szCs w:val="20"/>
          <w:u w:val="single"/>
        </w:rPr>
        <w:fldChar w:fldCharType="end"/>
      </w:r>
    </w:p>
    <w:p w:rsidR="007B5498" w:rsidRPr="00CB4C1A" w:rsidRDefault="007B5498" w:rsidP="007B5498">
      <w:pPr>
        <w:ind w:left="1440" w:hanging="1440"/>
        <w:jc w:val="both"/>
        <w:rPr>
          <w:sz w:val="20"/>
          <w:szCs w:val="20"/>
        </w:rPr>
      </w:pPr>
    </w:p>
    <w:p w:rsidR="007B5498" w:rsidRPr="00CB4C1A" w:rsidRDefault="007B5498" w:rsidP="007B5498">
      <w:pPr>
        <w:jc w:val="both"/>
        <w:rPr>
          <w:sz w:val="20"/>
          <w:szCs w:val="20"/>
          <w:lang w:val="fr-CA"/>
        </w:rPr>
      </w:pPr>
      <w:r w:rsidRPr="00CB4C1A">
        <w:rPr>
          <w:sz w:val="20"/>
          <w:szCs w:val="20"/>
        </w:rPr>
        <w:t xml:space="preserve">The appeal from the judgment </w:t>
      </w:r>
      <w:bookmarkStart w:id="3" w:name="BM_1_"/>
      <w:bookmarkEnd w:id="3"/>
      <w:r w:rsidRPr="00CB4C1A">
        <w:rPr>
          <w:sz w:val="20"/>
          <w:szCs w:val="20"/>
        </w:rPr>
        <w:t xml:space="preserve">of the Court of Appeal for Ontario, Number C49920, 2010 ONCA 226, dated March 26, 2010, heard on November 8, 2010, is allowed and the conviction for sexual assault is restored.  </w:t>
      </w:r>
      <w:r w:rsidRPr="00CB4C1A">
        <w:rPr>
          <w:sz w:val="20"/>
          <w:szCs w:val="20"/>
          <w:lang w:val="fr-CA"/>
        </w:rPr>
        <w:t>Binnie, LeBel and Fish JJ. are dissenting.</w:t>
      </w:r>
    </w:p>
    <w:p w:rsidR="007B5498" w:rsidRPr="00CB4C1A" w:rsidRDefault="007B5498" w:rsidP="007B5498">
      <w:pPr>
        <w:jc w:val="both"/>
        <w:rPr>
          <w:sz w:val="20"/>
          <w:szCs w:val="20"/>
          <w:lang w:val="fr-CA"/>
        </w:rPr>
      </w:pPr>
    </w:p>
    <w:p w:rsidR="007B5498" w:rsidRPr="00CB4C1A" w:rsidRDefault="007B5498" w:rsidP="007B5498">
      <w:pPr>
        <w:jc w:val="both"/>
        <w:rPr>
          <w:sz w:val="20"/>
          <w:szCs w:val="20"/>
          <w:lang w:val="fr-CA"/>
        </w:rPr>
      </w:pPr>
      <w:r w:rsidRPr="00CB4C1A">
        <w:rPr>
          <w:sz w:val="20"/>
          <w:szCs w:val="20"/>
          <w:lang w:val="fr-CA"/>
        </w:rPr>
        <w:t>L’appel interjeté contre l’arrêt de la Cour d’appel de l’Ontario, numéro C49920, 2010 ONCA 226, en date du 26 mars 2010, entendu le 8 novembre 2010, est accueilli et la déclaration de culpabilité pour agression sexuelle est rétablie.  Les juges Binnie, LeBel et Fish sont dissidents.</w:t>
      </w:r>
    </w:p>
    <w:p w:rsidR="00003473" w:rsidRDefault="00003473" w:rsidP="00AF1715">
      <w:pPr>
        <w:rPr>
          <w:sz w:val="20"/>
          <w:szCs w:val="20"/>
        </w:rPr>
      </w:pPr>
    </w:p>
    <w:p w:rsidR="00003473" w:rsidRDefault="008C2B81" w:rsidP="00AF1715">
      <w:pPr>
        <w:rPr>
          <w:b/>
          <w:sz w:val="20"/>
          <w:szCs w:val="20"/>
        </w:rPr>
      </w:pPr>
      <w:r w:rsidRPr="008C2B81">
        <w:rPr>
          <w:b/>
          <w:sz w:val="20"/>
          <w:szCs w:val="20"/>
        </w:rPr>
        <w:pict>
          <v:rect id="_x0000_i1070" style="width:144.3pt;height:1pt" o:hrpct="300" o:hralign="center" o:hrstd="t" o:hrnoshade="t" o:hr="t" fillcolor="black [3213]" stroked="f"/>
        </w:pict>
      </w:r>
    </w:p>
    <w:p w:rsidR="00003473" w:rsidRPr="003B3977" w:rsidRDefault="00003473" w:rsidP="00AF1715">
      <w:pPr>
        <w:rPr>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003473" w:rsidRDefault="007779C1" w:rsidP="005C6840">
      <w:pPr>
        <w:rPr>
          <w:rFonts w:cs="Times New Roman"/>
          <w:i/>
          <w:sz w:val="20"/>
          <w:szCs w:val="20"/>
        </w:rPr>
      </w:pPr>
      <w:r w:rsidRPr="00293578">
        <w:rPr>
          <w:i/>
          <w:sz w:val="20"/>
          <w:szCs w:val="20"/>
        </w:rPr>
        <w:t xml:space="preserve">Masterpiece Inc. v. Alavida Lifestyles Inc. </w:t>
      </w:r>
      <w:r w:rsidRPr="00293578">
        <w:rPr>
          <w:sz w:val="20"/>
          <w:szCs w:val="20"/>
        </w:rPr>
        <w:t>(F</w:t>
      </w:r>
      <w:r>
        <w:rPr>
          <w:sz w:val="20"/>
          <w:szCs w:val="20"/>
        </w:rPr>
        <w:t>.</w:t>
      </w:r>
      <w:r w:rsidRPr="00293578">
        <w:rPr>
          <w:sz w:val="20"/>
          <w:szCs w:val="20"/>
        </w:rPr>
        <w:t>C</w:t>
      </w:r>
      <w:r>
        <w:rPr>
          <w:sz w:val="20"/>
          <w:szCs w:val="20"/>
        </w:rPr>
        <w:t>.</w:t>
      </w:r>
      <w:r w:rsidRPr="00293578">
        <w:rPr>
          <w:sz w:val="20"/>
          <w:szCs w:val="20"/>
        </w:rPr>
        <w:t>)</w:t>
      </w:r>
      <w:r>
        <w:rPr>
          <w:sz w:val="20"/>
          <w:szCs w:val="20"/>
        </w:rPr>
        <w:t xml:space="preserve"> (33459)</w:t>
      </w:r>
    </w:p>
    <w:p w:rsidR="00AD0E32" w:rsidRPr="00D27F1D" w:rsidRDefault="00AD0E32" w:rsidP="00AD0E32">
      <w:pPr>
        <w:jc w:val="both"/>
        <w:rPr>
          <w:b/>
          <w:sz w:val="20"/>
          <w:szCs w:val="20"/>
        </w:rPr>
      </w:pPr>
      <w:r w:rsidRPr="00D27F1D">
        <w:rPr>
          <w:b/>
          <w:sz w:val="20"/>
          <w:szCs w:val="20"/>
        </w:rPr>
        <w:t xml:space="preserve">Indexed as:  </w:t>
      </w:r>
      <w:r w:rsidRPr="00AD0E32">
        <w:rPr>
          <w:rStyle w:val="SCCAppellantForIndexChar"/>
          <w:rFonts w:eastAsia="Calibri"/>
          <w:sz w:val="20"/>
          <w:lang w:val="en-CA"/>
        </w:rPr>
        <w:t>Masterpiece Inc.</w:t>
      </w:r>
      <w:r w:rsidRPr="00D27F1D">
        <w:rPr>
          <w:b/>
          <w:sz w:val="20"/>
          <w:szCs w:val="20"/>
        </w:rPr>
        <w:t xml:space="preserve"> </w:t>
      </w:r>
      <w:r w:rsidRPr="00D27F1D">
        <w:rPr>
          <w:b/>
          <w:i/>
          <w:sz w:val="20"/>
          <w:szCs w:val="20"/>
        </w:rPr>
        <w:t>v.</w:t>
      </w:r>
      <w:r w:rsidRPr="00D27F1D">
        <w:rPr>
          <w:b/>
          <w:sz w:val="20"/>
          <w:szCs w:val="20"/>
        </w:rPr>
        <w:t xml:space="preserve"> </w:t>
      </w:r>
      <w:r w:rsidRPr="00D27F1D">
        <w:rPr>
          <w:rStyle w:val="SCCRespondentForIndexChar"/>
          <w:rFonts w:eastAsiaTheme="minorHAnsi"/>
          <w:sz w:val="20"/>
        </w:rPr>
        <w:t>Alavida Lifestyles Inc.</w:t>
      </w:r>
      <w:r>
        <w:rPr>
          <w:rStyle w:val="SCCRespondentForIndexChar"/>
          <w:rFonts w:eastAsiaTheme="minorHAnsi"/>
          <w:sz w:val="20"/>
        </w:rPr>
        <w:t xml:space="preserve"> /</w:t>
      </w:r>
    </w:p>
    <w:p w:rsidR="00AD0E32" w:rsidRPr="0078104A" w:rsidRDefault="00AD0E32" w:rsidP="00AD0E32">
      <w:pPr>
        <w:jc w:val="both"/>
        <w:rPr>
          <w:rFonts w:cs="Times New Roman"/>
          <w:b/>
          <w:sz w:val="20"/>
          <w:szCs w:val="20"/>
          <w:lang w:val="fr-CA"/>
        </w:rPr>
      </w:pPr>
      <w:r w:rsidRPr="0078104A">
        <w:rPr>
          <w:rFonts w:cs="Times New Roman"/>
          <w:b/>
          <w:sz w:val="20"/>
          <w:szCs w:val="20"/>
          <w:lang w:val="fr-CA"/>
        </w:rPr>
        <w:t>Répertorié : </w:t>
      </w:r>
      <w:r w:rsidRPr="00375C44">
        <w:rPr>
          <w:rStyle w:val="SCCAppellantForIndexChar"/>
          <w:rFonts w:eastAsia="Calibri"/>
          <w:sz w:val="20"/>
        </w:rPr>
        <w:t>Masterpiece Inc.</w:t>
      </w:r>
      <w:r w:rsidRPr="0078104A">
        <w:rPr>
          <w:rFonts w:cs="Times New Roman"/>
          <w:b/>
          <w:sz w:val="20"/>
          <w:szCs w:val="20"/>
          <w:lang w:val="fr-CA"/>
        </w:rPr>
        <w:t xml:space="preserve"> </w:t>
      </w:r>
      <w:r w:rsidRPr="0078104A">
        <w:rPr>
          <w:rFonts w:cs="Times New Roman"/>
          <w:b/>
          <w:i/>
          <w:sz w:val="20"/>
          <w:szCs w:val="20"/>
          <w:lang w:val="fr-CA"/>
        </w:rPr>
        <w:t>c.</w:t>
      </w:r>
      <w:r w:rsidRPr="0078104A">
        <w:rPr>
          <w:rFonts w:cs="Times New Roman"/>
          <w:b/>
          <w:sz w:val="20"/>
          <w:szCs w:val="20"/>
          <w:lang w:val="fr-CA"/>
        </w:rPr>
        <w:t xml:space="preserve"> </w:t>
      </w:r>
      <w:r w:rsidRPr="0078104A">
        <w:rPr>
          <w:rStyle w:val="SCCRespondentForIndexChar"/>
          <w:rFonts w:eastAsiaTheme="minorHAnsi"/>
          <w:sz w:val="20"/>
          <w:lang w:val="fr-CA"/>
        </w:rPr>
        <w:t>Alavida Lifestyles Inc.</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003473">
        <w:rPr>
          <w:sz w:val="20"/>
        </w:rPr>
        <w:t>27</w:t>
      </w:r>
      <w:r w:rsidRPr="003B3977">
        <w:rPr>
          <w:sz w:val="20"/>
        </w:rPr>
        <w:t xml:space="preserve"> / Référence neutre : 201</w:t>
      </w:r>
      <w:r w:rsidR="007F387B">
        <w:rPr>
          <w:sz w:val="20"/>
        </w:rPr>
        <w:t>1</w:t>
      </w:r>
      <w:r w:rsidRPr="003B3977">
        <w:rPr>
          <w:sz w:val="20"/>
        </w:rPr>
        <w:t xml:space="preserve"> CSC </w:t>
      </w:r>
      <w:r w:rsidR="00003473">
        <w:rPr>
          <w:sz w:val="20"/>
        </w:rPr>
        <w:t>27</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D33CF5">
        <w:rPr>
          <w:rFonts w:cs="Times New Roman"/>
          <w:sz w:val="20"/>
          <w:szCs w:val="20"/>
          <w:lang w:val="fr-CA"/>
        </w:rPr>
        <w:t>December</w:t>
      </w:r>
      <w:r w:rsidRPr="003B3977">
        <w:rPr>
          <w:rFonts w:cs="Times New Roman"/>
          <w:sz w:val="20"/>
          <w:szCs w:val="20"/>
          <w:lang w:val="fr-CA"/>
        </w:rPr>
        <w:t xml:space="preserve"> 8, 2010 / Judgment:  </w:t>
      </w:r>
      <w:r w:rsidR="00003473">
        <w:rPr>
          <w:rFonts w:cs="Times New Roman"/>
          <w:sz w:val="20"/>
          <w:szCs w:val="20"/>
          <w:lang w:val="fr-CA"/>
        </w:rPr>
        <w:t>May</w:t>
      </w:r>
      <w:r w:rsidRPr="003B3977">
        <w:rPr>
          <w:rFonts w:cs="Times New Roman"/>
          <w:sz w:val="20"/>
          <w:szCs w:val="20"/>
          <w:lang w:val="fr-CA"/>
        </w:rPr>
        <w:t xml:space="preserve"> 2</w:t>
      </w:r>
      <w:r w:rsidR="00003473">
        <w:rPr>
          <w:rFonts w:cs="Times New Roman"/>
          <w:sz w:val="20"/>
          <w:szCs w:val="20"/>
          <w:lang w:val="fr-CA"/>
        </w:rPr>
        <w:t>6</w:t>
      </w:r>
      <w:r w:rsidRPr="003B3977">
        <w:rPr>
          <w:rFonts w:cs="Times New Roman"/>
          <w:sz w:val="20"/>
          <w:szCs w:val="20"/>
          <w:lang w:val="fr-CA"/>
        </w:rPr>
        <w:t>, 201</w:t>
      </w:r>
      <w:r w:rsidR="00003473">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8 </w:t>
      </w:r>
      <w:r w:rsidR="00D33CF5">
        <w:rPr>
          <w:rFonts w:cs="Times New Roman"/>
          <w:sz w:val="20"/>
          <w:szCs w:val="20"/>
          <w:lang w:val="fr-CA"/>
        </w:rPr>
        <w:t>dé</w:t>
      </w:r>
      <w:r w:rsidRPr="003B3977">
        <w:rPr>
          <w:rFonts w:cs="Times New Roman"/>
          <w:sz w:val="20"/>
          <w:szCs w:val="20"/>
          <w:lang w:val="fr-CA"/>
        </w:rPr>
        <w:t>c</w:t>
      </w:r>
      <w:r w:rsidR="00D33CF5">
        <w:rPr>
          <w:rFonts w:cs="Times New Roman"/>
          <w:sz w:val="20"/>
          <w:szCs w:val="20"/>
          <w:lang w:val="fr-CA"/>
        </w:rPr>
        <w:t>em</w:t>
      </w:r>
      <w:r w:rsidRPr="003B3977">
        <w:rPr>
          <w:rFonts w:cs="Times New Roman"/>
          <w:sz w:val="20"/>
          <w:szCs w:val="20"/>
          <w:lang w:val="fr-CA"/>
        </w:rPr>
        <w:t>bre 2010 / Jugement : Le 2</w:t>
      </w:r>
      <w:r w:rsidR="00003473">
        <w:rPr>
          <w:rFonts w:cs="Times New Roman"/>
          <w:sz w:val="20"/>
          <w:szCs w:val="20"/>
          <w:lang w:val="fr-CA"/>
        </w:rPr>
        <w:t>6 mai</w:t>
      </w:r>
      <w:r w:rsidRPr="003B3977">
        <w:rPr>
          <w:rFonts w:cs="Times New Roman"/>
          <w:sz w:val="20"/>
          <w:szCs w:val="20"/>
          <w:lang w:val="fr-CA"/>
        </w:rPr>
        <w:t xml:space="preserve"> 201</w:t>
      </w:r>
      <w:r w:rsidR="00003473">
        <w:rPr>
          <w:rFonts w:cs="Times New Roman"/>
          <w:sz w:val="20"/>
          <w:szCs w:val="20"/>
          <w:lang w:val="fr-CA"/>
        </w:rPr>
        <w:t>1</w:t>
      </w:r>
    </w:p>
    <w:p w:rsidR="005C6840" w:rsidRPr="003B3977" w:rsidRDefault="008C2B81" w:rsidP="005C6840">
      <w:pPr>
        <w:rPr>
          <w:rFonts w:cs="Times New Roman"/>
          <w:sz w:val="20"/>
          <w:szCs w:val="20"/>
          <w:lang w:val="fr-CA"/>
        </w:rPr>
      </w:pPr>
      <w:r w:rsidRPr="008C2B81">
        <w:rPr>
          <w:rFonts w:cs="Times New Roman"/>
          <w:i/>
          <w:sz w:val="20"/>
          <w:szCs w:val="20"/>
        </w:rPr>
        <w:pict>
          <v:rect id="_x0000_i1073" style="width:480.95pt;height:1pt" o:hralign="center" o:hrstd="t" o:hrnoshade="t" o:hr="t" fillcolor="black [3213]" stroked="f"/>
        </w:pict>
      </w:r>
    </w:p>
    <w:p w:rsidR="005C6840" w:rsidRDefault="005C6840" w:rsidP="005C6840">
      <w:pPr>
        <w:rPr>
          <w:rFonts w:cs="Times New Roman"/>
          <w:sz w:val="20"/>
          <w:szCs w:val="20"/>
          <w:lang w:val="fr-CA"/>
        </w:rPr>
      </w:pPr>
    </w:p>
    <w:p w:rsidR="00D33CF5" w:rsidRPr="00F478CA" w:rsidRDefault="00D33CF5" w:rsidP="00D33CF5">
      <w:pPr>
        <w:jc w:val="both"/>
        <w:rPr>
          <w:rFonts w:cs="Times New Roman"/>
          <w:sz w:val="20"/>
          <w:szCs w:val="20"/>
        </w:rPr>
      </w:pPr>
      <w:r w:rsidRPr="00F478CA">
        <w:rPr>
          <w:rFonts w:cs="Times New Roman"/>
          <w:sz w:val="20"/>
          <w:szCs w:val="20"/>
        </w:rPr>
        <w:t>Present:  McLachlin C.J. and Binnie, LeBel, Fish, Charron, Rothstein and Cromwell JJ.</w:t>
      </w:r>
    </w:p>
    <w:p w:rsidR="00D33CF5" w:rsidRPr="00D33CF5" w:rsidRDefault="00D33CF5" w:rsidP="005C6840">
      <w:pPr>
        <w:rPr>
          <w:rFonts w:cs="Times New Roman"/>
          <w:sz w:val="20"/>
          <w:szCs w:val="20"/>
        </w:rPr>
      </w:pPr>
    </w:p>
    <w:p w:rsidR="00D33CF5" w:rsidRDefault="00D33CF5" w:rsidP="00D33CF5">
      <w:pPr>
        <w:pStyle w:val="SCCNormalDoubleSpacing"/>
        <w:spacing w:line="240" w:lineRule="auto"/>
        <w:rPr>
          <w:i/>
          <w:sz w:val="20"/>
        </w:rPr>
      </w:pPr>
      <w:r w:rsidRPr="00F478CA">
        <w:rPr>
          <w:i/>
          <w:sz w:val="20"/>
        </w:rPr>
        <w:tab/>
        <w:t>Intellectual property — Trade</w:t>
      </w:r>
      <w:r w:rsidRPr="00F478CA">
        <w:rPr>
          <w:i/>
          <w:sz w:val="20"/>
        </w:rPr>
        <w:noBreakHyphen/>
        <w:t>marks — Confusion — Alberta company using unregistered trade</w:t>
      </w:r>
      <w:r w:rsidRPr="00F478CA">
        <w:rPr>
          <w:i/>
          <w:sz w:val="20"/>
        </w:rPr>
        <w:noBreakHyphen/>
        <w:t>marks prior to Ontario company’s registration of similar trade</w:t>
      </w:r>
      <w:r w:rsidRPr="00F478CA">
        <w:rPr>
          <w:i/>
          <w:sz w:val="20"/>
        </w:rPr>
        <w:noBreakHyphen/>
        <w:t>mark — Alberta company applying to expunge Ontario company’s trade</w:t>
      </w:r>
      <w:r w:rsidRPr="00F478CA">
        <w:rPr>
          <w:i/>
          <w:sz w:val="20"/>
        </w:rPr>
        <w:noBreakHyphen/>
        <w:t>mark registration from register of trade</w:t>
      </w:r>
      <w:r w:rsidRPr="00F478CA">
        <w:rPr>
          <w:i/>
          <w:sz w:val="20"/>
        </w:rPr>
        <w:noBreakHyphen/>
        <w:t>marks — Whether location where mark used is relevant to confusion analysis — What considerations are applicable in assessment of resemblance between proposed use trade</w:t>
      </w:r>
      <w:r w:rsidRPr="00F478CA">
        <w:rPr>
          <w:i/>
          <w:sz w:val="20"/>
        </w:rPr>
        <w:noBreakHyphen/>
        <w:t>mark and an existing unregistered trade</w:t>
      </w:r>
      <w:r w:rsidRPr="00F478CA">
        <w:rPr>
          <w:i/>
          <w:sz w:val="20"/>
        </w:rPr>
        <w:noBreakHyphen/>
        <w:t>mark — How nature and cost of wares or services affects confusion analysis — Use of expert evidence in confusion analysis — Trade</w:t>
      </w:r>
      <w:r w:rsidRPr="00F478CA">
        <w:rPr>
          <w:i/>
          <w:sz w:val="20"/>
        </w:rPr>
        <w:noBreakHyphen/>
        <w:t>marks Act, R.S.C. 1985, c. T</w:t>
      </w:r>
      <w:r w:rsidRPr="00F478CA">
        <w:rPr>
          <w:i/>
          <w:sz w:val="20"/>
        </w:rPr>
        <w:noBreakHyphen/>
        <w:t>13, ss. 6, 16(3), 17,19, 20,21,30,35,40(2), 57(1)</w:t>
      </w:r>
    </w:p>
    <w:p w:rsidR="00D33CF5" w:rsidRDefault="00D33CF5" w:rsidP="00D33CF5">
      <w:pPr>
        <w:pStyle w:val="SCCNormalDoubleSpacing"/>
        <w:spacing w:line="240" w:lineRule="auto"/>
        <w:rPr>
          <w:i/>
          <w:sz w:val="20"/>
        </w:rPr>
      </w:pPr>
    </w:p>
    <w:p w:rsidR="00D33CF5" w:rsidRDefault="00D33CF5" w:rsidP="00D33CF5">
      <w:pPr>
        <w:pStyle w:val="SCCNormalDoubleSpacing"/>
        <w:spacing w:line="240" w:lineRule="auto"/>
        <w:rPr>
          <w:sz w:val="20"/>
        </w:rPr>
      </w:pPr>
      <w:r w:rsidRPr="00F478CA">
        <w:rPr>
          <w:sz w:val="20"/>
        </w:rPr>
        <w:tab/>
        <w:t>Masterpiece Inc. and Alavida Lifestyles Inc. (“Alavida”) are both involved in the retirement residence industry.  Since 2001, Masterpiece Inc., operating in Alberta, has used several unregistered trade</w:t>
      </w:r>
      <w:r w:rsidRPr="00F478CA">
        <w:rPr>
          <w:sz w:val="20"/>
        </w:rPr>
        <w:noBreakHyphen/>
        <w:t>marks, including “Masterpiece the Art of Living”.  Alavida, operating in Ontario, entered the market in 2005 and applied to register the trade</w:t>
      </w:r>
      <w:r w:rsidRPr="00F478CA">
        <w:rPr>
          <w:sz w:val="20"/>
        </w:rPr>
        <w:noBreakHyphen/>
        <w:t>mark “Masterpiece Living” on December 1, 2005 on the basis of a proposed use.  Alavida began using this trade</w:t>
      </w:r>
      <w:r w:rsidRPr="00F478CA">
        <w:rPr>
          <w:sz w:val="20"/>
        </w:rPr>
        <w:noBreakHyphen/>
        <w:t>mark in January, 2006.  Shortly after Alavida’s application, Masterpiece Inc. also began using “Masterpiece Living” and applied to register it and the word “Masterpiece” as its trade</w:t>
      </w:r>
      <w:r w:rsidRPr="00F478CA">
        <w:rPr>
          <w:sz w:val="20"/>
        </w:rPr>
        <w:noBreakHyphen/>
        <w:t>marks in 2006.  Because of Alavida’s prior application, which was eventually granted, Masterpiece Inc.’s applications were denied.  Masterpiece Inc.’s subsequent application to expunge Alavida’s registration was dismissed by the trial judge who concluded that there was no likelihood of confusion between Alavida’s and Masterpiece Inc.’s marks.  That decision was upheld on appeal.</w:t>
      </w:r>
    </w:p>
    <w:p w:rsidR="00D33CF5" w:rsidRPr="00F478CA" w:rsidRDefault="00D33CF5" w:rsidP="00D33CF5">
      <w:pPr>
        <w:pStyle w:val="SCCNormalDoubleSpacing"/>
        <w:spacing w:line="240" w:lineRule="auto"/>
        <w:rPr>
          <w:sz w:val="20"/>
        </w:rPr>
      </w:pPr>
    </w:p>
    <w:p w:rsidR="00D33CF5" w:rsidRDefault="00D33CF5" w:rsidP="00D33CF5">
      <w:pPr>
        <w:pStyle w:val="SCCNormalDoubleSpacing"/>
        <w:spacing w:line="240" w:lineRule="auto"/>
        <w:rPr>
          <w:sz w:val="20"/>
        </w:rPr>
      </w:pPr>
      <w:r w:rsidRPr="00F478CA">
        <w:rPr>
          <w:i/>
          <w:sz w:val="20"/>
        </w:rPr>
        <w:tab/>
        <w:t>Held</w:t>
      </w:r>
      <w:r w:rsidRPr="00F478CA">
        <w:rPr>
          <w:sz w:val="20"/>
        </w:rPr>
        <w:t>:  The appeal should be allowed and Alavida’s registration should be expunged.</w:t>
      </w:r>
    </w:p>
    <w:p w:rsidR="00D33CF5" w:rsidRPr="00F478CA" w:rsidRDefault="00D33CF5" w:rsidP="00D33CF5">
      <w:pPr>
        <w:pStyle w:val="SCCNormalDoubleSpacing"/>
        <w:spacing w:line="240" w:lineRule="auto"/>
        <w:rPr>
          <w:sz w:val="20"/>
        </w:rPr>
      </w:pPr>
    </w:p>
    <w:p w:rsidR="00D33CF5" w:rsidRDefault="00D33CF5" w:rsidP="00D33CF5">
      <w:pPr>
        <w:pStyle w:val="SCCNormalDoubleSpacing"/>
        <w:spacing w:line="240" w:lineRule="auto"/>
        <w:rPr>
          <w:sz w:val="20"/>
        </w:rPr>
      </w:pPr>
      <w:r w:rsidRPr="00F478CA">
        <w:rPr>
          <w:sz w:val="20"/>
        </w:rPr>
        <w:tab/>
        <w:t>This case concerns the basic approach and criteria applicable to the confusion analysis and in particular, whether there was a likelihood of confusion between Alavida’s trade</w:t>
      </w:r>
      <w:r w:rsidRPr="00F478CA">
        <w:rPr>
          <w:sz w:val="20"/>
        </w:rPr>
        <w:noBreakHyphen/>
        <w:t>mark and Masterpiece Inc.’s trade</w:t>
      </w:r>
      <w:r w:rsidRPr="00F478CA">
        <w:rPr>
          <w:sz w:val="20"/>
        </w:rPr>
        <w:noBreakHyphen/>
        <w:t>name and trade</w:t>
      </w:r>
      <w:r w:rsidRPr="00F478CA">
        <w:rPr>
          <w:sz w:val="20"/>
        </w:rPr>
        <w:noBreakHyphen/>
        <w:t xml:space="preserve">marks pursuant to s. 6 of the </w:t>
      </w:r>
      <w:r w:rsidRPr="00F478CA">
        <w:rPr>
          <w:i/>
          <w:sz w:val="20"/>
        </w:rPr>
        <w:t>Trade</w:t>
      </w:r>
      <w:r w:rsidRPr="00F478CA">
        <w:rPr>
          <w:i/>
          <w:sz w:val="20"/>
        </w:rPr>
        <w:noBreakHyphen/>
        <w:t>marks Act</w:t>
      </w:r>
      <w:r w:rsidRPr="00F478CA">
        <w:rPr>
          <w:sz w:val="20"/>
        </w:rPr>
        <w:t>.  The test is whether, as a matter of first impression, the “casual consumer somewhat in a hurry” who encounters the Alavida trade</w:t>
      </w:r>
      <w:r w:rsidRPr="00F478CA">
        <w:rPr>
          <w:sz w:val="20"/>
        </w:rPr>
        <w:noBreakHyphen/>
        <w:t>mark, with no more than an imperfect recollection of any one of the Masterpiece Inc. trade</w:t>
      </w:r>
      <w:r w:rsidRPr="00F478CA">
        <w:rPr>
          <w:sz w:val="20"/>
        </w:rPr>
        <w:noBreakHyphen/>
        <w:t>marks or trade</w:t>
      </w:r>
      <w:r w:rsidRPr="00F478CA">
        <w:rPr>
          <w:sz w:val="20"/>
        </w:rPr>
        <w:noBreakHyphen/>
        <w:t>name, would be likely to think that Alavida was the same source of retirement residence services as Masterpiece Inc.  Section 6(5) sets out the required approach to a confusion analysis.  All surrounding circumstances must be considered including:  (a) the inherent distinctiveness of the trade</w:t>
      </w:r>
      <w:r w:rsidRPr="00F478CA">
        <w:rPr>
          <w:sz w:val="20"/>
        </w:rPr>
        <w:noBreakHyphen/>
        <w:t>marks or trade</w:t>
      </w:r>
      <w:r w:rsidRPr="00F478CA">
        <w:rPr>
          <w:sz w:val="20"/>
        </w:rPr>
        <w:noBreakHyphen/>
        <w:t>names and extent to which they have become known; (b) the length of time the trade</w:t>
      </w:r>
      <w:r w:rsidRPr="00F478CA">
        <w:rPr>
          <w:sz w:val="20"/>
        </w:rPr>
        <w:noBreakHyphen/>
        <w:t>marks or trade</w:t>
      </w:r>
      <w:r w:rsidRPr="00F478CA">
        <w:rPr>
          <w:sz w:val="20"/>
        </w:rPr>
        <w:noBreakHyphen/>
        <w:t>names have been in use; (c) the nature of the wares, services or business; (d) the nature of the trade; and (e) the degree of resemblance between the trade</w:t>
      </w:r>
      <w:r w:rsidRPr="00F478CA">
        <w:rPr>
          <w:sz w:val="20"/>
        </w:rPr>
        <w:noBreakHyphen/>
        <w:t>marks or trade</w:t>
      </w:r>
      <w:r w:rsidRPr="00F478CA">
        <w:rPr>
          <w:sz w:val="20"/>
        </w:rPr>
        <w:noBreakHyphen/>
        <w:t>names in appearance or sound or in the ideas suggested by them.</w:t>
      </w:r>
    </w:p>
    <w:p w:rsidR="00D33CF5" w:rsidRPr="00F478CA" w:rsidRDefault="00D33CF5" w:rsidP="00D33CF5">
      <w:pPr>
        <w:pStyle w:val="SCCNormalDoubleSpacing"/>
        <w:spacing w:line="240" w:lineRule="auto"/>
        <w:rPr>
          <w:sz w:val="20"/>
        </w:rPr>
      </w:pPr>
    </w:p>
    <w:p w:rsidR="00D33CF5" w:rsidRDefault="00D33CF5" w:rsidP="00D33CF5">
      <w:pPr>
        <w:pStyle w:val="SCCNormalDoubleSpacing"/>
        <w:spacing w:line="240" w:lineRule="auto"/>
        <w:rPr>
          <w:sz w:val="20"/>
        </w:rPr>
      </w:pPr>
      <w:r w:rsidRPr="00F478CA">
        <w:rPr>
          <w:sz w:val="20"/>
        </w:rPr>
        <w:tab/>
        <w:t>The first issue to be determined is whether the location where a mark is used is relevant when considering the likelihood of confusion between a registered trade</w:t>
      </w:r>
      <w:r w:rsidRPr="00F478CA">
        <w:rPr>
          <w:sz w:val="20"/>
        </w:rPr>
        <w:noBreakHyphen/>
        <w:t>mark and a prior unregistered one.  Generally, pursuant to s. 19, the owner of a registered trade</w:t>
      </w:r>
      <w:r w:rsidRPr="00F478CA">
        <w:rPr>
          <w:sz w:val="20"/>
        </w:rPr>
        <w:noBreakHyphen/>
        <w:t>mark is entitled to the exclusive use of that mark throughout Canada.   The test for confusion is based upon the hypothetical assumption that the trade</w:t>
      </w:r>
      <w:r w:rsidRPr="00F478CA">
        <w:rPr>
          <w:sz w:val="20"/>
        </w:rPr>
        <w:noBreakHyphen/>
        <w:t>names and trade</w:t>
      </w:r>
      <w:r w:rsidRPr="00F478CA">
        <w:rPr>
          <w:sz w:val="20"/>
        </w:rPr>
        <w:noBreakHyphen/>
        <w:t>marks are used “in the same area”, irrespective of whether this is actually the case.  In order for the owner of a registered trade</w:t>
      </w:r>
      <w:r w:rsidRPr="00F478CA">
        <w:rPr>
          <w:sz w:val="20"/>
        </w:rPr>
        <w:noBreakHyphen/>
        <w:t>mark to have exclusive use of the trade</w:t>
      </w:r>
      <w:r w:rsidRPr="00F478CA">
        <w:rPr>
          <w:sz w:val="20"/>
        </w:rPr>
        <w:noBreakHyphen/>
        <w:t>mark throughout Canada, there cannot be a likelihood of confusion with another trade</w:t>
      </w:r>
      <w:r w:rsidRPr="00F478CA">
        <w:rPr>
          <w:sz w:val="20"/>
        </w:rPr>
        <w:noBreakHyphen/>
        <w:t>mark anywhere in the country.  For this reason, the location where the marks were actually used is not relevant.</w:t>
      </w:r>
    </w:p>
    <w:p w:rsidR="00D33CF5" w:rsidRPr="00F478CA" w:rsidRDefault="00D33CF5" w:rsidP="00D33CF5">
      <w:pPr>
        <w:pStyle w:val="SCCNormalDoubleSpacing"/>
        <w:spacing w:line="240" w:lineRule="auto"/>
        <w:rPr>
          <w:sz w:val="20"/>
        </w:rPr>
      </w:pPr>
    </w:p>
    <w:p w:rsidR="00D33CF5" w:rsidRDefault="00D33CF5" w:rsidP="00D33CF5">
      <w:pPr>
        <w:pStyle w:val="SCCNormalDoubleSpacing"/>
        <w:spacing w:line="240" w:lineRule="auto"/>
        <w:rPr>
          <w:sz w:val="20"/>
        </w:rPr>
      </w:pPr>
      <w:r w:rsidRPr="00F478CA">
        <w:rPr>
          <w:sz w:val="20"/>
        </w:rPr>
        <w:tab/>
        <w:t>The second question involves the considerations applicable in the assessment of the resemblance between a proposed use trade</w:t>
      </w:r>
      <w:r w:rsidRPr="00F478CA">
        <w:rPr>
          <w:sz w:val="20"/>
        </w:rPr>
        <w:noBreakHyphen/>
        <w:t>mark and an existing unregistered trade</w:t>
      </w:r>
      <w:r w:rsidRPr="00F478CA">
        <w:rPr>
          <w:sz w:val="20"/>
        </w:rPr>
        <w:noBreakHyphen/>
        <w:t>mark.  It is the use of a trade</w:t>
      </w:r>
      <w:r w:rsidRPr="00F478CA">
        <w:rPr>
          <w:sz w:val="20"/>
        </w:rPr>
        <w:noBreakHyphen/>
        <w:t>mark and not registration itself that confers priority of title and the exclusive right to the trade</w:t>
      </w:r>
      <w:r w:rsidRPr="00F478CA">
        <w:rPr>
          <w:sz w:val="20"/>
        </w:rPr>
        <w:noBreakHyphen/>
        <w:t>mark.  Rights are granted to the first user of a trade</w:t>
      </w:r>
      <w:r w:rsidRPr="00F478CA">
        <w:rPr>
          <w:sz w:val="20"/>
        </w:rPr>
        <w:noBreakHyphen/>
        <w:t>mark in two ways under the Act.  First, under s. 16, a party normally gains a priority right to register a trade</w:t>
      </w:r>
      <w:r w:rsidRPr="00F478CA">
        <w:rPr>
          <w:sz w:val="20"/>
        </w:rPr>
        <w:noBreakHyphen/>
        <w:t xml:space="preserve">mark when it </w:t>
      </w:r>
      <w:r w:rsidRPr="00F478CA">
        <w:rPr>
          <w:sz w:val="20"/>
        </w:rPr>
        <w:lastRenderedPageBreak/>
        <w:t>first uses that trade</w:t>
      </w:r>
      <w:r w:rsidRPr="00F478CA">
        <w:rPr>
          <w:sz w:val="20"/>
        </w:rPr>
        <w:noBreakHyphen/>
        <w:t>mark.  Second, a user is also able to oppose applications, or apply to expunge registrations based on its earlier use of a confusing trade</w:t>
      </w:r>
      <w:r w:rsidRPr="00F478CA">
        <w:rPr>
          <w:sz w:val="20"/>
        </w:rPr>
        <w:noBreakHyphen/>
        <w:t>mark.  Section 16(3) of the Act recognizes the right of a prior user against any application for registration based upon subsequent use.  Masterpiece Inc. could apply to expunge Alavida’s trade</w:t>
      </w:r>
      <w:r w:rsidRPr="00F478CA">
        <w:rPr>
          <w:sz w:val="20"/>
        </w:rPr>
        <w:noBreakHyphen/>
        <w:t>mark pursuant to s. 16(3) of the Act on the grounds of likelihood of confusion between Alavida’s trade</w:t>
      </w:r>
      <w:r w:rsidRPr="00F478CA">
        <w:rPr>
          <w:sz w:val="20"/>
        </w:rPr>
        <w:noBreakHyphen/>
        <w:t>mark and any of its trade</w:t>
      </w:r>
      <w:r w:rsidRPr="00F478CA">
        <w:rPr>
          <w:sz w:val="20"/>
        </w:rPr>
        <w:noBreakHyphen/>
        <w:t>marks that had been in use before December 1, 2005.  Further, Masterpiece was entitled to have each of its marks separately compared to Alavida’s “Masterpiece Living”.  The trial judge erred in undertaking a single composite analysis, considering resemblance between “Masterpiece Living” and all of Masterpiece Inc.’s trade</w:t>
      </w:r>
      <w:r w:rsidRPr="00F478CA">
        <w:rPr>
          <w:sz w:val="20"/>
        </w:rPr>
        <w:noBreakHyphen/>
        <w:t>marks and trade</w:t>
      </w:r>
      <w:r w:rsidRPr="00F478CA">
        <w:rPr>
          <w:sz w:val="20"/>
        </w:rPr>
        <w:noBreakHyphen/>
        <w:t>name generally.  Most confusion analyses should commence with an assessment of the resemblance between the marks in issue.  The trial judge erred in considering Alavida’s actual use of its mark rather than addressing the entire scope of exclusive rights and potential uses that were granted to Alavida under its registration.  His approach did not recognize that Alavida was entitled to use the protected words in any form including a format that closely resembled Masterpiece Inc.’s marks.  Here, because Alavida’s proposed trade</w:t>
      </w:r>
      <w:r w:rsidRPr="00F478CA">
        <w:rPr>
          <w:sz w:val="20"/>
        </w:rPr>
        <w:noBreakHyphen/>
        <w:t>mark is only the words “Masterpiece Living”, the difference or similarity with each of Masterpience Inc.’s trade</w:t>
      </w:r>
      <w:r w:rsidRPr="00F478CA">
        <w:rPr>
          <w:sz w:val="20"/>
        </w:rPr>
        <w:noBreakHyphen/>
        <w:t>marks and trade</w:t>
      </w:r>
      <w:r w:rsidRPr="00F478CA">
        <w:rPr>
          <w:sz w:val="20"/>
        </w:rPr>
        <w:noBreakHyphen/>
        <w:t>name must be assessed on the basis of these words alone.  The striking or unique aspect of each trade</w:t>
      </w:r>
      <w:r w:rsidRPr="00F478CA">
        <w:rPr>
          <w:sz w:val="20"/>
        </w:rPr>
        <w:noBreakHyphen/>
        <w:t>mark is the word “Masterpiece”.  The idea evoked by each is also the same: high quality retirement lifestyle.  Clearly, there is a strong resemblance between “Masterpiece the Art of Living” and “Masterpiece Living”.</w:t>
      </w:r>
    </w:p>
    <w:p w:rsidR="00D33CF5" w:rsidRPr="00F478CA" w:rsidRDefault="00D33CF5" w:rsidP="00D33CF5">
      <w:pPr>
        <w:pStyle w:val="SCCNormalDoubleSpacing"/>
        <w:spacing w:line="240" w:lineRule="auto"/>
        <w:rPr>
          <w:sz w:val="20"/>
        </w:rPr>
      </w:pPr>
    </w:p>
    <w:p w:rsidR="00D33CF5" w:rsidRDefault="00D33CF5" w:rsidP="00D33CF5">
      <w:pPr>
        <w:pStyle w:val="SCCNormalDoubleSpacing"/>
        <w:spacing w:line="240" w:lineRule="auto"/>
        <w:rPr>
          <w:sz w:val="20"/>
        </w:rPr>
      </w:pPr>
      <w:r w:rsidRPr="00F478CA">
        <w:rPr>
          <w:sz w:val="20"/>
        </w:rPr>
        <w:tab/>
        <w:t>A third issue is what effect the nature of the business and cost of the wares or services has in the confusion analysis.  Here, the trial judge erred in considering that consumers of expensive goods and services would generally take considerable time to inform themselves about the source of those goods and services to suggest a reduced likelihood of confusion.  Confusion must instead be assessed from the perspective of the first impression of the consumer approaching a costly purchase when he or she encounters the trade</w:t>
      </w:r>
      <w:r w:rsidRPr="00F478CA">
        <w:rPr>
          <w:sz w:val="20"/>
        </w:rPr>
        <w:noBreakHyphen/>
        <w:t>mark.  The possibility that careful research could later remedy confusion does not mean that no confusion ever existed or that it would not continue to exist in the minds of consumers who did not carry out that research.  The trial judge’s consideration should have been limited to how a consumer, upon encountering the Alavida mark in the marketplace, with an imperfect recollection of the Masterpiece Inc. marks, would have reacted.  In circumstances where a strong resemblance suggests a likelihood of confusion, and the other s. 6(5) factors do not point strongly against a likelihood of confusion, cost is unlikely to lead to a different conclusion.</w:t>
      </w:r>
    </w:p>
    <w:p w:rsidR="00D33CF5" w:rsidRPr="00F478CA" w:rsidRDefault="00D33CF5" w:rsidP="00D33CF5">
      <w:pPr>
        <w:pStyle w:val="SCCNormalDoubleSpacing"/>
        <w:spacing w:line="240" w:lineRule="auto"/>
        <w:rPr>
          <w:sz w:val="20"/>
        </w:rPr>
      </w:pPr>
    </w:p>
    <w:p w:rsidR="00D33CF5" w:rsidRDefault="00D33CF5" w:rsidP="00D33CF5">
      <w:pPr>
        <w:pStyle w:val="SCCNormalDoubleSpacing"/>
        <w:spacing w:line="240" w:lineRule="auto"/>
        <w:rPr>
          <w:sz w:val="20"/>
        </w:rPr>
      </w:pPr>
      <w:r w:rsidRPr="00F478CA">
        <w:rPr>
          <w:sz w:val="20"/>
        </w:rPr>
        <w:tab/>
        <w:t>A final issue is the role of expert evidence in the trade</w:t>
      </w:r>
      <w:r w:rsidRPr="00F478CA">
        <w:rPr>
          <w:sz w:val="20"/>
        </w:rPr>
        <w:noBreakHyphen/>
        <w:t>mark confusion analysis.  Generally, an expert should only be permitted to testify if the testimony is likely to be outside the experience and knowledge of the judge.  Where the “casual consumer” is not particularly knowledgeable, and there is a resemblance between the marks, expert evidence that simply assesses that resemblance will not usually be necessary.  Judges should consider the marks at issue, each as a whole, but having regard to the dominant or most striking or unique feature of the trade</w:t>
      </w:r>
      <w:r w:rsidRPr="00F478CA">
        <w:rPr>
          <w:sz w:val="20"/>
        </w:rPr>
        <w:noBreakHyphen/>
        <w:t>mark, using their own common sense, to determine whether the casual consumer would be likely to be confused when first encountering the trade</w:t>
      </w:r>
      <w:r w:rsidRPr="00F478CA">
        <w:rPr>
          <w:sz w:val="20"/>
        </w:rPr>
        <w:noBreakHyphen/>
        <w:t>mark.  In this case, Alavida’s expert engaged in a discussion of morphology and semantics instead of considering the marks as a whole.  He also based his analysis on Alavida’s actual post</w:t>
      </w:r>
      <w:r w:rsidRPr="00F478CA">
        <w:rPr>
          <w:sz w:val="20"/>
        </w:rPr>
        <w:noBreakHyphen/>
        <w:t>registration use, rather than the full scope of rights granted to Alavida under its registration.  Masterpiece Inc.’s survey was similarly unhelpful because it attempted to simulate consumers with an “imperfect recollection” when none was available.  For this reason, the survey was not a valid assessment of the relevant question.  Judges should be careful to question the necessity and relevance of such evidence, perhaps as part of a case management process, particularly in light the substantial cost of evidence that may be of little utility.</w:t>
      </w:r>
    </w:p>
    <w:p w:rsidR="00D33CF5" w:rsidRPr="00F478CA" w:rsidRDefault="00D33CF5" w:rsidP="00D33CF5">
      <w:pPr>
        <w:pStyle w:val="SCCNormalDoubleSpacing"/>
        <w:spacing w:line="240" w:lineRule="auto"/>
        <w:rPr>
          <w:sz w:val="20"/>
        </w:rPr>
      </w:pPr>
    </w:p>
    <w:p w:rsidR="00D33CF5" w:rsidRDefault="00D33CF5" w:rsidP="00D33CF5">
      <w:pPr>
        <w:pStyle w:val="SCCNormalDoubleSpacing"/>
        <w:spacing w:line="240" w:lineRule="auto"/>
        <w:rPr>
          <w:sz w:val="20"/>
        </w:rPr>
      </w:pPr>
      <w:r w:rsidRPr="00F478CA">
        <w:rPr>
          <w:sz w:val="20"/>
        </w:rPr>
        <w:tab/>
        <w:t>Considering all the circumstances of the case, and particularly the strong similarity between Alavida’s “Masterpiece Living” and Masterpiece Inc.’s “Masterpiece the Art of Living”, Masterpiece Inc. has proven that the use of Alavida’s trade</w:t>
      </w:r>
      <w:r w:rsidRPr="00F478CA">
        <w:rPr>
          <w:sz w:val="20"/>
        </w:rPr>
        <w:noBreakHyphen/>
        <w:t>mark in the same area as those of Masterpiece Inc.’s would be likely to lead to the inference that the services associated with Masterpiece Inc.’s trade</w:t>
      </w:r>
      <w:r w:rsidRPr="00F478CA">
        <w:rPr>
          <w:sz w:val="20"/>
        </w:rPr>
        <w:noBreakHyphen/>
        <w:t>marks were being performed by Alavida.  [113] Because Masterpiece Inc.’s use preceded Alavida’s proposed use, Alavida was not entitled under s. 16(3) to registration of its trade</w:t>
      </w:r>
      <w:r w:rsidRPr="00F478CA">
        <w:rPr>
          <w:sz w:val="20"/>
        </w:rPr>
        <w:noBreakHyphen/>
        <w:t>mark and it should be expunged from the register.</w:t>
      </w:r>
    </w:p>
    <w:p w:rsidR="00D33CF5" w:rsidRDefault="00D33CF5" w:rsidP="00D33CF5">
      <w:pPr>
        <w:pStyle w:val="SCCNormalDoubleSpacing"/>
        <w:spacing w:line="240" w:lineRule="auto"/>
        <w:rPr>
          <w:sz w:val="20"/>
        </w:rPr>
      </w:pPr>
    </w:p>
    <w:p w:rsidR="00D33CF5" w:rsidRDefault="00D33CF5" w:rsidP="00D33CF5">
      <w:pPr>
        <w:pStyle w:val="SCCNormalDoubleSpacing"/>
        <w:spacing w:line="240" w:lineRule="auto"/>
        <w:rPr>
          <w:sz w:val="20"/>
          <w:lang w:val="en-US"/>
        </w:rPr>
      </w:pPr>
      <w:r w:rsidRPr="00F478CA">
        <w:rPr>
          <w:sz w:val="20"/>
        </w:rPr>
        <w:tab/>
        <w:t>APPEAL from a judgment of the Federal Court of Appeal (</w:t>
      </w:r>
      <w:r w:rsidR="008C2B81" w:rsidRPr="00F478CA">
        <w:rPr>
          <w:sz w:val="20"/>
        </w:rPr>
        <w:fldChar w:fldCharType="begin"/>
      </w:r>
      <w:r w:rsidRPr="00F478CA">
        <w:rPr>
          <w:sz w:val="20"/>
        </w:rPr>
        <w:instrText xml:space="preserve"> SEQ CHAPTER \h \r 1</w:instrText>
      </w:r>
      <w:r w:rsidR="008C2B81" w:rsidRPr="00F478CA">
        <w:rPr>
          <w:sz w:val="20"/>
        </w:rPr>
        <w:fldChar w:fldCharType="end"/>
      </w:r>
      <w:r w:rsidRPr="00F478CA">
        <w:rPr>
          <w:sz w:val="20"/>
          <w:lang w:val="en-US"/>
        </w:rPr>
        <w:t>Sexton, Layden</w:t>
      </w:r>
      <w:r w:rsidRPr="00F478CA">
        <w:rPr>
          <w:sz w:val="20"/>
          <w:lang w:val="en-US"/>
        </w:rPr>
        <w:noBreakHyphen/>
        <w:t xml:space="preserve">Stevenson and Trudel, JJ.A.), 2009 FCA 290, [2010] 4 F.C.R. 243, 397 N.R. 180, 78 C.P.R. (4th) 243, 312 D.L.R. (4th) 532, [2009] F.C.J. No. 1263 (QL), 2009 CarswellNat 3122, affirming a decision of </w:t>
      </w:r>
      <w:r w:rsidR="008C2B81" w:rsidRPr="00F478CA">
        <w:rPr>
          <w:sz w:val="20"/>
        </w:rPr>
        <w:fldChar w:fldCharType="begin"/>
      </w:r>
      <w:r w:rsidRPr="00F478CA">
        <w:rPr>
          <w:sz w:val="20"/>
        </w:rPr>
        <w:instrText xml:space="preserve"> SEQ CHAPTER \h \r 1</w:instrText>
      </w:r>
      <w:r w:rsidR="008C2B81" w:rsidRPr="00F478CA">
        <w:rPr>
          <w:sz w:val="20"/>
        </w:rPr>
        <w:fldChar w:fldCharType="end"/>
      </w:r>
      <w:r w:rsidRPr="00F478CA">
        <w:rPr>
          <w:sz w:val="20"/>
          <w:lang w:val="en-US"/>
        </w:rPr>
        <w:t>O’Reilly J., 2008 FC 1412, 338 F.T.R. 168, 72 C.P.R. (4th) 160, [2008] F.C.J. No. 1826 (QL), 2008 CarswellNat 4970.  Appeal allowed.</w:t>
      </w:r>
    </w:p>
    <w:p w:rsidR="00D33CF5" w:rsidRPr="00F478CA" w:rsidRDefault="00D33CF5" w:rsidP="00D33CF5">
      <w:pPr>
        <w:pStyle w:val="SCCNormalDoubleSpacing"/>
        <w:spacing w:line="240" w:lineRule="auto"/>
        <w:rPr>
          <w:sz w:val="20"/>
        </w:rPr>
      </w:pPr>
    </w:p>
    <w:p w:rsidR="00D33CF5" w:rsidRDefault="00D33CF5" w:rsidP="00D33CF5">
      <w:pPr>
        <w:pStyle w:val="SCCNormalDoubleSpacing"/>
        <w:spacing w:line="240" w:lineRule="auto"/>
        <w:rPr>
          <w:rStyle w:val="SCCCounselPartyRoleChar"/>
          <w:sz w:val="20"/>
        </w:rPr>
      </w:pPr>
      <w:r w:rsidRPr="00F478CA">
        <w:rPr>
          <w:rStyle w:val="SCCCounselNameChar"/>
          <w:sz w:val="20"/>
        </w:rPr>
        <w:lastRenderedPageBreak/>
        <w:tab/>
        <w:t>W. Clarke Hunter, Q.C.</w:t>
      </w:r>
      <w:r w:rsidRPr="00D33CF5">
        <w:rPr>
          <w:rStyle w:val="SCCCounselSeparatorChar"/>
          <w:sz w:val="20"/>
          <w:lang w:val="en-CA"/>
        </w:rPr>
        <w:t xml:space="preserve">, </w:t>
      </w:r>
      <w:r w:rsidRPr="00D33CF5">
        <w:rPr>
          <w:rStyle w:val="SCCCounselSeparatorChar"/>
          <w:i/>
          <w:sz w:val="20"/>
          <w:lang w:val="en-CA"/>
        </w:rPr>
        <w:t>Kelly Gill</w:t>
      </w:r>
      <w:r w:rsidRPr="00D33CF5">
        <w:rPr>
          <w:rStyle w:val="SCCCounselSeparatorChar"/>
          <w:sz w:val="20"/>
          <w:lang w:val="en-CA"/>
        </w:rPr>
        <w:t xml:space="preserve"> and </w:t>
      </w:r>
      <w:r w:rsidRPr="00F478CA">
        <w:rPr>
          <w:rStyle w:val="SCCCounselNameChar"/>
          <w:sz w:val="20"/>
        </w:rPr>
        <w:t>Brandon Potter</w:t>
      </w:r>
      <w:r w:rsidRPr="00F478CA">
        <w:rPr>
          <w:rStyle w:val="SCCCounselPartyRoleChar"/>
          <w:sz w:val="20"/>
        </w:rPr>
        <w:t>, for the appellant.</w:t>
      </w:r>
    </w:p>
    <w:p w:rsidR="00D33CF5" w:rsidRPr="00F478CA" w:rsidRDefault="00D33CF5" w:rsidP="00D33CF5">
      <w:pPr>
        <w:pStyle w:val="SCCNormalDoubleSpacing"/>
        <w:spacing w:line="240" w:lineRule="auto"/>
        <w:rPr>
          <w:sz w:val="20"/>
        </w:rPr>
      </w:pPr>
    </w:p>
    <w:p w:rsidR="00D33CF5" w:rsidRDefault="00D33CF5" w:rsidP="00D33CF5">
      <w:pPr>
        <w:pStyle w:val="SCCNormalDoubleSpacing"/>
        <w:spacing w:line="240" w:lineRule="auto"/>
        <w:rPr>
          <w:rStyle w:val="SCCCounselPartyRoleChar"/>
          <w:sz w:val="20"/>
        </w:rPr>
      </w:pPr>
      <w:r w:rsidRPr="00F478CA">
        <w:rPr>
          <w:rStyle w:val="SCCCounselNameChar"/>
          <w:sz w:val="20"/>
        </w:rPr>
        <w:tab/>
        <w:t>Scott Miller</w:t>
      </w:r>
      <w:r w:rsidRPr="00D33CF5">
        <w:rPr>
          <w:rStyle w:val="SCCCounselSeparatorChar"/>
          <w:sz w:val="20"/>
          <w:lang w:val="en-CA"/>
        </w:rPr>
        <w:t xml:space="preserve">, </w:t>
      </w:r>
      <w:r w:rsidRPr="00F478CA">
        <w:rPr>
          <w:rStyle w:val="SCCCounselNameChar"/>
          <w:sz w:val="20"/>
        </w:rPr>
        <w:t>Sharon Griffin</w:t>
      </w:r>
      <w:r w:rsidRPr="00D33CF5">
        <w:rPr>
          <w:rStyle w:val="SCCCounselSeparatorChar"/>
          <w:sz w:val="20"/>
          <w:lang w:val="en-CA"/>
        </w:rPr>
        <w:t xml:space="preserve"> and </w:t>
      </w:r>
      <w:r w:rsidRPr="00F478CA">
        <w:rPr>
          <w:rStyle w:val="SCCCounselNameChar"/>
          <w:sz w:val="20"/>
        </w:rPr>
        <w:t>Heather Gallant</w:t>
      </w:r>
      <w:r w:rsidRPr="00F478CA">
        <w:rPr>
          <w:rStyle w:val="SCCCounselPartyRoleChar"/>
          <w:sz w:val="20"/>
        </w:rPr>
        <w:t>, for the respondent.</w:t>
      </w:r>
    </w:p>
    <w:p w:rsidR="00D33CF5" w:rsidRPr="00F478CA" w:rsidRDefault="00D33CF5" w:rsidP="00D33CF5">
      <w:pPr>
        <w:pStyle w:val="SCCNormalDoubleSpacing"/>
        <w:spacing w:line="240" w:lineRule="auto"/>
        <w:rPr>
          <w:sz w:val="20"/>
        </w:rPr>
      </w:pPr>
    </w:p>
    <w:p w:rsidR="00D33CF5" w:rsidRDefault="00D33CF5" w:rsidP="00D33CF5">
      <w:pPr>
        <w:pStyle w:val="SCCNormalDoubleSpacing"/>
        <w:spacing w:line="240" w:lineRule="auto"/>
        <w:rPr>
          <w:rStyle w:val="SCCCounselPartyRoleChar"/>
          <w:sz w:val="20"/>
        </w:rPr>
      </w:pPr>
      <w:r w:rsidRPr="00F478CA">
        <w:rPr>
          <w:rStyle w:val="SCCCounselNameChar"/>
          <w:sz w:val="20"/>
        </w:rPr>
        <w:tab/>
        <w:t>Daniel R. Bereskin, Q.C.,</w:t>
      </w:r>
      <w:r w:rsidRPr="00D33CF5">
        <w:rPr>
          <w:rStyle w:val="SCCCounselSeparatorChar"/>
          <w:sz w:val="20"/>
          <w:lang w:val="en-CA"/>
        </w:rPr>
        <w:t xml:space="preserve"> and </w:t>
      </w:r>
      <w:r w:rsidRPr="00F478CA">
        <w:rPr>
          <w:rStyle w:val="SCCCounselNameChar"/>
          <w:sz w:val="20"/>
        </w:rPr>
        <w:t>Mark L. Robbins</w:t>
      </w:r>
      <w:r w:rsidRPr="00F478CA">
        <w:rPr>
          <w:rStyle w:val="SCCCounselPartyRoleChar"/>
          <w:sz w:val="20"/>
        </w:rPr>
        <w:t>, for the intervener.</w:t>
      </w:r>
    </w:p>
    <w:p w:rsidR="00D33CF5" w:rsidRPr="00F478CA" w:rsidRDefault="00D33CF5" w:rsidP="00D33CF5">
      <w:pPr>
        <w:pStyle w:val="SCCNormalDoubleSpacing"/>
        <w:spacing w:line="240" w:lineRule="auto"/>
        <w:rPr>
          <w:sz w:val="20"/>
        </w:rPr>
      </w:pPr>
    </w:p>
    <w:p w:rsidR="00D33CF5" w:rsidRDefault="00D33CF5" w:rsidP="00D33CF5">
      <w:pPr>
        <w:pStyle w:val="SCCLawFirm"/>
        <w:spacing w:line="240" w:lineRule="auto"/>
        <w:rPr>
          <w:sz w:val="20"/>
        </w:rPr>
      </w:pPr>
      <w:r w:rsidRPr="00F478CA">
        <w:rPr>
          <w:sz w:val="20"/>
        </w:rPr>
        <w:tab/>
        <w:t>Solicitors for the appellant:  MacLeod Dixon, Calgary.</w:t>
      </w:r>
    </w:p>
    <w:p w:rsidR="00D33CF5" w:rsidRPr="00F478CA" w:rsidRDefault="00D33CF5" w:rsidP="00D33CF5">
      <w:pPr>
        <w:pStyle w:val="SCCNormalDoubleSpacing"/>
        <w:spacing w:line="240" w:lineRule="auto"/>
      </w:pPr>
    </w:p>
    <w:p w:rsidR="00D33CF5" w:rsidRDefault="00D33CF5" w:rsidP="00D33CF5">
      <w:pPr>
        <w:pStyle w:val="SCCLawFirm"/>
        <w:spacing w:line="240" w:lineRule="auto"/>
        <w:rPr>
          <w:sz w:val="20"/>
        </w:rPr>
      </w:pPr>
      <w:r w:rsidRPr="00F478CA">
        <w:rPr>
          <w:sz w:val="20"/>
        </w:rPr>
        <w:tab/>
        <w:t>Solicitors for the respondent:  MBM Intellectual Property Law, Ottawa.</w:t>
      </w:r>
    </w:p>
    <w:p w:rsidR="00D33CF5" w:rsidRPr="00F478CA" w:rsidRDefault="00D33CF5" w:rsidP="00D33CF5">
      <w:pPr>
        <w:pStyle w:val="SCCNormalDoubleSpacing"/>
        <w:spacing w:line="240" w:lineRule="auto"/>
      </w:pPr>
    </w:p>
    <w:p w:rsidR="00D33CF5" w:rsidRDefault="00D33CF5" w:rsidP="00D33CF5">
      <w:pPr>
        <w:pStyle w:val="SCCLawFirm"/>
        <w:spacing w:line="240" w:lineRule="auto"/>
        <w:rPr>
          <w:sz w:val="20"/>
        </w:rPr>
      </w:pPr>
      <w:r w:rsidRPr="00F478CA">
        <w:rPr>
          <w:sz w:val="20"/>
        </w:rPr>
        <w:tab/>
        <w:t>Solicitors for the intervener:  Bereskin &amp; Parr,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Default="00DD0B49" w:rsidP="00DD0B49">
      <w:pPr>
        <w:rPr>
          <w:rFonts w:cs="Times New Roman"/>
          <w:sz w:val="20"/>
          <w:szCs w:val="20"/>
          <w:lang w:val="fr-CA"/>
        </w:rPr>
      </w:pPr>
    </w:p>
    <w:p w:rsidR="0078104A" w:rsidRPr="0078104A" w:rsidRDefault="0078104A" w:rsidP="0078104A">
      <w:pPr>
        <w:jc w:val="both"/>
        <w:rPr>
          <w:rFonts w:cs="Times New Roman"/>
          <w:sz w:val="20"/>
          <w:szCs w:val="20"/>
          <w:lang w:val="fr-CA"/>
        </w:rPr>
      </w:pPr>
      <w:r w:rsidRPr="0078104A">
        <w:rPr>
          <w:rFonts w:cs="Times New Roman"/>
          <w:sz w:val="20"/>
          <w:szCs w:val="20"/>
          <w:lang w:val="fr-CA"/>
        </w:rPr>
        <w:t>Présents : La juge en chef McLachlin et les juges Binnie, LeBel, Fish, Charron, Rothstein et Cromwell.</w:t>
      </w:r>
    </w:p>
    <w:p w:rsidR="00D33CF5" w:rsidRDefault="00D33CF5" w:rsidP="00DD0B49">
      <w:pPr>
        <w:rPr>
          <w:rFonts w:cs="Times New Roman"/>
          <w:sz w:val="20"/>
          <w:szCs w:val="20"/>
          <w:lang w:val="fr-CA"/>
        </w:rPr>
      </w:pPr>
    </w:p>
    <w:p w:rsidR="0078104A" w:rsidRPr="0078104A" w:rsidRDefault="0078104A" w:rsidP="0078104A">
      <w:pPr>
        <w:pStyle w:val="SCCNormalDoubleSpacing"/>
        <w:spacing w:line="240" w:lineRule="auto"/>
        <w:rPr>
          <w:i/>
          <w:sz w:val="20"/>
          <w:lang w:val="fr-CA"/>
        </w:rPr>
      </w:pPr>
      <w:r w:rsidRPr="00EE1427">
        <w:rPr>
          <w:i/>
          <w:sz w:val="20"/>
          <w:lang w:val="fr-CA"/>
        </w:rPr>
        <w:tab/>
      </w:r>
      <w:r w:rsidRPr="0078104A">
        <w:rPr>
          <w:i/>
          <w:sz w:val="20"/>
          <w:lang w:val="fr-CA"/>
        </w:rPr>
        <w:t>Propriété intellectuelle — Marques de commerce — Confusion — Société albertaine employant des marques de commerce non déposées avant qu’une société ontarienne ne fasse enregistrer une marque de commerce similaire — Demande de la société albertaine visant à faire biffer l’enregistrement de la marque de commerce de la société ontarienne dans le registre des marques de commerce — Le lieu où la marque est employée est</w:t>
      </w:r>
      <w:r w:rsidRPr="0078104A">
        <w:rPr>
          <w:i/>
          <w:sz w:val="20"/>
          <w:lang w:val="fr-CA"/>
        </w:rPr>
        <w:noBreakHyphen/>
        <w:t>il pertinent en ce qui concerne l’analyse relative à la confusion? — De quels facteurs faut</w:t>
      </w:r>
      <w:r w:rsidRPr="0078104A">
        <w:rPr>
          <w:i/>
          <w:sz w:val="20"/>
          <w:lang w:val="fr-CA"/>
        </w:rPr>
        <w:noBreakHyphen/>
        <w:t>il tenir compte pour évaluer la ressemblance entre une marque de commerce dont l’emploi est projeté et une marque de commerce employée mais non déposée? — Incidence de la nature et du coût des marchandises ou des services sur l’analyse relative à la confusion — Utilisation de la preuve d’expert dans l’analyse relative à la confusion — Loi sur les marques de commerce, L.R.C. 1985, ch. T</w:t>
      </w:r>
      <w:r w:rsidRPr="0078104A">
        <w:rPr>
          <w:i/>
          <w:sz w:val="20"/>
          <w:lang w:val="fr-CA"/>
        </w:rPr>
        <w:noBreakHyphen/>
        <w:t>13, art. 6, 16(3), 17, 19, 20, 21, 30, 35, 40(2), 57(1)</w:t>
      </w:r>
    </w:p>
    <w:p w:rsidR="0078104A" w:rsidRPr="0078104A" w:rsidRDefault="0078104A" w:rsidP="0078104A">
      <w:pPr>
        <w:pStyle w:val="SCCNormalDoubleSpacing"/>
        <w:spacing w:line="240" w:lineRule="auto"/>
        <w:rPr>
          <w:i/>
          <w:sz w:val="20"/>
          <w:lang w:val="fr-CA"/>
        </w:rPr>
      </w:pPr>
    </w:p>
    <w:p w:rsidR="0078104A" w:rsidRPr="0078104A" w:rsidRDefault="0078104A" w:rsidP="0078104A">
      <w:pPr>
        <w:pStyle w:val="SCCNormalDoubleSpacing"/>
        <w:spacing w:line="240" w:lineRule="auto"/>
        <w:rPr>
          <w:sz w:val="20"/>
          <w:lang w:val="fr-CA"/>
        </w:rPr>
      </w:pPr>
      <w:r w:rsidRPr="0078104A">
        <w:rPr>
          <w:sz w:val="20"/>
          <w:lang w:val="fr-CA"/>
        </w:rPr>
        <w:tab/>
        <w:t>Masterpiece Inc. et Alavida Lifestyles Inc. (« Alavida ») font toutes les deux des affaires dans le secteur des résidences pour personnes âgées.  Depuis 2001, Masterpiece Inc., qui exerce ses activités en Alberta, emploie plusieurs marques de commerce non déposées, y compris « Masterpiece the Art of Living ».  Alavida, qui exerce ses activités en Ontario, a commencé à faire des affaires en 2005 et demandé l’enregistrement de la marque de commerce « Masterpiece Living » le 1</w:t>
      </w:r>
      <w:r w:rsidRPr="0078104A">
        <w:rPr>
          <w:sz w:val="20"/>
          <w:vertAlign w:val="superscript"/>
          <w:lang w:val="fr-CA"/>
        </w:rPr>
        <w:t>er</w:t>
      </w:r>
      <w:r w:rsidRPr="0078104A">
        <w:rPr>
          <w:sz w:val="20"/>
          <w:lang w:val="fr-CA"/>
        </w:rPr>
        <w:t> décembre 2005 au motif qu’elle en projetait l’emploi.  Alavida a commencé à employer cette marque de commerce en janvier 2006.  Peu de temps après le dépôt de la demande d’Alavida, Masterpiece Inc. a commencé à employer elle aussi « Masterpiece Living » et, en 2006, a demandé l’enregistrement de cette marque de commerce ainsi que de la marque de commerce « Masterpiece ».  La demande antérieure d’Alavida ayant finalement été accordée, les demandes de Masterpiece Inc. ont été rejetées.  Par la suite, Masterpiece Inc. a produit une demande visant à faire biffer l’enregistrement de la marque de commerce d’Alavida, mais cette demande a été rejetée par le juge de première instance, qui a conclu à l’absence de probabilité que les marques de Masterpiece Inc. et la marque d’Alavida créent de la confusion.  Cette décision a été maintenue en appel.</w:t>
      </w:r>
    </w:p>
    <w:p w:rsidR="0078104A" w:rsidRPr="0078104A" w:rsidRDefault="0078104A" w:rsidP="0078104A">
      <w:pPr>
        <w:pStyle w:val="SCCNormalDoubleSpacing"/>
        <w:spacing w:line="240" w:lineRule="auto"/>
        <w:rPr>
          <w:sz w:val="20"/>
          <w:lang w:val="fr-CA"/>
        </w:rPr>
      </w:pPr>
    </w:p>
    <w:p w:rsidR="0078104A" w:rsidRPr="0078104A" w:rsidRDefault="0078104A" w:rsidP="0078104A">
      <w:pPr>
        <w:pStyle w:val="SCCNormalDoubleSpacing"/>
        <w:spacing w:line="240" w:lineRule="auto"/>
        <w:rPr>
          <w:sz w:val="20"/>
          <w:lang w:val="fr-CA"/>
        </w:rPr>
      </w:pPr>
      <w:r w:rsidRPr="0078104A">
        <w:rPr>
          <w:i/>
          <w:sz w:val="20"/>
          <w:lang w:val="fr-CA"/>
        </w:rPr>
        <w:tab/>
        <w:t>Arrêt :</w:t>
      </w:r>
      <w:r w:rsidRPr="0078104A">
        <w:rPr>
          <w:sz w:val="20"/>
          <w:lang w:val="fr-CA"/>
        </w:rPr>
        <w:t xml:space="preserve"> Le pourvoi est accueilli et la marque de commerce d’Alavida doit être biffée.</w:t>
      </w:r>
    </w:p>
    <w:p w:rsidR="0078104A" w:rsidRPr="0078104A" w:rsidRDefault="0078104A" w:rsidP="0078104A">
      <w:pPr>
        <w:pStyle w:val="SCCNormalDoubleSpacing"/>
        <w:spacing w:line="240" w:lineRule="auto"/>
        <w:rPr>
          <w:sz w:val="20"/>
          <w:lang w:val="fr-CA"/>
        </w:rPr>
      </w:pPr>
    </w:p>
    <w:p w:rsidR="0078104A" w:rsidRPr="0078104A" w:rsidRDefault="0078104A" w:rsidP="0078104A">
      <w:pPr>
        <w:pStyle w:val="SCCNormalDoubleSpacing"/>
        <w:spacing w:line="240" w:lineRule="auto"/>
        <w:rPr>
          <w:sz w:val="20"/>
          <w:lang w:val="fr-CA"/>
        </w:rPr>
      </w:pPr>
      <w:r w:rsidRPr="0078104A">
        <w:rPr>
          <w:sz w:val="20"/>
          <w:lang w:val="fr-CA"/>
        </w:rPr>
        <w:tab/>
        <w:t xml:space="preserve">La présente affaire porte sur la façon fondamentale d’aborder l’analyse relative à la confusion et sur les critères qu’il convient d’appliquer à cet égard.  Plus particulièrement, il s’agit de savoir si la marque de commerce d’Alavida et les marques de commerce et le nom commercial de Masterpiece Inc. créent de la confusion au sens de l’art. 6 de la </w:t>
      </w:r>
      <w:r w:rsidRPr="0078104A">
        <w:rPr>
          <w:i/>
          <w:sz w:val="20"/>
          <w:lang w:val="fr-CA"/>
        </w:rPr>
        <w:t>Loi sur les marques de commerce</w:t>
      </w:r>
      <w:r w:rsidRPr="0078104A">
        <w:rPr>
          <w:sz w:val="20"/>
          <w:lang w:val="fr-CA"/>
        </w:rPr>
        <w:t>.  Le critère est de savoir si, à partir de sa première impression, le « consommateur ordinaire plutôt pressé » qui voit la marque de commerce d’Alavida alors qu’il n’a qu’un vague souvenir de l’une ou l’autre des marques de commerce ou du nom commercial de Masterpiece Inc. considérerait probablement qu’Alavida et Masterpiece Inc. constituent un seul et même fournisseur de services de résidence pour personnes âgées.  Le paragraphe 6(5) de la Loi établit la démarche à suivre dans l’analyse relative à la confusion.  Il faut tenir compte de toutes les circonstances de l’espèce, y compris a) le caractère distinctif inhérent des marques de commerce ou des noms commerciaux, et la mesure dans laquelle ils sont devenus connus; b) la période durant laquelle les marques de commerce ou les noms commerciaux ont été en usage; c) le genre de marchandises, services ou entreprises; d) la nature du commerce; et e) le degré de ressemblance entre les marques de commerce ou les noms commerciaux dans la présentation ou le son, ou dans les idées qu’ils suggèrent.</w:t>
      </w:r>
    </w:p>
    <w:p w:rsidR="0078104A" w:rsidRPr="0078104A" w:rsidRDefault="0078104A" w:rsidP="0078104A">
      <w:pPr>
        <w:pStyle w:val="SCCNormalDoubleSpacing"/>
        <w:spacing w:line="240" w:lineRule="auto"/>
        <w:rPr>
          <w:sz w:val="20"/>
          <w:lang w:val="fr-CA"/>
        </w:rPr>
      </w:pPr>
    </w:p>
    <w:p w:rsidR="0078104A" w:rsidRPr="0078104A" w:rsidRDefault="0078104A" w:rsidP="0078104A">
      <w:pPr>
        <w:pStyle w:val="SCCNormalDoubleSpacing"/>
        <w:spacing w:line="240" w:lineRule="auto"/>
        <w:rPr>
          <w:sz w:val="20"/>
          <w:lang w:val="fr-CA"/>
        </w:rPr>
      </w:pPr>
      <w:r w:rsidRPr="0078104A">
        <w:rPr>
          <w:sz w:val="20"/>
          <w:lang w:val="fr-CA"/>
        </w:rPr>
        <w:lastRenderedPageBreak/>
        <w:tab/>
        <w:t>La première question à trancher est de savoir si l’endroit où les marques sont employées est pertinent lorsqu’il s’agit de décider s’il existe une probabilité qu’une marque de commerce déposée crée de la confusion avec une marque de commerce non déposée mais déjà employée.  De façon générale, selon l’art. 19, le propriétaire d’une marque de commerce déposée a le droit exclusif à l’emploi de celle</w:t>
      </w:r>
      <w:r w:rsidRPr="0078104A">
        <w:rPr>
          <w:sz w:val="20"/>
          <w:lang w:val="fr-CA"/>
        </w:rPr>
        <w:noBreakHyphen/>
        <w:t>ci dans tout le Canada.  Le critère qu’il convient d’appliquer pour décider s’il y a confusion est fondé sur l’hypothèse que les noms commerciaux et les marques de commerce sont employés « dans la même région », que ce soit le cas ou non.  Pour que le propriétaire d’une marque de commerce déposée ait le droit exclusif à l’emploi de celle</w:t>
      </w:r>
      <w:r w:rsidRPr="0078104A">
        <w:rPr>
          <w:sz w:val="20"/>
          <w:lang w:val="fr-CA"/>
        </w:rPr>
        <w:noBreakHyphen/>
        <w:t>ci dans tout le Canada, il ne faut pas qu’elle soit susceptible de créer de la confusion avec une autre marque de commerce à quelque autre endroit que ce soit au pays.  Pour cette raison, l’endroit où les marques ont été réellement employées n’est pas pertinent.</w:t>
      </w:r>
    </w:p>
    <w:p w:rsidR="0078104A" w:rsidRPr="0078104A" w:rsidRDefault="0078104A" w:rsidP="0078104A">
      <w:pPr>
        <w:pStyle w:val="SCCNormalDoubleSpacing"/>
        <w:spacing w:line="240" w:lineRule="auto"/>
        <w:rPr>
          <w:b/>
          <w:sz w:val="20"/>
          <w:lang w:val="fr-CA"/>
        </w:rPr>
      </w:pPr>
    </w:p>
    <w:p w:rsidR="0078104A" w:rsidRPr="0078104A" w:rsidRDefault="0078104A" w:rsidP="0078104A">
      <w:pPr>
        <w:pStyle w:val="SCCNormalDoubleSpacing"/>
        <w:spacing w:line="240" w:lineRule="auto"/>
        <w:rPr>
          <w:sz w:val="20"/>
          <w:lang w:val="fr-CA"/>
        </w:rPr>
      </w:pPr>
      <w:r w:rsidRPr="0078104A">
        <w:rPr>
          <w:sz w:val="20"/>
          <w:lang w:val="fr-CA"/>
        </w:rPr>
        <w:tab/>
        <w:t>La deuxième question à trancher est de savoir quels facteurs il convient de prendre en compte pour évaluer la ressemblance entre une marque de commerce dont l’emploi est projeté et une marque de commerce employée mais non déposée.  C’est l’emploi d’une marque de commerce et non l’enregistrement qui confère un droit prioritaire sur la marque et le droit exclusif de l’employer.  La Loi confère des droits de deux façons au premier utilisateur d’une marque de commerce.  D’une part, selon l’art. 16, la partie qui est la première à employer la marque de commerce obtient normalement un droit prioritaire de l’enregistrer.  D’autre part, l’utilisateur de la marque de commerce peut s’opposer aux demandes d’enregistrement d’autres personnes ou encore demander que des enregistrements soient biffés au motif qu’il emploie déjà une marque de commerce créant de la confusion.  Le par. 16(3) de la Loi reconnaît à l’utilisateur d’une marque de commerce le droit de s’opposer à toute demande d’enregistrement d’une marque au motif qu’il employait déjà sa marque au moment du dépôt de la demande.  Masterpiece Inc. pouvait demander au registraire de biffer la marque de commerce d’Alavida en conformité avec le par. 16(3) de la Loi</w:t>
      </w:r>
      <w:r w:rsidRPr="0078104A">
        <w:rPr>
          <w:b/>
          <w:sz w:val="20"/>
          <w:lang w:val="fr-CA"/>
        </w:rPr>
        <w:t xml:space="preserve"> </w:t>
      </w:r>
      <w:r w:rsidRPr="0078104A">
        <w:rPr>
          <w:sz w:val="20"/>
          <w:lang w:val="fr-CA"/>
        </w:rPr>
        <w:t>en invoquant la probabilité de confusion entre cette marque et l’une ou l’autre des marques de commerce qu’elle avait employées avant le 1</w:t>
      </w:r>
      <w:r w:rsidRPr="0078104A">
        <w:rPr>
          <w:sz w:val="20"/>
          <w:vertAlign w:val="superscript"/>
          <w:lang w:val="fr-CA"/>
        </w:rPr>
        <w:t>er</w:t>
      </w:r>
      <w:r w:rsidRPr="0078104A">
        <w:rPr>
          <w:sz w:val="20"/>
          <w:lang w:val="fr-CA"/>
        </w:rPr>
        <w:t> décembre 2005.  En outre, Masterpiece Inc.</w:t>
      </w:r>
      <w:r w:rsidRPr="0078104A" w:rsidDel="00B02026">
        <w:rPr>
          <w:sz w:val="20"/>
          <w:lang w:val="fr-CA"/>
        </w:rPr>
        <w:t xml:space="preserve"> </w:t>
      </w:r>
      <w:r w:rsidRPr="0078104A">
        <w:rPr>
          <w:sz w:val="20"/>
          <w:lang w:val="fr-CA"/>
        </w:rPr>
        <w:t>avait le droit de faire comparer séparément chacune de ses marques de commerce à la marque de commerce « Masterpiece Living » d’Alavida.  Le juge de première instance a commis une erreur en se livrant à une analyse globale dans laquelle il a examiné de façon générale la ressemblance entre la marque « Masterpiece Living » et l’ensemble des marques de commerce ainsi que le nom commercial de Masterpiece Inc.  Dans la plupart des cas, l’évaluation de la ressemblance entre les marques en cause devrait constituer le point de départ de l’analyse relative à la confusion.  Le juge de première instance a commis une erreur en n’examinant que l’emploi qu’Alavida faisait réellement de sa marque au lieu de tenir compte de toute la portée des droits exclusifs que l’enregistrement de la marque conférait à Alavida et des autres emplois qui pouvaient en être faits.  Son approche ne reconnaissait pas qu’Alavida avait le droit d’employer les mots protégés sous la forme de son choix, y compris une forme</w:t>
      </w:r>
      <w:r w:rsidRPr="0078104A">
        <w:rPr>
          <w:b/>
          <w:sz w:val="20"/>
          <w:lang w:val="fr-CA"/>
        </w:rPr>
        <w:t xml:space="preserve"> </w:t>
      </w:r>
      <w:r w:rsidRPr="0078104A">
        <w:rPr>
          <w:sz w:val="20"/>
          <w:lang w:val="fr-CA"/>
        </w:rPr>
        <w:t>qui ressemblait beaucoup à celle des marques de Masterpiece Inc.  En l’espèce, comme la marque de commerce projetée d’Alavida n’est constituée que des mots « Masterpiece Living », la différence ou la similitude entre cette marque et chacune des marques de commerce de Masterpiece Inc. ainsi que le nom commercial de cette dernière s’apprécie uniquement en fonction de ces mots.  L’aspect frappant ou unique de chaque marque de commerce est le mot « Masterpiece ».  L’idée évoquée par chaque marque est également la même, à savoir la retraite dans le luxe.  Il existe clairement une forte ressemblance entre « Masterpiece the Art of Living » et « Masterpiece Living ».</w:t>
      </w:r>
    </w:p>
    <w:p w:rsidR="0078104A" w:rsidRPr="0078104A" w:rsidRDefault="0078104A" w:rsidP="0078104A">
      <w:pPr>
        <w:pStyle w:val="SCCNormalDoubleSpacing"/>
        <w:spacing w:line="240" w:lineRule="auto"/>
        <w:rPr>
          <w:b/>
          <w:sz w:val="20"/>
          <w:lang w:val="fr-CA"/>
        </w:rPr>
      </w:pPr>
    </w:p>
    <w:p w:rsidR="0078104A" w:rsidRPr="0078104A" w:rsidRDefault="0078104A" w:rsidP="0078104A">
      <w:pPr>
        <w:pStyle w:val="SCCNormalDoubleSpacing"/>
        <w:spacing w:line="240" w:lineRule="auto"/>
        <w:rPr>
          <w:sz w:val="20"/>
          <w:lang w:val="fr-CA"/>
        </w:rPr>
      </w:pPr>
      <w:r w:rsidRPr="0078104A">
        <w:rPr>
          <w:sz w:val="20"/>
          <w:lang w:val="fr-CA"/>
        </w:rPr>
        <w:tab/>
        <w:t xml:space="preserve">La troisième question à trancher est de savoir quelle est l’incidence de la nature et du coût des marchandises ou des services en cause sur l’analyse relative à la confusion.  En l’espèce, le juge de première instance a commis une erreur en estimant que le fait qu’en général le consommateur à la recherche de biens et de services onéreux </w:t>
      </w:r>
      <w:r w:rsidRPr="0078104A">
        <w:rPr>
          <w:spacing w:val="-3"/>
          <w:sz w:val="20"/>
          <w:lang w:val="fr-CA"/>
        </w:rPr>
        <w:t xml:space="preserve">consacre un temps appréciable à s’informer sur la source de tels biens et services donne à penser que </w:t>
      </w:r>
      <w:r w:rsidRPr="0078104A">
        <w:rPr>
          <w:sz w:val="20"/>
          <w:lang w:val="fr-CA"/>
        </w:rPr>
        <w:t>la probabilité de confusion dans un tel cas sera moins grande.  Il convient plutôt d’évaluer la confusion en se fondant sur la première impression du consommateur s’apprêtant à faire un achat coûteux lorsqu’il voit la marque de commerce.  La possibilité que des recherches approfondies puissent ultérieurement dissiper la confusion ne signifie pas qu’elle n’a jamais existé ou qu’elle cesserait de subsister dans l’esprit du consommateur qui n’a pas fait de telles recherches.  Le juge de première instance aurait plutôt dû s’en tenir à la question de savoir comment le consommateur ayant un vague souvenir des marques de Masterpiece Inc. aurait réagi en voyant la marque d’Alavida.  La question du coût ne mènera vraisemblablement pas à une conclusion différente dans les cas où l’existence d’une forte ressemblance donne à penser qu’il y a probabilité de confusion et où les autres facteurs énoncés au par. 6(5) de la Loi ne militent pas fortement contre l’existence d’une telle probabilité.</w:t>
      </w:r>
    </w:p>
    <w:p w:rsidR="0078104A" w:rsidRPr="0078104A" w:rsidRDefault="0078104A" w:rsidP="0078104A">
      <w:pPr>
        <w:pStyle w:val="SCCNormalDoubleSpacing"/>
        <w:spacing w:line="240" w:lineRule="auto"/>
        <w:rPr>
          <w:sz w:val="20"/>
          <w:lang w:val="fr-CA"/>
        </w:rPr>
      </w:pPr>
    </w:p>
    <w:p w:rsidR="0078104A" w:rsidRPr="0078104A" w:rsidRDefault="0078104A" w:rsidP="0078104A">
      <w:pPr>
        <w:pStyle w:val="SCCNormalDoubleSpacing"/>
        <w:spacing w:line="240" w:lineRule="auto"/>
        <w:rPr>
          <w:sz w:val="20"/>
          <w:lang w:val="fr-CA"/>
        </w:rPr>
      </w:pPr>
      <w:r w:rsidRPr="0078104A">
        <w:rPr>
          <w:sz w:val="20"/>
          <w:lang w:val="fr-CA"/>
        </w:rPr>
        <w:tab/>
        <w:t xml:space="preserve">La dernière question à trancher est de savoir quel est le rôle de la preuve d’expert dans l’analyse relative à la confusion. En général, l’expert ne doit être autorisé à témoigner que si son témoignage contient des renseignements qui, selon toute vraisemblance, dépassent l’expérience et la connaissance du juge.  Dans les cas où le « consommateur </w:t>
      </w:r>
      <w:r w:rsidRPr="0078104A">
        <w:rPr>
          <w:sz w:val="20"/>
          <w:lang w:val="fr-CA"/>
        </w:rPr>
        <w:lastRenderedPageBreak/>
        <w:t>ordinaire » n’est pas censé posséder des connaissances particulières et où il existe une ressemblance entre les marques, il n’est généralement pas nécessaire de soumettre une preuve d’expert qui ne fournit qu’une simple appréciation de cette ressemblance. Les juges doivent examiner chaque marque litigieuse globalement, mais aussi eu égard à la caractéristique dominante de chacune, sa caractéristique la plus frappante ou singulière, en faisant appel à leur bon sens pour décider s’il y aurait probabilité de confusion chez le consommateur ordinaire qui voit la marque pour la première fois.  En l’espèce, l’expert d’Alavida a fait une analyse de la morphologie et de la sémantique au lieu d’apprécier les marques globalement.  Il a également fondé son analyse sur l’emploi qu’Alavida a  réellement fait de sa marque après l’avoir fait enregistrer, au lieu de tenir compte de toute la portée des droits exclusifs que l’enregistrement de la marque conférait à Alavida.  De même, le sondage invoqué par Masterpiece Inc. n’était d’aucune utilité car il tentait de simuler l’existence de consommateurs avec un « vague souvenir » alors qu’il n’en existait pas.  Pour cette raison, le sondage ne constituait pas une appréciation valable de la question pertinente.  Les juges devraient s’interroger sur la nécessité et l’utilité d’une telle preuve, peut</w:t>
      </w:r>
      <w:r w:rsidRPr="0078104A">
        <w:rPr>
          <w:sz w:val="20"/>
          <w:lang w:val="fr-CA"/>
        </w:rPr>
        <w:noBreakHyphen/>
        <w:t>être au stade de la gestion de l’instance, en particulier de manière à éviter que des ressources considérables soient consacrées à une preuve peu utile.</w:t>
      </w:r>
    </w:p>
    <w:p w:rsidR="0078104A" w:rsidRPr="0078104A" w:rsidRDefault="0078104A" w:rsidP="0078104A">
      <w:pPr>
        <w:pStyle w:val="SCCNormalDoubleSpacing"/>
        <w:spacing w:line="240" w:lineRule="auto"/>
        <w:rPr>
          <w:b/>
          <w:sz w:val="20"/>
          <w:lang w:val="fr-CA"/>
        </w:rPr>
      </w:pPr>
    </w:p>
    <w:p w:rsidR="0078104A" w:rsidRPr="0078104A" w:rsidRDefault="0078104A" w:rsidP="0078104A">
      <w:pPr>
        <w:pStyle w:val="SCCNormalDoubleSpacing"/>
        <w:spacing w:line="240" w:lineRule="auto"/>
        <w:rPr>
          <w:sz w:val="20"/>
          <w:lang w:val="fr-CA"/>
        </w:rPr>
      </w:pPr>
      <w:r w:rsidRPr="0078104A">
        <w:rPr>
          <w:sz w:val="20"/>
          <w:lang w:val="fr-CA"/>
        </w:rPr>
        <w:tab/>
        <w:t>La prise en compte de toutes les circonstances de l’espèce, et particulièrement la très grande ressemblance entre la marque de commerce « Masterpiece Living » d’Alavida et la marque de commerce « Masterpiece the Art of Living » de Masterpiece Inc., amène à conclure que cette dernière a prouvé que l’emploi de la marque de commerce d’Alavida dans la même région que celle où ses marques sont employées serait susceptible de faire conclure que les services liés aux marques de commerce de Masterpiece Inc. sont fournis par Alavida.  Comme l’emploi par Masterpiece Inc. a précédé celui projeté par Alavida, cette dernière n’avait pas droit à l’enregistrement de sa marque de commerce en vertu du par. 16(3), et celle</w:t>
      </w:r>
      <w:r w:rsidRPr="0078104A">
        <w:rPr>
          <w:sz w:val="20"/>
          <w:lang w:val="fr-CA"/>
        </w:rPr>
        <w:noBreakHyphen/>
        <w:t>ci doit être biffée du registre.</w:t>
      </w:r>
    </w:p>
    <w:p w:rsidR="0078104A" w:rsidRPr="0078104A" w:rsidRDefault="0078104A" w:rsidP="0078104A">
      <w:pPr>
        <w:pStyle w:val="SCCNormalDoubleSpacing"/>
        <w:spacing w:line="240" w:lineRule="auto"/>
        <w:rPr>
          <w:sz w:val="20"/>
          <w:lang w:val="fr-CA"/>
        </w:rPr>
      </w:pPr>
    </w:p>
    <w:p w:rsidR="0078104A" w:rsidRPr="0078104A" w:rsidRDefault="0078104A" w:rsidP="0078104A">
      <w:pPr>
        <w:pStyle w:val="SCCNormalDoubleSpacing"/>
        <w:spacing w:line="240" w:lineRule="auto"/>
        <w:rPr>
          <w:sz w:val="20"/>
          <w:lang w:val="fr-CA"/>
        </w:rPr>
      </w:pPr>
      <w:r w:rsidRPr="0078104A">
        <w:rPr>
          <w:sz w:val="20"/>
          <w:lang w:val="fr-CA"/>
        </w:rPr>
        <w:tab/>
        <w:t xml:space="preserve">POURVOI contre un arrêt de la Cour d’appel fédérale (les juges </w:t>
      </w:r>
      <w:r w:rsidR="008C2B81" w:rsidRPr="00375C44">
        <w:rPr>
          <w:sz w:val="20"/>
        </w:rPr>
        <w:fldChar w:fldCharType="begin"/>
      </w:r>
      <w:r w:rsidRPr="0078104A">
        <w:rPr>
          <w:sz w:val="20"/>
          <w:lang w:val="fr-CA"/>
        </w:rPr>
        <w:instrText xml:space="preserve"> SEQ CHAPTER \h \r 1</w:instrText>
      </w:r>
      <w:r w:rsidR="008C2B81" w:rsidRPr="00375C44">
        <w:rPr>
          <w:sz w:val="20"/>
        </w:rPr>
        <w:fldChar w:fldCharType="end"/>
      </w:r>
      <w:r w:rsidRPr="0078104A">
        <w:rPr>
          <w:sz w:val="20"/>
          <w:lang w:val="fr-CA"/>
        </w:rPr>
        <w:t>Sexton, Layden</w:t>
      </w:r>
      <w:r w:rsidRPr="0078104A">
        <w:rPr>
          <w:sz w:val="20"/>
          <w:lang w:val="fr-CA"/>
        </w:rPr>
        <w:noBreakHyphen/>
        <w:t>Stevenson et Trudel), 2009 CAF 290, [2010] 4 R.C.F. 243, 397 N.R. 180, 78 C.P.R. (4th) 243, 312 D.L.R. (4th) 532, [2009] A.C.F. n</w:t>
      </w:r>
      <w:r w:rsidRPr="0078104A">
        <w:rPr>
          <w:sz w:val="20"/>
          <w:vertAlign w:val="superscript"/>
          <w:lang w:val="fr-CA"/>
        </w:rPr>
        <w:t>o</w:t>
      </w:r>
      <w:r w:rsidRPr="0078104A">
        <w:rPr>
          <w:sz w:val="20"/>
          <w:lang w:val="fr-CA"/>
        </w:rPr>
        <w:t xml:space="preserve"> 1263 (QL), 2009 CarswellNat 5263, qui a confirmé une décision du juge </w:t>
      </w:r>
      <w:r w:rsidR="008C2B81" w:rsidRPr="00375C44">
        <w:rPr>
          <w:sz w:val="20"/>
        </w:rPr>
        <w:fldChar w:fldCharType="begin"/>
      </w:r>
      <w:r w:rsidRPr="0078104A">
        <w:rPr>
          <w:sz w:val="20"/>
          <w:lang w:val="fr-CA"/>
        </w:rPr>
        <w:instrText xml:space="preserve"> SEQ CHAPTER \h \r 1</w:instrText>
      </w:r>
      <w:r w:rsidR="008C2B81" w:rsidRPr="00375C44">
        <w:rPr>
          <w:sz w:val="20"/>
        </w:rPr>
        <w:fldChar w:fldCharType="end"/>
      </w:r>
      <w:r w:rsidRPr="0078104A">
        <w:rPr>
          <w:sz w:val="20"/>
          <w:lang w:val="fr-CA"/>
        </w:rPr>
        <w:t>O’Reilly, 2008 CF 1412, 338 F.T.R. 168, 72 C.P.R. (4th) 160, [2008] A.C.F. n</w:t>
      </w:r>
      <w:r w:rsidRPr="0078104A">
        <w:rPr>
          <w:sz w:val="20"/>
          <w:vertAlign w:val="superscript"/>
          <w:lang w:val="fr-CA"/>
        </w:rPr>
        <w:t>o</w:t>
      </w:r>
      <w:r w:rsidRPr="0078104A">
        <w:rPr>
          <w:sz w:val="20"/>
          <w:lang w:val="fr-CA"/>
        </w:rPr>
        <w:t xml:space="preserve"> 1826 (QL), 2008 CarswellNat 4970.  Pourvoi accueilli.</w:t>
      </w:r>
    </w:p>
    <w:p w:rsidR="0078104A" w:rsidRPr="0078104A" w:rsidRDefault="0078104A" w:rsidP="0078104A">
      <w:pPr>
        <w:pStyle w:val="SCCNormalDoubleSpacing"/>
        <w:spacing w:line="240" w:lineRule="auto"/>
        <w:rPr>
          <w:sz w:val="20"/>
          <w:lang w:val="fr-CA"/>
        </w:rPr>
      </w:pPr>
    </w:p>
    <w:p w:rsidR="0078104A" w:rsidRPr="0078104A" w:rsidRDefault="0078104A" w:rsidP="0078104A">
      <w:pPr>
        <w:pStyle w:val="SCCNormalDoubleSpacing"/>
        <w:spacing w:line="240" w:lineRule="auto"/>
        <w:rPr>
          <w:rStyle w:val="SCCCounselPartyRoleChar"/>
          <w:sz w:val="20"/>
          <w:lang w:val="fr-CA"/>
        </w:rPr>
      </w:pPr>
      <w:r w:rsidRPr="0078104A">
        <w:rPr>
          <w:rStyle w:val="SCCCounselNameChar"/>
          <w:sz w:val="20"/>
          <w:lang w:val="fr-CA"/>
        </w:rPr>
        <w:tab/>
        <w:t>W. Clarke Hunter, c.r.</w:t>
      </w:r>
      <w:r w:rsidRPr="00375C44">
        <w:rPr>
          <w:rStyle w:val="SCCCounselSeparatorChar"/>
          <w:sz w:val="20"/>
        </w:rPr>
        <w:t xml:space="preserve">, </w:t>
      </w:r>
      <w:r w:rsidRPr="00375C44">
        <w:rPr>
          <w:rStyle w:val="SCCCounselSeparatorChar"/>
          <w:i/>
          <w:sz w:val="20"/>
        </w:rPr>
        <w:t>Kelly Gill</w:t>
      </w:r>
      <w:r w:rsidRPr="00375C44">
        <w:rPr>
          <w:rStyle w:val="SCCCounselSeparatorChar"/>
          <w:sz w:val="20"/>
        </w:rPr>
        <w:t xml:space="preserve"> et </w:t>
      </w:r>
      <w:r w:rsidRPr="0078104A">
        <w:rPr>
          <w:rStyle w:val="SCCCounselNameChar"/>
          <w:sz w:val="20"/>
          <w:lang w:val="fr-CA"/>
        </w:rPr>
        <w:t>Brandon Potter</w:t>
      </w:r>
      <w:r w:rsidRPr="0078104A">
        <w:rPr>
          <w:rStyle w:val="SCCCounselPartyRoleChar"/>
          <w:sz w:val="20"/>
          <w:lang w:val="fr-CA"/>
        </w:rPr>
        <w:t>, pour l’appelante.</w:t>
      </w:r>
    </w:p>
    <w:p w:rsidR="0078104A" w:rsidRPr="0078104A" w:rsidRDefault="0078104A" w:rsidP="0078104A">
      <w:pPr>
        <w:pStyle w:val="SCCNormalDoubleSpacing"/>
        <w:spacing w:line="240" w:lineRule="auto"/>
        <w:rPr>
          <w:sz w:val="20"/>
          <w:lang w:val="fr-CA"/>
        </w:rPr>
      </w:pPr>
    </w:p>
    <w:p w:rsidR="0078104A" w:rsidRPr="0078104A" w:rsidRDefault="0078104A" w:rsidP="0078104A">
      <w:pPr>
        <w:pStyle w:val="SCCNormalDoubleSpacing"/>
        <w:spacing w:line="240" w:lineRule="auto"/>
        <w:rPr>
          <w:rStyle w:val="SCCCounselPartyRoleChar"/>
          <w:sz w:val="20"/>
          <w:lang w:val="fr-CA"/>
        </w:rPr>
      </w:pPr>
      <w:r w:rsidRPr="0078104A">
        <w:rPr>
          <w:rStyle w:val="SCCCounselNameChar"/>
          <w:sz w:val="20"/>
          <w:lang w:val="fr-CA"/>
        </w:rPr>
        <w:tab/>
        <w:t>Scott Miller</w:t>
      </w:r>
      <w:r w:rsidRPr="00375C44">
        <w:rPr>
          <w:rStyle w:val="SCCCounselSeparatorChar"/>
          <w:sz w:val="20"/>
        </w:rPr>
        <w:t xml:space="preserve">, </w:t>
      </w:r>
      <w:r w:rsidRPr="0078104A">
        <w:rPr>
          <w:rStyle w:val="SCCCounselNameChar"/>
          <w:sz w:val="20"/>
          <w:lang w:val="fr-CA"/>
        </w:rPr>
        <w:t>Sharon Griffin</w:t>
      </w:r>
      <w:r w:rsidRPr="00375C44">
        <w:rPr>
          <w:rStyle w:val="SCCCounselSeparatorChar"/>
          <w:sz w:val="20"/>
        </w:rPr>
        <w:t xml:space="preserve"> et </w:t>
      </w:r>
      <w:r w:rsidRPr="0078104A">
        <w:rPr>
          <w:rStyle w:val="SCCCounselNameChar"/>
          <w:sz w:val="20"/>
          <w:lang w:val="fr-CA"/>
        </w:rPr>
        <w:t>Heather Gallant</w:t>
      </w:r>
      <w:r w:rsidRPr="0078104A">
        <w:rPr>
          <w:rStyle w:val="SCCCounselPartyRoleChar"/>
          <w:sz w:val="20"/>
          <w:lang w:val="fr-CA"/>
        </w:rPr>
        <w:t>, pour l’intimée.</w:t>
      </w:r>
    </w:p>
    <w:p w:rsidR="0078104A" w:rsidRPr="0078104A" w:rsidRDefault="0078104A" w:rsidP="0078104A">
      <w:pPr>
        <w:pStyle w:val="SCCNormalDoubleSpacing"/>
        <w:spacing w:line="240" w:lineRule="auto"/>
        <w:rPr>
          <w:sz w:val="20"/>
          <w:lang w:val="fr-CA"/>
        </w:rPr>
      </w:pPr>
    </w:p>
    <w:p w:rsidR="0078104A" w:rsidRPr="0078104A" w:rsidRDefault="0078104A" w:rsidP="0078104A">
      <w:pPr>
        <w:pStyle w:val="SCCNormalDoubleSpacing"/>
        <w:spacing w:line="240" w:lineRule="auto"/>
        <w:rPr>
          <w:rStyle w:val="SCCCounselPartyRoleChar"/>
          <w:sz w:val="20"/>
          <w:lang w:val="fr-CA"/>
        </w:rPr>
      </w:pPr>
      <w:r w:rsidRPr="0078104A">
        <w:rPr>
          <w:rStyle w:val="SCCCounselNameChar"/>
          <w:sz w:val="20"/>
          <w:lang w:val="fr-CA"/>
        </w:rPr>
        <w:tab/>
        <w:t>Daniel R. Bereskin, c.r.,</w:t>
      </w:r>
      <w:r w:rsidRPr="00375C44">
        <w:rPr>
          <w:rStyle w:val="SCCCounselSeparatorChar"/>
          <w:sz w:val="20"/>
        </w:rPr>
        <w:t xml:space="preserve"> et </w:t>
      </w:r>
      <w:r w:rsidRPr="0078104A">
        <w:rPr>
          <w:rStyle w:val="SCCCounselNameChar"/>
          <w:sz w:val="20"/>
          <w:lang w:val="fr-CA"/>
        </w:rPr>
        <w:t>Mark L. Robbins</w:t>
      </w:r>
      <w:r w:rsidRPr="0078104A">
        <w:rPr>
          <w:rStyle w:val="SCCCounselPartyRoleChar"/>
          <w:sz w:val="20"/>
          <w:lang w:val="fr-CA"/>
        </w:rPr>
        <w:t>, pour l’intervenante.</w:t>
      </w:r>
    </w:p>
    <w:p w:rsidR="0078104A" w:rsidRPr="0078104A" w:rsidRDefault="0078104A" w:rsidP="0078104A">
      <w:pPr>
        <w:pStyle w:val="SCCNormalDoubleSpacing"/>
        <w:spacing w:line="240" w:lineRule="auto"/>
        <w:rPr>
          <w:sz w:val="20"/>
          <w:lang w:val="fr-CA"/>
        </w:rPr>
      </w:pPr>
    </w:p>
    <w:p w:rsidR="0078104A" w:rsidRPr="0078104A" w:rsidRDefault="0078104A" w:rsidP="0078104A">
      <w:pPr>
        <w:pStyle w:val="SCCLawFirm"/>
        <w:spacing w:line="240" w:lineRule="auto"/>
        <w:rPr>
          <w:sz w:val="20"/>
          <w:lang w:val="fr-CA"/>
        </w:rPr>
      </w:pPr>
      <w:r w:rsidRPr="0078104A">
        <w:rPr>
          <w:sz w:val="20"/>
          <w:lang w:val="fr-CA"/>
        </w:rPr>
        <w:tab/>
        <w:t>Procureurs de l’appelante : MacLeod Dixon, Calgary.</w:t>
      </w:r>
    </w:p>
    <w:p w:rsidR="0078104A" w:rsidRPr="0078104A" w:rsidRDefault="0078104A" w:rsidP="0078104A">
      <w:pPr>
        <w:pStyle w:val="SCCNormalDoubleSpacing"/>
        <w:spacing w:line="240" w:lineRule="auto"/>
        <w:rPr>
          <w:lang w:val="fr-CA"/>
        </w:rPr>
      </w:pPr>
    </w:p>
    <w:p w:rsidR="0078104A" w:rsidRPr="0078104A" w:rsidRDefault="0078104A" w:rsidP="0078104A">
      <w:pPr>
        <w:pStyle w:val="SCCLawFirm"/>
        <w:spacing w:line="240" w:lineRule="auto"/>
        <w:rPr>
          <w:sz w:val="20"/>
          <w:lang w:val="fr-CA"/>
        </w:rPr>
      </w:pPr>
      <w:r w:rsidRPr="0078104A">
        <w:rPr>
          <w:sz w:val="20"/>
          <w:lang w:val="fr-CA"/>
        </w:rPr>
        <w:tab/>
        <w:t>Procureurs de l’intimée : MBM Intellectual Property Law, Ottawa.</w:t>
      </w:r>
    </w:p>
    <w:p w:rsidR="0078104A" w:rsidRPr="0078104A" w:rsidRDefault="0078104A" w:rsidP="0078104A">
      <w:pPr>
        <w:pStyle w:val="SCCNormalDoubleSpacing"/>
        <w:spacing w:line="240" w:lineRule="auto"/>
        <w:rPr>
          <w:lang w:val="fr-CA"/>
        </w:rPr>
      </w:pPr>
    </w:p>
    <w:p w:rsidR="0078104A" w:rsidRPr="0078104A" w:rsidRDefault="0078104A" w:rsidP="0078104A">
      <w:pPr>
        <w:pStyle w:val="SCCLawFirm"/>
        <w:spacing w:line="240" w:lineRule="auto"/>
        <w:rPr>
          <w:sz w:val="20"/>
          <w:lang w:val="fr-CA"/>
        </w:rPr>
      </w:pPr>
      <w:r w:rsidRPr="0078104A">
        <w:rPr>
          <w:sz w:val="20"/>
          <w:lang w:val="fr-CA"/>
        </w:rPr>
        <w:tab/>
        <w:t>Procureurs de l’intervenante : Bereskin &amp; Parr, Toronto.</w:t>
      </w:r>
    </w:p>
    <w:p w:rsidR="003B3977" w:rsidRDefault="003B3977" w:rsidP="005C6840">
      <w:pPr>
        <w:rPr>
          <w:rFonts w:cs="Times New Roman"/>
          <w:sz w:val="20"/>
          <w:szCs w:val="20"/>
          <w:lang w:val="fr-CA"/>
        </w:rPr>
      </w:pPr>
    </w:p>
    <w:p w:rsidR="005C6840" w:rsidRDefault="008C2B81" w:rsidP="005C6840">
      <w:pPr>
        <w:rPr>
          <w:lang w:val="fr-CA"/>
        </w:rPr>
      </w:pPr>
      <w:r w:rsidRPr="008C2B81">
        <w:rPr>
          <w:rFonts w:cs="Times New Roman"/>
          <w:sz w:val="20"/>
          <w:szCs w:val="20"/>
          <w:lang w:val="fr-CA"/>
        </w:rPr>
        <w:pict>
          <v:rect id="_x0000_i1074" style="width:144.3pt;height:1pt" o:hrpct="300" o:hralign="center" o:hrstd="t" o:hrnoshade="t" o:hr="t" fillcolor="black [3213]" stroked="f"/>
        </w:pict>
      </w:r>
      <w:r w:rsidR="005C6840">
        <w:rPr>
          <w:lang w:val="fr-CA"/>
        </w:rPr>
        <w:br w:type="page"/>
      </w:r>
    </w:p>
    <w:p w:rsidR="00003473" w:rsidRPr="00FE1B49" w:rsidRDefault="00003473" w:rsidP="00003473">
      <w:pPr>
        <w:ind w:left="720" w:hanging="720"/>
        <w:jc w:val="both"/>
        <w:rPr>
          <w:rFonts w:eastAsia="Calibri" w:cs="Times New Roman"/>
          <w:sz w:val="20"/>
          <w:szCs w:val="20"/>
          <w:lang w:val="en-GB"/>
        </w:rPr>
      </w:pPr>
      <w:r w:rsidRPr="00FE1B49">
        <w:rPr>
          <w:rFonts w:eastAsia="Calibri" w:cs="Times New Roman"/>
          <w:i/>
          <w:sz w:val="20"/>
          <w:szCs w:val="20"/>
        </w:rPr>
        <w:lastRenderedPageBreak/>
        <w:t xml:space="preserve">Her Majesty the Queen v. J.A. </w:t>
      </w:r>
      <w:r w:rsidRPr="00FE1B49">
        <w:rPr>
          <w:rFonts w:eastAsia="Calibri" w:cs="Times New Roman"/>
          <w:sz w:val="20"/>
          <w:szCs w:val="20"/>
        </w:rPr>
        <w:t>(Ont.) (</w:t>
      </w:r>
      <w:r w:rsidRPr="00FE1B49">
        <w:rPr>
          <w:rFonts w:eastAsia="Calibri" w:cs="Times New Roman"/>
          <w:sz w:val="20"/>
          <w:szCs w:val="20"/>
          <w:lang w:val="en-GB"/>
        </w:rPr>
        <w:t>33684)</w:t>
      </w:r>
    </w:p>
    <w:p w:rsidR="00A27481" w:rsidRPr="00E808CD" w:rsidRDefault="00A27481" w:rsidP="00A27481">
      <w:pPr>
        <w:jc w:val="both"/>
        <w:rPr>
          <w:rFonts w:cs="Times New Roman"/>
          <w:b/>
          <w:sz w:val="20"/>
          <w:szCs w:val="20"/>
        </w:rPr>
      </w:pPr>
      <w:r w:rsidRPr="00B521A4">
        <w:rPr>
          <w:rFonts w:cs="Times New Roman"/>
          <w:b/>
          <w:sz w:val="20"/>
          <w:szCs w:val="20"/>
          <w:lang w:val="en-US"/>
        </w:rPr>
        <w:t>Indexed as:  </w:t>
      </w:r>
      <w:r w:rsidRPr="00B521A4">
        <w:rPr>
          <w:rStyle w:val="SCCAppellantForIndexChar"/>
          <w:rFonts w:eastAsia="Calibri"/>
          <w:sz w:val="20"/>
          <w:lang w:val="en-US"/>
        </w:rPr>
        <w:t>R.</w:t>
      </w:r>
      <w:r w:rsidRPr="00B521A4">
        <w:rPr>
          <w:rFonts w:cs="Times New Roman"/>
          <w:b/>
          <w:sz w:val="20"/>
          <w:szCs w:val="20"/>
          <w:lang w:val="en-US"/>
        </w:rPr>
        <w:t xml:space="preserve"> </w:t>
      </w:r>
      <w:r w:rsidRPr="00B521A4">
        <w:rPr>
          <w:rFonts w:cs="Times New Roman"/>
          <w:b/>
          <w:i/>
          <w:sz w:val="20"/>
          <w:szCs w:val="20"/>
          <w:lang w:val="en-US"/>
        </w:rPr>
        <w:t>v.</w:t>
      </w:r>
      <w:r w:rsidRPr="00B521A4">
        <w:rPr>
          <w:rFonts w:cs="Times New Roman"/>
          <w:b/>
          <w:sz w:val="20"/>
          <w:szCs w:val="20"/>
          <w:lang w:val="en-US"/>
        </w:rPr>
        <w:t xml:space="preserve"> </w:t>
      </w:r>
      <w:r w:rsidRPr="00B521A4">
        <w:rPr>
          <w:rStyle w:val="SCCRespondentForIndexChar"/>
          <w:rFonts w:eastAsiaTheme="minorHAnsi"/>
          <w:sz w:val="20"/>
          <w:lang w:val="en-US"/>
        </w:rPr>
        <w:t>J.A.</w:t>
      </w:r>
      <w:r>
        <w:rPr>
          <w:rStyle w:val="SCCRespondentForIndexChar"/>
          <w:rFonts w:eastAsiaTheme="minorHAnsi"/>
          <w:sz w:val="20"/>
          <w:lang w:val="en-US"/>
        </w:rPr>
        <w:t xml:space="preserve"> / </w:t>
      </w:r>
      <w:r w:rsidRPr="00E808CD">
        <w:rPr>
          <w:rFonts w:cs="Times New Roman"/>
          <w:b/>
          <w:sz w:val="20"/>
          <w:szCs w:val="20"/>
        </w:rPr>
        <w:t>Répertorié : </w:t>
      </w:r>
      <w:r w:rsidRPr="0051504F">
        <w:rPr>
          <w:rStyle w:val="SCCAppellantForIndexChar"/>
          <w:rFonts w:eastAsia="Calibri"/>
          <w:sz w:val="20"/>
          <w:lang w:val="en-CA"/>
        </w:rPr>
        <w:t>R.</w:t>
      </w:r>
      <w:r w:rsidRPr="00E808CD">
        <w:rPr>
          <w:rFonts w:cs="Times New Roman"/>
          <w:b/>
          <w:sz w:val="20"/>
          <w:szCs w:val="20"/>
        </w:rPr>
        <w:t xml:space="preserve"> </w:t>
      </w:r>
      <w:r w:rsidRPr="00E808CD">
        <w:rPr>
          <w:rFonts w:cs="Times New Roman"/>
          <w:b/>
          <w:i/>
          <w:sz w:val="20"/>
          <w:szCs w:val="20"/>
        </w:rPr>
        <w:t>c.</w:t>
      </w:r>
      <w:r w:rsidRPr="00E808CD">
        <w:rPr>
          <w:rFonts w:cs="Times New Roman"/>
          <w:b/>
          <w:sz w:val="20"/>
          <w:szCs w:val="20"/>
        </w:rPr>
        <w:t xml:space="preserve"> </w:t>
      </w:r>
      <w:r w:rsidRPr="00E808CD">
        <w:rPr>
          <w:rStyle w:val="SCCRespondentForIndexChar"/>
          <w:rFonts w:eastAsiaTheme="minorHAnsi"/>
          <w:sz w:val="20"/>
        </w:rPr>
        <w:t>J.A.</w:t>
      </w:r>
    </w:p>
    <w:p w:rsidR="005C6840" w:rsidRPr="0051504F" w:rsidRDefault="005C6840" w:rsidP="005C6840">
      <w:pPr>
        <w:pStyle w:val="SCCSystemYear"/>
        <w:jc w:val="both"/>
        <w:rPr>
          <w:sz w:val="20"/>
          <w:lang w:val="en-CA"/>
        </w:rPr>
      </w:pPr>
      <w:r w:rsidRPr="0051504F">
        <w:rPr>
          <w:sz w:val="20"/>
          <w:lang w:val="en-CA"/>
        </w:rPr>
        <w:t>Neutral citation:  201</w:t>
      </w:r>
      <w:r w:rsidR="007F387B" w:rsidRPr="0051504F">
        <w:rPr>
          <w:sz w:val="20"/>
          <w:lang w:val="en-CA"/>
        </w:rPr>
        <w:t>1</w:t>
      </w:r>
      <w:r w:rsidRPr="0051504F">
        <w:rPr>
          <w:sz w:val="20"/>
          <w:lang w:val="en-CA"/>
        </w:rPr>
        <w:t xml:space="preserve"> SCC </w:t>
      </w:r>
      <w:r w:rsidR="007F387B" w:rsidRPr="0051504F">
        <w:rPr>
          <w:sz w:val="20"/>
          <w:lang w:val="en-CA"/>
        </w:rPr>
        <w:t>2</w:t>
      </w:r>
      <w:r w:rsidR="00003473" w:rsidRPr="0051504F">
        <w:rPr>
          <w:sz w:val="20"/>
          <w:lang w:val="en-CA"/>
        </w:rPr>
        <w:t>8</w:t>
      </w:r>
      <w:r w:rsidRPr="0051504F">
        <w:rPr>
          <w:sz w:val="20"/>
          <w:lang w:val="en-CA"/>
        </w:rPr>
        <w:t xml:space="preserve"> / Référence neutre : 201</w:t>
      </w:r>
      <w:r w:rsidR="007F387B" w:rsidRPr="0051504F">
        <w:rPr>
          <w:sz w:val="20"/>
          <w:lang w:val="en-CA"/>
        </w:rPr>
        <w:t>1</w:t>
      </w:r>
      <w:r w:rsidRPr="0051504F">
        <w:rPr>
          <w:sz w:val="20"/>
          <w:lang w:val="en-CA"/>
        </w:rPr>
        <w:t xml:space="preserve"> CSC </w:t>
      </w:r>
      <w:r w:rsidR="007F387B" w:rsidRPr="0051504F">
        <w:rPr>
          <w:sz w:val="20"/>
          <w:lang w:val="en-CA"/>
        </w:rPr>
        <w:t>2</w:t>
      </w:r>
      <w:r w:rsidR="00003473" w:rsidRPr="0051504F">
        <w:rPr>
          <w:sz w:val="20"/>
          <w:lang w:val="en-CA"/>
        </w:rPr>
        <w:t>8</w:t>
      </w:r>
    </w:p>
    <w:p w:rsidR="005C6840" w:rsidRPr="0051504F" w:rsidRDefault="005C6840" w:rsidP="005C6840">
      <w:pPr>
        <w:rPr>
          <w:sz w:val="20"/>
          <w:szCs w:val="20"/>
        </w:rPr>
      </w:pPr>
      <w:r w:rsidRPr="0051504F">
        <w:rPr>
          <w:sz w:val="20"/>
          <w:szCs w:val="20"/>
        </w:rPr>
        <w:t xml:space="preserve">Hearing:  </w:t>
      </w:r>
      <w:r w:rsidR="0051504F" w:rsidRPr="0051504F">
        <w:rPr>
          <w:sz w:val="20"/>
          <w:szCs w:val="20"/>
        </w:rPr>
        <w:t>November</w:t>
      </w:r>
      <w:r w:rsidRPr="0051504F">
        <w:rPr>
          <w:sz w:val="20"/>
          <w:szCs w:val="20"/>
        </w:rPr>
        <w:t xml:space="preserve"> </w:t>
      </w:r>
      <w:r w:rsidR="0051504F" w:rsidRPr="0051504F">
        <w:rPr>
          <w:sz w:val="20"/>
          <w:szCs w:val="20"/>
        </w:rPr>
        <w:t>8</w:t>
      </w:r>
      <w:r w:rsidRPr="0051504F">
        <w:rPr>
          <w:sz w:val="20"/>
          <w:szCs w:val="20"/>
        </w:rPr>
        <w:t xml:space="preserve">, 2010 / Judgment:  </w:t>
      </w:r>
      <w:r w:rsidR="00003473" w:rsidRPr="0051504F">
        <w:rPr>
          <w:sz w:val="20"/>
          <w:szCs w:val="20"/>
        </w:rPr>
        <w:t xml:space="preserve">May </w:t>
      </w:r>
      <w:r w:rsidRPr="0051504F">
        <w:rPr>
          <w:sz w:val="20"/>
          <w:szCs w:val="20"/>
        </w:rPr>
        <w:t>2</w:t>
      </w:r>
      <w:r w:rsidR="00003473" w:rsidRPr="0051504F">
        <w:rPr>
          <w:sz w:val="20"/>
          <w:szCs w:val="20"/>
        </w:rPr>
        <w:t>7</w:t>
      </w:r>
      <w:r w:rsidRPr="0051504F">
        <w:rPr>
          <w:sz w:val="20"/>
          <w:szCs w:val="20"/>
        </w:rPr>
        <w:t>, 201</w:t>
      </w:r>
      <w:r w:rsidR="00003473" w:rsidRPr="0051504F">
        <w:rPr>
          <w:sz w:val="20"/>
          <w:szCs w:val="20"/>
        </w:rPr>
        <w:t>1</w:t>
      </w:r>
    </w:p>
    <w:p w:rsidR="005C6840" w:rsidRPr="003B3977" w:rsidRDefault="005C6840" w:rsidP="005C6840">
      <w:pPr>
        <w:rPr>
          <w:sz w:val="20"/>
          <w:szCs w:val="20"/>
          <w:lang w:val="fr-CA"/>
        </w:rPr>
      </w:pPr>
      <w:r w:rsidRPr="003B3977">
        <w:rPr>
          <w:sz w:val="20"/>
          <w:szCs w:val="20"/>
          <w:lang w:val="fr-CA"/>
        </w:rPr>
        <w:t xml:space="preserve">Audition : Le </w:t>
      </w:r>
      <w:r w:rsidR="0051504F">
        <w:rPr>
          <w:sz w:val="20"/>
          <w:szCs w:val="20"/>
          <w:lang w:val="fr-CA"/>
        </w:rPr>
        <w:t>8 novembre</w:t>
      </w:r>
      <w:r w:rsidRPr="003B3977">
        <w:rPr>
          <w:sz w:val="20"/>
          <w:szCs w:val="20"/>
          <w:lang w:val="fr-CA"/>
        </w:rPr>
        <w:t xml:space="preserve"> 2010 / Jugement : Le 2</w:t>
      </w:r>
      <w:r w:rsidR="00003473">
        <w:rPr>
          <w:sz w:val="20"/>
          <w:szCs w:val="20"/>
          <w:lang w:val="fr-CA"/>
        </w:rPr>
        <w:t>7 mai</w:t>
      </w:r>
      <w:r w:rsidRPr="003B3977">
        <w:rPr>
          <w:sz w:val="20"/>
          <w:szCs w:val="20"/>
          <w:lang w:val="fr-CA"/>
        </w:rPr>
        <w:t xml:space="preserve"> 201</w:t>
      </w:r>
      <w:r w:rsidR="00003473">
        <w:rPr>
          <w:sz w:val="20"/>
          <w:szCs w:val="20"/>
          <w:lang w:val="fr-CA"/>
        </w:rPr>
        <w:t>1</w:t>
      </w:r>
    </w:p>
    <w:p w:rsidR="005C6840" w:rsidRPr="003B3977" w:rsidRDefault="008C2B81" w:rsidP="005C6840">
      <w:pPr>
        <w:rPr>
          <w:sz w:val="20"/>
          <w:szCs w:val="20"/>
          <w:lang w:val="fr-CA"/>
        </w:rPr>
      </w:pPr>
      <w:r w:rsidRPr="008C2B81">
        <w:rPr>
          <w:i/>
          <w:sz w:val="20"/>
          <w:szCs w:val="20"/>
        </w:rPr>
        <w:pict>
          <v:rect id="_x0000_i1075" style="width:480.95pt;height:1pt" o:hralign="center" o:hrstd="t" o:hrnoshade="t" o:hr="t" fillcolor="black [3213]" stroked="f"/>
        </w:pict>
      </w:r>
    </w:p>
    <w:p w:rsidR="005C6840" w:rsidRDefault="005C6840" w:rsidP="005C6840">
      <w:pPr>
        <w:spacing w:line="0" w:lineRule="atLeast"/>
        <w:rPr>
          <w:sz w:val="20"/>
          <w:szCs w:val="20"/>
          <w:lang w:val="fr-CA"/>
        </w:rPr>
      </w:pPr>
    </w:p>
    <w:p w:rsidR="0051504F" w:rsidRPr="00B521A4" w:rsidRDefault="0051504F" w:rsidP="0051504F">
      <w:pPr>
        <w:jc w:val="both"/>
        <w:rPr>
          <w:rFonts w:cs="Times New Roman"/>
          <w:sz w:val="20"/>
          <w:szCs w:val="20"/>
          <w:lang w:val="en-US"/>
        </w:rPr>
      </w:pPr>
      <w:r w:rsidRPr="00B521A4">
        <w:rPr>
          <w:rFonts w:cs="Times New Roman"/>
          <w:sz w:val="20"/>
          <w:szCs w:val="20"/>
          <w:lang w:val="en-US"/>
        </w:rPr>
        <w:t>Present:  McLachlin C.J. and Binnie, LeBel, Deschamps, Fish, Abella, Charron, Rothstein and Cromwell JJ.</w:t>
      </w:r>
    </w:p>
    <w:p w:rsidR="005B3DE4" w:rsidRPr="0051504F" w:rsidRDefault="005B3DE4" w:rsidP="005C6840">
      <w:pPr>
        <w:spacing w:line="0" w:lineRule="atLeast"/>
        <w:rPr>
          <w:sz w:val="20"/>
          <w:szCs w:val="20"/>
          <w:lang w:val="en-US"/>
        </w:rPr>
      </w:pPr>
    </w:p>
    <w:p w:rsidR="0051504F" w:rsidRDefault="0051504F" w:rsidP="0051504F">
      <w:pPr>
        <w:pStyle w:val="SCCNormalDoubleSpacing"/>
        <w:spacing w:line="240" w:lineRule="auto"/>
        <w:rPr>
          <w:i/>
          <w:sz w:val="20"/>
          <w:lang w:val="en-US"/>
        </w:rPr>
      </w:pPr>
      <w:r w:rsidRPr="00B521A4">
        <w:rPr>
          <w:sz w:val="20"/>
          <w:lang w:val="en-US"/>
        </w:rPr>
        <w:tab/>
      </w:r>
      <w:r w:rsidRPr="00B521A4">
        <w:rPr>
          <w:i/>
          <w:sz w:val="20"/>
          <w:lang w:val="en-US"/>
        </w:rPr>
        <w:t>Criminal law — Sexual assault — Consent — Accused and complainant  consensually engaging in erotic asphyxiation — Accused anally penetrating complainant during period of unconsciousness — Whether Criminal Code defines consent as requiring conscious, operating mind throughout sexual activity — Whether consent to sexual activity may be given prior to period of unconsciousness —Criminal Code, R.S.C. 1985, c. C</w:t>
      </w:r>
      <w:r w:rsidRPr="00B521A4">
        <w:rPr>
          <w:i/>
          <w:sz w:val="20"/>
          <w:lang w:val="en-US"/>
        </w:rPr>
        <w:noBreakHyphen/>
        <w:t>46, ss. 265, 273.1 and 273.2.</w:t>
      </w:r>
    </w:p>
    <w:p w:rsidR="0051504F" w:rsidRPr="00B521A4" w:rsidRDefault="0051504F" w:rsidP="0051504F">
      <w:pPr>
        <w:pStyle w:val="SCCNormalDoubleSpacing"/>
        <w:spacing w:line="240" w:lineRule="auto"/>
        <w:rPr>
          <w:i/>
          <w:sz w:val="20"/>
          <w:lang w:val="en-US"/>
        </w:rPr>
      </w:pPr>
    </w:p>
    <w:p w:rsidR="0051504F" w:rsidRDefault="0051504F" w:rsidP="0051504F">
      <w:pPr>
        <w:pStyle w:val="SCCNormalDoubleSpacing"/>
        <w:spacing w:line="240" w:lineRule="auto"/>
        <w:rPr>
          <w:sz w:val="20"/>
          <w:lang w:val="en-US"/>
        </w:rPr>
      </w:pPr>
      <w:r w:rsidRPr="00B521A4">
        <w:rPr>
          <w:sz w:val="20"/>
          <w:lang w:val="en-US"/>
        </w:rPr>
        <w:tab/>
        <w:t>One evening, in the course of sexual relations, J.A. placed his hands around the throat of his long</w:t>
      </w:r>
      <w:r w:rsidRPr="00B521A4">
        <w:rPr>
          <w:sz w:val="20"/>
          <w:lang w:val="en-US"/>
        </w:rPr>
        <w:noBreakHyphen/>
        <w:t>term partner K.D. and choked her until she was unconscious.  At trial, K.D. estimated that she was unconscious for “less than three minutes”.  She testified that she consented to J.A. choking her, and understood that she might lose consciousness.  She stated that she and J.A. had experimented with erotic asphyxiation, and that she had lost consciousness before.  When K.D. regained consciousness, her hands were tied behind her back, and J.A. was inserting a dildo into her anus.  K.D. gave conflicting testimony about whether this was the first time J.A. had inserted a dildo in her anus.  J.A. removed the dildo ten seconds after she regained consciousness.  The two then had vaginal intercourse.  When they finished, J.A. cut K.D.’s hands loose.</w:t>
      </w:r>
    </w:p>
    <w:p w:rsidR="0051504F" w:rsidRPr="00B521A4" w:rsidRDefault="0051504F" w:rsidP="0051504F">
      <w:pPr>
        <w:pStyle w:val="SCCNormalDoubleSpacing"/>
        <w:spacing w:line="240" w:lineRule="auto"/>
        <w:rPr>
          <w:sz w:val="20"/>
          <w:lang w:val="en-US"/>
        </w:rPr>
      </w:pPr>
    </w:p>
    <w:p w:rsidR="0051504F" w:rsidRDefault="0051504F" w:rsidP="0051504F">
      <w:pPr>
        <w:pStyle w:val="SCCNormalDoubleSpacing"/>
        <w:spacing w:line="240" w:lineRule="auto"/>
        <w:rPr>
          <w:sz w:val="20"/>
          <w:lang w:val="en-US"/>
        </w:rPr>
      </w:pPr>
      <w:r w:rsidRPr="00B521A4">
        <w:rPr>
          <w:sz w:val="20"/>
          <w:lang w:val="en-US"/>
        </w:rPr>
        <w:tab/>
        <w:t>K.D. made a complaint to the police two months later and stated that while she consented to the choking, she had not consented to the sexual activity that had occurred.  She later recanted her allegation, claiming that she made the complaint because J.A. threatened to seek sole custody of their young son.  The trial judge convicted J.A. of sexual assault.  A majority of the Court of Appeal allowed the appeal, set aside the conviction and dismissed the charges against J.A.</w:t>
      </w:r>
    </w:p>
    <w:p w:rsidR="0051504F" w:rsidRPr="00B521A4" w:rsidRDefault="0051504F" w:rsidP="0051504F">
      <w:pPr>
        <w:pStyle w:val="SCCNormalDoubleSpacing"/>
        <w:spacing w:line="240" w:lineRule="auto"/>
        <w:rPr>
          <w:sz w:val="20"/>
          <w:lang w:val="en-US"/>
        </w:rPr>
      </w:pPr>
    </w:p>
    <w:p w:rsidR="0051504F" w:rsidRDefault="0051504F" w:rsidP="0051504F">
      <w:pPr>
        <w:pStyle w:val="SCCNormalDoubleSpacing"/>
        <w:spacing w:line="240" w:lineRule="auto"/>
        <w:rPr>
          <w:sz w:val="20"/>
          <w:lang w:val="en-US"/>
        </w:rPr>
      </w:pPr>
      <w:r w:rsidRPr="00B521A4">
        <w:rPr>
          <w:sz w:val="20"/>
          <w:lang w:val="en-US"/>
        </w:rPr>
        <w:tab/>
      </w:r>
      <w:r w:rsidRPr="0051504F">
        <w:rPr>
          <w:rStyle w:val="QuoteChar"/>
          <w:sz w:val="20"/>
          <w:lang w:val="en-CA"/>
        </w:rPr>
        <w:t>Held</w:t>
      </w:r>
      <w:r w:rsidRPr="00B521A4">
        <w:rPr>
          <w:sz w:val="20"/>
          <w:lang w:val="en-US"/>
        </w:rPr>
        <w:t xml:space="preserve"> (Binnie, LeBel and Fish JJ. dissenting):  The appeal should be allowed and the respondent’s conviction for sexual assault restored.</w:t>
      </w:r>
    </w:p>
    <w:p w:rsidR="0051504F" w:rsidRPr="00B521A4" w:rsidRDefault="0051504F" w:rsidP="0051504F">
      <w:pPr>
        <w:pStyle w:val="SCCNormalDoubleSpacing"/>
        <w:spacing w:line="240" w:lineRule="auto"/>
        <w:rPr>
          <w:sz w:val="20"/>
          <w:lang w:val="en-US"/>
        </w:rPr>
      </w:pPr>
    </w:p>
    <w:p w:rsidR="0051504F" w:rsidRDefault="0051504F" w:rsidP="0051504F">
      <w:pPr>
        <w:pStyle w:val="SCCNormalDoubleSpacing"/>
        <w:spacing w:line="240" w:lineRule="auto"/>
        <w:rPr>
          <w:sz w:val="20"/>
          <w:lang w:val="en-US"/>
        </w:rPr>
      </w:pPr>
      <w:r w:rsidRPr="00B521A4">
        <w:rPr>
          <w:sz w:val="20"/>
          <w:lang w:val="en-US"/>
        </w:rPr>
        <w:tab/>
      </w:r>
      <w:r w:rsidRPr="00B521A4">
        <w:rPr>
          <w:i/>
          <w:sz w:val="20"/>
          <w:lang w:val="en-US"/>
        </w:rPr>
        <w:t xml:space="preserve">Per </w:t>
      </w:r>
      <w:r w:rsidRPr="00B521A4">
        <w:rPr>
          <w:b/>
          <w:sz w:val="20"/>
          <w:lang w:val="en-US"/>
        </w:rPr>
        <w:t>McLachlin C.J.</w:t>
      </w:r>
      <w:r w:rsidRPr="00B521A4">
        <w:rPr>
          <w:sz w:val="20"/>
          <w:lang w:val="en-US"/>
        </w:rPr>
        <w:t xml:space="preserve"> and Deschamps, Abella, Charron, Rothstein and Cromwell J.J.:  The issue to resolve in this appeal is whether a person can perform sexual acts on an unconscious person if the person consented to those acts in advance of being rendered unconscious.  Parliament has defined consent in a way that requires the complainant to be conscious throughout the sexual activity in question.  Parliament’s definition of consent does not extend to advance consent to sexual acts committed while the complainant is unconscious.  The legislation requires ongoing, conscious consent to ensure that women and men are not the victims of sexual exploitation, and to ensure that individuals engaging in sexual activity are capable of asking their partners to stop at any point. </w:t>
      </w:r>
    </w:p>
    <w:p w:rsidR="0051504F" w:rsidRPr="00B521A4" w:rsidRDefault="0051504F" w:rsidP="0051504F">
      <w:pPr>
        <w:pStyle w:val="SCCNormalDoubleSpacing"/>
        <w:spacing w:line="240" w:lineRule="auto"/>
        <w:rPr>
          <w:sz w:val="20"/>
          <w:lang w:val="en-US"/>
        </w:rPr>
      </w:pPr>
    </w:p>
    <w:p w:rsidR="0051504F" w:rsidRDefault="0051504F" w:rsidP="0051504F">
      <w:pPr>
        <w:pStyle w:val="SCCNormalDoubleSpacing"/>
        <w:spacing w:line="240" w:lineRule="auto"/>
        <w:rPr>
          <w:sz w:val="20"/>
          <w:lang w:val="en-US"/>
        </w:rPr>
      </w:pPr>
      <w:r w:rsidRPr="00B521A4">
        <w:rPr>
          <w:sz w:val="20"/>
          <w:lang w:val="en-US"/>
        </w:rPr>
        <w:tab/>
        <w:t xml:space="preserve">This definition of consent is in harmony with the provisions of the </w:t>
      </w:r>
      <w:r w:rsidRPr="00B521A4">
        <w:rPr>
          <w:i/>
          <w:sz w:val="20"/>
          <w:lang w:val="en-US"/>
        </w:rPr>
        <w:t>Criminal Code</w:t>
      </w:r>
      <w:r w:rsidRPr="00B521A4">
        <w:rPr>
          <w:sz w:val="20"/>
          <w:lang w:val="en-US"/>
        </w:rPr>
        <w:t xml:space="preserve"> and their underlying policies and is also consistent with the tenor of the jurisprudence of this Court.  The jurisprudence has consistently interpreted consent as requiring a conscious, operating mind, capable of granting, revoking or withholding consent to each and every sexual act.  The jurisprudence also establishes that there is no substitute for the complainant’s actual consent to the sexual activity at the time it occurred.  It is not sufficient for the accused to have believed the complainant was consenting:  he must also take reasonable steps to ascertain consent, and must believe that the complainant communicated her consent to engage in the sexual activity in question.  This is impossible if the complainant is unconscious.</w:t>
      </w:r>
    </w:p>
    <w:p w:rsidR="0051504F" w:rsidRPr="00B521A4" w:rsidRDefault="0051504F" w:rsidP="0051504F">
      <w:pPr>
        <w:pStyle w:val="SCCNormalDoubleSpacing"/>
        <w:spacing w:line="240" w:lineRule="auto"/>
        <w:rPr>
          <w:sz w:val="20"/>
          <w:lang w:val="en-US"/>
        </w:rPr>
      </w:pPr>
    </w:p>
    <w:p w:rsidR="0051504F" w:rsidRDefault="0051504F" w:rsidP="0051504F">
      <w:pPr>
        <w:pStyle w:val="SCCNormalDoubleSpacing"/>
        <w:spacing w:line="240" w:lineRule="auto"/>
        <w:rPr>
          <w:sz w:val="20"/>
          <w:lang w:val="en-US"/>
        </w:rPr>
      </w:pPr>
      <w:r w:rsidRPr="00B521A4">
        <w:rPr>
          <w:sz w:val="20"/>
          <w:lang w:val="en-US"/>
        </w:rPr>
        <w:tab/>
        <w:t xml:space="preserve">The argument that advance consent equals actual consent because the complainant cannot change her mind after being rendered unconscious runs contrary to this Court’s conclusion in </w:t>
      </w:r>
      <w:r w:rsidRPr="00B521A4">
        <w:rPr>
          <w:i/>
          <w:sz w:val="20"/>
          <w:lang w:val="en-US"/>
        </w:rPr>
        <w:t>R. v. Ewanchuk</w:t>
      </w:r>
      <w:r w:rsidRPr="00B521A4">
        <w:rPr>
          <w:sz w:val="20"/>
          <w:lang w:val="en-US"/>
        </w:rPr>
        <w:t xml:space="preserve"> that the only relevant period for ascertaining whether the complainant consented under the </w:t>
      </w:r>
      <w:r w:rsidRPr="00B521A4">
        <w:rPr>
          <w:i/>
          <w:sz w:val="20"/>
          <w:lang w:val="en-US"/>
        </w:rPr>
        <w:t>Criminal Code</w:t>
      </w:r>
      <w:r w:rsidRPr="00B521A4">
        <w:rPr>
          <w:sz w:val="20"/>
          <w:lang w:val="en-US"/>
        </w:rPr>
        <w:t xml:space="preserve"> is while the touching is occurring.  When the complainant loses consciousness, she loses the ability to either oppose or consent to the sexual activity that occurs.  Finding that such a person is consenting would effectively negate the right of the complainant to change her mind at any point in the sexual encounter.</w:t>
      </w:r>
    </w:p>
    <w:p w:rsidR="0051504F" w:rsidRDefault="0051504F" w:rsidP="0051504F">
      <w:pPr>
        <w:pStyle w:val="SCCNormalDoubleSpacing"/>
        <w:spacing w:line="240" w:lineRule="auto"/>
        <w:rPr>
          <w:sz w:val="20"/>
          <w:lang w:val="en-US"/>
        </w:rPr>
      </w:pPr>
      <w:r w:rsidRPr="00B521A4">
        <w:rPr>
          <w:sz w:val="20"/>
          <w:lang w:val="en-US"/>
        </w:rPr>
        <w:lastRenderedPageBreak/>
        <w:tab/>
        <w:t>In some situations, the concept of consent Parliament has adopted may seem unrealistic.  However, it would be inappropriate for this Court to carve out exceptions to the concept of consent when doing so would undermine Parliament’s choice.  This concept of consent produces just results in the vast majority of cases and has proved to be of great value in combating stereotypes that have historically existed.  In the absence of a constitutional challenge, the appropriate body to alter the law on consent in relation to sexual assault is Parliament, should it deem this necessary.</w:t>
      </w:r>
    </w:p>
    <w:p w:rsidR="0051504F" w:rsidRDefault="0051504F" w:rsidP="0051504F">
      <w:pPr>
        <w:pStyle w:val="SCCNormalDoubleSpacing"/>
        <w:spacing w:line="240" w:lineRule="auto"/>
        <w:rPr>
          <w:sz w:val="20"/>
          <w:lang w:val="en-US"/>
        </w:rPr>
      </w:pPr>
    </w:p>
    <w:p w:rsidR="0051504F" w:rsidRDefault="0051504F" w:rsidP="0051504F">
      <w:pPr>
        <w:pStyle w:val="SCCNormalDoubleSpacing"/>
        <w:spacing w:line="240" w:lineRule="auto"/>
        <w:rPr>
          <w:sz w:val="20"/>
          <w:lang w:val="en-US"/>
        </w:rPr>
      </w:pPr>
      <w:r w:rsidRPr="00B521A4">
        <w:rPr>
          <w:sz w:val="20"/>
          <w:lang w:val="en-US"/>
        </w:rPr>
        <w:tab/>
      </w:r>
      <w:r w:rsidRPr="00B521A4">
        <w:rPr>
          <w:i/>
          <w:sz w:val="20"/>
          <w:lang w:val="en-US"/>
        </w:rPr>
        <w:t>Per</w:t>
      </w:r>
      <w:r w:rsidRPr="00B521A4">
        <w:rPr>
          <w:sz w:val="20"/>
          <w:lang w:val="en-US"/>
        </w:rPr>
        <w:t xml:space="preserve"> Binnie, LeBel and </w:t>
      </w:r>
      <w:r w:rsidRPr="00B521A4">
        <w:rPr>
          <w:b/>
          <w:sz w:val="20"/>
          <w:lang w:val="en-US"/>
        </w:rPr>
        <w:t>Fish</w:t>
      </w:r>
      <w:r w:rsidRPr="00B521A4">
        <w:rPr>
          <w:sz w:val="20"/>
          <w:lang w:val="en-US"/>
        </w:rPr>
        <w:t> J.J. (dissenting):  It is a fundamental principle of the law governing sexual assault in Canada that no means “no” and only yes means “yes”.  In this case, K.D. said yes, not no.  She engaged with J.A. in sexual activity to which she had freely consented in advance, while conscious.  To convict J.A. of sexual assault in these circumstances is unwarranted as a matter of statutory interpretation, prior decisions of the Court, or considerations of policy.  And it is wrong on the facts of this case.</w:t>
      </w:r>
    </w:p>
    <w:p w:rsidR="0051504F" w:rsidRPr="00B521A4" w:rsidRDefault="0051504F" w:rsidP="0051504F">
      <w:pPr>
        <w:pStyle w:val="SCCNormalDoubleSpacing"/>
        <w:spacing w:line="240" w:lineRule="auto"/>
        <w:rPr>
          <w:sz w:val="20"/>
          <w:lang w:val="en-US"/>
        </w:rPr>
      </w:pPr>
    </w:p>
    <w:p w:rsidR="0051504F" w:rsidRDefault="0051504F" w:rsidP="0051504F">
      <w:pPr>
        <w:pStyle w:val="SCCNormalDoubleSpacing"/>
        <w:spacing w:line="240" w:lineRule="auto"/>
        <w:rPr>
          <w:sz w:val="20"/>
          <w:lang w:val="en-US"/>
        </w:rPr>
      </w:pPr>
      <w:r w:rsidRPr="00B521A4">
        <w:rPr>
          <w:sz w:val="20"/>
          <w:lang w:val="en-US"/>
        </w:rPr>
        <w:tab/>
        <w:t xml:space="preserve">The provisions of the </w:t>
      </w:r>
      <w:r w:rsidRPr="00B521A4">
        <w:rPr>
          <w:i/>
          <w:sz w:val="20"/>
          <w:lang w:val="en-US"/>
        </w:rPr>
        <w:t>Criminal Code</w:t>
      </w:r>
      <w:r w:rsidRPr="00B521A4">
        <w:rPr>
          <w:sz w:val="20"/>
          <w:lang w:val="en-US"/>
        </w:rPr>
        <w:t xml:space="preserve"> regarding consent to sexual contact and the case law were intended to protect women against abuse by others.  They aim to safeguard and enhance the sexual autonomy of women, and not to make choices for them. </w:t>
      </w:r>
    </w:p>
    <w:p w:rsidR="0051504F" w:rsidRPr="00B521A4" w:rsidRDefault="0051504F" w:rsidP="0051504F">
      <w:pPr>
        <w:pStyle w:val="SCCNormalDoubleSpacing"/>
        <w:spacing w:line="240" w:lineRule="auto"/>
        <w:rPr>
          <w:sz w:val="20"/>
          <w:lang w:val="en-US"/>
        </w:rPr>
      </w:pPr>
    </w:p>
    <w:p w:rsidR="0051504F" w:rsidRDefault="0051504F" w:rsidP="0051504F">
      <w:pPr>
        <w:pStyle w:val="SCCNormalDoubleSpacing"/>
        <w:spacing w:line="240" w:lineRule="auto"/>
        <w:rPr>
          <w:sz w:val="20"/>
          <w:lang w:val="en-US"/>
        </w:rPr>
      </w:pPr>
      <w:r w:rsidRPr="00B521A4">
        <w:rPr>
          <w:sz w:val="20"/>
          <w:lang w:val="en-US"/>
        </w:rPr>
        <w:tab/>
        <w:t>It is a well</w:t>
      </w:r>
      <w:r w:rsidRPr="00B521A4">
        <w:rPr>
          <w:sz w:val="20"/>
          <w:lang w:val="en-US"/>
        </w:rPr>
        <w:noBreakHyphen/>
        <w:t xml:space="preserve">established principle that the complainant’s genuine consent precludes a finding of sexual assault.  There is nothing in the </w:t>
      </w:r>
      <w:r w:rsidRPr="00B521A4">
        <w:rPr>
          <w:i/>
          <w:sz w:val="20"/>
          <w:lang w:val="en-US"/>
        </w:rPr>
        <w:t>Criminal Code</w:t>
      </w:r>
      <w:r w:rsidRPr="00B521A4">
        <w:rPr>
          <w:sz w:val="20"/>
          <w:lang w:val="en-US"/>
        </w:rPr>
        <w:t xml:space="preserve"> that indicates that Parliament has considered or adopted a statutory exception to this principle which would vitiate consent to unconscious sexual activity.  Indeed, the wording of s. 273.1(2)(</w:t>
      </w:r>
      <w:r w:rsidRPr="00B521A4">
        <w:rPr>
          <w:i/>
          <w:sz w:val="20"/>
          <w:lang w:val="en-US"/>
        </w:rPr>
        <w:t>e</w:t>
      </w:r>
      <w:r w:rsidRPr="00B521A4">
        <w:rPr>
          <w:sz w:val="20"/>
          <w:lang w:val="en-US"/>
        </w:rPr>
        <w:t xml:space="preserve">) of the </w:t>
      </w:r>
      <w:r w:rsidRPr="00B521A4">
        <w:rPr>
          <w:i/>
          <w:sz w:val="20"/>
          <w:lang w:val="en-US"/>
        </w:rPr>
        <w:t>Criminal Code</w:t>
      </w:r>
      <w:r w:rsidRPr="00B521A4">
        <w:rPr>
          <w:sz w:val="20"/>
          <w:lang w:val="en-US"/>
        </w:rPr>
        <w:t xml:space="preserve"> suggests that the complainant’s consent can be given in advance, as it was in this case, and remains operative unless and until it is subsequently revoked.  Upon regaining consciousness, K.D. did not revoke her prior consent to the sexual conduct in issue — which was then still ongoing.  And it has not been suggested that she had earlier revoked her consent by words or conduct, or even in her own mind.</w:t>
      </w:r>
    </w:p>
    <w:p w:rsidR="0051504F" w:rsidRPr="00B521A4" w:rsidRDefault="0051504F" w:rsidP="0051504F">
      <w:pPr>
        <w:pStyle w:val="SCCNormalDoubleSpacing"/>
        <w:spacing w:line="240" w:lineRule="auto"/>
        <w:rPr>
          <w:sz w:val="20"/>
          <w:lang w:val="en-US"/>
        </w:rPr>
      </w:pPr>
    </w:p>
    <w:p w:rsidR="0051504F" w:rsidRDefault="003E6F42" w:rsidP="0051504F">
      <w:pPr>
        <w:pStyle w:val="SCCNormalDoubleSpacing"/>
        <w:spacing w:line="240" w:lineRule="auto"/>
        <w:rPr>
          <w:sz w:val="20"/>
          <w:lang w:val="en-US"/>
        </w:rPr>
      </w:pPr>
      <w:r>
        <w:rPr>
          <w:sz w:val="20"/>
          <w:lang w:val="en-US"/>
        </w:rPr>
        <w:tab/>
      </w:r>
      <w:r w:rsidR="0051504F" w:rsidRPr="00B521A4">
        <w:rPr>
          <w:sz w:val="20"/>
          <w:lang w:val="en-US"/>
        </w:rPr>
        <w:t xml:space="preserve">A person cannot, while unconscious, consent or revoke consent.  However, it hardly follows, that consenting adults cannot, as a matter of law, willingly and consciously agree to engage in a sexual practice involving transitory unconsciousness — on the ground that, during the brief period of that consensually induced mental state, they will be unable to consent to doing what they have already consented to do.  There is no factual or legal basis for holding that the complainant’s prior consent, otherwise operative throughout, was temporarily rendered inoperative during the few minutes of her voluntary unconsciousness.  It was not suspended by the fact that she had rendered herself incapable of revoking the consent she had chosen, freely and consciously, not to revoke either immediately before or immediately after the brief interval of her unconsciousness.  The complainant’s prior consent to the activity in question constituted a valid consent only to the contemplated activity.  In the absence of any evidence that J.A.’s conduct exceeded the scope of the complainant’s consent, or caused her bodily harm that would vitiate her consent at common law, there is no basis in the provisions of the </w:t>
      </w:r>
      <w:r w:rsidR="0051504F" w:rsidRPr="00B521A4">
        <w:rPr>
          <w:i/>
          <w:sz w:val="20"/>
          <w:lang w:val="en-US"/>
        </w:rPr>
        <w:t>Criminal Code</w:t>
      </w:r>
      <w:r w:rsidR="0051504F" w:rsidRPr="00B521A4">
        <w:rPr>
          <w:sz w:val="20"/>
          <w:lang w:val="en-US"/>
        </w:rPr>
        <w:t xml:space="preserve"> for concluding that the complainant’s consent in fact was not a valid consent in law. </w:t>
      </w:r>
    </w:p>
    <w:p w:rsidR="0051504F" w:rsidRDefault="0051504F" w:rsidP="0051504F">
      <w:pPr>
        <w:pStyle w:val="SCCNormalDoubleSpacing"/>
        <w:spacing w:line="240" w:lineRule="auto"/>
        <w:rPr>
          <w:sz w:val="20"/>
          <w:lang w:val="en-US"/>
        </w:rPr>
      </w:pPr>
    </w:p>
    <w:p w:rsidR="0051504F" w:rsidRDefault="0051504F" w:rsidP="0051504F">
      <w:pPr>
        <w:pStyle w:val="SCCNormalDoubleSpacing"/>
        <w:spacing w:line="240" w:lineRule="auto"/>
        <w:rPr>
          <w:sz w:val="20"/>
        </w:rPr>
      </w:pPr>
      <w:r w:rsidRPr="00B521A4">
        <w:rPr>
          <w:sz w:val="20"/>
          <w:lang w:val="en-US"/>
        </w:rPr>
        <w:tab/>
      </w:r>
      <w:r w:rsidRPr="00B521A4">
        <w:rPr>
          <w:sz w:val="20"/>
        </w:rPr>
        <w:t>APPEAL from a judgment of the Court of Appeal for Ontario (</w:t>
      </w:r>
      <w:r w:rsidR="008C2B81" w:rsidRPr="00B521A4">
        <w:rPr>
          <w:sz w:val="20"/>
        </w:rPr>
        <w:fldChar w:fldCharType="begin"/>
      </w:r>
      <w:r w:rsidRPr="00B521A4">
        <w:rPr>
          <w:sz w:val="20"/>
        </w:rPr>
        <w:instrText xml:space="preserve"> SEQ CHAPTER \h \r 1</w:instrText>
      </w:r>
      <w:r w:rsidR="008C2B81" w:rsidRPr="00B521A4">
        <w:rPr>
          <w:sz w:val="20"/>
        </w:rPr>
        <w:fldChar w:fldCharType="end"/>
      </w:r>
      <w:r w:rsidRPr="00B521A4">
        <w:rPr>
          <w:sz w:val="20"/>
        </w:rPr>
        <w:t xml:space="preserve">Simmons, Juriansz and LaForme JJ.A.), </w:t>
      </w:r>
      <w:r w:rsidR="008C2B81" w:rsidRPr="00B521A4">
        <w:rPr>
          <w:sz w:val="20"/>
        </w:rPr>
        <w:fldChar w:fldCharType="begin"/>
      </w:r>
      <w:r w:rsidRPr="00B521A4">
        <w:rPr>
          <w:sz w:val="20"/>
        </w:rPr>
        <w:instrText xml:space="preserve"> SEQ CHAPTER \h \r 1</w:instrText>
      </w:r>
      <w:r w:rsidR="008C2B81" w:rsidRPr="00B521A4">
        <w:rPr>
          <w:sz w:val="20"/>
        </w:rPr>
        <w:fldChar w:fldCharType="end"/>
      </w:r>
      <w:r w:rsidRPr="00B521A4">
        <w:rPr>
          <w:sz w:val="20"/>
        </w:rPr>
        <w:t xml:space="preserve">2010 ONCA 226, 100 O.R. (3d) 676, 253 C.C.C. (3d) 153, 74 C.R. (6th) 51, 260 O.A.C. 248, [2010] O.J. No. 1202 (QL), 2010 CarswellOnt 1739, setting aside the accused’s conviction for sexual assault.  Appeal allowed, Binnie, LeBel and </w:t>
      </w:r>
      <w:r w:rsidRPr="00B521A4">
        <w:rPr>
          <w:sz w:val="20"/>
          <w:lang w:val="en-US"/>
        </w:rPr>
        <w:t>Fish JJ. dissenting</w:t>
      </w:r>
      <w:r w:rsidRPr="00B521A4">
        <w:rPr>
          <w:sz w:val="20"/>
        </w:rPr>
        <w:t>.</w:t>
      </w:r>
    </w:p>
    <w:p w:rsidR="0051504F" w:rsidRPr="00B521A4" w:rsidRDefault="0051504F" w:rsidP="0051504F">
      <w:pPr>
        <w:pStyle w:val="SCCNormalDoubleSpacing"/>
        <w:spacing w:line="240" w:lineRule="auto"/>
        <w:rPr>
          <w:sz w:val="20"/>
        </w:rPr>
      </w:pPr>
    </w:p>
    <w:p w:rsidR="0051504F" w:rsidRDefault="0051504F" w:rsidP="0051504F">
      <w:pPr>
        <w:pStyle w:val="SCCNormalDoubleSpacing"/>
        <w:spacing w:line="240" w:lineRule="auto"/>
        <w:rPr>
          <w:rStyle w:val="SCCCounselPartyRoleChar"/>
          <w:sz w:val="20"/>
        </w:rPr>
      </w:pPr>
      <w:r w:rsidRPr="00B521A4">
        <w:rPr>
          <w:rStyle w:val="SCCCounselNameChar"/>
          <w:sz w:val="20"/>
        </w:rPr>
        <w:tab/>
        <w:t>Christine Bartlett</w:t>
      </w:r>
      <w:r w:rsidRPr="00B521A4">
        <w:rPr>
          <w:rStyle w:val="SCCCounselNameChar"/>
          <w:sz w:val="20"/>
        </w:rPr>
        <w:noBreakHyphen/>
        <w:t>Hughes</w:t>
      </w:r>
      <w:r w:rsidRPr="00B521A4">
        <w:rPr>
          <w:rStyle w:val="SCCCounselPartyRoleChar"/>
          <w:sz w:val="20"/>
        </w:rPr>
        <w:t>, for the appellant.</w:t>
      </w:r>
    </w:p>
    <w:p w:rsidR="0051504F" w:rsidRPr="00B521A4" w:rsidRDefault="0051504F" w:rsidP="0051504F">
      <w:pPr>
        <w:pStyle w:val="SCCNormalDoubleSpacing"/>
        <w:spacing w:line="240" w:lineRule="auto"/>
        <w:rPr>
          <w:sz w:val="20"/>
        </w:rPr>
      </w:pPr>
    </w:p>
    <w:p w:rsidR="0051504F" w:rsidRDefault="0051504F" w:rsidP="0051504F">
      <w:pPr>
        <w:pStyle w:val="SCCNormalDoubleSpacing"/>
        <w:spacing w:line="240" w:lineRule="auto"/>
        <w:rPr>
          <w:rStyle w:val="SCCCounselPartyRoleChar"/>
          <w:sz w:val="20"/>
        </w:rPr>
      </w:pPr>
      <w:r w:rsidRPr="00B521A4">
        <w:rPr>
          <w:rStyle w:val="SCCCounselNameChar"/>
          <w:sz w:val="20"/>
        </w:rPr>
        <w:tab/>
        <w:t>Howard L. Krongold</w:t>
      </w:r>
      <w:r w:rsidRPr="0051504F">
        <w:rPr>
          <w:rStyle w:val="SCCCounselSeparatorChar"/>
          <w:sz w:val="20"/>
          <w:lang w:val="en-CA"/>
        </w:rPr>
        <w:t xml:space="preserve"> and </w:t>
      </w:r>
      <w:r w:rsidRPr="00B521A4">
        <w:rPr>
          <w:rStyle w:val="SCCCounselNameChar"/>
          <w:sz w:val="20"/>
        </w:rPr>
        <w:t>Matthew C. Webber</w:t>
      </w:r>
      <w:r w:rsidRPr="00B521A4">
        <w:rPr>
          <w:rStyle w:val="SCCCounselPartyRoleChar"/>
          <w:sz w:val="20"/>
        </w:rPr>
        <w:t>, for the respondent.</w:t>
      </w:r>
    </w:p>
    <w:p w:rsidR="0051504F" w:rsidRPr="00B521A4" w:rsidRDefault="0051504F" w:rsidP="0051504F">
      <w:pPr>
        <w:pStyle w:val="SCCNormalDoubleSpacing"/>
        <w:spacing w:line="240" w:lineRule="auto"/>
        <w:rPr>
          <w:sz w:val="20"/>
        </w:rPr>
      </w:pPr>
    </w:p>
    <w:p w:rsidR="0051504F" w:rsidRDefault="0051504F" w:rsidP="0051504F">
      <w:pPr>
        <w:pStyle w:val="SCCNormalDoubleSpacing"/>
        <w:spacing w:line="240" w:lineRule="auto"/>
        <w:rPr>
          <w:rStyle w:val="SCCCounselPartyRoleChar"/>
          <w:sz w:val="20"/>
        </w:rPr>
      </w:pPr>
      <w:r w:rsidRPr="00B521A4">
        <w:rPr>
          <w:rStyle w:val="SCCCounselNameChar"/>
          <w:sz w:val="20"/>
        </w:rPr>
        <w:tab/>
        <w:t>James C. Martin</w:t>
      </w:r>
      <w:r w:rsidRPr="00B521A4">
        <w:rPr>
          <w:rStyle w:val="SCCCounselPartyRoleChar"/>
          <w:sz w:val="20"/>
        </w:rPr>
        <w:t>, for the intervener the Attorney General of Canada.</w:t>
      </w:r>
    </w:p>
    <w:p w:rsidR="0051504F" w:rsidRPr="00B521A4" w:rsidRDefault="0051504F" w:rsidP="0051504F">
      <w:pPr>
        <w:pStyle w:val="SCCNormalDoubleSpacing"/>
        <w:spacing w:line="240" w:lineRule="auto"/>
        <w:rPr>
          <w:sz w:val="20"/>
        </w:rPr>
      </w:pPr>
    </w:p>
    <w:p w:rsidR="0051504F" w:rsidRDefault="0051504F" w:rsidP="0051504F">
      <w:pPr>
        <w:pStyle w:val="SCCNormalDoubleSpacing"/>
        <w:spacing w:line="240" w:lineRule="auto"/>
        <w:rPr>
          <w:rStyle w:val="SCCCounselPartyRoleChar"/>
          <w:sz w:val="20"/>
          <w:lang w:val="en-US"/>
        </w:rPr>
      </w:pPr>
      <w:r w:rsidRPr="00B521A4">
        <w:rPr>
          <w:rStyle w:val="SCCCounselNameChar"/>
          <w:sz w:val="20"/>
        </w:rPr>
        <w:tab/>
      </w:r>
      <w:r w:rsidRPr="00B521A4">
        <w:rPr>
          <w:rStyle w:val="SCCCounselNameChar"/>
          <w:sz w:val="20"/>
          <w:lang w:val="en-US"/>
        </w:rPr>
        <w:t>Susan Chapman</w:t>
      </w:r>
      <w:r w:rsidRPr="00B521A4">
        <w:rPr>
          <w:rStyle w:val="SCCCounselSeparatorChar"/>
          <w:sz w:val="20"/>
          <w:lang w:val="en-US"/>
        </w:rPr>
        <w:t xml:space="preserve"> and </w:t>
      </w:r>
      <w:r w:rsidRPr="00B521A4">
        <w:rPr>
          <w:rStyle w:val="SCCCounselNameChar"/>
          <w:sz w:val="20"/>
          <w:lang w:val="en-US"/>
        </w:rPr>
        <w:t>Elizabeth Sheehy</w:t>
      </w:r>
      <w:r w:rsidRPr="00B521A4">
        <w:rPr>
          <w:rStyle w:val="SCCCounselPartyRoleChar"/>
          <w:sz w:val="20"/>
          <w:lang w:val="en-US"/>
        </w:rPr>
        <w:t>, for the intervener the Women’s Legal Education and Action Fund.</w:t>
      </w:r>
    </w:p>
    <w:p w:rsidR="0051504F" w:rsidRPr="00B521A4" w:rsidRDefault="0051504F" w:rsidP="0051504F">
      <w:pPr>
        <w:pStyle w:val="SCCNormalDoubleSpacing"/>
        <w:spacing w:line="240" w:lineRule="auto"/>
        <w:rPr>
          <w:sz w:val="20"/>
          <w:lang w:val="en-US"/>
        </w:rPr>
      </w:pPr>
    </w:p>
    <w:p w:rsidR="0051504F" w:rsidRDefault="0051504F" w:rsidP="0051504F">
      <w:pPr>
        <w:pStyle w:val="SCCNormalDoubleSpacing"/>
        <w:spacing w:line="240" w:lineRule="auto"/>
        <w:rPr>
          <w:i/>
          <w:sz w:val="20"/>
        </w:rPr>
      </w:pPr>
      <w:r w:rsidRPr="00B521A4">
        <w:rPr>
          <w:sz w:val="20"/>
          <w:lang w:val="en-US"/>
        </w:rPr>
        <w:tab/>
      </w:r>
      <w:r w:rsidRPr="00B521A4">
        <w:rPr>
          <w:i/>
          <w:sz w:val="20"/>
        </w:rPr>
        <w:t>Solicitor for the appellant:  Attorney General of Ontario, Toronto.</w:t>
      </w:r>
    </w:p>
    <w:p w:rsidR="0051504F" w:rsidRPr="00B521A4" w:rsidRDefault="0051504F" w:rsidP="0051504F">
      <w:pPr>
        <w:pStyle w:val="SCCNormalDoubleSpacing"/>
        <w:spacing w:line="240" w:lineRule="auto"/>
        <w:rPr>
          <w:i/>
          <w:sz w:val="20"/>
        </w:rPr>
      </w:pPr>
    </w:p>
    <w:p w:rsidR="0051504F" w:rsidRDefault="0051504F" w:rsidP="0051504F">
      <w:pPr>
        <w:pStyle w:val="SCCNormalDoubleSpacing"/>
        <w:spacing w:line="240" w:lineRule="auto"/>
        <w:rPr>
          <w:i/>
          <w:sz w:val="20"/>
        </w:rPr>
      </w:pPr>
      <w:r w:rsidRPr="00B521A4">
        <w:rPr>
          <w:i/>
          <w:sz w:val="20"/>
        </w:rPr>
        <w:tab/>
        <w:t>Solicitors for the respondent:  Webber Schroeder Goldstein Abergel, Ottawa.</w:t>
      </w:r>
    </w:p>
    <w:p w:rsidR="0051504F" w:rsidRPr="00B521A4" w:rsidRDefault="0051504F" w:rsidP="0051504F">
      <w:pPr>
        <w:pStyle w:val="SCCNormalDoubleSpacing"/>
        <w:spacing w:line="240" w:lineRule="auto"/>
        <w:rPr>
          <w:i/>
          <w:sz w:val="20"/>
        </w:rPr>
      </w:pPr>
    </w:p>
    <w:p w:rsidR="0051504F" w:rsidRDefault="0051504F" w:rsidP="0051504F">
      <w:pPr>
        <w:pStyle w:val="SCCNormalDoubleSpacing"/>
        <w:spacing w:line="240" w:lineRule="auto"/>
        <w:rPr>
          <w:i/>
          <w:sz w:val="20"/>
        </w:rPr>
      </w:pPr>
      <w:r w:rsidRPr="00B521A4">
        <w:rPr>
          <w:i/>
          <w:sz w:val="20"/>
        </w:rPr>
        <w:tab/>
        <w:t>Solicitor for the intervener the Attorney General of Canada:  Attorney General of Canada, Halifax.</w:t>
      </w:r>
    </w:p>
    <w:p w:rsidR="0051504F" w:rsidRDefault="0051504F" w:rsidP="0051504F">
      <w:pPr>
        <w:pStyle w:val="SCCNormalDoubleSpacing"/>
        <w:spacing w:line="240" w:lineRule="auto"/>
        <w:rPr>
          <w:bCs/>
          <w:i/>
          <w:sz w:val="20"/>
        </w:rPr>
      </w:pPr>
      <w:r w:rsidRPr="00B521A4">
        <w:rPr>
          <w:i/>
          <w:sz w:val="20"/>
        </w:rPr>
        <w:lastRenderedPageBreak/>
        <w:tab/>
        <w:t>Solicitor for the intervener the Women’s Legal Education and Action Fund:  Women’s Legal Education and Action Fund</w:t>
      </w:r>
      <w:r w:rsidRPr="00B521A4">
        <w:rPr>
          <w:bCs/>
          <w:i/>
          <w:sz w:val="20"/>
        </w:rPr>
        <w:t xml:space="preserve">, </w:t>
      </w:r>
      <w:r w:rsidRPr="00B521A4">
        <w:rPr>
          <w:i/>
          <w:sz w:val="20"/>
        </w:rPr>
        <w:t>Toronto</w:t>
      </w:r>
      <w:r w:rsidRPr="00B521A4">
        <w:rPr>
          <w:bCs/>
          <w:i/>
          <w:sz w:val="20"/>
        </w:rPr>
        <w:t>.</w:t>
      </w:r>
    </w:p>
    <w:p w:rsidR="003B3977" w:rsidRPr="00D83362" w:rsidRDefault="003B3977" w:rsidP="003B3977">
      <w:pPr>
        <w:rPr>
          <w:sz w:val="20"/>
          <w:szCs w:val="20"/>
          <w:lang w:val="fr-CA"/>
        </w:rPr>
      </w:pPr>
      <w:r w:rsidRPr="00D83362">
        <w:rPr>
          <w:sz w:val="20"/>
          <w:szCs w:val="20"/>
          <w:lang w:val="fr-CA"/>
        </w:rPr>
        <w:t>________________________</w:t>
      </w:r>
    </w:p>
    <w:p w:rsidR="003B3977" w:rsidRPr="00D83362" w:rsidRDefault="003B3977" w:rsidP="003B3977">
      <w:pPr>
        <w:rPr>
          <w:sz w:val="20"/>
          <w:szCs w:val="20"/>
          <w:lang w:val="fr-CA"/>
        </w:rPr>
      </w:pPr>
    </w:p>
    <w:p w:rsidR="00D83362" w:rsidRPr="00D83362" w:rsidRDefault="00D83362" w:rsidP="00D83362">
      <w:pPr>
        <w:jc w:val="both"/>
        <w:rPr>
          <w:sz w:val="20"/>
          <w:lang w:val="fr-CA"/>
        </w:rPr>
      </w:pPr>
      <w:r w:rsidRPr="00D83362">
        <w:rPr>
          <w:sz w:val="20"/>
          <w:lang w:val="fr-CA"/>
        </w:rPr>
        <w:t>Présents : La juge en chef McLachlin et les juges Binnie, LeBel, Deschamps, Fish, Abella, Charron, Rothstein et Cromwell.</w:t>
      </w:r>
    </w:p>
    <w:p w:rsidR="005B3DE4" w:rsidRPr="00D83362" w:rsidRDefault="005B3DE4" w:rsidP="003B3977">
      <w:pPr>
        <w:rPr>
          <w:sz w:val="20"/>
          <w:szCs w:val="20"/>
          <w:lang w:val="fr-CA"/>
        </w:rPr>
      </w:pPr>
    </w:p>
    <w:p w:rsidR="00D83362" w:rsidRPr="00D83362" w:rsidRDefault="00D83362" w:rsidP="00D83362">
      <w:pPr>
        <w:pStyle w:val="SCCNormalDoubleSpacing"/>
        <w:spacing w:line="240" w:lineRule="auto"/>
        <w:rPr>
          <w:i/>
          <w:sz w:val="20"/>
          <w:lang w:val="fr-CA"/>
        </w:rPr>
      </w:pPr>
      <w:r w:rsidRPr="007B5498">
        <w:rPr>
          <w:sz w:val="20"/>
          <w:lang w:val="fr-CA"/>
        </w:rPr>
        <w:tab/>
      </w:r>
      <w:r w:rsidRPr="00D83362">
        <w:rPr>
          <w:i/>
          <w:sz w:val="20"/>
          <w:lang w:val="fr-CA"/>
        </w:rPr>
        <w:t>Droit criminel — Agression sexuelle — Consentement — Accusé et plaignante se livrant à l’asphyxie érotique consensuelle — Pénétration anale de la plaignante par l’accusé au cours d’une période d’inconscience — Le consentement, au sens du Code criminel, doit</w:t>
      </w:r>
      <w:r w:rsidRPr="00D83362">
        <w:rPr>
          <w:i/>
          <w:sz w:val="20"/>
          <w:lang w:val="fr-CA"/>
        </w:rPr>
        <w:noBreakHyphen/>
        <w:t>il émaner d’une personne consciente, lucide pendant toute la durée de l’activité sexuelle? — Le consentement à une activité sexuelle peut</w:t>
      </w:r>
      <w:r w:rsidRPr="00D83362">
        <w:rPr>
          <w:i/>
          <w:sz w:val="20"/>
          <w:lang w:val="fr-CA"/>
        </w:rPr>
        <w:noBreakHyphen/>
        <w:t>il être donné avant une période d’inconscience? — Code criminel, L.R.C. 1985, ch. C</w:t>
      </w:r>
      <w:r w:rsidRPr="00D83362">
        <w:rPr>
          <w:i/>
          <w:sz w:val="20"/>
          <w:lang w:val="fr-CA"/>
        </w:rPr>
        <w:noBreakHyphen/>
        <w:t>46, art. 265, 273.1 et 273.2.</w:t>
      </w:r>
    </w:p>
    <w:p w:rsidR="00D83362" w:rsidRPr="00D83362" w:rsidRDefault="00D83362" w:rsidP="00D83362">
      <w:pPr>
        <w:pStyle w:val="SCCNormalDoubleSpacing"/>
        <w:spacing w:line="240" w:lineRule="auto"/>
        <w:rPr>
          <w:i/>
          <w:sz w:val="20"/>
          <w:lang w:val="fr-CA"/>
        </w:rPr>
      </w:pPr>
    </w:p>
    <w:p w:rsidR="00D83362" w:rsidRPr="00D83362" w:rsidRDefault="00D83362" w:rsidP="00D83362">
      <w:pPr>
        <w:pStyle w:val="SCCNormalDoubleSpacing"/>
        <w:spacing w:line="240" w:lineRule="auto"/>
        <w:rPr>
          <w:sz w:val="20"/>
          <w:lang w:val="fr-CA"/>
        </w:rPr>
      </w:pPr>
      <w:r w:rsidRPr="00D83362">
        <w:rPr>
          <w:sz w:val="20"/>
          <w:lang w:val="fr-CA"/>
        </w:rPr>
        <w:tab/>
        <w:t xml:space="preserve">Un soir, au cours de relations sexuelles, J.A. a placé ses mains autour du cou de K.D., sa partenaire de longue date, et l’a étranglée jusqu’à ce qu’elle tombe inconsciente.  Au procès, K.D. a estimé être demeurée inconsciente « moins de trois minutes ».  Elle a témoigné qu’elle avait consenti à ce que J.A. l’étrangle et qu’elle savait qu’elle pouvait perdre conscience.  Elle a déclaré qu’elle et J.A. s’étaient déjà livrés à l’asphyxie érotique et qu’il lui était déjà arrivé de perdre conscience.  Lorsque K.D. a repris conscience, elle avait les mains ligotées derrière le dos, et J.A. lui introduisait un godemiché dans l’anus.  K.D. a fait des déclarations contradictoires quant à savoir si c’était la première fois que J.A. se livrait à cette activité sur elle.  J.A. a retiré le godemiché dix secondes après qu’elle a repris conscience.  Ils ont ensuite eu des relations vaginales.  Après, J.A. lui a détaché les mains.  </w:t>
      </w:r>
    </w:p>
    <w:p w:rsidR="00D83362" w:rsidRPr="00D83362" w:rsidRDefault="00D83362" w:rsidP="00D83362">
      <w:pPr>
        <w:pStyle w:val="SCCNormalDoubleSpacing"/>
        <w:spacing w:line="240" w:lineRule="auto"/>
        <w:rPr>
          <w:sz w:val="20"/>
          <w:lang w:val="fr-CA"/>
        </w:rPr>
      </w:pPr>
    </w:p>
    <w:p w:rsidR="00D83362" w:rsidRPr="00D83362" w:rsidRDefault="00D83362" w:rsidP="00D83362">
      <w:pPr>
        <w:pStyle w:val="SCCNormalDoubleSpacing"/>
        <w:spacing w:line="240" w:lineRule="auto"/>
        <w:rPr>
          <w:sz w:val="20"/>
          <w:lang w:val="fr-CA"/>
        </w:rPr>
      </w:pPr>
      <w:r w:rsidRPr="00D83362">
        <w:rPr>
          <w:sz w:val="20"/>
          <w:lang w:val="fr-CA"/>
        </w:rPr>
        <w:tab/>
        <w:t>K.D. a porté plainte à la police deux mois plus tard.  Elle a reconnu avoir consenti à être étranglée, mais a dit ne pas avoir consenti à l’activité sexuelle qui avait eu lieu.  Elle est plus tard revenue sur son allégation, prétendant avoir déposé la plainte parce que J.A. avait menacé de demander la garde exclusive de leur jeune fils.  La juge du procès a déclaré J.A. coupable d’agression sexuelle.  La Cour d’appel, à la majorité, a accueilli l’appel, annulé la déclaration de culpabilité et rejeté les accusations portées contre J.A.</w:t>
      </w:r>
    </w:p>
    <w:p w:rsidR="00D83362" w:rsidRPr="00D83362" w:rsidRDefault="00D83362" w:rsidP="00D83362">
      <w:pPr>
        <w:pStyle w:val="SCCNormalDoubleSpacing"/>
        <w:spacing w:line="240" w:lineRule="auto"/>
        <w:rPr>
          <w:sz w:val="20"/>
          <w:lang w:val="fr-CA"/>
        </w:rPr>
      </w:pPr>
    </w:p>
    <w:p w:rsidR="00D83362" w:rsidRPr="00D83362" w:rsidRDefault="00D83362" w:rsidP="00D83362">
      <w:pPr>
        <w:pStyle w:val="SCCNormalDoubleSpacing"/>
        <w:spacing w:line="240" w:lineRule="auto"/>
        <w:rPr>
          <w:sz w:val="20"/>
          <w:lang w:val="fr-CA"/>
        </w:rPr>
      </w:pPr>
      <w:r w:rsidRPr="00D83362">
        <w:rPr>
          <w:sz w:val="20"/>
          <w:lang w:val="fr-CA"/>
        </w:rPr>
        <w:tab/>
      </w:r>
      <w:r w:rsidRPr="001D546F">
        <w:rPr>
          <w:rStyle w:val="QuoteChar"/>
          <w:sz w:val="20"/>
        </w:rPr>
        <w:t>Arrêt</w:t>
      </w:r>
      <w:r w:rsidRPr="00D83362">
        <w:rPr>
          <w:sz w:val="20"/>
          <w:lang w:val="fr-CA"/>
        </w:rPr>
        <w:t xml:space="preserve"> (les juges Binnie, LeBel et Fish sont dissidents)</w:t>
      </w:r>
      <w:r w:rsidRPr="00D83362">
        <w:rPr>
          <w:i/>
          <w:sz w:val="20"/>
          <w:lang w:val="fr-CA"/>
        </w:rPr>
        <w:t> :</w:t>
      </w:r>
      <w:r w:rsidRPr="00D83362">
        <w:rPr>
          <w:sz w:val="20"/>
          <w:lang w:val="fr-CA"/>
        </w:rPr>
        <w:t xml:space="preserve"> Le pourvoi est accueilli, et la déclaration de culpabilité de l’intimé pour agression sexuelle est rétablie.</w:t>
      </w:r>
    </w:p>
    <w:p w:rsidR="00D83362" w:rsidRPr="00D83362" w:rsidRDefault="00D83362" w:rsidP="00D83362">
      <w:pPr>
        <w:pStyle w:val="SCCNormalDoubleSpacing"/>
        <w:spacing w:line="240" w:lineRule="auto"/>
        <w:rPr>
          <w:sz w:val="20"/>
          <w:lang w:val="fr-CA"/>
        </w:rPr>
      </w:pPr>
    </w:p>
    <w:p w:rsidR="00D83362" w:rsidRPr="00D83362" w:rsidRDefault="00D83362" w:rsidP="00D83362">
      <w:pPr>
        <w:pStyle w:val="SCCNormalDoubleSpacing"/>
        <w:spacing w:line="240" w:lineRule="auto"/>
        <w:rPr>
          <w:sz w:val="20"/>
          <w:lang w:val="fr-CA"/>
        </w:rPr>
      </w:pPr>
      <w:r w:rsidRPr="00D83362">
        <w:rPr>
          <w:sz w:val="20"/>
          <w:lang w:val="fr-CA"/>
        </w:rPr>
        <w:tab/>
      </w:r>
      <w:r w:rsidRPr="00D83362">
        <w:rPr>
          <w:i/>
          <w:sz w:val="20"/>
          <w:lang w:val="fr-CA"/>
        </w:rPr>
        <w:t>La</w:t>
      </w:r>
      <w:r w:rsidRPr="00D83362">
        <w:rPr>
          <w:sz w:val="20"/>
          <w:lang w:val="fr-CA"/>
        </w:rPr>
        <w:t xml:space="preserve"> </w:t>
      </w:r>
      <w:r w:rsidRPr="00D83362">
        <w:rPr>
          <w:b/>
          <w:sz w:val="20"/>
          <w:lang w:val="fr-CA"/>
        </w:rPr>
        <w:t>juge en chef</w:t>
      </w:r>
      <w:r w:rsidRPr="00D83362">
        <w:rPr>
          <w:i/>
          <w:sz w:val="20"/>
          <w:lang w:val="fr-CA"/>
        </w:rPr>
        <w:t xml:space="preserve"> </w:t>
      </w:r>
      <w:r w:rsidRPr="00D83362">
        <w:rPr>
          <w:b/>
          <w:sz w:val="20"/>
          <w:lang w:val="fr-CA"/>
        </w:rPr>
        <w:t>McLachlin</w:t>
      </w:r>
      <w:r w:rsidRPr="00D83362">
        <w:rPr>
          <w:sz w:val="20"/>
          <w:lang w:val="fr-CA"/>
        </w:rPr>
        <w:t xml:space="preserve"> et les juges Deschamps, Abella, Charron, Rothstein et Cromwell : La question à trancher est de savoir si une personne peut se livrer à des actes sexuels sur une personne inconsciente qui a consenti à ces actes avant d’être rendue inconsciente.  Le législateur a retenu une définition du consentement qui exige que le plaignant soit conscient pendant toute la durée de l’activité sexuelle.  La portée de la définition du consentement énoncée par le législateur ne s’étend pas au consentement donné à l’avance à des actes sexuels commis pendant que la personne est inconsciente.  Le texte législatif requiert un consentement conscient de tous les instants, pour prévenir l’exploitation sexuelle des hommes et des femmes et pour assurer aux personnes qui se livrent à une activité sexuelle la possibilité de demander à leur partenaire de cesser à tout moment. </w:t>
      </w:r>
    </w:p>
    <w:p w:rsidR="00D83362" w:rsidRPr="00D83362" w:rsidRDefault="00D83362" w:rsidP="00D83362">
      <w:pPr>
        <w:pStyle w:val="SCCNormalDoubleSpacing"/>
        <w:spacing w:line="240" w:lineRule="auto"/>
        <w:rPr>
          <w:sz w:val="20"/>
          <w:lang w:val="fr-CA"/>
        </w:rPr>
      </w:pPr>
    </w:p>
    <w:p w:rsidR="00D83362" w:rsidRPr="00D83362" w:rsidRDefault="00D83362" w:rsidP="00D83362">
      <w:pPr>
        <w:pStyle w:val="SCCNormalDoubleSpacing"/>
        <w:spacing w:line="240" w:lineRule="auto"/>
        <w:rPr>
          <w:sz w:val="20"/>
          <w:lang w:val="fr-CA"/>
        </w:rPr>
      </w:pPr>
      <w:r w:rsidRPr="00D83362">
        <w:rPr>
          <w:sz w:val="20"/>
          <w:lang w:val="fr-CA"/>
        </w:rPr>
        <w:tab/>
        <w:t xml:space="preserve">Cette définition du consentement s’harmonise avec les dispositions du </w:t>
      </w:r>
      <w:r w:rsidRPr="00D83362">
        <w:rPr>
          <w:i/>
          <w:sz w:val="20"/>
          <w:lang w:val="fr-CA"/>
        </w:rPr>
        <w:t>Code criminel</w:t>
      </w:r>
      <w:r w:rsidRPr="00D83362">
        <w:rPr>
          <w:sz w:val="20"/>
          <w:lang w:val="fr-CA"/>
        </w:rPr>
        <w:t xml:space="preserve"> et les principes de politique générale qui les sous</w:t>
      </w:r>
      <w:r w:rsidRPr="00D83362">
        <w:rPr>
          <w:sz w:val="20"/>
          <w:lang w:val="fr-CA"/>
        </w:rPr>
        <w:noBreakHyphen/>
        <w:t xml:space="preserve">tendent ainsi qu’avec la teneur de la jurisprudence issue de la Cour.  Il est de jurisprudence constante que le consentement est formé par une personne consciente, lucide, capable d’accorder, de révoquer ou de refuser son consentement à chaque acte sexuel.  Suivant la jurisprudence également, rien ne remplace le </w:t>
      </w:r>
      <w:r w:rsidRPr="00D83362">
        <w:rPr>
          <w:bCs/>
          <w:sz w:val="20"/>
          <w:lang w:val="fr-CA"/>
        </w:rPr>
        <w:t>consentement</w:t>
      </w:r>
      <w:r w:rsidRPr="00D83362">
        <w:rPr>
          <w:sz w:val="20"/>
          <w:lang w:val="fr-CA"/>
        </w:rPr>
        <w:t xml:space="preserve"> réel à l’activité sexuelle au moment où elle a lieu.  La croyance au consentement du plaignant ne suffit pas : l’accusé doit également avoir pris les mesures raisonnables pour s’assurer du consentement et croire que le plaignant a manifesté son consentement à l’activité sexuelle.  Or, cela est impossible si le plaignant est inconscient.</w:t>
      </w:r>
    </w:p>
    <w:p w:rsidR="00D83362" w:rsidRPr="00D83362" w:rsidRDefault="00D83362" w:rsidP="00D83362">
      <w:pPr>
        <w:pStyle w:val="SCCNormalDoubleSpacing"/>
        <w:spacing w:line="240" w:lineRule="auto"/>
        <w:rPr>
          <w:sz w:val="20"/>
          <w:lang w:val="fr-CA"/>
        </w:rPr>
      </w:pPr>
    </w:p>
    <w:p w:rsidR="00D83362" w:rsidRPr="00D83362" w:rsidRDefault="00D83362" w:rsidP="00D83362">
      <w:pPr>
        <w:pStyle w:val="SCCNormalDoubleSpacing"/>
        <w:spacing w:line="240" w:lineRule="auto"/>
        <w:rPr>
          <w:sz w:val="20"/>
          <w:lang w:val="fr-CA"/>
        </w:rPr>
      </w:pPr>
      <w:r w:rsidRPr="00D83362">
        <w:rPr>
          <w:sz w:val="20"/>
          <w:lang w:val="fr-CA"/>
        </w:rPr>
        <w:tab/>
        <w:t xml:space="preserve">L’argument selon lequel le consentement donné à l’avance vaut un consentement donné au moment opportun parce que le plaignant ne peut changer d’idée après avoir été rendu inconscient va à l’encontre de la conclusion tirée par la Cour dans </w:t>
      </w:r>
      <w:r w:rsidRPr="00D83362">
        <w:rPr>
          <w:i/>
          <w:sz w:val="20"/>
          <w:lang w:val="fr-CA"/>
        </w:rPr>
        <w:t>R. c.</w:t>
      </w:r>
      <w:r w:rsidRPr="00D83362">
        <w:rPr>
          <w:sz w:val="20"/>
          <w:lang w:val="fr-CA"/>
        </w:rPr>
        <w:t xml:space="preserve"> </w:t>
      </w:r>
      <w:r w:rsidRPr="00D83362">
        <w:rPr>
          <w:i/>
          <w:sz w:val="20"/>
          <w:lang w:val="fr-CA"/>
        </w:rPr>
        <w:t>Ewanchuk</w:t>
      </w:r>
      <w:r w:rsidRPr="00D83362">
        <w:rPr>
          <w:sz w:val="20"/>
          <w:lang w:val="fr-CA"/>
        </w:rPr>
        <w:t xml:space="preserve"> selon laquelle le seul moment pertinent pour déterminer s’il y a eu consentement au sens du </w:t>
      </w:r>
      <w:r w:rsidRPr="00D83362">
        <w:rPr>
          <w:i/>
          <w:sz w:val="20"/>
          <w:lang w:val="fr-CA"/>
        </w:rPr>
        <w:t>Code criminel</w:t>
      </w:r>
      <w:r w:rsidRPr="00D83362">
        <w:rPr>
          <w:sz w:val="20"/>
          <w:lang w:val="fr-CA"/>
        </w:rPr>
        <w:t xml:space="preserve"> est lorsque les attouchements ont eu lieu.  Dès que le plaignant perd conscience, il perd la capacité de s’opposer ou de consentir à l’activité sexuelle qui a lieu.  Conclure au consentement de cette personne aurait pour effet de lui nier le droit de changer d’idée à tout moment au cours de la rencontre à caractère sexuel.</w:t>
      </w:r>
    </w:p>
    <w:p w:rsidR="00D83362" w:rsidRPr="00D83362" w:rsidRDefault="00D83362" w:rsidP="00D83362">
      <w:pPr>
        <w:pStyle w:val="SCCNormalDoubleSpacing"/>
        <w:spacing w:line="240" w:lineRule="auto"/>
        <w:rPr>
          <w:sz w:val="20"/>
          <w:lang w:val="fr-CA"/>
        </w:rPr>
      </w:pPr>
      <w:r w:rsidRPr="00D83362">
        <w:rPr>
          <w:sz w:val="20"/>
          <w:lang w:val="fr-CA"/>
        </w:rPr>
        <w:lastRenderedPageBreak/>
        <w:tab/>
        <w:t>Dans certains cas, le consentement au sens où l’entend le législateur peut sembler irréaliste.  Toutefois, la Cour ne doit pas créer d’exceptions au consentement si elle contrevient ainsi à la volonté de ce dernier.  Cette conception du consentement produit des résultats équitables dans la grande majorité des cas et s’est avérée fort utile pour combattre les stéréotypes historiques.  En l’absence de contestation constitutionnelle, c’est au législateur qu’il appartient de modifier les règles du consentement en matière d’agression sexuelle s’il le juge nécessaire.</w:t>
      </w:r>
    </w:p>
    <w:p w:rsidR="00D83362" w:rsidRPr="00D83362" w:rsidRDefault="00D83362" w:rsidP="00D83362">
      <w:pPr>
        <w:pStyle w:val="SCCNormalDoubleSpacing"/>
        <w:spacing w:line="240" w:lineRule="auto"/>
        <w:rPr>
          <w:sz w:val="20"/>
          <w:lang w:val="fr-CA"/>
        </w:rPr>
      </w:pPr>
    </w:p>
    <w:p w:rsidR="00D83362" w:rsidRPr="00D83362" w:rsidRDefault="00D83362" w:rsidP="00D83362">
      <w:pPr>
        <w:pStyle w:val="SCCNormalDoubleSpacing"/>
        <w:spacing w:line="240" w:lineRule="auto"/>
        <w:rPr>
          <w:sz w:val="20"/>
          <w:lang w:val="fr-CA"/>
        </w:rPr>
      </w:pPr>
      <w:r w:rsidRPr="00D83362">
        <w:rPr>
          <w:sz w:val="20"/>
          <w:lang w:val="fr-CA"/>
        </w:rPr>
        <w:tab/>
      </w:r>
      <w:r w:rsidRPr="00D83362">
        <w:rPr>
          <w:i/>
          <w:sz w:val="20"/>
          <w:lang w:val="fr-CA"/>
        </w:rPr>
        <w:t>Les</w:t>
      </w:r>
      <w:r w:rsidRPr="00D83362">
        <w:rPr>
          <w:sz w:val="20"/>
          <w:lang w:val="fr-CA"/>
        </w:rPr>
        <w:t xml:space="preserve"> juges Binnie, LeBel et </w:t>
      </w:r>
      <w:r w:rsidRPr="00D83362">
        <w:rPr>
          <w:b/>
          <w:sz w:val="20"/>
          <w:lang w:val="fr-CA"/>
        </w:rPr>
        <w:t>Fish</w:t>
      </w:r>
      <w:r w:rsidRPr="00D83362">
        <w:rPr>
          <w:sz w:val="20"/>
          <w:lang w:val="fr-CA"/>
        </w:rPr>
        <w:t xml:space="preserve"> (dissidents) : Il existe au Canada un principe de droit fondamental en matière d’agression sexuelle, selon lequel non veut dire « non » et seul oui veut dire « oui ».  En l’espèce, K.D., a dit oui; elle n’a pas dit non.  Elle a eu des rapports sexuels avec J.A., auxquels elle avait consenti à l’avance, pendant qu’elle était consciente.  Dans de telles circonstances, déclarer J.A. coupable d’agression sexuelle n’est justifié ni par les principes d’interprétation législative, ni par les décisions antérieures de la Cour, ni par des considérations d’ordre public.  De plus, ce résultat est inapproprié au vu des faits.</w:t>
      </w:r>
    </w:p>
    <w:p w:rsidR="00D83362" w:rsidRPr="00D83362" w:rsidRDefault="00D83362" w:rsidP="00D83362">
      <w:pPr>
        <w:pStyle w:val="SCCNormalDoubleSpacing"/>
        <w:spacing w:line="240" w:lineRule="auto"/>
        <w:rPr>
          <w:sz w:val="20"/>
          <w:lang w:val="fr-CA"/>
        </w:rPr>
      </w:pPr>
    </w:p>
    <w:p w:rsidR="00D83362" w:rsidRPr="00D83362" w:rsidRDefault="00D83362" w:rsidP="00D83362">
      <w:pPr>
        <w:pStyle w:val="SCCNormalDoubleSpacing"/>
        <w:spacing w:line="240" w:lineRule="auto"/>
        <w:rPr>
          <w:sz w:val="20"/>
          <w:lang w:val="fr-CA"/>
        </w:rPr>
      </w:pPr>
      <w:r w:rsidRPr="00D83362">
        <w:rPr>
          <w:sz w:val="20"/>
          <w:lang w:val="fr-CA"/>
        </w:rPr>
        <w:tab/>
        <w:t xml:space="preserve">Les dispositions du </w:t>
      </w:r>
      <w:r w:rsidRPr="00D83362">
        <w:rPr>
          <w:i/>
          <w:sz w:val="20"/>
          <w:lang w:val="fr-CA"/>
        </w:rPr>
        <w:t>Code criminel</w:t>
      </w:r>
      <w:r w:rsidRPr="00D83362">
        <w:rPr>
          <w:sz w:val="20"/>
          <w:lang w:val="fr-CA"/>
        </w:rPr>
        <w:t xml:space="preserve"> relatives au consentement à l’activité sexuelle et la jurisprudence visaient à protéger les femmes des abus commis par d’autres.  Ces règles ont pour objet de protéger et de favoriser l’autonomie sexuelle des femmes, et non de faire des choix à leur place. </w:t>
      </w:r>
    </w:p>
    <w:p w:rsidR="00D83362" w:rsidRPr="00D83362" w:rsidRDefault="00D83362" w:rsidP="00D83362">
      <w:pPr>
        <w:pStyle w:val="SCCNormalDoubleSpacing"/>
        <w:spacing w:line="240" w:lineRule="auto"/>
        <w:rPr>
          <w:sz w:val="20"/>
          <w:lang w:val="fr-CA"/>
        </w:rPr>
      </w:pPr>
    </w:p>
    <w:p w:rsidR="00D83362" w:rsidRPr="00D83362" w:rsidRDefault="00D83362" w:rsidP="00D83362">
      <w:pPr>
        <w:pStyle w:val="SCCNormalDoubleSpacing"/>
        <w:spacing w:line="240" w:lineRule="auto"/>
        <w:rPr>
          <w:sz w:val="20"/>
          <w:lang w:val="fr-CA"/>
        </w:rPr>
      </w:pPr>
      <w:r w:rsidRPr="00D83362">
        <w:rPr>
          <w:sz w:val="20"/>
          <w:lang w:val="fr-CA"/>
        </w:rPr>
        <w:tab/>
        <w:t xml:space="preserve">Selon un </w:t>
      </w:r>
      <w:r w:rsidRPr="00D83362">
        <w:rPr>
          <w:color w:val="000000" w:themeColor="text1"/>
          <w:sz w:val="20"/>
          <w:lang w:val="fr-CA"/>
        </w:rPr>
        <w:t xml:space="preserve">principe général bien établi, le consentement véritable du plaignant empêche de conclure à une agression sexuelle.  Rien dans le </w:t>
      </w:r>
      <w:r w:rsidRPr="00D83362">
        <w:rPr>
          <w:i/>
          <w:color w:val="000000" w:themeColor="text1"/>
          <w:sz w:val="20"/>
          <w:lang w:val="fr-CA"/>
        </w:rPr>
        <w:t>Code criminel</w:t>
      </w:r>
      <w:r w:rsidRPr="00D83362">
        <w:rPr>
          <w:color w:val="000000" w:themeColor="text1"/>
          <w:sz w:val="20"/>
          <w:lang w:val="fr-CA"/>
        </w:rPr>
        <w:t xml:space="preserve"> ne révèle que le législateur a envisagé ou édicté une exception</w:t>
      </w:r>
      <w:r w:rsidRPr="00D83362">
        <w:rPr>
          <w:sz w:val="20"/>
          <w:lang w:val="fr-CA"/>
        </w:rPr>
        <w:t xml:space="preserve"> à ce principe qui aurait pour effet </w:t>
      </w:r>
      <w:r w:rsidRPr="00D83362">
        <w:rPr>
          <w:color w:val="000000" w:themeColor="text1"/>
          <w:sz w:val="20"/>
          <w:lang w:val="fr-CA"/>
        </w:rPr>
        <w:t xml:space="preserve">de vicier le consentement à une </w:t>
      </w:r>
      <w:r w:rsidRPr="00D83362">
        <w:rPr>
          <w:sz w:val="20"/>
          <w:lang w:val="fr-CA"/>
        </w:rPr>
        <w:t>activité sexuelle qui a lieu pendant une période d’inconscience.  En effet, il ressort du libellé de l’al. 273.1(2)</w:t>
      </w:r>
      <w:r w:rsidRPr="00D83362">
        <w:rPr>
          <w:i/>
          <w:sz w:val="20"/>
          <w:lang w:val="fr-CA"/>
        </w:rPr>
        <w:t>e</w:t>
      </w:r>
      <w:r w:rsidRPr="00D83362">
        <w:rPr>
          <w:sz w:val="20"/>
          <w:lang w:val="fr-CA"/>
        </w:rPr>
        <w:t xml:space="preserve">) du </w:t>
      </w:r>
      <w:r w:rsidRPr="00D83362">
        <w:rPr>
          <w:i/>
          <w:sz w:val="20"/>
          <w:lang w:val="fr-CA"/>
        </w:rPr>
        <w:t>Code criminel</w:t>
      </w:r>
      <w:r w:rsidRPr="00D83362">
        <w:rPr>
          <w:sz w:val="20"/>
          <w:lang w:val="fr-CA"/>
        </w:rPr>
        <w:t xml:space="preserve"> que le consentement du plaignant peut être donné à l’avance, comme c’était le cas en l’espèce, et demeure valide tant qu’il n’est pas révoqué.  Après avoir repris conscience, K.D. n’a pas révoqué son consentement à l’acte sexuel en question — qui se poursuivait alors.  Personne n’a laissé entendre non plus qu’elle avait révoqué son consentement plus tôt, par ses paroles ou ses gestes, ou même dans son for intérieur.</w:t>
      </w:r>
    </w:p>
    <w:p w:rsidR="00D83362" w:rsidRPr="00D83362" w:rsidRDefault="00D83362" w:rsidP="00D83362">
      <w:pPr>
        <w:pStyle w:val="SCCNormalDoubleSpacing"/>
        <w:spacing w:line="240" w:lineRule="auto"/>
        <w:rPr>
          <w:sz w:val="20"/>
          <w:lang w:val="fr-CA"/>
        </w:rPr>
      </w:pPr>
    </w:p>
    <w:p w:rsidR="00D83362" w:rsidRPr="00D83362" w:rsidRDefault="00D83362" w:rsidP="00D83362">
      <w:pPr>
        <w:pStyle w:val="SCCNormalDoubleSpacing"/>
        <w:spacing w:line="240" w:lineRule="auto"/>
        <w:rPr>
          <w:sz w:val="20"/>
          <w:lang w:val="fr-CA"/>
        </w:rPr>
      </w:pPr>
      <w:r w:rsidRPr="00D83362">
        <w:rPr>
          <w:sz w:val="20"/>
          <w:lang w:val="fr-CA"/>
        </w:rPr>
        <w:tab/>
        <w:t xml:space="preserve">Une personne </w:t>
      </w:r>
      <w:r w:rsidRPr="00D83362">
        <w:rPr>
          <w:color w:val="000000" w:themeColor="text1"/>
          <w:sz w:val="20"/>
          <w:lang w:val="fr-CA"/>
        </w:rPr>
        <w:t>inconsciente</w:t>
      </w:r>
      <w:r w:rsidRPr="00D83362">
        <w:rPr>
          <w:sz w:val="20"/>
          <w:lang w:val="fr-CA"/>
        </w:rPr>
        <w:t xml:space="preserve"> ne peut ni consentir ni révoquer son consentement.  Toutefois, il ne s’ensuit pas pour autant que des adultes consentants ne peuvent, en droit, acquiescer de leur plein gré et consciemment à des actes sexuels assortis d’une inconscience passagère — au motif que, pendant la courte durée de cet état mental provoqué d’un commun accord, ils seraient incapables de consentir aux actes auxquels ils ont déjà consenti.  Il n’y a aucun fondement factuel ou juridique qui permette de conclure que le consentement donné à l’avance par la plaignante, valable à tout autre moment, est devenu temporairement inopérant pendant les quelques minutes de son inconscience volontaire.  Son effet n’a pas été suspendu du fait qu’elle s’était rendue incapable de révoquer le consentement qu’elle avait librement et consciemment choisi de ne pas révoquer immédiatement avant ou après son bref moment d’inconscience.  Le consentement à l’activité donné à l’avance par la plaignante n’est valable qu’à l’égard de cette activité précise.  Vu l’absence de preuve démontrant que J.A. aurait transgressé le consentement de la plaignante ou lui aurait infligé des lésions corporelles ayant pour effet de vicier son consentement en common law, rien dans les dispositions du </w:t>
      </w:r>
      <w:r w:rsidRPr="00D83362">
        <w:rPr>
          <w:i/>
          <w:sz w:val="20"/>
          <w:lang w:val="fr-CA"/>
        </w:rPr>
        <w:t>Code criminel</w:t>
      </w:r>
      <w:r w:rsidRPr="00D83362">
        <w:rPr>
          <w:sz w:val="20"/>
          <w:lang w:val="fr-CA"/>
        </w:rPr>
        <w:t xml:space="preserve"> ne justifie de conclure que le consentement de la plaignante dans les faits n’était pas valable en droit.</w:t>
      </w:r>
    </w:p>
    <w:p w:rsidR="00D83362" w:rsidRPr="00D83362" w:rsidRDefault="00D83362" w:rsidP="00D83362">
      <w:pPr>
        <w:pStyle w:val="SCCNormalDoubleSpacing"/>
        <w:spacing w:line="240" w:lineRule="auto"/>
        <w:rPr>
          <w:sz w:val="20"/>
          <w:lang w:val="fr-CA"/>
        </w:rPr>
      </w:pPr>
    </w:p>
    <w:p w:rsidR="00D83362" w:rsidRPr="00D83362" w:rsidRDefault="00D83362" w:rsidP="00D83362">
      <w:pPr>
        <w:pStyle w:val="SCCNormalDoubleSpacing"/>
        <w:spacing w:line="240" w:lineRule="auto"/>
        <w:rPr>
          <w:sz w:val="20"/>
          <w:lang w:val="fr-CA"/>
        </w:rPr>
      </w:pPr>
      <w:r w:rsidRPr="00D83362">
        <w:rPr>
          <w:sz w:val="20"/>
          <w:lang w:val="fr-CA"/>
        </w:rPr>
        <w:tab/>
        <w:t xml:space="preserve">POURVOI contre un arrêt de la Cour d’appel de l’Ontario (les juges </w:t>
      </w:r>
      <w:r w:rsidR="008C2B81" w:rsidRPr="00E808CD">
        <w:rPr>
          <w:sz w:val="20"/>
        </w:rPr>
        <w:fldChar w:fldCharType="begin"/>
      </w:r>
      <w:r w:rsidRPr="00D83362">
        <w:rPr>
          <w:sz w:val="20"/>
          <w:lang w:val="fr-CA"/>
        </w:rPr>
        <w:instrText xml:space="preserve"> SEQ CHAPTER \h \r 1</w:instrText>
      </w:r>
      <w:r w:rsidR="008C2B81" w:rsidRPr="00E808CD">
        <w:rPr>
          <w:sz w:val="20"/>
        </w:rPr>
        <w:fldChar w:fldCharType="end"/>
      </w:r>
      <w:r w:rsidRPr="00D83362">
        <w:rPr>
          <w:sz w:val="20"/>
          <w:lang w:val="fr-CA"/>
        </w:rPr>
        <w:t xml:space="preserve">Simmons, Juriansz et LaForme), </w:t>
      </w:r>
      <w:r w:rsidR="008C2B81" w:rsidRPr="00E808CD">
        <w:rPr>
          <w:sz w:val="20"/>
        </w:rPr>
        <w:fldChar w:fldCharType="begin"/>
      </w:r>
      <w:r w:rsidRPr="00D83362">
        <w:rPr>
          <w:sz w:val="20"/>
          <w:lang w:val="fr-CA"/>
        </w:rPr>
        <w:instrText xml:space="preserve"> SEQ CHAPTER \h \r 1</w:instrText>
      </w:r>
      <w:r w:rsidR="008C2B81" w:rsidRPr="00E808CD">
        <w:rPr>
          <w:sz w:val="20"/>
        </w:rPr>
        <w:fldChar w:fldCharType="end"/>
      </w:r>
      <w:r w:rsidRPr="00D83362">
        <w:rPr>
          <w:sz w:val="20"/>
          <w:lang w:val="fr-CA"/>
        </w:rPr>
        <w:t>2010 ONCA 226, 100 O.R. (3d) 676, 253 C.C.C. (3d) 153, 74 C.R. (6th) 51, 260 O.A.C. 248, [2010] O.J. No. 1202 (QL), 2010 CarswellOnt 1739, qui a annulé la déclaration de culpabilité de l’accusé pour agression sexuelle.  Pourvoi accueilli, les juges Binnie, LeBel et Fish sont dissidents.</w:t>
      </w:r>
    </w:p>
    <w:p w:rsidR="00D83362" w:rsidRPr="00D83362" w:rsidRDefault="00D83362" w:rsidP="00D83362">
      <w:pPr>
        <w:pStyle w:val="SCCNormalDoubleSpacing"/>
        <w:spacing w:line="240" w:lineRule="auto"/>
        <w:rPr>
          <w:sz w:val="20"/>
          <w:lang w:val="fr-CA"/>
        </w:rPr>
      </w:pPr>
    </w:p>
    <w:p w:rsidR="00D83362" w:rsidRPr="00D83362" w:rsidRDefault="00D83362" w:rsidP="00D83362">
      <w:pPr>
        <w:pStyle w:val="SCCNormalDoubleSpacing"/>
        <w:spacing w:line="240" w:lineRule="auto"/>
        <w:rPr>
          <w:rStyle w:val="SCCCounselPartyRoleChar"/>
          <w:sz w:val="20"/>
          <w:lang w:val="fr-CA"/>
        </w:rPr>
      </w:pPr>
      <w:r w:rsidRPr="00D83362">
        <w:rPr>
          <w:rStyle w:val="SCCCounselNameChar"/>
          <w:sz w:val="20"/>
          <w:lang w:val="fr-CA"/>
        </w:rPr>
        <w:tab/>
        <w:t>Christine Bartlett</w:t>
      </w:r>
      <w:r w:rsidRPr="00D83362">
        <w:rPr>
          <w:rStyle w:val="SCCCounselNameChar"/>
          <w:sz w:val="20"/>
          <w:lang w:val="fr-CA"/>
        </w:rPr>
        <w:noBreakHyphen/>
        <w:t>Hughes</w:t>
      </w:r>
      <w:r w:rsidRPr="00D83362">
        <w:rPr>
          <w:rStyle w:val="SCCCounselPartyRoleChar"/>
          <w:sz w:val="20"/>
          <w:lang w:val="fr-CA"/>
        </w:rPr>
        <w:t>, pour l’appelante.</w:t>
      </w:r>
    </w:p>
    <w:p w:rsidR="00D83362" w:rsidRPr="00D83362" w:rsidRDefault="00D83362" w:rsidP="00D83362">
      <w:pPr>
        <w:pStyle w:val="SCCNormalDoubleSpacing"/>
        <w:spacing w:line="240" w:lineRule="auto"/>
        <w:rPr>
          <w:sz w:val="20"/>
          <w:lang w:val="fr-CA"/>
        </w:rPr>
      </w:pPr>
    </w:p>
    <w:p w:rsidR="00D83362" w:rsidRDefault="00D83362" w:rsidP="00D83362">
      <w:pPr>
        <w:pStyle w:val="SCCNormalDoubleSpacing"/>
        <w:spacing w:line="240" w:lineRule="auto"/>
        <w:rPr>
          <w:rStyle w:val="SCCCounselPartyRoleChar"/>
          <w:sz w:val="20"/>
          <w:lang w:val="en-US"/>
        </w:rPr>
      </w:pPr>
      <w:r w:rsidRPr="00D83362">
        <w:rPr>
          <w:rStyle w:val="SCCCounselNameChar"/>
          <w:sz w:val="20"/>
          <w:lang w:val="fr-CA"/>
        </w:rPr>
        <w:tab/>
      </w:r>
      <w:r w:rsidRPr="00E808CD">
        <w:rPr>
          <w:rStyle w:val="SCCCounselNameChar"/>
          <w:sz w:val="20"/>
          <w:lang w:val="en-US"/>
        </w:rPr>
        <w:t>Howard L. Krongold</w:t>
      </w:r>
      <w:r w:rsidRPr="00E808CD">
        <w:rPr>
          <w:rStyle w:val="SCCCounselSeparatorChar"/>
          <w:sz w:val="20"/>
          <w:lang w:val="en-US"/>
        </w:rPr>
        <w:t xml:space="preserve"> et </w:t>
      </w:r>
      <w:r w:rsidRPr="00E808CD">
        <w:rPr>
          <w:rStyle w:val="SCCCounselNameChar"/>
          <w:sz w:val="20"/>
          <w:lang w:val="en-US"/>
        </w:rPr>
        <w:t>Matthew C. Webber</w:t>
      </w:r>
      <w:r w:rsidRPr="00E808CD">
        <w:rPr>
          <w:rStyle w:val="SCCCounselPartyRoleChar"/>
          <w:sz w:val="20"/>
          <w:lang w:val="en-US"/>
        </w:rPr>
        <w:t>, pour l’intimé.</w:t>
      </w:r>
    </w:p>
    <w:p w:rsidR="00D83362" w:rsidRPr="00E808CD" w:rsidRDefault="00D83362" w:rsidP="00D83362">
      <w:pPr>
        <w:pStyle w:val="SCCNormalDoubleSpacing"/>
        <w:spacing w:line="240" w:lineRule="auto"/>
        <w:rPr>
          <w:sz w:val="20"/>
          <w:lang w:val="en-US"/>
        </w:rPr>
      </w:pPr>
    </w:p>
    <w:p w:rsidR="00D83362" w:rsidRPr="00D83362" w:rsidRDefault="00D83362" w:rsidP="00D83362">
      <w:pPr>
        <w:pStyle w:val="SCCNormalDoubleSpacing"/>
        <w:spacing w:line="240" w:lineRule="auto"/>
        <w:rPr>
          <w:rStyle w:val="SCCCounselPartyRoleChar"/>
          <w:sz w:val="20"/>
          <w:lang w:val="fr-CA"/>
        </w:rPr>
      </w:pPr>
      <w:r w:rsidRPr="00E808CD">
        <w:rPr>
          <w:rStyle w:val="SCCCounselNameChar"/>
          <w:sz w:val="20"/>
          <w:lang w:val="en-US"/>
        </w:rPr>
        <w:tab/>
      </w:r>
      <w:r w:rsidRPr="00D83362">
        <w:rPr>
          <w:rStyle w:val="SCCCounselNameChar"/>
          <w:sz w:val="20"/>
          <w:lang w:val="fr-CA"/>
        </w:rPr>
        <w:t>James C. Martin</w:t>
      </w:r>
      <w:r w:rsidRPr="00D83362">
        <w:rPr>
          <w:rStyle w:val="SCCCounselPartyRoleChar"/>
          <w:sz w:val="20"/>
          <w:lang w:val="fr-CA"/>
        </w:rPr>
        <w:t>, pour l’intervenant le procureur général du Canada.</w:t>
      </w:r>
    </w:p>
    <w:p w:rsidR="00D83362" w:rsidRPr="00D83362" w:rsidRDefault="00D83362" w:rsidP="00D83362">
      <w:pPr>
        <w:pStyle w:val="SCCNormalDoubleSpacing"/>
        <w:spacing w:line="240" w:lineRule="auto"/>
        <w:rPr>
          <w:sz w:val="20"/>
          <w:lang w:val="fr-CA"/>
        </w:rPr>
      </w:pPr>
    </w:p>
    <w:p w:rsidR="00D83362" w:rsidRDefault="00D83362" w:rsidP="00D83362">
      <w:pPr>
        <w:pStyle w:val="SCCNormalDoubleSpacing"/>
        <w:spacing w:line="240" w:lineRule="auto"/>
        <w:rPr>
          <w:rStyle w:val="SCCCounselPartyRoleChar"/>
          <w:sz w:val="20"/>
          <w:lang w:val="fr-CA"/>
        </w:rPr>
      </w:pPr>
      <w:r w:rsidRPr="00D83362">
        <w:rPr>
          <w:rStyle w:val="SCCCounselNameChar"/>
          <w:sz w:val="20"/>
          <w:lang w:val="fr-CA"/>
        </w:rPr>
        <w:tab/>
        <w:t>Susan Chapman</w:t>
      </w:r>
      <w:r w:rsidRPr="00E808CD">
        <w:rPr>
          <w:rStyle w:val="SCCCounselSeparatorChar"/>
          <w:sz w:val="20"/>
        </w:rPr>
        <w:t xml:space="preserve"> et </w:t>
      </w:r>
      <w:r w:rsidRPr="00D83362">
        <w:rPr>
          <w:rStyle w:val="SCCCounselNameChar"/>
          <w:sz w:val="20"/>
          <w:lang w:val="fr-CA"/>
        </w:rPr>
        <w:t>Elizabeth Sheehy</w:t>
      </w:r>
      <w:r w:rsidRPr="00D83362">
        <w:rPr>
          <w:rStyle w:val="SCCCounselPartyRoleChar"/>
          <w:sz w:val="20"/>
          <w:lang w:val="fr-CA"/>
        </w:rPr>
        <w:t>, pour l’intervenant le Fonds d’action et d’éducation juridiques pour les femmes.</w:t>
      </w:r>
    </w:p>
    <w:p w:rsidR="001D546F" w:rsidRPr="00D83362" w:rsidRDefault="001D546F" w:rsidP="00D83362">
      <w:pPr>
        <w:pStyle w:val="SCCNormalDoubleSpacing"/>
        <w:spacing w:line="240" w:lineRule="auto"/>
        <w:rPr>
          <w:rStyle w:val="SCCCounselPartyRoleChar"/>
          <w:sz w:val="20"/>
          <w:lang w:val="fr-CA"/>
        </w:rPr>
      </w:pPr>
    </w:p>
    <w:p w:rsidR="00D83362" w:rsidRPr="00D83362" w:rsidRDefault="00D83362" w:rsidP="00D83362">
      <w:pPr>
        <w:pStyle w:val="SCCNormalDoubleSpacing"/>
        <w:spacing w:line="240" w:lineRule="auto"/>
        <w:rPr>
          <w:i/>
          <w:sz w:val="20"/>
          <w:lang w:val="fr-CA"/>
        </w:rPr>
      </w:pPr>
      <w:r w:rsidRPr="00D83362">
        <w:rPr>
          <w:sz w:val="20"/>
          <w:lang w:val="fr-CA"/>
        </w:rPr>
        <w:tab/>
      </w:r>
      <w:r w:rsidRPr="00D83362">
        <w:rPr>
          <w:i/>
          <w:sz w:val="20"/>
          <w:lang w:val="fr-CA"/>
        </w:rPr>
        <w:t>Procureur de l’appelante : Procureur général de l’Ontario, Toronto.</w:t>
      </w:r>
    </w:p>
    <w:p w:rsidR="00D83362" w:rsidRPr="00D83362" w:rsidRDefault="00D83362" w:rsidP="00D83362">
      <w:pPr>
        <w:pStyle w:val="SCCNormalDoubleSpacing"/>
        <w:spacing w:line="240" w:lineRule="auto"/>
        <w:rPr>
          <w:i/>
          <w:sz w:val="20"/>
          <w:lang w:val="fr-CA"/>
        </w:rPr>
      </w:pPr>
    </w:p>
    <w:p w:rsidR="00D83362" w:rsidRDefault="00D83362" w:rsidP="00D83362">
      <w:pPr>
        <w:pStyle w:val="SCCNormalDoubleSpacing"/>
        <w:spacing w:line="240" w:lineRule="auto"/>
        <w:rPr>
          <w:i/>
          <w:sz w:val="20"/>
          <w:lang w:val="fr-CA"/>
        </w:rPr>
      </w:pPr>
      <w:r w:rsidRPr="00D83362">
        <w:rPr>
          <w:i/>
          <w:sz w:val="20"/>
          <w:lang w:val="fr-CA"/>
        </w:rPr>
        <w:lastRenderedPageBreak/>
        <w:tab/>
        <w:t>Procureurs de l’intimé : Webber Schroeder Goldstein Abergel, Ottawa.</w:t>
      </w:r>
    </w:p>
    <w:p w:rsidR="001D546F" w:rsidRPr="00D83362" w:rsidRDefault="001D546F" w:rsidP="00D83362">
      <w:pPr>
        <w:pStyle w:val="SCCNormalDoubleSpacing"/>
        <w:spacing w:line="240" w:lineRule="auto"/>
        <w:rPr>
          <w:i/>
          <w:sz w:val="20"/>
          <w:lang w:val="fr-CA"/>
        </w:rPr>
      </w:pPr>
    </w:p>
    <w:p w:rsidR="00D83362" w:rsidRPr="00D83362" w:rsidRDefault="00D83362" w:rsidP="00D83362">
      <w:pPr>
        <w:pStyle w:val="SCCNormalDoubleSpacing"/>
        <w:spacing w:line="240" w:lineRule="auto"/>
        <w:rPr>
          <w:i/>
          <w:sz w:val="20"/>
          <w:lang w:val="fr-CA"/>
        </w:rPr>
      </w:pPr>
      <w:r w:rsidRPr="00D83362">
        <w:rPr>
          <w:i/>
          <w:sz w:val="20"/>
          <w:lang w:val="fr-CA"/>
        </w:rPr>
        <w:tab/>
        <w:t>Procureur de l’intervenant le procureur général du Canada : Procureur général du Canada, Halifax.</w:t>
      </w:r>
    </w:p>
    <w:p w:rsidR="00D83362" w:rsidRPr="00D83362" w:rsidRDefault="00D83362" w:rsidP="00D83362">
      <w:pPr>
        <w:pStyle w:val="SCCNormalDoubleSpacing"/>
        <w:spacing w:line="240" w:lineRule="auto"/>
        <w:rPr>
          <w:i/>
          <w:sz w:val="20"/>
          <w:lang w:val="fr-CA"/>
        </w:rPr>
      </w:pPr>
    </w:p>
    <w:p w:rsidR="00D83362" w:rsidRPr="00D83362" w:rsidRDefault="00D83362" w:rsidP="00D83362">
      <w:pPr>
        <w:pStyle w:val="SCCNormalDoubleSpacing"/>
        <w:spacing w:line="240" w:lineRule="auto"/>
        <w:rPr>
          <w:i/>
          <w:sz w:val="20"/>
          <w:lang w:val="fr-CA"/>
        </w:rPr>
      </w:pPr>
      <w:r w:rsidRPr="00D83362">
        <w:rPr>
          <w:i/>
          <w:sz w:val="20"/>
          <w:lang w:val="fr-CA"/>
        </w:rPr>
        <w:tab/>
        <w:t>Procureur de l’intervenant le Fonds d’action et d’éducation juridiques pour les femmes : Fonds d’action et d’éducation juridiques pour les femmes, Toronto.</w:t>
      </w:r>
    </w:p>
    <w:p w:rsidR="005B3DE4" w:rsidRPr="00D83362" w:rsidRDefault="005B3DE4" w:rsidP="003B3977">
      <w:pPr>
        <w:rPr>
          <w:sz w:val="20"/>
          <w:szCs w:val="20"/>
          <w:lang w:val="fr-CA"/>
        </w:rPr>
      </w:pPr>
    </w:p>
    <w:p w:rsidR="005B3DE4" w:rsidRDefault="008C2B81" w:rsidP="003B3977">
      <w:pPr>
        <w:rPr>
          <w:sz w:val="20"/>
          <w:szCs w:val="20"/>
        </w:rPr>
      </w:pPr>
      <w:r w:rsidRPr="008C2B81">
        <w:rPr>
          <w:rFonts w:cs="Times New Roman"/>
          <w:sz w:val="20"/>
          <w:szCs w:val="20"/>
          <w:lang w:val="fr-CA"/>
        </w:rPr>
        <w:pict>
          <v:rect id="_x0000_i1076" style="width:144.3pt;height:1pt" o:hrpct="300" o:hralign="center" o:hrstd="t" o:hrnoshade="t" o:hr="t" fillcolor="black [3213]" stroked="f"/>
        </w:pict>
      </w:r>
    </w:p>
    <w:p w:rsidR="005B3DE4" w:rsidRDefault="005B3DE4" w:rsidP="003B3977">
      <w:pPr>
        <w:rPr>
          <w:sz w:val="20"/>
          <w:szCs w:val="20"/>
        </w:rPr>
      </w:pPr>
    </w:p>
    <w:p w:rsidR="00D83362" w:rsidRPr="003F4721" w:rsidRDefault="00D83362"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576" w:footer="960" w:gutter="0"/>
          <w:cols w:space="720"/>
          <w:titlePg/>
          <w:docGrid w:linePitch="272"/>
        </w:sectPr>
      </w:pPr>
    </w:p>
    <w:p w:rsidR="00924065" w:rsidRPr="00DE5525" w:rsidRDefault="008C2B81"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2"/>
      <w:footerReference w:type="default" r:id="rId5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26" w:rsidRDefault="00A01226" w:rsidP="00A87207">
      <w:r>
        <w:separator/>
      </w:r>
    </w:p>
  </w:endnote>
  <w:endnote w:type="continuationSeparator" w:id="0">
    <w:p w:rsidR="00A01226" w:rsidRDefault="00A01226"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86" w:rsidRDefault="00C5088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pPr>
      <w:pStyle w:val="Footer"/>
      <w:rPr>
        <w:lang w:val="fr-CA"/>
      </w:rPr>
    </w:pPr>
    <w:r w:rsidRPr="008C2B81">
      <w:rPr>
        <w:lang w:val="fr-CA"/>
      </w:rPr>
      <w:pict>
        <v:rect id="_x0000_i1058" style="width:480.95pt;height:1pt" o:hralign="center" o:hrstd="t" o:hrnoshade="t" o:hr="t" fillcolor="black [3213]" stroked="f"/>
      </w:pict>
    </w:r>
  </w:p>
  <w:p w:rsidR="00A01226" w:rsidRDefault="00A01226" w:rsidP="00245129">
    <w:pPr>
      <w:tabs>
        <w:tab w:val="center" w:pos="4680"/>
      </w:tabs>
    </w:pPr>
    <w:r>
      <w:tab/>
    </w:r>
    <w:r w:rsidRPr="0009648D">
      <w:t xml:space="preserve">- </w:t>
    </w:r>
    <w:fldSimple w:instr=" PAGE   \* MERGEFORMAT ">
      <w:r w:rsidR="00625110">
        <w:rPr>
          <w:noProof/>
        </w:rPr>
        <w:t>837</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01226" w:rsidRDefault="00A01226">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rsidP="00755F22">
    <w:pPr>
      <w:tabs>
        <w:tab w:val="left" w:pos="-1440"/>
        <w:tab w:val="left" w:pos="-720"/>
      </w:tabs>
    </w:pPr>
    <w:r>
      <w:pict>
        <v:rect id="_x0000_i1064" style="width:480.95pt;height:1pt" o:hralign="center" o:hrstd="t" o:hrnoshade="t" o:hr="t" fillcolor="black [3213]" stroked="f"/>
      </w:pict>
    </w:r>
  </w:p>
  <w:p w:rsidR="00A01226" w:rsidRDefault="00A01226" w:rsidP="00EB2B90">
    <w:pPr>
      <w:tabs>
        <w:tab w:val="center" w:pos="4680"/>
      </w:tabs>
    </w:pPr>
    <w:r>
      <w:tab/>
      <w:t xml:space="preserve">- </w:t>
    </w:r>
    <w:fldSimple w:instr=" PAGE   \* MERGEFORMAT ">
      <w:r w:rsidR="00625110">
        <w:rPr>
          <w:noProof/>
        </w:rPr>
        <w:t>853</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rsidP="00EB2B90">
    <w:pPr>
      <w:tabs>
        <w:tab w:val="center" w:pos="4680"/>
      </w:tabs>
    </w:pPr>
    <w:r>
      <w:pict>
        <v:rect id="_x0000_i1065" style="width:480.95pt;height:1pt" o:hralign="center" o:hrstd="t" o:hrnoshade="t" o:hr="t" fillcolor="black [3213]" stroked="f"/>
      </w:pict>
    </w:r>
  </w:p>
  <w:p w:rsidR="00A01226" w:rsidRPr="0031432F" w:rsidRDefault="00A01226" w:rsidP="00EB2B90">
    <w:pPr>
      <w:tabs>
        <w:tab w:val="center" w:pos="4680"/>
      </w:tabs>
    </w:pPr>
    <w:r>
      <w:tab/>
      <w:t xml:space="preserve">- </w:t>
    </w:r>
    <w:fldSimple w:instr=" PAGE   \* MERGEFORMAT ">
      <w:r w:rsidR="00625110">
        <w:rPr>
          <w:noProof/>
        </w:rPr>
        <w:t>851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01226" w:rsidRDefault="00A01226">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rsidP="00732DB7">
    <w:r>
      <w:pict>
        <v:rect id="_x0000_i1067" style="width:480.95pt;height:1pt" o:hralign="center" o:hrstd="t" o:hrnoshade="t" o:hr="t" fillcolor="black" stroked="f"/>
      </w:pict>
    </w:r>
  </w:p>
  <w:p w:rsidR="00A01226" w:rsidRDefault="00A01226">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pPr>
      <w:pStyle w:val="Footer"/>
    </w:pPr>
    <w:r>
      <w:pict>
        <v:rect id="_x0000_i1068" style="width:480.95pt;height:1pt" o:hralign="center" o:hrstd="t" o:hrnoshade="t" o:hr="t" fillcolor="black" stroked="f"/>
      </w:pict>
    </w:r>
  </w:p>
  <w:p w:rsidR="00A01226" w:rsidRPr="00283C52" w:rsidRDefault="00A01226">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01226" w:rsidRDefault="00A0122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rsidP="00732DB7">
    <w:r>
      <w:pict>
        <v:rect id="_x0000_i1071" style="width:480.95pt;height:1pt" o:hralign="center" o:hrstd="t" o:hrnoshade="t" o:hr="t" fillcolor="black" stroked="f"/>
      </w:pict>
    </w:r>
  </w:p>
  <w:p w:rsidR="00A01226" w:rsidRDefault="00A01226">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pPr>
      <w:pStyle w:val="Footer"/>
    </w:pPr>
    <w:r>
      <w:pict>
        <v:rect id="_x0000_i1072" style="width:480.95pt;height:1pt" o:hralign="center" o:hrstd="t" o:hrnoshade="t" o:hr="t" fillcolor="black [3213]" stroked="f"/>
      </w:pict>
    </w:r>
  </w:p>
  <w:p w:rsidR="00A01226" w:rsidRPr="003C2C0F" w:rsidRDefault="00A01226" w:rsidP="00697C62">
    <w:pPr>
      <w:tabs>
        <w:tab w:val="center" w:pos="4680"/>
      </w:tabs>
    </w:pPr>
    <w:r>
      <w:tab/>
      <w:t xml:space="preserve">- </w:t>
    </w:r>
    <w:fldSimple w:instr=" PAGE   \* MERGEFORMAT ">
      <w:r w:rsidR="00625110">
        <w:rPr>
          <w:noProof/>
        </w:rPr>
        <w:t>855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86" w:rsidRDefault="00C50886">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01226" w:rsidRDefault="00A01226">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01226" w:rsidRDefault="008C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7" style="width:480.95pt;height:1pt" o:hralign="center" o:hrstd="t" o:hrnoshade="t" o:hr="t" fillcolor="black [3213]" stroked="f"/>
      </w:pict>
    </w:r>
  </w:p>
  <w:p w:rsidR="00A01226" w:rsidRDefault="00A01226" w:rsidP="00782AE4">
    <w:pPr>
      <w:tabs>
        <w:tab w:val="center" w:pos="4680"/>
      </w:tabs>
    </w:pPr>
    <w:r>
      <w:tab/>
      <w:t xml:space="preserve">- </w:t>
    </w:r>
    <w:r w:rsidR="008C2B81" w:rsidRPr="001775C1">
      <w:rPr>
        <w:szCs w:val="24"/>
      </w:rPr>
      <w:fldChar w:fldCharType="begin"/>
    </w:r>
    <w:r w:rsidRPr="001775C1">
      <w:rPr>
        <w:szCs w:val="24"/>
      </w:rPr>
      <w:instrText xml:space="preserve"> PAGE   \* MERGEFORMAT </w:instrText>
    </w:r>
    <w:r w:rsidR="008C2B81" w:rsidRPr="001775C1">
      <w:rPr>
        <w:szCs w:val="24"/>
      </w:rPr>
      <w:fldChar w:fldCharType="separate"/>
    </w:r>
    <w:r w:rsidR="00625110">
      <w:rPr>
        <w:noProof/>
        <w:szCs w:val="24"/>
      </w:rPr>
      <w:t>865</w:t>
    </w:r>
    <w:r w:rsidR="008C2B81"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rsidP="00782AE4">
    <w:pPr>
      <w:tabs>
        <w:tab w:val="center" w:pos="4680"/>
      </w:tabs>
    </w:pPr>
    <w:r>
      <w:pict>
        <v:rect id="_x0000_i1078" style="width:480.95pt;height:1pt" o:hralign="center" o:hrstd="t" o:hrnoshade="t" o:hr="t" fillcolor="black [3213]" stroked="f"/>
      </w:pict>
    </w:r>
  </w:p>
  <w:p w:rsidR="00A01226" w:rsidRDefault="00A01226" w:rsidP="00782AE4">
    <w:pPr>
      <w:tabs>
        <w:tab w:val="center" w:pos="4680"/>
      </w:tabs>
    </w:pPr>
    <w:r>
      <w:tab/>
      <w:t xml:space="preserve">- </w:t>
    </w:r>
    <w:r w:rsidR="008C2B81" w:rsidRPr="001775C1">
      <w:rPr>
        <w:szCs w:val="24"/>
      </w:rPr>
      <w:fldChar w:fldCharType="begin"/>
    </w:r>
    <w:r w:rsidRPr="001775C1">
      <w:rPr>
        <w:szCs w:val="24"/>
      </w:rPr>
      <w:instrText xml:space="preserve"> PAGE   \* MERGEFORMAT </w:instrText>
    </w:r>
    <w:r w:rsidR="008C2B81" w:rsidRPr="001775C1">
      <w:rPr>
        <w:szCs w:val="24"/>
      </w:rPr>
      <w:fldChar w:fldCharType="separate"/>
    </w:r>
    <w:r w:rsidR="00625110">
      <w:rPr>
        <w:noProof/>
        <w:szCs w:val="24"/>
      </w:rPr>
      <w:t>856</w:t>
    </w:r>
    <w:r w:rsidR="008C2B81"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Pr="00924065" w:rsidRDefault="00A01226"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86" w:rsidRDefault="00C5088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rsidP="00A87207">
    <w:pPr>
      <w:pStyle w:val="Footer"/>
    </w:pPr>
    <w:r>
      <w:pict>
        <v:rect id="_x0000_i1036" style="width:480.95pt;height:1pt" o:hralign="center" o:hrstd="t" o:hrnoshade="t" o:hr="t" fillcolor="black [3213]" stroked="f"/>
      </w:pict>
    </w:r>
  </w:p>
  <w:p w:rsidR="00A01226" w:rsidRPr="00B7374B" w:rsidRDefault="00A01226" w:rsidP="00B7374B">
    <w:pPr>
      <w:tabs>
        <w:tab w:val="center" w:pos="4680"/>
      </w:tabs>
      <w:rPr>
        <w:szCs w:val="24"/>
      </w:rPr>
    </w:pPr>
    <w:r w:rsidRPr="00954D22">
      <w:rPr>
        <w:szCs w:val="24"/>
      </w:rPr>
      <w:tab/>
      <w:t xml:space="preserve">- </w:t>
    </w:r>
    <w:r w:rsidR="008C2B81" w:rsidRPr="00954D22">
      <w:rPr>
        <w:szCs w:val="24"/>
      </w:rPr>
      <w:fldChar w:fldCharType="begin"/>
    </w:r>
    <w:r w:rsidRPr="00954D22">
      <w:rPr>
        <w:szCs w:val="24"/>
      </w:rPr>
      <w:instrText xml:space="preserve"> PAGE   \* MERGEFORMAT </w:instrText>
    </w:r>
    <w:r w:rsidR="008C2B81" w:rsidRPr="00954D22">
      <w:rPr>
        <w:szCs w:val="24"/>
      </w:rPr>
      <w:fldChar w:fldCharType="separate"/>
    </w:r>
    <w:r w:rsidR="00625110">
      <w:rPr>
        <w:noProof/>
        <w:szCs w:val="24"/>
      </w:rPr>
      <w:t>835</w:t>
    </w:r>
    <w:r w:rsidR="008C2B81"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rsidP="00755F22">
    <w:pPr>
      <w:tabs>
        <w:tab w:val="left" w:pos="-1440"/>
        <w:tab w:val="left" w:pos="-720"/>
      </w:tabs>
    </w:pPr>
    <w:r>
      <w:pict>
        <v:rect id="_x0000_i1037" style="width:480.95pt;height:1pt" o:hralign="center" o:hrstd="t" o:hrnoshade="t" o:hr="t" fillcolor="black [3213]" stroked="f"/>
      </w:pict>
    </w:r>
  </w:p>
  <w:p w:rsidR="00A01226" w:rsidRPr="00954D22" w:rsidRDefault="00A01226" w:rsidP="00B7374B">
    <w:pPr>
      <w:tabs>
        <w:tab w:val="center" w:pos="4680"/>
      </w:tabs>
      <w:rPr>
        <w:szCs w:val="24"/>
      </w:rPr>
    </w:pPr>
    <w:r w:rsidRPr="00954D22">
      <w:rPr>
        <w:szCs w:val="24"/>
      </w:rPr>
      <w:tab/>
      <w:t xml:space="preserve">- </w:t>
    </w:r>
    <w:r w:rsidR="008C2B81">
      <w:rPr>
        <w:szCs w:val="24"/>
      </w:rPr>
      <w:fldChar w:fldCharType="begin"/>
    </w:r>
    <w:r>
      <w:rPr>
        <w:szCs w:val="24"/>
      </w:rPr>
      <w:instrText xml:space="preserve"> PAGE   \* MERGEFORMAT </w:instrText>
    </w:r>
    <w:r w:rsidR="008C2B81">
      <w:rPr>
        <w:szCs w:val="24"/>
      </w:rPr>
      <w:fldChar w:fldCharType="separate"/>
    </w:r>
    <w:r w:rsidR="00625110">
      <w:rPr>
        <w:noProof/>
        <w:szCs w:val="24"/>
      </w:rPr>
      <w:t>834</w:t>
    </w:r>
    <w:r w:rsidR="008C2B81">
      <w:rPr>
        <w:szCs w:val="24"/>
      </w:rPr>
      <w:fldChar w:fldCharType="end"/>
    </w:r>
    <w:r w:rsidRPr="00954D22">
      <w:rPr>
        <w:szCs w:val="24"/>
      </w:rPr>
      <w:t xml:space="preserve"> -</w:t>
    </w:r>
  </w:p>
  <w:p w:rsidR="00A01226" w:rsidRDefault="00A0122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rsidP="00A87207">
    <w:pPr>
      <w:pStyle w:val="Footer"/>
    </w:pPr>
    <w:r>
      <w:pict>
        <v:rect id="_x0000_i1039" style="width:480.95pt;height:1pt" o:hralign="center" o:hrstd="t" o:hrnoshade="t" o:hr="t" fillcolor="black [3213]" stroked="f"/>
      </w:pict>
    </w:r>
  </w:p>
  <w:p w:rsidR="00A01226" w:rsidRPr="00B7374B" w:rsidRDefault="00A01226" w:rsidP="00B7374B">
    <w:pPr>
      <w:tabs>
        <w:tab w:val="center" w:pos="4680"/>
      </w:tabs>
      <w:rPr>
        <w:szCs w:val="24"/>
      </w:rPr>
    </w:pPr>
    <w:r w:rsidRPr="00954D22">
      <w:rPr>
        <w:szCs w:val="24"/>
      </w:rPr>
      <w:tab/>
      <w:t xml:space="preserve">- </w:t>
    </w:r>
    <w:r w:rsidR="008C2B81" w:rsidRPr="00954D22">
      <w:rPr>
        <w:szCs w:val="24"/>
      </w:rPr>
      <w:fldChar w:fldCharType="begin"/>
    </w:r>
    <w:r w:rsidRPr="00954D22">
      <w:rPr>
        <w:szCs w:val="24"/>
      </w:rPr>
      <w:instrText xml:space="preserve"> PAGE   \* MERGEFORMAT </w:instrText>
    </w:r>
    <w:r w:rsidR="008C2B81" w:rsidRPr="00954D22">
      <w:rPr>
        <w:szCs w:val="24"/>
      </w:rPr>
      <w:fldChar w:fldCharType="separate"/>
    </w:r>
    <w:r>
      <w:rPr>
        <w:noProof/>
        <w:szCs w:val="24"/>
      </w:rPr>
      <w:t>837</w:t>
    </w:r>
    <w:r w:rsidR="008C2B81"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A01226" w:rsidRPr="00954D22" w:rsidRDefault="00A01226" w:rsidP="00B7374B">
    <w:pPr>
      <w:tabs>
        <w:tab w:val="center" w:pos="4680"/>
      </w:tabs>
      <w:rPr>
        <w:szCs w:val="24"/>
      </w:rPr>
    </w:pPr>
    <w:r w:rsidRPr="00954D22">
      <w:rPr>
        <w:szCs w:val="24"/>
      </w:rPr>
      <w:tab/>
      <w:t xml:space="preserve">- </w:t>
    </w:r>
    <w:r w:rsidR="008C2B81" w:rsidRPr="00954D22">
      <w:rPr>
        <w:szCs w:val="24"/>
      </w:rPr>
      <w:fldChar w:fldCharType="begin"/>
    </w:r>
    <w:r w:rsidRPr="00954D22">
      <w:rPr>
        <w:szCs w:val="24"/>
      </w:rPr>
      <w:instrText xml:space="preserve"> PAGE   \* MERGEFORMAT </w:instrText>
    </w:r>
    <w:r w:rsidR="008C2B81" w:rsidRPr="00954D22">
      <w:rPr>
        <w:szCs w:val="24"/>
      </w:rPr>
      <w:fldChar w:fldCharType="separate"/>
    </w:r>
    <w:r w:rsidR="00625110">
      <w:rPr>
        <w:noProof/>
        <w:szCs w:val="24"/>
      </w:rPr>
      <w:t>836</w:t>
    </w:r>
    <w:r w:rsidR="008C2B81"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01226" w:rsidRDefault="00A01226">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8C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C2B81">
      <w:rPr>
        <w:lang w:val="fr-CA"/>
      </w:rPr>
      <w:pict>
        <v:rect id="_x0000_i1057" style="width:480.95pt;height:1pt" o:hralign="center" o:hrstd="t" o:hrnoshade="t" o:hr="t" fillcolor="black [3213]" stroked="f"/>
      </w:pict>
    </w:r>
  </w:p>
  <w:p w:rsidR="00A01226" w:rsidRPr="0009648D" w:rsidRDefault="00A01226" w:rsidP="00ED7E83">
    <w:pPr>
      <w:tabs>
        <w:tab w:val="center" w:pos="4680"/>
      </w:tabs>
    </w:pPr>
    <w:r>
      <w:tab/>
    </w:r>
    <w:r w:rsidRPr="0009648D">
      <w:t xml:space="preserve">- </w:t>
    </w:r>
    <w:fldSimple w:instr=" PAGE   \* MERGEFORMAT ">
      <w:r w:rsidR="00625110">
        <w:rPr>
          <w:noProof/>
        </w:rPr>
        <w:t>850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26" w:rsidRDefault="00A01226" w:rsidP="00A87207">
      <w:r>
        <w:separator/>
      </w:r>
    </w:p>
  </w:footnote>
  <w:footnote w:type="continuationSeparator" w:id="0">
    <w:p w:rsidR="00A01226" w:rsidRDefault="00A01226"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86" w:rsidRDefault="00C5088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01226">
      <w:tc>
        <w:tcPr>
          <w:tcW w:w="4230" w:type="dxa"/>
          <w:tcMar>
            <w:left w:w="0" w:type="dxa"/>
            <w:right w:w="0" w:type="dxa"/>
          </w:tcMar>
        </w:tcPr>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01226" w:rsidRDefault="00A012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01226" w:rsidRDefault="00A012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01226">
      <w:trPr>
        <w:gridAfter w:val="2"/>
        <w:wAfter w:w="5250" w:type="dxa"/>
      </w:trPr>
      <w:tc>
        <w:tcPr>
          <w:tcW w:w="4230" w:type="dxa"/>
          <w:tcMar>
            <w:left w:w="0" w:type="dxa"/>
            <w:right w:w="0" w:type="dxa"/>
          </w:tcMar>
        </w:tcPr>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01226" w:rsidRPr="00755F22" w:rsidTr="00245129">
      <w:tc>
        <w:tcPr>
          <w:tcW w:w="4230" w:type="dxa"/>
          <w:tcMar>
            <w:left w:w="0" w:type="dxa"/>
            <w:right w:w="0" w:type="dxa"/>
          </w:tcMar>
        </w:tcPr>
        <w:p w:rsidR="00A01226" w:rsidRPr="00755F22" w:rsidRDefault="00A01226" w:rsidP="00831CA9">
          <w:pPr>
            <w:keepNext/>
            <w:keepLines/>
            <w:rPr>
              <w:sz w:val="20"/>
              <w:szCs w:val="20"/>
            </w:rPr>
          </w:pPr>
          <w:r w:rsidRPr="00755F22">
            <w:rPr>
              <w:sz w:val="20"/>
              <w:szCs w:val="20"/>
            </w:rPr>
            <w:t>MOTIONS</w:t>
          </w:r>
        </w:p>
      </w:tc>
      <w:tc>
        <w:tcPr>
          <w:tcW w:w="1170" w:type="dxa"/>
          <w:tcMar>
            <w:left w:w="0" w:type="dxa"/>
            <w:right w:w="0" w:type="dxa"/>
          </w:tcMar>
        </w:tcPr>
        <w:p w:rsidR="00A01226" w:rsidRPr="00755F22" w:rsidRDefault="00A01226" w:rsidP="00831CA9">
          <w:pPr>
            <w:keepLines/>
            <w:jc w:val="center"/>
            <w:rPr>
              <w:sz w:val="20"/>
              <w:szCs w:val="20"/>
            </w:rPr>
          </w:pPr>
        </w:p>
        <w:p w:rsidR="00A01226" w:rsidRPr="00755F22" w:rsidRDefault="00A01226" w:rsidP="00831CA9">
          <w:pPr>
            <w:keepLines/>
            <w:tabs>
              <w:tab w:val="left" w:pos="-1440"/>
              <w:tab w:val="left" w:pos="-720"/>
            </w:tabs>
            <w:jc w:val="center"/>
            <w:rPr>
              <w:sz w:val="20"/>
              <w:szCs w:val="20"/>
            </w:rPr>
          </w:pPr>
        </w:p>
      </w:tc>
      <w:tc>
        <w:tcPr>
          <w:tcW w:w="4080" w:type="dxa"/>
          <w:tcMar>
            <w:left w:w="0" w:type="dxa"/>
            <w:right w:w="0" w:type="dxa"/>
          </w:tcMar>
        </w:tcPr>
        <w:p w:rsidR="00A01226" w:rsidRPr="00BA6468" w:rsidRDefault="00A01226" w:rsidP="00BA6468">
          <w:pPr>
            <w:keepLines/>
            <w:rPr>
              <w:sz w:val="20"/>
              <w:szCs w:val="20"/>
              <w:lang w:val="fr-CA"/>
            </w:rPr>
          </w:pPr>
          <w:r w:rsidRPr="00BA6468">
            <w:rPr>
              <w:sz w:val="20"/>
              <w:szCs w:val="20"/>
              <w:lang w:val="fr-CA"/>
            </w:rPr>
            <w:t>REQUÊTES</w:t>
          </w:r>
        </w:p>
      </w:tc>
    </w:tr>
  </w:tbl>
  <w:p w:rsidR="00A01226" w:rsidRDefault="00A01226"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01226" w:rsidRPr="00C50886">
      <w:tc>
        <w:tcPr>
          <w:tcW w:w="4200" w:type="dxa"/>
          <w:tcMar>
            <w:left w:w="0" w:type="dxa"/>
            <w:right w:w="0" w:type="dxa"/>
          </w:tcMar>
        </w:tcPr>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01226" w:rsidRPr="00283C52" w:rsidRDefault="00A012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01226" w:rsidRPr="00283C52"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01226" w:rsidRPr="00283C52"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01226" w:rsidRPr="00C50886" w:rsidTr="00245129">
      <w:tc>
        <w:tcPr>
          <w:tcW w:w="4200" w:type="dxa"/>
          <w:tcMar>
            <w:left w:w="0" w:type="dxa"/>
            <w:right w:w="0" w:type="dxa"/>
          </w:tcMar>
        </w:tcPr>
        <w:p w:rsidR="00A01226" w:rsidRPr="00732DB7" w:rsidRDefault="00A01226"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01226" w:rsidRPr="00732DB7" w:rsidRDefault="00A01226" w:rsidP="00732DB7">
          <w:pPr>
            <w:keepNext/>
            <w:keepLines/>
            <w:tabs>
              <w:tab w:val="left" w:pos="-1440"/>
              <w:tab w:val="left" w:pos="-720"/>
            </w:tabs>
            <w:jc w:val="center"/>
            <w:rPr>
              <w:sz w:val="20"/>
              <w:szCs w:val="20"/>
            </w:rPr>
          </w:pPr>
        </w:p>
        <w:p w:rsidR="00A01226" w:rsidRPr="00732DB7" w:rsidRDefault="00A01226" w:rsidP="00732DB7">
          <w:pPr>
            <w:keepNext/>
            <w:keepLines/>
            <w:tabs>
              <w:tab w:val="left" w:pos="-1440"/>
              <w:tab w:val="left" w:pos="-720"/>
            </w:tabs>
            <w:jc w:val="center"/>
            <w:rPr>
              <w:sz w:val="20"/>
              <w:szCs w:val="20"/>
            </w:rPr>
          </w:pPr>
        </w:p>
        <w:p w:rsidR="00A01226" w:rsidRPr="00732DB7" w:rsidRDefault="00A01226" w:rsidP="00732DB7">
          <w:pPr>
            <w:keepNext/>
            <w:keepLines/>
            <w:tabs>
              <w:tab w:val="left" w:pos="-1440"/>
              <w:tab w:val="left" w:pos="-720"/>
            </w:tabs>
            <w:jc w:val="center"/>
            <w:rPr>
              <w:sz w:val="20"/>
              <w:szCs w:val="20"/>
            </w:rPr>
          </w:pPr>
        </w:p>
      </w:tc>
      <w:tc>
        <w:tcPr>
          <w:tcW w:w="4080" w:type="dxa"/>
          <w:tcMar>
            <w:left w:w="0" w:type="dxa"/>
            <w:right w:w="0" w:type="dxa"/>
          </w:tcMar>
        </w:tcPr>
        <w:p w:rsidR="00A01226" w:rsidRPr="00732DB7" w:rsidRDefault="00A0122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01226" w:rsidRPr="00283C52" w:rsidRDefault="00A0122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01226" w:rsidRPr="00C50886">
      <w:tc>
        <w:tcPr>
          <w:tcW w:w="4200" w:type="dxa"/>
          <w:tcMar>
            <w:left w:w="0" w:type="dxa"/>
            <w:right w:w="0" w:type="dxa"/>
          </w:tcMar>
        </w:tcPr>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01226" w:rsidRPr="003C2C0F" w:rsidRDefault="00A012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01226" w:rsidRPr="003C2C0F"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01226" w:rsidRPr="003C2C0F"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01226" w:rsidRPr="00C50886" w:rsidTr="00245129">
      <w:tc>
        <w:tcPr>
          <w:tcW w:w="4200" w:type="dxa"/>
          <w:tcMar>
            <w:left w:w="0" w:type="dxa"/>
            <w:right w:w="0" w:type="dxa"/>
          </w:tcMar>
        </w:tcPr>
        <w:p w:rsidR="00A01226" w:rsidRPr="00FF6EEC" w:rsidRDefault="00A01226" w:rsidP="00FF6EEC">
          <w:pPr>
            <w:rPr>
              <w:sz w:val="20"/>
              <w:szCs w:val="20"/>
            </w:rPr>
          </w:pPr>
          <w:r w:rsidRPr="00FF6EEC">
            <w:rPr>
              <w:sz w:val="20"/>
              <w:szCs w:val="20"/>
            </w:rPr>
            <w:t>PRONOUNCEMENTS OF APPEALS RESERVED</w:t>
          </w:r>
        </w:p>
      </w:tc>
      <w:tc>
        <w:tcPr>
          <w:tcW w:w="1200" w:type="dxa"/>
          <w:tcMar>
            <w:left w:w="0" w:type="dxa"/>
            <w:right w:w="0" w:type="dxa"/>
          </w:tcMar>
        </w:tcPr>
        <w:p w:rsidR="00A01226" w:rsidRPr="00FF6EEC" w:rsidRDefault="00A01226" w:rsidP="00FF6EEC">
          <w:pPr>
            <w:jc w:val="center"/>
            <w:rPr>
              <w:sz w:val="20"/>
              <w:szCs w:val="20"/>
            </w:rPr>
          </w:pPr>
        </w:p>
        <w:p w:rsidR="00A01226" w:rsidRPr="00FF6EEC" w:rsidRDefault="00A01226" w:rsidP="00FF6EEC">
          <w:pPr>
            <w:jc w:val="center"/>
            <w:rPr>
              <w:sz w:val="20"/>
              <w:szCs w:val="20"/>
            </w:rPr>
          </w:pPr>
        </w:p>
        <w:p w:rsidR="00A01226" w:rsidRPr="00FF6EEC" w:rsidRDefault="00A01226" w:rsidP="00FF6EEC">
          <w:pPr>
            <w:jc w:val="center"/>
            <w:rPr>
              <w:sz w:val="20"/>
              <w:szCs w:val="20"/>
            </w:rPr>
          </w:pPr>
        </w:p>
      </w:tc>
      <w:tc>
        <w:tcPr>
          <w:tcW w:w="4080" w:type="dxa"/>
          <w:tcMar>
            <w:left w:w="0" w:type="dxa"/>
            <w:right w:w="0" w:type="dxa"/>
          </w:tcMar>
        </w:tcPr>
        <w:p w:rsidR="00A01226" w:rsidRPr="00FF6EEC" w:rsidRDefault="00A01226" w:rsidP="00FF6EEC">
          <w:pPr>
            <w:rPr>
              <w:sz w:val="20"/>
              <w:szCs w:val="20"/>
              <w:lang w:val="fr-CA"/>
            </w:rPr>
          </w:pPr>
          <w:r w:rsidRPr="00FF6EEC">
            <w:rPr>
              <w:sz w:val="20"/>
              <w:szCs w:val="20"/>
              <w:lang w:val="fr-CA"/>
            </w:rPr>
            <w:t>JUGEMENTS RENDUS SUR LES APPELS EN DÉLIBÉRÉ</w:t>
          </w:r>
        </w:p>
      </w:tc>
    </w:tr>
  </w:tbl>
  <w:p w:rsidR="00A01226" w:rsidRPr="003C2C0F" w:rsidRDefault="00A0122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86" w:rsidRDefault="00C50886">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01226">
      <w:tc>
        <w:tcPr>
          <w:tcW w:w="4230" w:type="dxa"/>
          <w:tcMar>
            <w:left w:w="0" w:type="dxa"/>
            <w:right w:w="0" w:type="dxa"/>
          </w:tcMar>
        </w:tcPr>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01226" w:rsidRDefault="00A012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01226"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01226" w:rsidRPr="00782AE4" w:rsidTr="00245129">
      <w:tc>
        <w:tcPr>
          <w:tcW w:w="4230" w:type="dxa"/>
          <w:tcMar>
            <w:left w:w="0" w:type="dxa"/>
            <w:right w:w="0" w:type="dxa"/>
          </w:tcMar>
        </w:tcPr>
        <w:p w:rsidR="00A01226" w:rsidRPr="00782AE4" w:rsidRDefault="00A01226" w:rsidP="00102926">
          <w:pPr>
            <w:keepNext/>
            <w:keepLines/>
            <w:tabs>
              <w:tab w:val="left" w:pos="-1440"/>
              <w:tab w:val="left" w:pos="-720"/>
            </w:tabs>
            <w:rPr>
              <w:sz w:val="20"/>
              <w:szCs w:val="20"/>
            </w:rPr>
          </w:pPr>
          <w:r w:rsidRPr="00782AE4">
            <w:rPr>
              <w:sz w:val="20"/>
              <w:szCs w:val="20"/>
            </w:rPr>
            <w:t xml:space="preserve">HEADNOTES OF RECENT </w:t>
          </w:r>
        </w:p>
        <w:p w:rsidR="00A01226" w:rsidRPr="00782AE4"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01226" w:rsidRDefault="00A01226" w:rsidP="00102926">
          <w:pPr>
            <w:keepNext/>
            <w:keepLines/>
            <w:tabs>
              <w:tab w:val="left" w:pos="-1440"/>
              <w:tab w:val="left" w:pos="-720"/>
            </w:tabs>
            <w:jc w:val="center"/>
            <w:rPr>
              <w:sz w:val="20"/>
              <w:szCs w:val="20"/>
            </w:rPr>
          </w:pPr>
        </w:p>
        <w:p w:rsidR="00A01226" w:rsidRDefault="00A01226" w:rsidP="00102926">
          <w:pPr>
            <w:keepNext/>
            <w:keepLines/>
            <w:tabs>
              <w:tab w:val="left" w:pos="-1440"/>
              <w:tab w:val="left" w:pos="-720"/>
            </w:tabs>
            <w:jc w:val="center"/>
            <w:rPr>
              <w:sz w:val="20"/>
              <w:szCs w:val="20"/>
            </w:rPr>
          </w:pPr>
        </w:p>
        <w:p w:rsidR="00A01226" w:rsidRPr="00782AE4" w:rsidRDefault="00A01226" w:rsidP="00102926">
          <w:pPr>
            <w:keepNext/>
            <w:keepLines/>
            <w:tabs>
              <w:tab w:val="left" w:pos="-1440"/>
              <w:tab w:val="left" w:pos="-720"/>
            </w:tabs>
            <w:jc w:val="center"/>
            <w:rPr>
              <w:sz w:val="20"/>
              <w:szCs w:val="20"/>
            </w:rPr>
          </w:pPr>
        </w:p>
      </w:tc>
      <w:tc>
        <w:tcPr>
          <w:tcW w:w="4080" w:type="dxa"/>
          <w:tcMar>
            <w:left w:w="0" w:type="dxa"/>
            <w:right w:w="0" w:type="dxa"/>
          </w:tcMar>
        </w:tcPr>
        <w:p w:rsidR="00A01226" w:rsidRPr="001029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01226" w:rsidRPr="00782AE4" w:rsidRDefault="00A01226" w:rsidP="00102926">
          <w:pPr>
            <w:keepLines/>
            <w:tabs>
              <w:tab w:val="left" w:pos="-1440"/>
              <w:tab w:val="left" w:pos="-720"/>
            </w:tabs>
            <w:rPr>
              <w:sz w:val="20"/>
              <w:szCs w:val="20"/>
            </w:rPr>
          </w:pPr>
          <w:r w:rsidRPr="00102926">
            <w:rPr>
              <w:sz w:val="20"/>
              <w:szCs w:val="20"/>
              <w:lang w:val="fr-CA"/>
            </w:rPr>
            <w:t>RÉCENTS</w:t>
          </w:r>
        </w:p>
      </w:tc>
    </w:tr>
  </w:tbl>
  <w:p w:rsidR="00A01226" w:rsidRDefault="00A0122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86" w:rsidRDefault="00C508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A01226" w:rsidRPr="0044776A" w:rsidTr="00245129">
      <w:tc>
        <w:tcPr>
          <w:tcW w:w="4290" w:type="dxa"/>
          <w:tcMar>
            <w:left w:w="0" w:type="dxa"/>
            <w:right w:w="0" w:type="dxa"/>
          </w:tcMar>
        </w:tcPr>
        <w:p w:rsidR="00A01226" w:rsidRPr="0044776A" w:rsidRDefault="00A0122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01226" w:rsidRPr="0044776A" w:rsidRDefault="00A01226" w:rsidP="002E2327">
          <w:pPr>
            <w:keepNext/>
            <w:keepLines/>
            <w:tabs>
              <w:tab w:val="left" w:pos="-1440"/>
              <w:tab w:val="left" w:pos="-720"/>
            </w:tabs>
            <w:jc w:val="center"/>
            <w:rPr>
              <w:sz w:val="20"/>
              <w:szCs w:val="20"/>
            </w:rPr>
          </w:pPr>
        </w:p>
        <w:p w:rsidR="00A01226" w:rsidRPr="0044776A" w:rsidRDefault="00A01226" w:rsidP="002E2327">
          <w:pPr>
            <w:keepNext/>
            <w:keepLines/>
            <w:tabs>
              <w:tab w:val="left" w:pos="-1440"/>
              <w:tab w:val="left" w:pos="-720"/>
            </w:tabs>
            <w:jc w:val="center"/>
            <w:rPr>
              <w:sz w:val="20"/>
              <w:szCs w:val="20"/>
            </w:rPr>
          </w:pPr>
        </w:p>
        <w:p w:rsidR="00A01226" w:rsidRPr="0044776A" w:rsidRDefault="00A01226" w:rsidP="002E2327">
          <w:pPr>
            <w:keepNext/>
            <w:keepLines/>
            <w:tabs>
              <w:tab w:val="left" w:pos="-1440"/>
              <w:tab w:val="left" w:pos="-720"/>
            </w:tabs>
            <w:jc w:val="center"/>
            <w:rPr>
              <w:sz w:val="20"/>
              <w:szCs w:val="20"/>
            </w:rPr>
          </w:pPr>
        </w:p>
      </w:tc>
      <w:tc>
        <w:tcPr>
          <w:tcW w:w="4320" w:type="dxa"/>
          <w:tcMar>
            <w:left w:w="0" w:type="dxa"/>
            <w:right w:w="0" w:type="dxa"/>
          </w:tcMar>
        </w:tcPr>
        <w:p w:rsidR="00A01226" w:rsidRPr="0044776A" w:rsidRDefault="00A01226" w:rsidP="002E2327">
          <w:pPr>
            <w:keepLines/>
            <w:rPr>
              <w:sz w:val="20"/>
              <w:szCs w:val="20"/>
              <w:lang w:val="fr-CA"/>
            </w:rPr>
          </w:pPr>
          <w:r w:rsidRPr="0044776A">
            <w:rPr>
              <w:sz w:val="20"/>
              <w:szCs w:val="20"/>
              <w:lang w:val="fr-CA"/>
            </w:rPr>
            <w:t>DEMANDES D'AUTORISATION D'APPEL DÉPOSÉES</w:t>
          </w:r>
        </w:p>
      </w:tc>
    </w:tr>
  </w:tbl>
  <w:p w:rsidR="00A01226" w:rsidRDefault="00A0122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01226" w:rsidRPr="00C50886" w:rsidTr="00245129">
      <w:tc>
        <w:tcPr>
          <w:tcW w:w="4200" w:type="dxa"/>
          <w:tcMar>
            <w:left w:w="0" w:type="dxa"/>
            <w:right w:w="0" w:type="dxa"/>
          </w:tcMar>
        </w:tcPr>
        <w:p w:rsidR="00A01226" w:rsidRPr="0044776A" w:rsidRDefault="00A01226" w:rsidP="0044776A">
          <w:pPr>
            <w:keepNext/>
            <w:keepLines/>
            <w:widowControl w:val="0"/>
            <w:rPr>
              <w:sz w:val="20"/>
              <w:szCs w:val="20"/>
            </w:rPr>
          </w:pPr>
          <w:r>
            <w:rPr>
              <w:sz w:val="20"/>
              <w:szCs w:val="20"/>
            </w:rPr>
            <w:t>APPLICATIONS FOR LEAVE</w:t>
          </w:r>
        </w:p>
        <w:p w:rsidR="00A01226" w:rsidRPr="0044776A" w:rsidRDefault="00A0122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01226" w:rsidRPr="0044776A" w:rsidRDefault="00A01226" w:rsidP="0044776A">
          <w:pPr>
            <w:keepNext/>
            <w:keepLines/>
            <w:widowControl w:val="0"/>
            <w:jc w:val="center"/>
            <w:rPr>
              <w:sz w:val="20"/>
              <w:szCs w:val="20"/>
            </w:rPr>
          </w:pPr>
        </w:p>
        <w:p w:rsidR="00A01226" w:rsidRPr="0044776A" w:rsidRDefault="00A01226" w:rsidP="0044776A">
          <w:pPr>
            <w:keepNext/>
            <w:keepLines/>
            <w:widowControl w:val="0"/>
            <w:jc w:val="center"/>
            <w:rPr>
              <w:sz w:val="20"/>
              <w:szCs w:val="20"/>
            </w:rPr>
          </w:pPr>
        </w:p>
        <w:p w:rsidR="00A01226" w:rsidRPr="0044776A" w:rsidRDefault="00A01226" w:rsidP="0044776A">
          <w:pPr>
            <w:keepNext/>
            <w:keepLines/>
            <w:widowControl w:val="0"/>
            <w:jc w:val="center"/>
            <w:rPr>
              <w:sz w:val="20"/>
              <w:szCs w:val="20"/>
            </w:rPr>
          </w:pPr>
        </w:p>
      </w:tc>
      <w:tc>
        <w:tcPr>
          <w:tcW w:w="4080" w:type="dxa"/>
          <w:tcMar>
            <w:left w:w="0" w:type="dxa"/>
            <w:right w:w="0" w:type="dxa"/>
          </w:tcMar>
        </w:tcPr>
        <w:p w:rsidR="00A01226" w:rsidRPr="0044776A" w:rsidRDefault="00A01226" w:rsidP="0044776A">
          <w:pPr>
            <w:keepLines/>
            <w:widowControl w:val="0"/>
            <w:rPr>
              <w:sz w:val="20"/>
              <w:szCs w:val="20"/>
              <w:lang w:val="fr-CA"/>
            </w:rPr>
          </w:pPr>
          <w:r w:rsidRPr="0044776A">
            <w:rPr>
              <w:sz w:val="20"/>
              <w:szCs w:val="20"/>
              <w:lang w:val="fr-CA"/>
            </w:rPr>
            <w:t>DEMANDES SOUMISES À LA COUR DEPUIS LA DERNIÈRE PARUTION</w:t>
          </w:r>
        </w:p>
        <w:p w:rsidR="00A01226" w:rsidRPr="0044776A" w:rsidRDefault="00A01226" w:rsidP="0044776A">
          <w:pPr>
            <w:widowControl w:val="0"/>
            <w:rPr>
              <w:sz w:val="20"/>
              <w:szCs w:val="20"/>
              <w:lang w:val="fr-CA"/>
            </w:rPr>
          </w:pPr>
        </w:p>
      </w:tc>
    </w:tr>
  </w:tbl>
  <w:p w:rsidR="00A01226" w:rsidRPr="002E2327" w:rsidRDefault="00A01226">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26" w:rsidRDefault="00A0122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01226" w:rsidRPr="00C50886">
      <w:tc>
        <w:tcPr>
          <w:tcW w:w="4200" w:type="dxa"/>
          <w:tcMar>
            <w:left w:w="0" w:type="dxa"/>
            <w:right w:w="0" w:type="dxa"/>
          </w:tcMar>
        </w:tcPr>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01226"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01226" w:rsidRDefault="00A012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01226" w:rsidRPr="00FF6BA5" w:rsidRDefault="00A012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01226" w:rsidRPr="00FF6BA5"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01226" w:rsidRPr="00FF6BA5"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01226" w:rsidRPr="00FF6BA5" w:rsidRDefault="00A01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01226" w:rsidRPr="00C50886" w:rsidTr="00245129">
      <w:tc>
        <w:tcPr>
          <w:tcW w:w="4200" w:type="dxa"/>
          <w:tcMar>
            <w:left w:w="0" w:type="dxa"/>
            <w:right w:w="0" w:type="dxa"/>
          </w:tcMar>
        </w:tcPr>
        <w:p w:rsidR="00A01226" w:rsidRPr="00755F22"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01226" w:rsidRPr="00755F22" w:rsidRDefault="00A012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01226" w:rsidRPr="00755F22" w:rsidRDefault="00A0122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01226" w:rsidRPr="00755F22" w:rsidRDefault="00A0122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01226" w:rsidRPr="00755F22" w:rsidRDefault="00A0122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01226" w:rsidRPr="00755F22" w:rsidRDefault="00A012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01226" w:rsidRPr="00FF6BA5" w:rsidRDefault="00A01226"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089"/>
    <w:multiLevelType w:val="hybridMultilevel"/>
    <w:tmpl w:val="E70EA9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0E1D1BF4"/>
    <w:multiLevelType w:val="hybridMultilevel"/>
    <w:tmpl w:val="E70EA9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drawingGridHorizontalSpacing w:val="120"/>
  <w:displayHorizontalDrawingGridEvery w:val="2"/>
  <w:characterSpacingControl w:val="doNotCompress"/>
  <w:hdrShapeDefaults>
    <o:shapedefaults v:ext="edit" spidmax="29711"/>
  </w:hdrShapeDefaults>
  <w:footnotePr>
    <w:footnote w:id="-1"/>
    <w:footnote w:id="0"/>
  </w:footnotePr>
  <w:endnotePr>
    <w:endnote w:id="-1"/>
    <w:endnote w:id="0"/>
  </w:endnotePr>
  <w:compat/>
  <w:rsids>
    <w:rsidRoot w:val="00862DB7"/>
    <w:rsid w:val="00003473"/>
    <w:rsid w:val="00020DF3"/>
    <w:rsid w:val="0003223B"/>
    <w:rsid w:val="000327B2"/>
    <w:rsid w:val="000367EB"/>
    <w:rsid w:val="00056D30"/>
    <w:rsid w:val="00073A03"/>
    <w:rsid w:val="00096BD9"/>
    <w:rsid w:val="000B3C9A"/>
    <w:rsid w:val="000B40A2"/>
    <w:rsid w:val="000C0ACD"/>
    <w:rsid w:val="000E59D8"/>
    <w:rsid w:val="00102926"/>
    <w:rsid w:val="0010587F"/>
    <w:rsid w:val="00111C6B"/>
    <w:rsid w:val="0013369E"/>
    <w:rsid w:val="00134525"/>
    <w:rsid w:val="001471CE"/>
    <w:rsid w:val="001624CB"/>
    <w:rsid w:val="00164E6D"/>
    <w:rsid w:val="00192E55"/>
    <w:rsid w:val="001B5C23"/>
    <w:rsid w:val="001D0D5F"/>
    <w:rsid w:val="001D546F"/>
    <w:rsid w:val="001D6B8C"/>
    <w:rsid w:val="001F1F83"/>
    <w:rsid w:val="002021A9"/>
    <w:rsid w:val="002139A7"/>
    <w:rsid w:val="00215F7C"/>
    <w:rsid w:val="0022323B"/>
    <w:rsid w:val="002410B8"/>
    <w:rsid w:val="00242AEE"/>
    <w:rsid w:val="00245129"/>
    <w:rsid w:val="00245879"/>
    <w:rsid w:val="00267FD5"/>
    <w:rsid w:val="002868D0"/>
    <w:rsid w:val="002B516C"/>
    <w:rsid w:val="002D72EB"/>
    <w:rsid w:val="002E2327"/>
    <w:rsid w:val="002E3583"/>
    <w:rsid w:val="002E5576"/>
    <w:rsid w:val="00331B52"/>
    <w:rsid w:val="003354C1"/>
    <w:rsid w:val="003359D3"/>
    <w:rsid w:val="00355967"/>
    <w:rsid w:val="00382C47"/>
    <w:rsid w:val="00384384"/>
    <w:rsid w:val="003B3977"/>
    <w:rsid w:val="003C5F51"/>
    <w:rsid w:val="003D61A6"/>
    <w:rsid w:val="003E6F42"/>
    <w:rsid w:val="004108A3"/>
    <w:rsid w:val="00411CD6"/>
    <w:rsid w:val="00432989"/>
    <w:rsid w:val="00440E24"/>
    <w:rsid w:val="0044776A"/>
    <w:rsid w:val="00453064"/>
    <w:rsid w:val="00454656"/>
    <w:rsid w:val="00456777"/>
    <w:rsid w:val="00460AFC"/>
    <w:rsid w:val="0047471F"/>
    <w:rsid w:val="00493F46"/>
    <w:rsid w:val="004B66B4"/>
    <w:rsid w:val="004C1AAC"/>
    <w:rsid w:val="004C1FE5"/>
    <w:rsid w:val="004F090E"/>
    <w:rsid w:val="0051504F"/>
    <w:rsid w:val="00527CC7"/>
    <w:rsid w:val="00571CA4"/>
    <w:rsid w:val="00582136"/>
    <w:rsid w:val="005937C7"/>
    <w:rsid w:val="005A13D3"/>
    <w:rsid w:val="005B3DE4"/>
    <w:rsid w:val="005C6840"/>
    <w:rsid w:val="005F263E"/>
    <w:rsid w:val="00600252"/>
    <w:rsid w:val="00612A40"/>
    <w:rsid w:val="00622BAD"/>
    <w:rsid w:val="00625110"/>
    <w:rsid w:val="00626109"/>
    <w:rsid w:val="0065171A"/>
    <w:rsid w:val="00675479"/>
    <w:rsid w:val="0068711B"/>
    <w:rsid w:val="00692B00"/>
    <w:rsid w:val="00697C62"/>
    <w:rsid w:val="006A329B"/>
    <w:rsid w:val="006A7EB8"/>
    <w:rsid w:val="006B6926"/>
    <w:rsid w:val="006C3F47"/>
    <w:rsid w:val="006C5F7A"/>
    <w:rsid w:val="006E06AF"/>
    <w:rsid w:val="006F350F"/>
    <w:rsid w:val="006F470D"/>
    <w:rsid w:val="006F4BB6"/>
    <w:rsid w:val="007324FC"/>
    <w:rsid w:val="00732DB7"/>
    <w:rsid w:val="00755F22"/>
    <w:rsid w:val="00766E4A"/>
    <w:rsid w:val="007779C1"/>
    <w:rsid w:val="0078104A"/>
    <w:rsid w:val="007820CE"/>
    <w:rsid w:val="00782AE4"/>
    <w:rsid w:val="0079724F"/>
    <w:rsid w:val="007A3EAE"/>
    <w:rsid w:val="007B5498"/>
    <w:rsid w:val="007C04FC"/>
    <w:rsid w:val="007D3E0F"/>
    <w:rsid w:val="007F387B"/>
    <w:rsid w:val="00802863"/>
    <w:rsid w:val="00815B3C"/>
    <w:rsid w:val="0082783A"/>
    <w:rsid w:val="00831CA9"/>
    <w:rsid w:val="00850E1F"/>
    <w:rsid w:val="0085476B"/>
    <w:rsid w:val="00862DB7"/>
    <w:rsid w:val="00890FEB"/>
    <w:rsid w:val="008925B8"/>
    <w:rsid w:val="008C2B81"/>
    <w:rsid w:val="008D292F"/>
    <w:rsid w:val="008E03DC"/>
    <w:rsid w:val="00907C24"/>
    <w:rsid w:val="009150A2"/>
    <w:rsid w:val="00924065"/>
    <w:rsid w:val="009257C3"/>
    <w:rsid w:val="00930D68"/>
    <w:rsid w:val="00932DB4"/>
    <w:rsid w:val="00946242"/>
    <w:rsid w:val="0095096B"/>
    <w:rsid w:val="0096670F"/>
    <w:rsid w:val="00970CD3"/>
    <w:rsid w:val="009723FA"/>
    <w:rsid w:val="00974624"/>
    <w:rsid w:val="00984546"/>
    <w:rsid w:val="00996510"/>
    <w:rsid w:val="009A0531"/>
    <w:rsid w:val="009A2D6A"/>
    <w:rsid w:val="009C10F2"/>
    <w:rsid w:val="009D1F15"/>
    <w:rsid w:val="009D555E"/>
    <w:rsid w:val="009E2DC5"/>
    <w:rsid w:val="009F04AB"/>
    <w:rsid w:val="00A01226"/>
    <w:rsid w:val="00A02950"/>
    <w:rsid w:val="00A0355E"/>
    <w:rsid w:val="00A15301"/>
    <w:rsid w:val="00A24E7D"/>
    <w:rsid w:val="00A27481"/>
    <w:rsid w:val="00A375D1"/>
    <w:rsid w:val="00A51D10"/>
    <w:rsid w:val="00A52A83"/>
    <w:rsid w:val="00A53406"/>
    <w:rsid w:val="00A7460B"/>
    <w:rsid w:val="00A757DE"/>
    <w:rsid w:val="00A87207"/>
    <w:rsid w:val="00A9165A"/>
    <w:rsid w:val="00A935AA"/>
    <w:rsid w:val="00AB2201"/>
    <w:rsid w:val="00AD0E32"/>
    <w:rsid w:val="00AF1715"/>
    <w:rsid w:val="00AF3904"/>
    <w:rsid w:val="00B010C0"/>
    <w:rsid w:val="00B061BA"/>
    <w:rsid w:val="00B10CFD"/>
    <w:rsid w:val="00B4740D"/>
    <w:rsid w:val="00B61629"/>
    <w:rsid w:val="00B7374B"/>
    <w:rsid w:val="00B90DC0"/>
    <w:rsid w:val="00BA116A"/>
    <w:rsid w:val="00BA5582"/>
    <w:rsid w:val="00BA6468"/>
    <w:rsid w:val="00BD06DA"/>
    <w:rsid w:val="00BD4217"/>
    <w:rsid w:val="00BF25F3"/>
    <w:rsid w:val="00C1697B"/>
    <w:rsid w:val="00C22793"/>
    <w:rsid w:val="00C32930"/>
    <w:rsid w:val="00C423E4"/>
    <w:rsid w:val="00C50886"/>
    <w:rsid w:val="00C50A5C"/>
    <w:rsid w:val="00C50FDF"/>
    <w:rsid w:val="00C522D5"/>
    <w:rsid w:val="00C73E1B"/>
    <w:rsid w:val="00C759B4"/>
    <w:rsid w:val="00C77713"/>
    <w:rsid w:val="00C83AD7"/>
    <w:rsid w:val="00CA2822"/>
    <w:rsid w:val="00CB43D5"/>
    <w:rsid w:val="00CC4D84"/>
    <w:rsid w:val="00CF57BE"/>
    <w:rsid w:val="00D16ACB"/>
    <w:rsid w:val="00D23A1E"/>
    <w:rsid w:val="00D33CF5"/>
    <w:rsid w:val="00D54DB9"/>
    <w:rsid w:val="00D64901"/>
    <w:rsid w:val="00D76BDF"/>
    <w:rsid w:val="00D76CB6"/>
    <w:rsid w:val="00D83362"/>
    <w:rsid w:val="00D862C1"/>
    <w:rsid w:val="00D93B50"/>
    <w:rsid w:val="00D94670"/>
    <w:rsid w:val="00DA46F6"/>
    <w:rsid w:val="00DC1FAA"/>
    <w:rsid w:val="00DC3939"/>
    <w:rsid w:val="00DD0B49"/>
    <w:rsid w:val="00DE0992"/>
    <w:rsid w:val="00E06DFA"/>
    <w:rsid w:val="00E12B65"/>
    <w:rsid w:val="00E3029A"/>
    <w:rsid w:val="00E308C6"/>
    <w:rsid w:val="00E356C7"/>
    <w:rsid w:val="00E63030"/>
    <w:rsid w:val="00E64FA7"/>
    <w:rsid w:val="00E731B9"/>
    <w:rsid w:val="00E770CB"/>
    <w:rsid w:val="00E940EB"/>
    <w:rsid w:val="00EB2B90"/>
    <w:rsid w:val="00EB7917"/>
    <w:rsid w:val="00ED7E83"/>
    <w:rsid w:val="00EE1427"/>
    <w:rsid w:val="00EF4B63"/>
    <w:rsid w:val="00F0068D"/>
    <w:rsid w:val="00F0576D"/>
    <w:rsid w:val="00F15EA8"/>
    <w:rsid w:val="00F16C8D"/>
    <w:rsid w:val="00F26C61"/>
    <w:rsid w:val="00F33CCE"/>
    <w:rsid w:val="00F40249"/>
    <w:rsid w:val="00F526C8"/>
    <w:rsid w:val="00F700DF"/>
    <w:rsid w:val="00F8147C"/>
    <w:rsid w:val="00F9518C"/>
    <w:rsid w:val="00FA316E"/>
    <w:rsid w:val="00FA59EF"/>
    <w:rsid w:val="00FB19A2"/>
    <w:rsid w:val="00FC2A34"/>
    <w:rsid w:val="00FD0662"/>
    <w:rsid w:val="00FE0E06"/>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7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qFormat/>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Ssoc">
    <w:name w:val="SCC.Ssoc"/>
    <w:basedOn w:val="Normal"/>
    <w:next w:val="Normal"/>
    <w:link w:val="SCCSsocChar"/>
    <w:rsid w:val="00E308C6"/>
    <w:rPr>
      <w:rFonts w:eastAsia="Calibri" w:cs="Times New Roman"/>
      <w:i/>
      <w:sz w:val="20"/>
      <w:szCs w:val="20"/>
    </w:rPr>
  </w:style>
  <w:style w:type="character" w:customStyle="1" w:styleId="SCCSsocChar">
    <w:name w:val="SCC.Ssoc Char"/>
    <w:basedOn w:val="DefaultParagraphFont"/>
    <w:link w:val="SCCSsoc"/>
    <w:rsid w:val="00E308C6"/>
    <w:rPr>
      <w:rFonts w:eastAsia="Calibri" w:cs="Times New Roman"/>
      <w:i/>
      <w:sz w:val="20"/>
      <w:szCs w:val="20"/>
      <w:lang w:val="en-CA"/>
    </w:rPr>
  </w:style>
  <w:style w:type="paragraph" w:customStyle="1" w:styleId="SCCFileNumber">
    <w:name w:val="SCC.FileNumber"/>
    <w:basedOn w:val="Normal"/>
    <w:next w:val="Normal"/>
    <w:link w:val="SCCFileNumberChar"/>
    <w:rsid w:val="00A24E7D"/>
    <w:pPr>
      <w:jc w:val="center"/>
    </w:pPr>
    <w:rPr>
      <w:b/>
      <w:szCs w:val="24"/>
      <w:lang w:val="fr-CA"/>
    </w:rPr>
  </w:style>
  <w:style w:type="character" w:customStyle="1" w:styleId="SCCFileNumberChar">
    <w:name w:val="SCC.FileNumber Char"/>
    <w:basedOn w:val="DefaultParagraphFont"/>
    <w:link w:val="SCCFileNumber"/>
    <w:rsid w:val="00A24E7D"/>
    <w:rPr>
      <w:b/>
      <w:szCs w:val="24"/>
      <w:lang w:val="fr-CA"/>
    </w:rPr>
  </w:style>
  <w:style w:type="paragraph" w:customStyle="1" w:styleId="SCCLsoc">
    <w:name w:val="SCC.Lsoc"/>
    <w:basedOn w:val="Normal"/>
    <w:next w:val="Normal"/>
    <w:link w:val="SCCLsocChar"/>
    <w:rsid w:val="00A24E7D"/>
    <w:pPr>
      <w:jc w:val="center"/>
    </w:pPr>
    <w:rPr>
      <w:b/>
      <w:szCs w:val="24"/>
      <w:u w:val="single"/>
      <w:lang w:val="fr-CA"/>
    </w:rPr>
  </w:style>
  <w:style w:type="character" w:customStyle="1" w:styleId="SCCLsocChar">
    <w:name w:val="SCC.Lsoc Char"/>
    <w:basedOn w:val="DefaultParagraphFont"/>
    <w:link w:val="SCCLsoc"/>
    <w:rsid w:val="00A24E7D"/>
    <w:rPr>
      <w:b/>
      <w:szCs w:val="24"/>
      <w:u w:val="single"/>
      <w:lang w:val="fr-CA"/>
    </w:rPr>
  </w:style>
  <w:style w:type="paragraph" w:customStyle="1" w:styleId="SCCCoram">
    <w:name w:val="SCC.Coram"/>
    <w:basedOn w:val="Normal"/>
    <w:next w:val="Normal"/>
    <w:link w:val="SCCCoramChar"/>
    <w:rsid w:val="00A24E7D"/>
    <w:pPr>
      <w:jc w:val="center"/>
    </w:pPr>
    <w:rPr>
      <w:szCs w:val="24"/>
      <w:u w:val="single"/>
      <w:lang w:val="fr-CA"/>
    </w:rPr>
  </w:style>
  <w:style w:type="character" w:customStyle="1" w:styleId="SCCCoramChar">
    <w:name w:val="SCC.Coram Char"/>
    <w:basedOn w:val="DefaultParagraphFont"/>
    <w:link w:val="SCCCoram"/>
    <w:rsid w:val="00A24E7D"/>
    <w:rPr>
      <w:szCs w:val="24"/>
      <w:u w:val="single"/>
      <w:lang w:val="fr-CA"/>
    </w:rPr>
  </w:style>
  <w:style w:type="paragraph" w:customStyle="1" w:styleId="SCCShortJudgment">
    <w:name w:val="SCC.ShortJudgment"/>
    <w:basedOn w:val="Normal"/>
    <w:qFormat/>
    <w:rsid w:val="00A24E7D"/>
    <w:pPr>
      <w:ind w:firstLine="720"/>
      <w:jc w:val="both"/>
    </w:pPr>
    <w:rPr>
      <w:sz w:val="20"/>
      <w:szCs w:val="24"/>
    </w:rPr>
  </w:style>
  <w:style w:type="paragraph" w:styleId="Quote">
    <w:name w:val="Quote"/>
    <w:basedOn w:val="Normal"/>
    <w:next w:val="Normal"/>
    <w:link w:val="QuoteChar"/>
    <w:uiPriority w:val="29"/>
    <w:qFormat/>
    <w:rsid w:val="0051504F"/>
    <w:rPr>
      <w:rFonts w:cs="Times New Roman"/>
      <w:i/>
      <w:iCs/>
      <w:color w:val="000000" w:themeColor="text1"/>
      <w:szCs w:val="20"/>
      <w:lang w:val="fr-CA" w:eastAsia="en-CA"/>
    </w:rPr>
  </w:style>
  <w:style w:type="character" w:customStyle="1" w:styleId="QuoteChar">
    <w:name w:val="Quote Char"/>
    <w:basedOn w:val="DefaultParagraphFont"/>
    <w:link w:val="Quote"/>
    <w:uiPriority w:val="29"/>
    <w:rsid w:val="0051504F"/>
    <w:rPr>
      <w:rFonts w:cs="Times New Roman"/>
      <w:i/>
      <w:iCs/>
      <w:color w:val="000000" w:themeColor="text1"/>
      <w:szCs w:val="20"/>
      <w:lang w:val="fr-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14174</Words>
  <Characters>80792</Characters>
  <Application>Microsoft Office Word</Application>
  <DocSecurity>0</DocSecurity>
  <Lines>673</Lines>
  <Paragraphs>189</Paragraphs>
  <ScaleCrop>false</ScaleCrop>
  <Company/>
  <LinksUpToDate>false</LinksUpToDate>
  <CharactersWithSpaces>94777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2011-05-27T19:25:00Z</dcterms:created>
  <dcterms:modified xsi:type="dcterms:W3CDTF">2011-05-27T19:25:00Z</dcterms:modified>
</cp:coreProperties>
</file>